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emf" ContentType="image/x-emf"/>
  <Default Extension="jpeg" ContentType="image/jpeg"/>
  <Default Extension="bmp" ContentType="image/bmp"/>
  <Default Extension="wdp" ContentType="image/vnd.ms-photo"/>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keepLines/>
        <w:adjustRightInd w:val="0"/>
        <w:snapToGrid w:val="0"/>
        <w:spacing w:before="312" w:beforeLines="100" w:after="312" w:afterLines="100" w:line="360" w:lineRule="auto"/>
        <w:jc w:val="center"/>
        <w:outlineLvl w:val="0"/>
        <w:rPr>
          <w:rFonts w:cs="Times New Roman" w:asciiTheme="minorEastAsia" w:hAnsiTheme="minorEastAsia"/>
          <w:b/>
          <w:color w:val="0D0D0D" w:themeColor="text1" w:themeTint="F2"/>
          <w:kern w:val="44"/>
          <w:sz w:val="36"/>
          <w:szCs w:val="24"/>
          <w14:textFill>
            <w14:solidFill>
              <w14:schemeClr w14:val="tx1">
                <w14:lumMod w14:val="95000"/>
                <w14:lumOff w14:val="5000"/>
              </w14:schemeClr>
            </w14:solidFill>
          </w14:textFill>
        </w:rPr>
      </w:pPr>
      <w:bookmarkStart w:id="0" w:name="_Toc25701"/>
      <w:r>
        <w:rPr>
          <w:rFonts w:cs="Times New Roman" w:asciiTheme="minorEastAsia" w:hAnsiTheme="minorEastAsia"/>
          <w:b/>
          <w:color w:val="0D0D0D" w:themeColor="text1" w:themeTint="F2"/>
          <w:kern w:val="44"/>
          <w:sz w:val="36"/>
          <w:szCs w:val="24"/>
          <w14:textFill>
            <w14:solidFill>
              <w14:schemeClr w14:val="tx1">
                <w14:lumMod w14:val="95000"/>
                <w14:lumOff w14:val="5000"/>
              </w14:schemeClr>
            </w14:solidFill>
          </w14:textFill>
        </w:rPr>
        <w:t xml:space="preserve">第一章  </w:t>
      </w:r>
      <w:bookmarkEnd w:id="0"/>
      <w:r>
        <w:rPr>
          <w:rFonts w:hint="eastAsia" w:cs="Times New Roman" w:asciiTheme="minorEastAsia" w:hAnsiTheme="minorEastAsia"/>
          <w:b/>
          <w:color w:val="0D0D0D" w:themeColor="text1" w:themeTint="F2"/>
          <w:kern w:val="44"/>
          <w:sz w:val="36"/>
          <w:szCs w:val="24"/>
          <w14:textFill>
            <w14:solidFill>
              <w14:schemeClr w14:val="tx1">
                <w14:lumMod w14:val="95000"/>
                <w14:lumOff w14:val="5000"/>
              </w14:schemeClr>
            </w14:solidFill>
          </w14:textFill>
        </w:rPr>
        <w:t>总 则</w:t>
      </w:r>
    </w:p>
    <w:p>
      <w:pPr>
        <w:keepNext/>
        <w:keepLines/>
        <w:adjustRightInd w:val="0"/>
        <w:snapToGrid w:val="0"/>
        <w:spacing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1" w:name="_Toc27965"/>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1.1 评价对象、评价目的、评价原则及</w:t>
      </w:r>
      <w:r>
        <w:rPr>
          <w:rFonts w:hint="eastAsia"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评价</w:t>
      </w:r>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重点</w:t>
      </w:r>
      <w:bookmarkEnd w:id="1"/>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1.1.1 评价对象</w:t>
      </w:r>
    </w:p>
    <w:p>
      <w:pPr>
        <w:adjustRightInd w:val="0"/>
        <w:snapToGrid w:val="0"/>
        <w:spacing w:line="360" w:lineRule="auto"/>
        <w:ind w:firstLine="480" w:firstLineChars="20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西平县景虹再生资源有限公司年处理10万吨废轮胎低温裂解无害化资源化环保处理及循环再利用建设项目。</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1.1.2 评价目的</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（1）分析项目建设与国家产业政策、行业政策的相符性，论证</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项目选址合理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性；</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（2）通过类比调研、查阅数据手册和咨询专家等方法，分析项目工艺产污环节及污染物排放情况，并进行达标分析；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（3）调查监测评价区域环境质量现状，明确环境保护目标；</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（4）预测项目投产后污染物排放对周围环境影响的程度和范围，并对其进行影响评价，给出影响结论；</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（5）分析论证项目拟采取的污染防治措施的技术经济可行性；</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（6）分析项目清洁生产水平，并提出持续清洁生产的建议；</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（7）分析项目污染排放量是否符合区域总量控制要求；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（8）</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分析项目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环境风险影响程度和范围，提出防范措施和应急预案</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要求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（9）从环保角度，给出本项目建设是否可行的明确结论，为工程设计和环境管理提供科学依据。</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1.1.3 评价原则</w:t>
      </w:r>
    </w:p>
    <w:p>
      <w:pPr>
        <w:tabs>
          <w:tab w:val="left" w:leader="middleDot" w:pos="8399"/>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（1）贯彻“清洁生产”原则。</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通过</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类比调查</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及对比</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，分析建设项目清洁生产水平</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对项目实施全过程的污染控制，最大限度地实现资源及中间产品、废料的综合利用，有效地削减污染物的产生量和排放量。</w:t>
      </w:r>
    </w:p>
    <w:p>
      <w:pPr>
        <w:tabs>
          <w:tab w:val="left" w:leader="middleDot" w:pos="8399"/>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（2）贯彻“达标排放”和“总量控制”原则，使污染物的排放达到相应的标准；并根据总量控制要求，确定建设项目总量控制方案和措施，提出总量控制指标建议。</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（3）在评价工作中，全面收集评价区域已有资料，认真研究和分析自然环境、社会环境和环境质量资料的可靠性和时效性，充分利用其合理部分，避免不必要的重复工作，做到真实、客观、公正、结论明确。</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1.1.4 评价重点</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根据项目特点和环境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特征</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，确定评价重点为工程分析、</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选址合理性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分析、环境影响预测与评价、污染防治措施</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及环境风险</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分析</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2" w:name="_Toc20940"/>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1.2 编制依据</w:t>
      </w:r>
      <w:bookmarkEnd w:id="2"/>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1.2.1 与项目有关的法律、法规、规定</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（1）《中华人民共和国环境保护法》（修订版，2015年1月1日起施行)；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（2）《中华人民共和国大气污染防治法》(2016年1月1日起施行)；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（3）《中华人民共和国水污染防治法》(2017年修订，2018年1月1日起施行)；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（4）《中华人民共和国环境噪声污染防治法》(2018年12月29日起施行)；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（5）《中华人民共和国固体废弃物污染环境防治法》</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(2020年修订)</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（6）《中华人民共和国清洁生产促进法》（2012年7月1日起施行）；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（7）《中华人民共和国环境影响评价法》（2018年12月29日起施行）；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（8）</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《中华人民共和国节约能源法》（2018</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年10月26日起施行</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（9）</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《中华人民共和国清洁生产促进法》（2012年7月1日</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起施行</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（10）《建设项目环境保护管理条例》(2017年10月1日起施行)；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（11）《关于进一步加强环境影响评价管理防范环境风险的通知》（环发〔2012〕77号文，2012.7.3）；</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（12）</w:t>
      </w:r>
      <w:r>
        <w:fldChar w:fldCharType="begin"/>
      </w:r>
      <w:r>
        <w:instrText xml:space="preserve"> HYPERLINK "http://www.eiafans.com/thread-408165-1-1.html" \t "_blank" </w:instrText>
      </w:r>
      <w:r>
        <w:fldChar w:fldCharType="separate"/>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《关于切实加强风险防范严格环境影响评价管理的通知》（环发〔2012〕98号）</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end"/>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（13）</w:t>
      </w:r>
      <w:r>
        <w:rPr>
          <w:rFonts w:cs="Times New Roman" w:asciiTheme="minorEastAsia" w:hAnsiTheme="minorEastAsia"/>
          <w:bCs/>
          <w:color w:val="0D0D0D" w:themeColor="text1" w:themeTint="F2"/>
          <w:sz w:val="24"/>
          <w14:textFill>
            <w14:solidFill>
              <w14:schemeClr w14:val="tx1">
                <w14:lumMod w14:val="95000"/>
                <w14:lumOff w14:val="5000"/>
              </w14:schemeClr>
            </w14:solidFill>
          </w14:textFill>
        </w:rPr>
        <w:t>《环境影响评价公众参与办法（生态环境部令第4号）》</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（14）《关于印发大气污染防治行动计划的通知》（国发〔2013〕37号）；</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（15）《关于印发水污染防治行动计划的通知》（国发〔2015〕17号）；</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（16）《国务院关于加快发展循环经济的若干意见》（国发〔2005〕22号）；</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（17）《关于加强工业节水工作的意见》(国家经贸委等六部门)；</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（18）《十三五”节能环保产业发展规划》（2016年12月22日）；</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（19）《“十三五”节能减排综合工作方案》（国发〔2016〕74号）（2017年01月05日）；</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（20）《限制用地项目目录（2012 年本）》和《禁止用地项目目录（2012 年本）》（国土资源部、发改委，2012.05.23）；</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（21）《产业结构调整指导目录(201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年本)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（22）《建设项目环境影响评价分类管理名录》（2018年4月28日起施行）；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）《河南省建设项目环境保护条例》；</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）《河南省水污染防治条例》（河南省第十一届人民代表大会常务委员会公告第27 号，2009 年11 月27 日）；</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）《河南省减少污染物排放条例》（2013 年9 月26 日河南省第十二届人民代表大会常务委员会第四次会议通过）；</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26</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）《河南省固体废物污染环境防治条例》（22011 年10 月10 日河南省第十一届人民代表大会常务委员会公告第54 号公布）；</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27</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）《河南省“十三五”节能低碳发展规划》(2016年12月29日)；</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28</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）《河南省“十三五”生态环境保护规划》（豫政办〔2017〕77号）（2017年6月30日）；</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）《河南省环保厅关于加强环评管理防范环境风险的通知》（豫环文[2012]159 号）；</w:t>
      </w:r>
    </w:p>
    <w:p>
      <w:pPr>
        <w:tabs>
          <w:tab w:val="left" w:pos="693"/>
        </w:tabs>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河南省污染防治攻坚战三年行动计划（2018—2020年）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》（豫环文</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[201</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8</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28</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2号</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tabs>
          <w:tab w:val="left" w:pos="693"/>
        </w:tabs>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31</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）《河南省2019年挥发性有机物治理方案》；</w:t>
      </w:r>
    </w:p>
    <w:p>
      <w:pPr>
        <w:tabs>
          <w:tab w:val="left" w:pos="693"/>
        </w:tabs>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）《河南省2019年工业企业无组织排放治理方案》；</w:t>
      </w:r>
    </w:p>
    <w:p>
      <w:pPr>
        <w:tabs>
          <w:tab w:val="left" w:pos="693"/>
        </w:tabs>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）关于印发驻马店市污染防治攻坚战三年行动计划（2018—2020年）的通知；</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）关于印发《驻马店市水利系统关于打赢水污染防治攻坚战工作实施方案》的通知</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（35）《河南省污染防治攻坚战领导小组办公室关于印发河南省2020年大气污染防治攻坚战实施方案的通知》（豫环攻坚办〔2020〕7号）。</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1.2.2技术依据</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（1）《环境影响评价技术导则  总纲》（HJ2.1-2016）；</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（2）《环境影响评价技术导则  大气环境》（HJ2.2-2018）；</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（3）《环境影响评价技术导则  地表水环境》（HJ2.3-2018）；</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（4）《环境影响评价技术导则  地下水环境》（HJ610-2016）；</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（5）《环境影响评价技术导则  声环境》（HJ2.4-2009）；</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（6）《环境影响评价技术导则  生态影响》（HJ19-2011）；</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（7）《建设项目环境风险评价技术导则》(HJ169-2018)；</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（8）《环境影响评价技术导则 土壤环境（试行）》（HJ964-2018）；</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（9）《固体废物鉴别标准 通则》（GB34330-2017）；</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（10）《国家危险废物名录》（环境保护部部令第39号，2016年）。</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1.2.3 与项目有关的文件</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西平县景虹再生资源有限公司</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关于本项目的“环境影响评价委托书”；</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（2）项目备案证明；</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（3）西平县环境保护局关于本项目环境影响评价应执行标准的函；</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用地及选址预审意见</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（5）建设单位提供的其他有关技术资料。</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（6）建设单位提供的其它有关环评的资料。</w:t>
      </w: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3" w:name="_Toc27145"/>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1.3 环境影响要素识别与评价因子筛选</w:t>
      </w:r>
      <w:bookmarkEnd w:id="3"/>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1.3.1 </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工程特点及环境特征</w:t>
      </w:r>
    </w:p>
    <w:p>
      <w:pPr>
        <w:adjustRightInd w:val="0"/>
        <w:snapToGrid w:val="0"/>
        <w:spacing w:line="360" w:lineRule="auto"/>
        <w:ind w:firstLine="482"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工程特点：</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西平县产业集聚区静脉产业园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采用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无剥离低温微负压裂解工艺技术</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，将不含氯元素的废轮胎处理后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得到</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、粗炭黑、钢丝和裂解不凝气四种产物</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；其中，</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粗炭黑</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、钢丝作为产品外售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，实现资源化再</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利用；裂解不凝气作为裂解炉燃料</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进入燃烧室燃烧处理</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项目营运期污染因素包括：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及其不凝气燃烧废气，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生产</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及生活</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固体废物和</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生活垃圾，以及</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噪声等</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。项目营运期排放大气污染物主要是颗粒物、</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S、NH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、非甲烷总烃及苯并[a]芘等。</w:t>
      </w:r>
    </w:p>
    <w:p>
      <w:pPr>
        <w:adjustRightInd w:val="0"/>
        <w:snapToGrid w:val="0"/>
        <w:spacing w:line="360" w:lineRule="auto"/>
        <w:ind w:firstLine="482"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环境</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特征</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选址区不涉及自然保护区、饮用水源保护区、风景名胜区、基本农田保护区、世界文化和自然遗产地、地质公园等环境敏感区；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距离项目最近的敏感点为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西南</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侧袁庄（SW，</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99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0m）</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；项目区土地性质规划为建设用地；项目选址及用地符合规划要求。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项目所在区域不属于SO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、酸雨控制区</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大气环境功能区划为《环境空气质量标准》（GB3095-2012）二类区；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所在地属淮河流域洪汝河水系</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，最近地表水体为北侧380m处的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红澍河</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，环境功能区划为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《地表水环境质量标准》（GB3838-2002）</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水体；项目区域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地下水执行《地下水质量标准》（GB/T14848-2017）中的</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；声环境功能区划为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《声环境质量标准》（GB3096-2008）</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中的3类区。根据调查资料；项目区域环境空气为不达标区；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红澍河</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水质现状不能满足规划的地表水</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功能要求，主要是区域生活污水等面源污染所致；项目区地下水、声环境、土壤环境质量均可满足相应的环境功能目标要求。</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1.3.</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环境影响要素识别</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拟建项目特性，结合建设地区环境状况，全面分析判别该项目建设不同阶段对环境可能产生影响的因子、影响途径，初步估算影响程度，用矩阵法对可能遭受工程影响的环境要素和评价因子进行识别、筛选。受影响的环境要素和评价因子识别情况见表1.3-1。</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表1.3-1  环境影响因素识别结果</w:t>
      </w:r>
    </w:p>
    <w:tbl>
      <w:tblPr>
        <w:tblStyle w:val="27"/>
        <w:tblW w:w="9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6"/>
        <w:gridCol w:w="861"/>
        <w:gridCol w:w="750"/>
        <w:gridCol w:w="749"/>
        <w:gridCol w:w="749"/>
        <w:gridCol w:w="749"/>
        <w:gridCol w:w="750"/>
        <w:gridCol w:w="750"/>
        <w:gridCol w:w="750"/>
        <w:gridCol w:w="749"/>
        <w:gridCol w:w="749"/>
        <w:gridCol w:w="7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tblHeader/>
          <w:jc w:val="center"/>
        </w:trPr>
        <w:tc>
          <w:tcPr>
            <w:tcW w:w="1517" w:type="dxa"/>
            <w:gridSpan w:val="2"/>
            <w:vMerge w:val="restart"/>
            <w:tcBorders>
              <w:top w:val="single" w:color="auto" w:sz="12" w:space="0"/>
              <w:left w:val="single" w:color="auto" w:sz="12" w:space="0"/>
              <w:bottom w:val="single" w:color="auto" w:sz="4" w:space="0"/>
              <w:tl2br w:val="single" w:color="auto" w:sz="4" w:space="0"/>
            </w:tcBorders>
            <w:vAlign w:val="center"/>
          </w:tcPr>
          <w:p>
            <w:pPr>
              <w:tabs>
                <w:tab w:val="left" w:pos="536"/>
              </w:tabs>
              <w:adjustRightInd w:val="0"/>
              <w:snapToGrid w:val="0"/>
              <w:jc w:val="right"/>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工程活动</w:t>
            </w:r>
          </w:p>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p>
          <w:p>
            <w:pPr>
              <w:tabs>
                <w:tab w:val="left" w:pos="536"/>
              </w:tabs>
              <w:adjustRightInd w:val="0"/>
              <w:snapToGrid w:val="0"/>
              <w:jc w:val="left"/>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环境要素</w:t>
            </w:r>
          </w:p>
        </w:tc>
        <w:tc>
          <w:tcPr>
            <w:tcW w:w="3747" w:type="dxa"/>
            <w:gridSpan w:val="5"/>
            <w:tcBorders>
              <w:top w:val="single" w:color="auto" w:sz="12" w:space="0"/>
              <w:bottom w:val="single" w:color="auto" w:sz="4" w:space="0"/>
              <w:right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施工期</w:t>
            </w:r>
          </w:p>
        </w:tc>
        <w:tc>
          <w:tcPr>
            <w:tcW w:w="3753" w:type="dxa"/>
            <w:gridSpan w:val="5"/>
            <w:tcBorders>
              <w:top w:val="single" w:color="auto" w:sz="12"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运营期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tblHeader/>
          <w:jc w:val="center"/>
        </w:trPr>
        <w:tc>
          <w:tcPr>
            <w:tcW w:w="1517" w:type="dxa"/>
            <w:gridSpan w:val="2"/>
            <w:vMerge w:val="continue"/>
            <w:tcBorders>
              <w:top w:val="single" w:color="auto" w:sz="4" w:space="0"/>
              <w:left w:val="single" w:color="auto" w:sz="12" w:space="0"/>
              <w:bottom w:val="single" w:color="auto" w:sz="4" w:space="0"/>
            </w:tcBorders>
            <w:vAlign w:val="center"/>
          </w:tcPr>
          <w:p>
            <w:pPr>
              <w:widowControl/>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工程排水</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废气</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噪声振动</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固体废物</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运输</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工程排水</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废气</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噪声振动</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固体废物</w:t>
            </w: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restart"/>
            <w:tcBorders>
              <w:top w:val="single" w:color="auto" w:sz="4" w:space="0"/>
              <w:left w:val="single" w:color="auto" w:sz="12" w:space="0"/>
              <w:bottom w:val="single" w:color="auto" w:sz="4" w:space="0"/>
            </w:tcBorders>
            <w:tcMar>
              <w:top w:w="0" w:type="dxa"/>
              <w:left w:w="0" w:type="dxa"/>
              <w:bottom w:w="0" w:type="dxa"/>
              <w:right w:w="0" w:type="dxa"/>
            </w:tcMar>
            <w:textDirection w:val="tbRlV"/>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自然环境</w:t>
            </w: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环境</w:t>
            </w:r>
          </w:p>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空气</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continue"/>
            <w:tcBorders>
              <w:top w:val="single" w:color="auto" w:sz="4" w:space="0"/>
              <w:left w:val="single" w:color="auto" w:sz="12" w:space="0"/>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声环境</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continue"/>
            <w:tcBorders>
              <w:top w:val="single" w:color="auto" w:sz="4" w:space="0"/>
              <w:left w:val="single" w:color="auto" w:sz="12" w:space="0"/>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地表水</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continue"/>
            <w:tcBorders>
              <w:top w:val="single" w:color="auto" w:sz="4" w:space="0"/>
              <w:left w:val="single" w:color="auto" w:sz="12" w:space="0"/>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地下水</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continue"/>
            <w:tcBorders>
              <w:top w:val="single" w:color="auto" w:sz="4" w:space="0"/>
              <w:left w:val="single" w:color="auto" w:sz="12" w:space="0"/>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土壤</w:t>
            </w:r>
          </w:p>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植被</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restart"/>
            <w:tcBorders>
              <w:top w:val="single" w:color="auto" w:sz="4" w:space="0"/>
              <w:left w:val="single" w:color="auto" w:sz="12" w:space="0"/>
              <w:bottom w:val="single" w:color="auto" w:sz="4" w:space="0"/>
            </w:tcBorders>
            <w:tcMar>
              <w:top w:w="0" w:type="dxa"/>
              <w:left w:w="0" w:type="dxa"/>
              <w:bottom w:w="0" w:type="dxa"/>
              <w:right w:w="0" w:type="dxa"/>
            </w:tcMar>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社会</w:t>
            </w:r>
          </w:p>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环境</w:t>
            </w: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工业</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continue"/>
            <w:tcBorders>
              <w:top w:val="single" w:color="auto" w:sz="4" w:space="0"/>
              <w:left w:val="single" w:color="auto" w:sz="12" w:space="0"/>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交通</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-1SP</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restart"/>
            <w:tcBorders>
              <w:top w:val="single" w:color="auto" w:sz="4" w:space="0"/>
              <w:left w:val="single" w:color="auto" w:sz="12" w:space="0"/>
              <w:bottom w:val="single" w:color="auto" w:sz="4" w:space="0"/>
            </w:tcBorders>
            <w:tcMar>
              <w:top w:w="0" w:type="dxa"/>
              <w:left w:w="0" w:type="dxa"/>
              <w:bottom w:w="0" w:type="dxa"/>
              <w:right w:w="0" w:type="dxa"/>
            </w:tcMar>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人文</w:t>
            </w:r>
          </w:p>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生态</w:t>
            </w: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自然</w:t>
            </w:r>
          </w:p>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景观</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656" w:type="dxa"/>
            <w:vMerge w:val="continue"/>
            <w:tcBorders>
              <w:top w:val="single" w:color="auto" w:sz="4" w:space="0"/>
              <w:left w:val="single" w:color="auto" w:sz="12" w:space="0"/>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61"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公众</w:t>
            </w:r>
          </w:p>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健康</w:t>
            </w: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0"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-1LP</w:t>
            </w: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49" w:type="dxa"/>
            <w:tcBorders>
              <w:top w:val="single" w:color="auto" w:sz="4" w:space="0"/>
              <w:bottom w:val="single" w:color="auto" w:sz="4"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55" w:type="dxa"/>
            <w:tcBorders>
              <w:top w:val="single" w:color="auto" w:sz="4" w:space="0"/>
              <w:bottom w:val="single" w:color="auto" w:sz="4" w:space="0"/>
              <w:right w:val="single" w:color="auto" w:sz="12" w:space="0"/>
            </w:tcBorders>
            <w:vAlign w:val="center"/>
          </w:tcPr>
          <w:p>
            <w:pPr>
              <w:tabs>
                <w:tab w:val="left" w:pos="536"/>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9017" w:type="dxa"/>
            <w:gridSpan w:val="12"/>
            <w:tcBorders>
              <w:top w:val="single" w:color="auto" w:sz="4" w:space="0"/>
              <w:left w:val="single" w:color="auto" w:sz="12" w:space="0"/>
              <w:bottom w:val="single" w:color="auto" w:sz="12" w:space="0"/>
              <w:right w:val="single" w:color="auto" w:sz="12" w:space="0"/>
            </w:tcBorders>
            <w:vAlign w:val="center"/>
          </w:tcPr>
          <w:p>
            <w:pPr>
              <w:tabs>
                <w:tab w:val="left" w:pos="536"/>
              </w:tabs>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说明：+、–分别表示工程的正负效益；S、L分别代表暂时、长期的影响；1—影响较小，2—影响中等，3—影响显著；P、W分别代表局部、大范围影响。</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由表1.3-1可知，项目运营期的不利影响主要在废气和噪声等。</w:t>
      </w:r>
    </w:p>
    <w:p>
      <w:pPr>
        <w:adjustRightInd w:val="0"/>
        <w:snapToGrid w:val="0"/>
        <w:spacing w:line="360" w:lineRule="auto"/>
        <w:ind w:firstLine="480" w:firstLineChars="200"/>
        <w:rPr>
          <w:rFonts w:cs="Times New Roman" w:asciiTheme="minorEastAsia" w:hAnsiTheme="minorEastAsia"/>
          <w:snapToGrid w:val="0"/>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建设项目对环境影响性质分析见表1.3-2。</w:t>
      </w:r>
    </w:p>
    <w:p>
      <w:pPr>
        <w:adjustRightInd w:val="0"/>
        <w:snapToGrid w:val="0"/>
        <w:jc w:val="center"/>
        <w:rPr>
          <w:rFonts w:cs="Times New Roman" w:asciiTheme="minorEastAsia" w:hAnsiTheme="minorEastAsia"/>
          <w:b/>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表1.3-2     环境影响性质分析表</w:t>
      </w:r>
    </w:p>
    <w:tbl>
      <w:tblPr>
        <w:tblStyle w:val="27"/>
        <w:tblW w:w="888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667"/>
        <w:gridCol w:w="892"/>
        <w:gridCol w:w="892"/>
        <w:gridCol w:w="878"/>
        <w:gridCol w:w="907"/>
        <w:gridCol w:w="954"/>
        <w:gridCol w:w="795"/>
        <w:gridCol w:w="904"/>
        <w:gridCol w:w="9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33" w:hRule="atLeast"/>
          <w:tblHeader/>
          <w:jc w:val="center"/>
        </w:trPr>
        <w:tc>
          <w:tcPr>
            <w:tcW w:w="1667"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影响性质</w:t>
            </w:r>
          </w:p>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环境因素</w:t>
            </w:r>
          </w:p>
        </w:tc>
        <w:tc>
          <w:tcPr>
            <w:tcW w:w="892"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短期影响</w:t>
            </w:r>
          </w:p>
        </w:tc>
        <w:tc>
          <w:tcPr>
            <w:tcW w:w="892"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长期影响</w:t>
            </w:r>
          </w:p>
        </w:tc>
        <w:tc>
          <w:tcPr>
            <w:tcW w:w="878"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可逆影响</w:t>
            </w:r>
          </w:p>
        </w:tc>
        <w:tc>
          <w:tcPr>
            <w:tcW w:w="907"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不可逆</w:t>
            </w:r>
          </w:p>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影响</w:t>
            </w:r>
          </w:p>
        </w:tc>
        <w:tc>
          <w:tcPr>
            <w:tcW w:w="954"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直接影响</w:t>
            </w:r>
          </w:p>
        </w:tc>
        <w:tc>
          <w:tcPr>
            <w:tcW w:w="795"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间接</w:t>
            </w:r>
          </w:p>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影响</w:t>
            </w:r>
          </w:p>
        </w:tc>
        <w:tc>
          <w:tcPr>
            <w:tcW w:w="904"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局部</w:t>
            </w:r>
          </w:p>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影响</w:t>
            </w:r>
          </w:p>
        </w:tc>
        <w:tc>
          <w:tcPr>
            <w:tcW w:w="998"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大范围</w:t>
            </w:r>
          </w:p>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16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大气环境</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7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0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5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79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9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16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地面水环境</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7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0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5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79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9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16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声学环境</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7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0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5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79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9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16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生态环境</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7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0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5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79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9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16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社会环境</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7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0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5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79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9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16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人群健康</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87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0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5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79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99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bl>
    <w:p>
      <w:pPr>
        <w:widowControl/>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由上表识别结果可知，工程对环境产生影响的主要因素包括施工期施工行为产生的噪声、扬尘、废水、固废等，运营期排放废气、废水、噪声以及固废等；工程建设运行对各环境要素不会产生显著、大范围的污染影响和生态影响；短期影响集中表现在施工期各项活动对环境的影响，长期影响主要是运行期污染物排放对自然生态环境的不利影响及物料储存运输存在的潜在环境风险；工程运行期废气、噪声排放及固废处置将对自然生态环境、声环境产生直接影响，废水排放对地表水、地下水产生间接影响，同时，对公众生活质量将会造成一定的不利影响，对区域社会经济发展将产生积极的有利影响。</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1.3.</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评价因子的识别与筛选</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由环境影响因子的识别，确定评价因子见表1.3-3。</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表1.3-3     本项目评价因子情况</w:t>
      </w:r>
    </w:p>
    <w:tbl>
      <w:tblPr>
        <w:tblStyle w:val="27"/>
        <w:tblW w:w="904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4292"/>
        <w:gridCol w:w="1993"/>
        <w:gridCol w:w="15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blHeader/>
          <w:jc w:val="center"/>
        </w:trPr>
        <w:tc>
          <w:tcPr>
            <w:tcW w:w="1182"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环境因素</w:t>
            </w:r>
          </w:p>
        </w:tc>
        <w:tc>
          <w:tcPr>
            <w:tcW w:w="4292"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现状评价因子</w:t>
            </w:r>
          </w:p>
        </w:tc>
        <w:tc>
          <w:tcPr>
            <w:tcW w:w="1993"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影响评价因子</w:t>
            </w:r>
          </w:p>
        </w:tc>
        <w:tc>
          <w:tcPr>
            <w:tcW w:w="1574"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总量控制因子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118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大气</w:t>
            </w:r>
          </w:p>
        </w:tc>
        <w:tc>
          <w:tcPr>
            <w:tcW w:w="42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、CO、O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TSP、非甲烷总烃</w:t>
            </w:r>
          </w:p>
        </w:tc>
        <w:tc>
          <w:tcPr>
            <w:tcW w:w="1993" w:type="dxa"/>
            <w:vAlign w:val="center"/>
          </w:tcPr>
          <w:p>
            <w:pPr>
              <w:autoSpaceDE w:val="0"/>
              <w:autoSpaceDN w:val="0"/>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TSP、非甲烷总烃</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、苯并[a]芘等</w:t>
            </w:r>
          </w:p>
        </w:tc>
        <w:tc>
          <w:tcPr>
            <w:tcW w:w="1574" w:type="dxa"/>
            <w:vAlign w:val="center"/>
          </w:tcPr>
          <w:p>
            <w:pPr>
              <w:autoSpaceDE w:val="0"/>
              <w:autoSpaceDN w:val="0"/>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x</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、VOCs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18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地表水</w:t>
            </w:r>
          </w:p>
        </w:tc>
        <w:tc>
          <w:tcPr>
            <w:tcW w:w="4292" w:type="dxa"/>
            <w:vAlign w:val="center"/>
          </w:tcPr>
          <w:p>
            <w:pPr>
              <w:adjustRightInd w:val="0"/>
              <w:snapToGrid w:val="0"/>
              <w:spacing w:line="360" w:lineRule="auto"/>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pH、COD、氨氮、总氮、总磷、石油类</w:t>
            </w:r>
          </w:p>
        </w:tc>
        <w:tc>
          <w:tcPr>
            <w:tcW w:w="199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COD、氨氮</w:t>
            </w:r>
          </w:p>
        </w:tc>
        <w:tc>
          <w:tcPr>
            <w:tcW w:w="157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COD、氨氮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6" w:hRule="atLeast"/>
          <w:jc w:val="center"/>
        </w:trPr>
        <w:tc>
          <w:tcPr>
            <w:tcW w:w="118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地下水</w:t>
            </w:r>
          </w:p>
        </w:tc>
        <w:tc>
          <w:tcPr>
            <w:tcW w:w="42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pH、氨氮、硝酸盐、亚硝酸盐、挥发性酚类、氰化物、砷、汞、铬(六价)、总硬度、铅、氟、镉、铁、锰、溶解性总固体、耗氧量、硫酸盐、氯化物、总大肠菌群、细菌总数</w:t>
            </w:r>
          </w:p>
        </w:tc>
        <w:tc>
          <w:tcPr>
            <w:tcW w:w="199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石油类</w:t>
            </w:r>
          </w:p>
        </w:tc>
        <w:tc>
          <w:tcPr>
            <w:tcW w:w="157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8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噪声</w:t>
            </w:r>
          </w:p>
        </w:tc>
        <w:tc>
          <w:tcPr>
            <w:tcW w:w="42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等效A声级</w:t>
            </w:r>
          </w:p>
        </w:tc>
        <w:tc>
          <w:tcPr>
            <w:tcW w:w="199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等效A声级</w:t>
            </w:r>
          </w:p>
        </w:tc>
        <w:tc>
          <w:tcPr>
            <w:tcW w:w="157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8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土壤</w:t>
            </w:r>
          </w:p>
        </w:tc>
        <w:tc>
          <w:tcPr>
            <w:tcW w:w="42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《土壤环境质量 建设用地土壤污染风险管控标准（试行）》（GB36600-2018）中45项基本项目</w:t>
            </w:r>
          </w:p>
        </w:tc>
        <w:tc>
          <w:tcPr>
            <w:tcW w:w="199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苯并[a]芘</w:t>
            </w:r>
          </w:p>
        </w:tc>
        <w:tc>
          <w:tcPr>
            <w:tcW w:w="157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bl>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4" w:name="_Toc17922"/>
      <w:bookmarkStart w:id="5" w:name="_Toc489812788"/>
      <w:bookmarkStart w:id="6" w:name="_Toc286308011"/>
      <w:bookmarkStart w:id="7" w:name="_Toc169062558"/>
      <w:bookmarkStart w:id="8" w:name="_Toc288764307"/>
      <w:bookmarkStart w:id="9" w:name="_Toc286307732"/>
      <w:bookmarkStart w:id="10" w:name="_Toc489812789"/>
      <w:bookmarkStart w:id="11" w:name="_Toc286307733"/>
      <w:bookmarkStart w:id="12" w:name="_Toc288764308"/>
      <w:bookmarkStart w:id="13" w:name="_Toc286308012"/>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1.4 评价标准</w:t>
      </w:r>
      <w:bookmarkEnd w:id="4"/>
      <w:bookmarkEnd w:id="5"/>
      <w:bookmarkEnd w:id="6"/>
      <w:bookmarkEnd w:id="7"/>
      <w:bookmarkEnd w:id="8"/>
      <w:bookmarkEnd w:id="9"/>
    </w:p>
    <w:p>
      <w:pPr>
        <w:keepNext/>
        <w:keepLines/>
        <w:adjustRightInd w:val="0"/>
        <w:snapToGrid w:val="0"/>
        <w:spacing w:before="156" w:beforeLines="50" w:line="360" w:lineRule="auto"/>
        <w:ind w:firstLine="480" w:firstLineChars="200"/>
        <w:outlineLvl w:val="1"/>
        <w:rPr>
          <w:rFonts w:cs="宋体" w:asciiTheme="minorEastAsia" w:hAnsiTheme="minorEastAsia"/>
          <w:bCs/>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按照项目所在区域环境功能区划分及当地生态环境部门要求，依据西平县环境保护局关于本次项目环境影响评价执行标准的函，本次评价执行的环境质量标准和污染物排放标准如下。</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1.4.1 环境质量标准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根据环境功能区划分及西平县环境保护局关于本次评价执行标准的函，本次评价执行以下环境质量标准。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（1）环境空气质量标准</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本项目评价区为大气环境二级功能区，SO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、CO、O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TSP</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苯并[a]芘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执行《环境空气质量标准》（GB3095-2012）中的二级标准。H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执行《环境影响评价技术导则 大气环境》（HJ2.2-2018）附录D中空气质量浓度参考限值。非甲烷总烃参考执行《大气污染物综合排放标准详解》中环境质量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短期浓度参考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值。本项目执行的环境空气质量标准见表1.4-1。</w:t>
      </w: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表1.4-1    环境空气质量标准</w:t>
      </w:r>
    </w:p>
    <w:tbl>
      <w:tblPr>
        <w:tblStyle w:val="27"/>
        <w:tblW w:w="889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43"/>
        <w:gridCol w:w="1387"/>
        <w:gridCol w:w="2210"/>
        <w:gridCol w:w="880"/>
        <w:gridCol w:w="9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93" w:hRule="atLeast"/>
          <w:jc w:val="center"/>
        </w:trPr>
        <w:tc>
          <w:tcPr>
            <w:tcW w:w="3443" w:type="dxa"/>
            <w:vMerge w:val="restart"/>
            <w:vAlign w:val="center"/>
          </w:tcPr>
          <w:p>
            <w:pPr>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Cs w:val="21"/>
                <w14:textFill>
                  <w14:solidFill>
                    <w14:schemeClr w14:val="tx1">
                      <w14:lumMod w14:val="95000"/>
                      <w14:lumOff w14:val="5000"/>
                    </w14:schemeClr>
                  </w14:solidFill>
                </w14:textFill>
              </w:rPr>
              <w:t>标准名称及标准号</w:t>
            </w:r>
          </w:p>
        </w:tc>
        <w:tc>
          <w:tcPr>
            <w:tcW w:w="1387" w:type="dxa"/>
            <w:vMerge w:val="restart"/>
            <w:vAlign w:val="center"/>
          </w:tcPr>
          <w:p>
            <w:pPr>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Cs w:val="21"/>
                <w14:textFill>
                  <w14:solidFill>
                    <w14:schemeClr w14:val="tx1">
                      <w14:lumMod w14:val="95000"/>
                      <w14:lumOff w14:val="5000"/>
                    </w14:schemeClr>
                  </w14:solidFill>
                </w14:textFill>
              </w:rPr>
              <w:t>项目</w:t>
            </w:r>
          </w:p>
        </w:tc>
        <w:tc>
          <w:tcPr>
            <w:tcW w:w="4066" w:type="dxa"/>
            <w:gridSpan w:val="3"/>
            <w:vAlign w:val="center"/>
          </w:tcPr>
          <w:p>
            <w:pPr>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Cs w:val="21"/>
                <w14:textFill>
                  <w14:solidFill>
                    <w14:schemeClr w14:val="tx1">
                      <w14:lumMod w14:val="95000"/>
                      <w14:lumOff w14:val="5000"/>
                    </w14:schemeClr>
                  </w14:solidFill>
                </w14:textFill>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54" w:hRule="atLeast"/>
          <w:jc w:val="center"/>
        </w:trPr>
        <w:tc>
          <w:tcPr>
            <w:tcW w:w="3443" w:type="dxa"/>
            <w:vMerge w:val="continue"/>
            <w:vAlign w:val="center"/>
          </w:tcPr>
          <w:p>
            <w:pPr>
              <w:widowControl/>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p>
        </w:tc>
        <w:tc>
          <w:tcPr>
            <w:tcW w:w="1387" w:type="dxa"/>
            <w:vMerge w:val="continue"/>
            <w:vAlign w:val="center"/>
          </w:tcPr>
          <w:p>
            <w:pPr>
              <w:widowControl/>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p>
        </w:tc>
        <w:tc>
          <w:tcPr>
            <w:tcW w:w="2210" w:type="dxa"/>
            <w:vAlign w:val="center"/>
          </w:tcPr>
          <w:p>
            <w:pPr>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Cs w:val="21"/>
                <w14:textFill>
                  <w14:solidFill>
                    <w14:schemeClr w14:val="tx1">
                      <w14:lumMod w14:val="95000"/>
                      <w14:lumOff w14:val="5000"/>
                    </w14:schemeClr>
                  </w14:solidFill>
                </w14:textFill>
              </w:rPr>
              <w:t>类别</w:t>
            </w:r>
          </w:p>
        </w:tc>
        <w:tc>
          <w:tcPr>
            <w:tcW w:w="880" w:type="dxa"/>
            <w:vAlign w:val="center"/>
          </w:tcPr>
          <w:p>
            <w:pPr>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Cs w:val="21"/>
                <w14:textFill>
                  <w14:solidFill>
                    <w14:schemeClr w14:val="tx1">
                      <w14:lumMod w14:val="95000"/>
                      <w14:lumOff w14:val="5000"/>
                    </w14:schemeClr>
                  </w14:solidFill>
                </w14:textFill>
              </w:rPr>
              <w:t>限值</w:t>
            </w:r>
          </w:p>
        </w:tc>
        <w:tc>
          <w:tcPr>
            <w:tcW w:w="976" w:type="dxa"/>
            <w:vAlign w:val="center"/>
          </w:tcPr>
          <w:p>
            <w:pPr>
              <w:adjustRightInd w:val="0"/>
              <w:snapToGrid w:val="0"/>
              <w:jc w:val="center"/>
              <w:rPr>
                <w:rFonts w:cs="宋体"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Cs w:val="21"/>
                <w14:textFill>
                  <w14:solidFill>
                    <w14:schemeClr w14:val="tx1">
                      <w14:lumMod w14:val="95000"/>
                      <w14:lumOff w14:val="5000"/>
                    </w14:schemeClr>
                  </w14:solidFill>
                </w14:textFill>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restart"/>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《环境空气质量标准》</w:t>
            </w:r>
          </w:p>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（GB3095-2012）二级</w:t>
            </w:r>
          </w:p>
        </w:tc>
        <w:tc>
          <w:tcPr>
            <w:tcW w:w="1387"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PM</w:t>
            </w:r>
            <w:r>
              <w:rPr>
                <w:rFonts w:hint="eastAsia" w:cs="宋体" w:asciiTheme="minorEastAsia" w:hAnsiTheme="minorEastAsia"/>
                <w:color w:val="0D0D0D" w:themeColor="text1" w:themeTint="F2"/>
                <w:szCs w:val="21"/>
                <w:vertAlign w:val="subscript"/>
                <w14:textFill>
                  <w14:solidFill>
                    <w14:schemeClr w14:val="tx1">
                      <w14:lumMod w14:val="95000"/>
                      <w14:lumOff w14:val="5000"/>
                    </w14:schemeClr>
                  </w14:solidFill>
                </w14:textFill>
              </w:rPr>
              <w:t>10</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24小时平均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150</w:t>
            </w:r>
          </w:p>
        </w:tc>
        <w:tc>
          <w:tcPr>
            <w:tcW w:w="976" w:type="dxa"/>
            <w:vMerge w:val="restart"/>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µg/m</w:t>
            </w:r>
            <w:r>
              <w:rPr>
                <w:rFonts w:hint="eastAsia" w:cs="宋体"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PM</w:t>
            </w:r>
            <w:r>
              <w:rPr>
                <w:rFonts w:hint="eastAsia" w:cs="宋体" w:asciiTheme="minorEastAsia" w:hAnsiTheme="minorEastAsia"/>
                <w:color w:val="0D0D0D" w:themeColor="text1" w:themeTint="F2"/>
                <w:szCs w:val="21"/>
                <w:vertAlign w:val="subscript"/>
                <w14:textFill>
                  <w14:solidFill>
                    <w14:schemeClr w14:val="tx1">
                      <w14:lumMod w14:val="95000"/>
                      <w14:lumOff w14:val="5000"/>
                    </w14:schemeClr>
                  </w14:solidFill>
                </w14:textFill>
              </w:rPr>
              <w:t>2.5</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24小时平均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75</w:t>
            </w:r>
          </w:p>
        </w:tc>
        <w:tc>
          <w:tcPr>
            <w:tcW w:w="976" w:type="dxa"/>
            <w:vMerge w:val="continue"/>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restart"/>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SO</w:t>
            </w:r>
            <w:r>
              <w:rPr>
                <w:rFonts w:hint="eastAsia" w:cs="宋体"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24小时平均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150</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1小时均值</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500</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restart"/>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NO</w:t>
            </w:r>
            <w:r>
              <w:rPr>
                <w:rFonts w:hint="eastAsia" w:cs="宋体"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24小时平均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80</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1小时均值</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200</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restart"/>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O</w:t>
            </w:r>
            <w:r>
              <w:rPr>
                <w:rFonts w:hint="eastAsia" w:cs="宋体"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日最大8小时平均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0.16</w:t>
            </w:r>
          </w:p>
        </w:tc>
        <w:tc>
          <w:tcPr>
            <w:tcW w:w="976" w:type="dxa"/>
            <w:vMerge w:val="restart"/>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mg/m</w:t>
            </w:r>
            <w:r>
              <w:rPr>
                <w:rFonts w:hint="eastAsia" w:cs="宋体"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0.2</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restart"/>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CO</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24小时平均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4</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restart"/>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TSP</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年平均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200</w:t>
            </w:r>
          </w:p>
        </w:tc>
        <w:tc>
          <w:tcPr>
            <w:tcW w:w="976" w:type="dxa"/>
            <w:vMerge w:val="restart"/>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µg/m</w:t>
            </w:r>
            <w:r>
              <w:rPr>
                <w:rFonts w:hint="eastAsia" w:cs="宋体"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24小时平均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300</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Align w:val="center"/>
          </w:tcPr>
          <w:p>
            <w:pPr>
              <w:widowControl/>
              <w:adjustRightInd w:val="0"/>
              <w:snapToGrid w:val="0"/>
              <w:ind w:firstLine="210" w:firstLineChars="10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苯并[a]芘</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日均值</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0.0025</w:t>
            </w:r>
          </w:p>
        </w:tc>
        <w:tc>
          <w:tcPr>
            <w:tcW w:w="976"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3443" w:type="dxa"/>
            <w:vMerge w:val="restart"/>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《环境影响评价技术导则 大气环境》（HJ2.2-2018）附录D</w:t>
            </w:r>
          </w:p>
        </w:tc>
        <w:tc>
          <w:tcPr>
            <w:tcW w:w="1387" w:type="dxa"/>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H</w:t>
            </w:r>
            <w:r>
              <w:rPr>
                <w:rFonts w:hint="eastAsia" w:cs="宋体"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S</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一次值</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976" w:type="dxa"/>
            <w:vMerge w:val="restart"/>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µg/m</w:t>
            </w:r>
            <w:r>
              <w:rPr>
                <w:rFonts w:hint="eastAsia" w:cs="宋体"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23" w:hRule="atLeast"/>
          <w:jc w:val="center"/>
        </w:trPr>
        <w:tc>
          <w:tcPr>
            <w:tcW w:w="3443" w:type="dxa"/>
            <w:vMerge w:val="continue"/>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c>
          <w:tcPr>
            <w:tcW w:w="1387"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NH</w:t>
            </w:r>
            <w:r>
              <w:rPr>
                <w:rFonts w:hint="eastAsia" w:cs="宋体"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一次值</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200</w:t>
            </w:r>
          </w:p>
        </w:tc>
        <w:tc>
          <w:tcPr>
            <w:tcW w:w="976" w:type="dxa"/>
            <w:vMerge w:val="continue"/>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2" w:hRule="atLeast"/>
          <w:jc w:val="center"/>
        </w:trPr>
        <w:tc>
          <w:tcPr>
            <w:tcW w:w="3443" w:type="dxa"/>
            <w:vAlign w:val="center"/>
          </w:tcPr>
          <w:p>
            <w:pPr>
              <w:widowControl/>
              <w:adjustRightInd w:val="0"/>
              <w:snapToGrid w:val="0"/>
              <w:jc w:val="center"/>
              <w:rPr>
                <w:rFonts w:cs="宋体" w:asciiTheme="minorEastAsia" w:hAnsiTheme="minorEastAsia"/>
                <w:color w:val="0D0D0D" w:themeColor="text1" w:themeTint="F2"/>
                <w:spacing w:val="-10"/>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《大气污染物综合排放标准详解》短期浓度参考值</w:t>
            </w:r>
          </w:p>
        </w:tc>
        <w:tc>
          <w:tcPr>
            <w:tcW w:w="1387" w:type="dxa"/>
            <w:vAlign w:val="center"/>
          </w:tcPr>
          <w:p>
            <w:pPr>
              <w:widowControl/>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非甲烷总烃</w:t>
            </w:r>
          </w:p>
        </w:tc>
        <w:tc>
          <w:tcPr>
            <w:tcW w:w="221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1小时平均</w:t>
            </w:r>
          </w:p>
        </w:tc>
        <w:tc>
          <w:tcPr>
            <w:tcW w:w="880" w:type="dxa"/>
            <w:vAlign w:val="center"/>
          </w:tcPr>
          <w:p>
            <w:pPr>
              <w:adjustRightInd w:val="0"/>
              <w:snapToGrid w:val="0"/>
              <w:jc w:val="center"/>
              <w:rPr>
                <w:rFonts w:cs="宋体"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2.0</w:t>
            </w:r>
          </w:p>
        </w:tc>
        <w:tc>
          <w:tcPr>
            <w:tcW w:w="976"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mg/m</w:t>
            </w:r>
            <w:r>
              <w:rPr>
                <w:rFonts w:hint="eastAsia" w:cs="宋体"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（2）地表水环境质量标准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项目区域地表水体为红澍河，根据《地表水环境质量标准》（GB3838-2002）有关水域功能的划分，项目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区域地表水体</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红澍河执行</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w:t>
      </w: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表1.4-2     地表水环境质量标准</w:t>
      </w:r>
    </w:p>
    <w:tbl>
      <w:tblPr>
        <w:tblStyle w:val="27"/>
        <w:tblW w:w="900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586"/>
        <w:gridCol w:w="1704"/>
        <w:gridCol w:w="1326"/>
        <w:gridCol w:w="1481"/>
        <w:gridCol w:w="1729"/>
        <w:gridCol w:w="117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69" w:hRule="exact"/>
          <w:jc w:val="center"/>
        </w:trPr>
        <w:tc>
          <w:tcPr>
            <w:tcW w:w="1586" w:type="dxa"/>
            <w:vMerge w:val="restart"/>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标准名称</w:t>
            </w:r>
          </w:p>
        </w:tc>
        <w:tc>
          <w:tcPr>
            <w:tcW w:w="1704" w:type="dxa"/>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标准号</w:t>
            </w:r>
          </w:p>
        </w:tc>
        <w:tc>
          <w:tcPr>
            <w:tcW w:w="1326" w:type="dxa"/>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执行标准</w:t>
            </w:r>
          </w:p>
        </w:tc>
        <w:tc>
          <w:tcPr>
            <w:tcW w:w="1481" w:type="dxa"/>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项目</w:t>
            </w:r>
          </w:p>
        </w:tc>
        <w:tc>
          <w:tcPr>
            <w:tcW w:w="2907" w:type="dxa"/>
            <w:gridSpan w:val="2"/>
            <w:tcBorders>
              <w:top w:val="single" w:color="auto" w:sz="12" w:space="0"/>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标准值</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65" w:hRule="exact"/>
          <w:jc w:val="center"/>
        </w:trPr>
        <w:tc>
          <w:tcPr>
            <w:tcW w:w="1586" w:type="dxa"/>
            <w:vMerge w:val="continue"/>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704"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326"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481"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7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限 值</w:t>
            </w:r>
          </w:p>
        </w:tc>
        <w:tc>
          <w:tcPr>
            <w:tcW w:w="1178"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单 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586" w:type="dxa"/>
            <w:vMerge w:val="restart"/>
            <w:tcBorders>
              <w:top w:val="single" w:color="auto" w:sz="4" w:space="0"/>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《地表水环境质量标准》</w:t>
            </w:r>
          </w:p>
        </w:tc>
        <w:tc>
          <w:tcPr>
            <w:tcW w:w="1704" w:type="dxa"/>
            <w:vMerge w:val="restart"/>
            <w:tcBorders>
              <w:top w:val="single" w:color="auto" w:sz="4" w:space="0"/>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GB3838-2002</w:t>
            </w:r>
          </w:p>
        </w:tc>
        <w:tc>
          <w:tcPr>
            <w:tcW w:w="1326" w:type="dxa"/>
            <w:vMerge w:val="restart"/>
            <w:tcBorders>
              <w:top w:val="single" w:color="auto" w:sz="4" w:space="0"/>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0"/>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类</w:t>
            </w:r>
          </w:p>
        </w:tc>
        <w:tc>
          <w:tcPr>
            <w:tcW w:w="14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pH值</w:t>
            </w:r>
          </w:p>
        </w:tc>
        <w:tc>
          <w:tcPr>
            <w:tcW w:w="17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6～9</w:t>
            </w:r>
          </w:p>
        </w:tc>
        <w:tc>
          <w:tcPr>
            <w:tcW w:w="1178"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无量纲</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58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04"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6"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COD</w:t>
            </w:r>
          </w:p>
        </w:tc>
        <w:tc>
          <w:tcPr>
            <w:tcW w:w="17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≤20</w:t>
            </w:r>
          </w:p>
        </w:tc>
        <w:tc>
          <w:tcPr>
            <w:tcW w:w="1178" w:type="dxa"/>
            <w:vMerge w:val="restart"/>
            <w:tcBorders>
              <w:top w:val="single" w:color="auto" w:sz="4" w:space="0"/>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mg/L</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58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04"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6"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氨氮</w:t>
            </w:r>
          </w:p>
        </w:tc>
        <w:tc>
          <w:tcPr>
            <w:tcW w:w="17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≤1.0</w:t>
            </w:r>
          </w:p>
        </w:tc>
        <w:tc>
          <w:tcPr>
            <w:tcW w:w="1178"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58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04"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6"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48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总磷</w:t>
            </w:r>
          </w:p>
        </w:tc>
        <w:tc>
          <w:tcPr>
            <w:tcW w:w="172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≤0.2</w:t>
            </w:r>
          </w:p>
        </w:tc>
        <w:tc>
          <w:tcPr>
            <w:tcW w:w="1178"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exact"/>
          <w:jc w:val="center"/>
        </w:trPr>
        <w:tc>
          <w:tcPr>
            <w:tcW w:w="1586" w:type="dxa"/>
            <w:vMerge w:val="continue"/>
            <w:tcBorders>
              <w:left w:val="single" w:color="auto" w:sz="12"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04" w:type="dxa"/>
            <w:vMerge w:val="continue"/>
            <w:tcBorders>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6" w:type="dxa"/>
            <w:vMerge w:val="continue"/>
            <w:tcBorders>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481"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石油类</w:t>
            </w:r>
          </w:p>
        </w:tc>
        <w:tc>
          <w:tcPr>
            <w:tcW w:w="1729"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0.05</w:t>
            </w:r>
          </w:p>
        </w:tc>
        <w:tc>
          <w:tcPr>
            <w:tcW w:w="1178" w:type="dxa"/>
            <w:vMerge w:val="continue"/>
            <w:tcBorders>
              <w:left w:val="single" w:color="auto" w:sz="4" w:space="0"/>
              <w:bottom w:val="single" w:color="auto" w:sz="12"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（3）地下水质量标准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项目区域地下水执行《地下水质量标准》（GB/T14848-2017）中的</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类标准，见表1.4-3。</w:t>
      </w: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表1.4-3     地下水环境质量标准</w:t>
      </w:r>
    </w:p>
    <w:tbl>
      <w:tblPr>
        <w:tblStyle w:val="27"/>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506"/>
        <w:gridCol w:w="1767"/>
        <w:gridCol w:w="1323"/>
        <w:gridCol w:w="1621"/>
        <w:gridCol w:w="1474"/>
        <w:gridCol w:w="131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restart"/>
            <w:tcBorders>
              <w:top w:val="single" w:color="auto" w:sz="12" w:space="0"/>
              <w:left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标准名称</w:t>
            </w:r>
          </w:p>
        </w:tc>
        <w:tc>
          <w:tcPr>
            <w:tcW w:w="1767" w:type="dxa"/>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标准号</w:t>
            </w:r>
          </w:p>
        </w:tc>
        <w:tc>
          <w:tcPr>
            <w:tcW w:w="1323" w:type="dxa"/>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执行标准</w:t>
            </w:r>
          </w:p>
        </w:tc>
        <w:tc>
          <w:tcPr>
            <w:tcW w:w="1621" w:type="dxa"/>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项目·</w:t>
            </w:r>
          </w:p>
        </w:tc>
        <w:tc>
          <w:tcPr>
            <w:tcW w:w="2787" w:type="dxa"/>
            <w:gridSpan w:val="2"/>
            <w:tcBorders>
              <w:top w:val="single" w:color="auto" w:sz="12" w:space="0"/>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标准值</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top w:val="single" w:color="auto" w:sz="4" w:space="0"/>
              <w:left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767"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323"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621" w:type="dxa"/>
            <w:vMerge w:val="continue"/>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限 值</w:t>
            </w:r>
          </w:p>
        </w:tc>
        <w:tc>
          <w:tcPr>
            <w:tcW w:w="1313"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单 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restart"/>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《地下水质量标准》</w:t>
            </w:r>
          </w:p>
        </w:tc>
        <w:tc>
          <w:tcPr>
            <w:tcW w:w="1767" w:type="dxa"/>
            <w:vMerge w:val="restart"/>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GB/T14848-2017</w:t>
            </w:r>
          </w:p>
        </w:tc>
        <w:tc>
          <w:tcPr>
            <w:tcW w:w="1323" w:type="dxa"/>
            <w:vMerge w:val="restart"/>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0"/>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类</w:t>
            </w: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pH</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6.5～8.5</w:t>
            </w:r>
          </w:p>
        </w:tc>
        <w:tc>
          <w:tcPr>
            <w:tcW w:w="1313" w:type="dxa"/>
            <w:tcBorders>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无量纲</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氨氮</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≤0.5</w:t>
            </w:r>
          </w:p>
        </w:tc>
        <w:tc>
          <w:tcPr>
            <w:tcW w:w="1313" w:type="dxa"/>
            <w:vMerge w:val="restart"/>
            <w:tcBorders>
              <w:top w:val="single" w:color="auto" w:sz="4" w:space="0"/>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mg/L</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总硬度</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≤450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溶解性总固体</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≤1000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耗氧量</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硝酸盐</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亚硝酸盐</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挥发性酚类</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≤0.002</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硫酸盐</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≤250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氯化物</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≤250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氟化物</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砷</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≤0.01</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汞</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≤0.001</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六价铬</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≤0.05</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铅</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≤0.01</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镉</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≤0.005</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铁</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≤0.3</w:t>
            </w:r>
          </w:p>
        </w:tc>
        <w:tc>
          <w:tcPr>
            <w:tcW w:w="1313" w:type="dxa"/>
            <w:vMerge w:val="continue"/>
            <w:tcBorders>
              <w:left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锰</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≤0.1</w:t>
            </w:r>
          </w:p>
        </w:tc>
        <w:tc>
          <w:tcPr>
            <w:tcW w:w="1313" w:type="dxa"/>
            <w:vMerge w:val="continue"/>
            <w:tcBorders>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总大肠菌群</w:t>
            </w:r>
          </w:p>
        </w:tc>
        <w:tc>
          <w:tcPr>
            <w:tcW w:w="1474"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≤3.0</w:t>
            </w:r>
          </w:p>
        </w:tc>
        <w:tc>
          <w:tcPr>
            <w:tcW w:w="1313"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CFU/100mL</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40" w:hRule="atLeast"/>
          <w:jc w:val="center"/>
        </w:trPr>
        <w:tc>
          <w:tcPr>
            <w:tcW w:w="1506" w:type="dxa"/>
            <w:vMerge w:val="continue"/>
            <w:tcBorders>
              <w:left w:val="single" w:color="auto" w:sz="12"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767" w:type="dxa"/>
            <w:vMerge w:val="continue"/>
            <w:tcBorders>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323" w:type="dxa"/>
            <w:vMerge w:val="continue"/>
            <w:tcBorders>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21"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细菌总数</w:t>
            </w:r>
          </w:p>
        </w:tc>
        <w:tc>
          <w:tcPr>
            <w:tcW w:w="1474"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≤100</w:t>
            </w:r>
          </w:p>
        </w:tc>
        <w:tc>
          <w:tcPr>
            <w:tcW w:w="1313" w:type="dxa"/>
            <w:tcBorders>
              <w:top w:val="single" w:color="auto" w:sz="4" w:space="0"/>
              <w:left w:val="single" w:color="auto" w:sz="4" w:space="0"/>
              <w:bottom w:val="single" w:color="auto" w:sz="12"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CFU/mL</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（4）声环境质量标准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西平县产业集聚区静脉产业园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，区域环境噪声执行《声环境质量标准》（GB3096-2008）3类标准。本项目执行的声环境质量标准见表1.4-4。</w:t>
      </w: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表1.4-4     声环境质量标准</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24"/>
        <w:gridCol w:w="1103"/>
        <w:gridCol w:w="2863"/>
        <w:gridCol w:w="1119"/>
        <w:gridCol w:w="907"/>
        <w:gridCol w:w="9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24" w:type="dxa"/>
            <w:vMerge w:val="restart"/>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标准名称</w:t>
            </w:r>
          </w:p>
        </w:tc>
        <w:tc>
          <w:tcPr>
            <w:tcW w:w="1103" w:type="dxa"/>
            <w:vMerge w:val="restart"/>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执行标准</w:t>
            </w:r>
          </w:p>
        </w:tc>
        <w:tc>
          <w:tcPr>
            <w:tcW w:w="2863" w:type="dxa"/>
            <w:vMerge w:val="restart"/>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适用区域</w:t>
            </w:r>
          </w:p>
        </w:tc>
        <w:tc>
          <w:tcPr>
            <w:tcW w:w="3014" w:type="dxa"/>
            <w:gridSpan w:val="3"/>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24" w:type="dxa"/>
            <w:vMerge w:val="continue"/>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103" w:type="dxa"/>
            <w:vMerge w:val="continue"/>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2863" w:type="dxa"/>
            <w:vMerge w:val="continue"/>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119"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类别</w:t>
            </w:r>
          </w:p>
        </w:tc>
        <w:tc>
          <w:tcPr>
            <w:tcW w:w="907"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限 值</w:t>
            </w:r>
          </w:p>
        </w:tc>
        <w:tc>
          <w:tcPr>
            <w:tcW w:w="988"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单 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3" w:hRule="atLeast"/>
          <w:jc w:val="center"/>
        </w:trPr>
        <w:tc>
          <w:tcPr>
            <w:tcW w:w="2024"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《声环境质量标准》（GB3096-2008）</w:t>
            </w:r>
          </w:p>
        </w:tc>
        <w:tc>
          <w:tcPr>
            <w:tcW w:w="1103"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3类</w:t>
            </w:r>
          </w:p>
        </w:tc>
        <w:tc>
          <w:tcPr>
            <w:tcW w:w="2863"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以工业生产、仓储物流为主要功能，需要防止工业噪声对周围环境产生严重影响的区域</w:t>
            </w:r>
          </w:p>
        </w:tc>
        <w:tc>
          <w:tcPr>
            <w:tcW w:w="111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昼间</w:t>
            </w:r>
          </w:p>
        </w:tc>
        <w:tc>
          <w:tcPr>
            <w:tcW w:w="907"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65</w:t>
            </w:r>
          </w:p>
        </w:tc>
        <w:tc>
          <w:tcPr>
            <w:tcW w:w="988"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46" w:hRule="atLeast"/>
          <w:jc w:val="center"/>
        </w:trPr>
        <w:tc>
          <w:tcPr>
            <w:tcW w:w="2024"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103"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2863"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11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夜间</w:t>
            </w:r>
          </w:p>
        </w:tc>
        <w:tc>
          <w:tcPr>
            <w:tcW w:w="907"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55</w:t>
            </w:r>
          </w:p>
        </w:tc>
        <w:tc>
          <w:tcPr>
            <w:tcW w:w="988"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bl>
    <w:p>
      <w:pPr>
        <w:keepNext/>
        <w:keepLines/>
        <w:adjustRightInd w:val="0"/>
        <w:snapToGrid w:val="0"/>
        <w:spacing w:before="156" w:beforeLines="50" w:line="360" w:lineRule="auto"/>
        <w:ind w:firstLine="480" w:firstLineChars="200"/>
        <w:outlineLvl w:val="2"/>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（5）土壤环境质量标准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西平县产业集聚区静脉产业园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土壤</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执行《土壤环境质量 建设用地土壤污染风险管控标准（试行）》（GB36600-2018）第二类用地标准限值</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详见表</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1.4-5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widowControl/>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1.4-5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土壤环境质量标准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单位：mg/kg</w:t>
      </w:r>
    </w:p>
    <w:tbl>
      <w:tblPr>
        <w:tblStyle w:val="27"/>
        <w:tblW w:w="85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2051"/>
        <w:gridCol w:w="2268"/>
        <w:gridCol w:w="22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restart"/>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标准类别</w:t>
            </w:r>
          </w:p>
        </w:tc>
        <w:tc>
          <w:tcPr>
            <w:tcW w:w="2051" w:type="dxa"/>
            <w:vMerge w:val="restar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项目</w:t>
            </w:r>
          </w:p>
        </w:tc>
        <w:tc>
          <w:tcPr>
            <w:tcW w:w="4536" w:type="dxa"/>
            <w:gridSpan w:val="2"/>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Merge w:val="continue"/>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268" w:type="dxa"/>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第二类用地筛选值</w:t>
            </w:r>
          </w:p>
        </w:tc>
        <w:tc>
          <w:tcPr>
            <w:tcW w:w="2268" w:type="dxa"/>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第二类用地管控值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restart"/>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《土壤环境质量 建设用地土壤污染风险管控标准（试行）》（GB36600-2018）第二类用地标准</w:t>
            </w:r>
          </w:p>
        </w:tc>
        <w:tc>
          <w:tcPr>
            <w:tcW w:w="2051" w:type="dxa"/>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镉</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铬（六价）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5.7</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铜</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18000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铅</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800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汞</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38</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镍</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900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四氯化碳</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2.8</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氯仿</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0.9</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氯甲烷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37</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1,1-二氯乙烷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9</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1,2-二氯乙烷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1,1-二氯乙烯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66</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顺-1,2-二氯乙烯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596</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反-1,2-二氯乙烯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54</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二氯甲烷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616</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1,2-二氯丙烷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1,1,1,2-四氯乙烷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1,1,2,2-四氯乙烷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6.8</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四氯乙烯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53</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1,1,1-三氯乙烷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840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1,1,2-三氯乙烷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2.8</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三氯乙烯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2.8</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1,2,3-三氯丙烷</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氯乙烯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0.43</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氯苯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270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1,2-二氯苯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560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1,4二氯苯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28</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苯乙烯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1290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甲苯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1200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间二甲苯+对二甲苯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570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邻二甲苯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640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硝基苯</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76</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760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苯胺</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260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2-氯酚</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2256</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苯并[a]蒽</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苯并[a]芘</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苯并[b]荧蒽</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苯并[k]荧蒽</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151</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䓛</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1293</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二苯并[a,h]蒽</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茚并[1,2,3-cd] 芘</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5" w:type="dxa"/>
            <w:vMerge w:val="continue"/>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51"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萘</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70</w:t>
            </w:r>
          </w:p>
        </w:tc>
        <w:tc>
          <w:tcPr>
            <w:tcW w:w="2268" w:type="dxa"/>
            <w:vAlign w:val="center"/>
          </w:tcPr>
          <w:p>
            <w:pPr>
              <w:widowControl/>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700</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1.4.2 污染物排放标准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（1）大气污染物排放标准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本项目裂解炉以裂解</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气（主要成分为烃类）及轻质柴油为燃料，采用间接加热方式</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裂解炉燃烧室</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及余气燃烧装置燃烧</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废气</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处理后通过2根20m排气筒排放，</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烟尘、SO</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x</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排放</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浓度参考</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执行河南省地方标准《燃煤电厂大气污染物排放标准》（DB41/1424-2017）表1</w:t>
      </w:r>
      <w:r>
        <w:rPr>
          <w:rFonts w:cs="Times New Roman" w:asciiTheme="minorEastAsia" w:hAnsiTheme="minorEastAsia"/>
          <w:color w:val="0D0D0D" w:themeColor="text1" w:themeTint="F2"/>
          <w:sz w:val="24"/>
          <w:szCs w:val="32"/>
          <w:u w:val="single"/>
          <w14:textFill>
            <w14:solidFill>
              <w14:schemeClr w14:val="tx1">
                <w14:lumMod w14:val="95000"/>
                <w14:lumOff w14:val="5000"/>
              </w14:schemeClr>
            </w14:solidFill>
          </w14:textFill>
        </w:rPr>
        <w:t>排放限值要求</w:t>
      </w:r>
      <w:r>
        <w:rPr>
          <w:rFonts w:hint="eastAsia" w:cs="Times New Roman" w:asciiTheme="minorEastAsia" w:hAnsiTheme="minorEastAsia"/>
          <w:color w:val="0D0D0D" w:themeColor="text1" w:themeTint="F2"/>
          <w:sz w:val="24"/>
          <w:szCs w:val="32"/>
          <w:u w:val="single"/>
          <w14:textFill>
            <w14:solidFill>
              <w14:schemeClr w14:val="tx1">
                <w14:lumMod w14:val="95000"/>
                <w14:lumOff w14:val="5000"/>
              </w14:schemeClr>
            </w14:solidFill>
          </w14:textFill>
        </w:rPr>
        <w:t>，同时达到《河南省2019年工业炉窑污染治理方案》规定的排放限值；</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苯并[a]芘排放浓度参考执行《石油化学工业污染物排放标准》（GB31571-2015）表6标准限值；</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非甲烷总烃排放</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浓度</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执行豫环攻坚办[2017]162号《关于全省开展工业企业挥发性有机物专项治理工作中排放建议值的通知》中其他行业建议限值要求</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；HN</w:t>
      </w:r>
      <w:r>
        <w:rPr>
          <w:rFonts w:hint="eastAsia"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及厂界无组织颗粒物排放浓度执行河南省地方标准《工业炉窑大气污染物排放标准》（DB41/1066-2020）表2及表3标准限值；</w:t>
      </w:r>
      <w:r>
        <w:rPr>
          <w:rFonts w:cs="Times New Roman" w:asciiTheme="minorEastAsia" w:hAnsiTheme="minorEastAsia"/>
          <w:color w:val="0D0D0D" w:themeColor="text1" w:themeTint="F2"/>
          <w:sz w:val="24"/>
          <w:szCs w:val="21"/>
          <w:u w:val="single"/>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1"/>
          <w:u w:val="single"/>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1"/>
          <w:u w:val="single"/>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1"/>
          <w:u w:val="single"/>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sz w:val="24"/>
          <w:szCs w:val="21"/>
          <w:u w:val="single"/>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排放</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速率</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执行《恶臭污染物排放标准》（GB14554-1993）二级标准</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；燃烧烟气颗粒物、SO</w:t>
      </w:r>
      <w:r>
        <w:rPr>
          <w:rFonts w:hint="eastAsia"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、NOx、非甲烷总烃及苯并[a]芘排放速率执行</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《大气污染物综合排放标准》（GB16297-1996）表2</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新污染源</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二级标准</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包装工序</w:t>
      </w: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废气收集处理后通过2根15m排气筒排放，碳黑尘</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排放</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浓度及速率</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执行《大气污染物综合排放标准》（GB16297-1996）表2二级标准</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。职工</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食堂油烟废气排放执行河南省地方标准《餐饮业油烟污染物排放标准》（DB41/1604-2018）小型规模限值要求。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项目大气污染物排放标准限值</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具体见表1.4-5~1.4-8。</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表1.4-5     </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项目燃烧</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废气污染物排放标准</w:t>
      </w:r>
    </w:p>
    <w:tbl>
      <w:tblPr>
        <w:tblStyle w:val="27"/>
        <w:tblW w:w="9151"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851"/>
        <w:gridCol w:w="1371"/>
        <w:gridCol w:w="1543"/>
        <w:gridCol w:w="1393"/>
        <w:gridCol w:w="1042"/>
        <w:gridCol w:w="2951"/>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5" w:hRule="atLeast"/>
          <w:tblHeader/>
          <w:jc w:val="center"/>
        </w:trPr>
        <w:tc>
          <w:tcPr>
            <w:tcW w:w="851" w:type="dxa"/>
            <w:vAlign w:val="center"/>
          </w:tcPr>
          <w:p>
            <w:pPr>
              <w:widowControl/>
              <w:adjustRightInd w:val="0"/>
              <w:snapToGrid w:val="0"/>
              <w:jc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排放源</w:t>
            </w:r>
          </w:p>
        </w:tc>
        <w:tc>
          <w:tcPr>
            <w:tcW w:w="1371" w:type="dxa"/>
            <w:vAlign w:val="center"/>
          </w:tcPr>
          <w:p>
            <w:pPr>
              <w:widowControl/>
              <w:adjustRightInd w:val="0"/>
              <w:snapToGrid w:val="0"/>
              <w:jc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项目</w:t>
            </w:r>
          </w:p>
        </w:tc>
        <w:tc>
          <w:tcPr>
            <w:tcW w:w="154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最高允许排放浓度(mg/m</w:t>
            </w:r>
            <w:r>
              <w:rPr>
                <w:rFonts w:cs="Times New Roman" w:asciiTheme="minorEastAsia" w:hAnsiTheme="minorEastAsia"/>
                <w:b/>
                <w:bCs/>
                <w:color w:val="0D0D0D" w:themeColor="text1" w:themeTint="F2"/>
                <w:kern w:val="0"/>
                <w:szCs w:val="21"/>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w:t>
            </w:r>
          </w:p>
        </w:tc>
        <w:tc>
          <w:tcPr>
            <w:tcW w:w="1393" w:type="dxa"/>
            <w:vAlign w:val="center"/>
          </w:tcPr>
          <w:p>
            <w:pPr>
              <w:widowControl/>
              <w:adjustRightInd w:val="0"/>
              <w:snapToGrid w:val="0"/>
              <w:jc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最高允许排放速率(kg/h)</w:t>
            </w:r>
          </w:p>
        </w:tc>
        <w:tc>
          <w:tcPr>
            <w:tcW w:w="1042" w:type="dxa"/>
            <w:vAlign w:val="center"/>
          </w:tcPr>
          <w:p>
            <w:pPr>
              <w:widowControl/>
              <w:adjustRightInd w:val="0"/>
              <w:snapToGrid w:val="0"/>
              <w:jc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排气筒</w:t>
            </w:r>
          </w:p>
          <w:p>
            <w:pPr>
              <w:widowControl/>
              <w:adjustRightInd w:val="0"/>
              <w:snapToGrid w:val="0"/>
              <w:jc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高度(m)</w:t>
            </w:r>
          </w:p>
        </w:tc>
        <w:tc>
          <w:tcPr>
            <w:tcW w:w="2951" w:type="dxa"/>
            <w:vAlign w:val="center"/>
          </w:tcPr>
          <w:p>
            <w:pPr>
              <w:widowControl/>
              <w:adjustRightInd w:val="0"/>
              <w:snapToGrid w:val="0"/>
              <w:jc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标准来源</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58" w:hRule="atLeast"/>
          <w:jc w:val="center"/>
        </w:trPr>
        <w:tc>
          <w:tcPr>
            <w:tcW w:w="851" w:type="dxa"/>
            <w:vMerge w:val="restart"/>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热裂解不凝气燃烧废气处理设施排气筒</w:t>
            </w:r>
          </w:p>
        </w:tc>
        <w:tc>
          <w:tcPr>
            <w:tcW w:w="1371"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烟尘</w:t>
            </w:r>
          </w:p>
        </w:tc>
        <w:tc>
          <w:tcPr>
            <w:tcW w:w="154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w:t>
            </w:r>
          </w:p>
        </w:tc>
        <w:tc>
          <w:tcPr>
            <w:tcW w:w="139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5.9</w:t>
            </w:r>
          </w:p>
        </w:tc>
        <w:tc>
          <w:tcPr>
            <w:tcW w:w="1042"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951" w:type="dxa"/>
            <w:vMerge w:val="restart"/>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《燃煤电厂大气污染物排放标准》（DB41/1424-2017</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）表1和《大气污染物综合排放标准》（GB16297-1996）表2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19"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kern w:val="0"/>
                <w:szCs w:val="21"/>
                <w:vertAlign w:val="subscript"/>
                <w14:textFill>
                  <w14:solidFill>
                    <w14:schemeClr w14:val="tx1">
                      <w14:lumMod w14:val="95000"/>
                      <w14:lumOff w14:val="5000"/>
                    </w14:schemeClr>
                  </w14:solidFill>
                </w14:textFill>
              </w:rPr>
              <w:t>2</w:t>
            </w:r>
          </w:p>
        </w:tc>
        <w:tc>
          <w:tcPr>
            <w:tcW w:w="154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35</w:t>
            </w:r>
          </w:p>
        </w:tc>
        <w:tc>
          <w:tcPr>
            <w:tcW w:w="139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4.3</w:t>
            </w:r>
          </w:p>
        </w:tc>
        <w:tc>
          <w:tcPr>
            <w:tcW w:w="1042"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9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26"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kern w:val="0"/>
                <w:szCs w:val="21"/>
                <w:vertAlign w:val="subscript"/>
                <w14:textFill>
                  <w14:solidFill>
                    <w14:schemeClr w14:val="tx1">
                      <w14:lumMod w14:val="95000"/>
                      <w14:lumOff w14:val="5000"/>
                    </w14:schemeClr>
                  </w14:solidFill>
                </w14:textFill>
              </w:rPr>
              <w:t>x</w:t>
            </w:r>
          </w:p>
        </w:tc>
        <w:tc>
          <w:tcPr>
            <w:tcW w:w="154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w:t>
            </w:r>
          </w:p>
        </w:tc>
        <w:tc>
          <w:tcPr>
            <w:tcW w:w="139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1.3</w:t>
            </w:r>
          </w:p>
        </w:tc>
        <w:tc>
          <w:tcPr>
            <w:tcW w:w="1042"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9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88"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H</w:t>
            </w:r>
            <w:r>
              <w:rPr>
                <w:rFonts w:cs="Times New Roman" w:asciiTheme="minorEastAsia" w:hAnsiTheme="minorEastAsia"/>
                <w:color w:val="0D0D0D" w:themeColor="text1" w:themeTint="F2"/>
                <w:kern w:val="0"/>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S</w:t>
            </w:r>
          </w:p>
        </w:tc>
        <w:tc>
          <w:tcPr>
            <w:tcW w:w="154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139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58</w:t>
            </w:r>
          </w:p>
        </w:tc>
        <w:tc>
          <w:tcPr>
            <w:tcW w:w="1042"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951" w:type="dxa"/>
            <w:vMerge w:val="restart"/>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《恶臭污染物排放标准》GB14554-1993</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38"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Merge w:val="restart"/>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kern w:val="0"/>
                <w:szCs w:val="21"/>
                <w:vertAlign w:val="subscript"/>
                <w14:textFill>
                  <w14:solidFill>
                    <w14:schemeClr w14:val="tx1">
                      <w14:lumMod w14:val="95000"/>
                      <w14:lumOff w14:val="5000"/>
                    </w14:schemeClr>
                  </w14:solidFill>
                </w14:textFill>
              </w:rPr>
              <w:t>3</w:t>
            </w:r>
          </w:p>
        </w:tc>
        <w:tc>
          <w:tcPr>
            <w:tcW w:w="154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1393"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8.7</w:t>
            </w:r>
          </w:p>
        </w:tc>
        <w:tc>
          <w:tcPr>
            <w:tcW w:w="1042"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951" w:type="dxa"/>
            <w:vMerge w:val="continue"/>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5"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Merge w:val="continue"/>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543" w:type="dxa"/>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w:t>
            </w:r>
          </w:p>
        </w:tc>
        <w:tc>
          <w:tcPr>
            <w:tcW w:w="1393" w:type="dxa"/>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1042" w:type="dxa"/>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2951"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工业炉窑</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大气污染物排放标准》（DB41/1</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066</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20）表2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75"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Merge w:val="restart"/>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非甲烷总烃</w:t>
            </w:r>
          </w:p>
        </w:tc>
        <w:tc>
          <w:tcPr>
            <w:tcW w:w="154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80</w:t>
            </w:r>
          </w:p>
        </w:tc>
        <w:tc>
          <w:tcPr>
            <w:tcW w:w="139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1042"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2951"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豫环攻坚[2017]162号文</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75"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Merge w:val="continue"/>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54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139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17</w:t>
            </w:r>
          </w:p>
        </w:tc>
        <w:tc>
          <w:tcPr>
            <w:tcW w:w="1042"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951" w:type="dxa"/>
            <w:vMerge w:val="restart"/>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《大气污染物综合排放标准》（GB16297-1996）表2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06"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Merge w:val="restart"/>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苯并[a]芘</w:t>
            </w:r>
          </w:p>
        </w:tc>
        <w:tc>
          <w:tcPr>
            <w:tcW w:w="154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139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85</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w:t>
            </w:r>
            <w:r>
              <w:rPr>
                <w:rFonts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5</w:t>
            </w:r>
          </w:p>
        </w:tc>
        <w:tc>
          <w:tcPr>
            <w:tcW w:w="1042"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p>
        </w:tc>
        <w:tc>
          <w:tcPr>
            <w:tcW w:w="2951" w:type="dxa"/>
            <w:vMerge w:val="continue"/>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5"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54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0.3×10</w:t>
            </w:r>
            <w:r>
              <w:rPr>
                <w:rFonts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-3</w:t>
            </w:r>
          </w:p>
        </w:tc>
        <w:tc>
          <w:tcPr>
            <w:tcW w:w="1393"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1042"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2951"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《石油化学工业污染物排放标准》（GB31571-2015）表6</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5" w:hRule="atLeast"/>
          <w:jc w:val="center"/>
        </w:trPr>
        <w:tc>
          <w:tcPr>
            <w:tcW w:w="8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1371"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烟尘黑度</w:t>
            </w:r>
          </w:p>
        </w:tc>
        <w:tc>
          <w:tcPr>
            <w:tcW w:w="3978" w:type="dxa"/>
            <w:gridSpan w:val="3"/>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 xml:space="preserve">林格曼黑度 </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fldChar w:fldCharType="begin"/>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instrText xml:space="preserve"> = 1 \* ROMAN \* MERGEFORMAT </w:instrTex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fldChar w:fldCharType="separate"/>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I</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fldChar w:fldCharType="end"/>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级</w:t>
            </w:r>
          </w:p>
        </w:tc>
        <w:tc>
          <w:tcPr>
            <w:tcW w:w="2951"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工业炉窑</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大气污染物排放标准》（DB41/1</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066</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20）表1</w:t>
            </w:r>
          </w:p>
        </w:tc>
      </w:tr>
    </w:tbl>
    <w:p>
      <w:pPr>
        <w:adjustRightInd w:val="0"/>
        <w:snapToGrid w:val="0"/>
        <w:spacing w:before="156" w:beforeLines="5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表1.4-6    </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碳黑尘</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排放标准</w:t>
      </w:r>
    </w:p>
    <w:tbl>
      <w:tblPr>
        <w:tblStyle w:val="27"/>
        <w:tblW w:w="918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4"/>
        <w:gridCol w:w="1073"/>
        <w:gridCol w:w="1185"/>
        <w:gridCol w:w="1146"/>
        <w:gridCol w:w="1275"/>
        <w:gridCol w:w="1039"/>
        <w:gridCol w:w="26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864" w:type="dxa"/>
            <w:vMerge w:val="restart"/>
            <w:tcMar>
              <w:left w:w="28" w:type="dxa"/>
              <w:right w:w="28" w:type="dxa"/>
            </w:tcMar>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污染物</w:t>
            </w:r>
          </w:p>
        </w:tc>
        <w:tc>
          <w:tcPr>
            <w:tcW w:w="1073" w:type="dxa"/>
            <w:vMerge w:val="restart"/>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最高允许排放浓度</w:t>
            </w:r>
          </w:p>
        </w:tc>
        <w:tc>
          <w:tcPr>
            <w:tcW w:w="2331" w:type="dxa"/>
            <w:gridSpan w:val="2"/>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最高允许排放速率</w:t>
            </w:r>
          </w:p>
        </w:tc>
        <w:tc>
          <w:tcPr>
            <w:tcW w:w="2314" w:type="dxa"/>
            <w:gridSpan w:val="2"/>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无组织排放监控浓度限值</w:t>
            </w:r>
          </w:p>
        </w:tc>
        <w:tc>
          <w:tcPr>
            <w:tcW w:w="2603" w:type="dxa"/>
            <w:vMerge w:val="restart"/>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864" w:type="dxa"/>
            <w:vMerge w:val="continue"/>
            <w:tcMar>
              <w:left w:w="28" w:type="dxa"/>
              <w:right w:w="28" w:type="dxa"/>
            </w:tcMar>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p>
        </w:tc>
        <w:tc>
          <w:tcPr>
            <w:tcW w:w="1073" w:type="dxa"/>
            <w:vMerge w:val="continue"/>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p>
        </w:tc>
        <w:tc>
          <w:tcPr>
            <w:tcW w:w="1185" w:type="dxa"/>
            <w:tcMar>
              <w:left w:w="28" w:type="dxa"/>
              <w:right w:w="28" w:type="dxa"/>
            </w:tcMar>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排气筒高度</w:t>
            </w:r>
          </w:p>
        </w:tc>
        <w:tc>
          <w:tcPr>
            <w:tcW w:w="1146" w:type="dxa"/>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二级</w:t>
            </w:r>
          </w:p>
        </w:tc>
        <w:tc>
          <w:tcPr>
            <w:tcW w:w="1275" w:type="dxa"/>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监控点</w:t>
            </w:r>
          </w:p>
        </w:tc>
        <w:tc>
          <w:tcPr>
            <w:tcW w:w="1039" w:type="dxa"/>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浓度</w:t>
            </w:r>
          </w:p>
        </w:tc>
        <w:tc>
          <w:tcPr>
            <w:tcW w:w="2603" w:type="dxa"/>
            <w:vMerge w:val="continue"/>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864" w:type="dxa"/>
            <w:tcMar>
              <w:left w:w="28" w:type="dxa"/>
              <w:right w:w="28" w:type="dxa"/>
            </w:tcMar>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碳黑尘</w:t>
            </w:r>
          </w:p>
        </w:tc>
        <w:tc>
          <w:tcPr>
            <w:tcW w:w="107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18mg/m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c>
          <w:tcPr>
            <w:tcW w:w="118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15m</w:t>
            </w:r>
          </w:p>
        </w:tc>
        <w:tc>
          <w:tcPr>
            <w:tcW w:w="1146"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51</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kg/h</w:t>
            </w:r>
          </w:p>
        </w:tc>
        <w:tc>
          <w:tcPr>
            <w:tcW w:w="127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周界外浓度最高点</w:t>
            </w:r>
          </w:p>
        </w:tc>
        <w:tc>
          <w:tcPr>
            <w:tcW w:w="10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肉眼不可见</w:t>
            </w:r>
          </w:p>
        </w:tc>
        <w:tc>
          <w:tcPr>
            <w:tcW w:w="260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《大气污染物综合排放标准》（GB16297-1996）表2</w:t>
            </w:r>
          </w:p>
        </w:tc>
      </w:tr>
    </w:tbl>
    <w:p>
      <w:pPr>
        <w:autoSpaceDE w:val="0"/>
        <w:autoSpaceDN w:val="0"/>
        <w:adjustRightInd w:val="0"/>
        <w:snapToGrid w:val="0"/>
        <w:spacing w:line="520" w:lineRule="exact"/>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表1.4-7     无组织废气污染物排放标准</w:t>
      </w:r>
    </w:p>
    <w:tbl>
      <w:tblPr>
        <w:tblStyle w:val="27"/>
        <w:tblW w:w="9073" w:type="dxa"/>
        <w:tblInd w:w="-31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34"/>
        <w:gridCol w:w="2136"/>
        <w:gridCol w:w="51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834" w:type="dxa"/>
            <w:vAlign w:val="center"/>
          </w:tcPr>
          <w:p>
            <w:pPr>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控制项目</w:t>
            </w:r>
          </w:p>
        </w:tc>
        <w:tc>
          <w:tcPr>
            <w:tcW w:w="2136" w:type="dxa"/>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厂界标准值（mg/m</w:t>
            </w:r>
            <w:r>
              <w:rPr>
                <w:rFonts w:cs="Times New Roman" w:asciiTheme="minorEastAsia" w:hAnsiTheme="minorEastAsia"/>
                <w:b/>
                <w:bCs/>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w:t>
            </w:r>
          </w:p>
        </w:tc>
        <w:tc>
          <w:tcPr>
            <w:tcW w:w="5103" w:type="dxa"/>
            <w:tcMar>
              <w:left w:w="0" w:type="dxa"/>
              <w:right w:w="0" w:type="dxa"/>
            </w:tcMar>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834"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非甲烷总烃</w:t>
            </w:r>
          </w:p>
        </w:tc>
        <w:tc>
          <w:tcPr>
            <w:tcW w:w="2136" w:type="dxa"/>
            <w:tcMar>
              <w:left w:w="0" w:type="dxa"/>
              <w:right w:w="0" w:type="dxa"/>
            </w:tcMar>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2.0</w:t>
            </w:r>
          </w:p>
        </w:tc>
        <w:tc>
          <w:tcPr>
            <w:tcW w:w="510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豫环攻坚[2017]162号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834"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颗粒物</w:t>
            </w:r>
          </w:p>
        </w:tc>
        <w:tc>
          <w:tcPr>
            <w:tcW w:w="2136" w:type="dxa"/>
            <w:tcMar>
              <w:left w:w="0" w:type="dxa"/>
              <w:right w:w="0" w:type="dxa"/>
            </w:tcMar>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510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河南省地方标准</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工业炉窑</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大气污染物排放标准》（DB41/1</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066</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-20</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20）表3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834"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H</w:t>
            </w:r>
            <w:r>
              <w:rPr>
                <w:rFonts w:cs="Times New Roman" w:asciiTheme="minorEastAsia" w:hAnsiTheme="minorEastAsia"/>
                <w:color w:val="0D0D0D" w:themeColor="text1" w:themeTint="F2"/>
                <w:kern w:val="0"/>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S</w:t>
            </w:r>
          </w:p>
        </w:tc>
        <w:tc>
          <w:tcPr>
            <w:tcW w:w="2136" w:type="dxa"/>
            <w:tcMar>
              <w:left w:w="0" w:type="dxa"/>
              <w:right w:w="0" w:type="dxa"/>
            </w:tcMar>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0.06</w:t>
            </w:r>
          </w:p>
        </w:tc>
        <w:tc>
          <w:tcPr>
            <w:tcW w:w="5103" w:type="dxa"/>
            <w:vMerge w:val="restar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《恶臭污染物排放标准》</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GB14554-93</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834"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kern w:val="0"/>
                <w:szCs w:val="21"/>
                <w:vertAlign w:val="subscript"/>
                <w14:textFill>
                  <w14:solidFill>
                    <w14:schemeClr w14:val="tx1">
                      <w14:lumMod w14:val="95000"/>
                      <w14:lumOff w14:val="5000"/>
                    </w14:schemeClr>
                  </w14:solidFill>
                </w14:textFill>
              </w:rPr>
              <w:t>3</w:t>
            </w:r>
          </w:p>
        </w:tc>
        <w:tc>
          <w:tcPr>
            <w:tcW w:w="2136" w:type="dxa"/>
            <w:tcMar>
              <w:left w:w="0" w:type="dxa"/>
              <w:right w:w="0" w:type="dxa"/>
            </w:tcMar>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5103" w:type="dxa"/>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834" w:type="dxa"/>
            <w:vAlign w:val="center"/>
          </w:tcPr>
          <w:p>
            <w:pPr>
              <w:widowControl/>
              <w:adjustRightInd w:val="0"/>
              <w:snapToGrid w:val="0"/>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VOCs</w:t>
            </w:r>
          </w:p>
        </w:tc>
        <w:tc>
          <w:tcPr>
            <w:tcW w:w="2136" w:type="dxa"/>
            <w:tcMar>
              <w:left w:w="0" w:type="dxa"/>
              <w:right w:w="0" w:type="dxa"/>
            </w:tcMar>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厂区无组织排放控制</w:t>
            </w:r>
          </w:p>
        </w:tc>
        <w:tc>
          <w:tcPr>
            <w:tcW w:w="510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《挥发性有机物无组织排放控制标准》（GB37822-2019）</w:t>
            </w:r>
          </w:p>
        </w:tc>
      </w:tr>
    </w:tbl>
    <w:p>
      <w:pPr>
        <w:snapToGrid w:val="0"/>
        <w:spacing w:before="156" w:beforeLines="50"/>
        <w:jc w:val="center"/>
        <w:rPr>
          <w:rFonts w:cs="Times New Roman" w:asciiTheme="minorEastAsia" w:hAnsiTheme="minorEastAsia"/>
          <w:b/>
          <w:color w:val="0D0D0D" w:themeColor="text1" w:themeTint="F2"/>
          <w:spacing w:val="-10"/>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pacing w:val="-10"/>
          <w:sz w:val="24"/>
          <w:szCs w:val="24"/>
          <w14:textFill>
            <w14:solidFill>
              <w14:schemeClr w14:val="tx1">
                <w14:lumMod w14:val="95000"/>
                <w14:lumOff w14:val="5000"/>
              </w14:schemeClr>
            </w14:solidFill>
          </w14:textFill>
        </w:rPr>
        <w:t xml:space="preserve">表1.4-8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餐饮业油烟污染物排放标准</w:t>
      </w:r>
    </w:p>
    <w:tbl>
      <w:tblPr>
        <w:tblStyle w:val="27"/>
        <w:tblW w:w="9001" w:type="dxa"/>
        <w:tblInd w:w="-31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53"/>
        <w:gridCol w:w="3556"/>
        <w:gridCol w:w="28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2553" w:type="dxa"/>
            <w:vAlign w:val="center"/>
          </w:tcPr>
          <w:p>
            <w:pPr>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控制项目</w:t>
            </w:r>
          </w:p>
        </w:tc>
        <w:tc>
          <w:tcPr>
            <w:tcW w:w="3556" w:type="dxa"/>
            <w:vAlign w:val="center"/>
          </w:tcPr>
          <w:p>
            <w:pPr>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最高允许排放浓度，mg/m</w:t>
            </w:r>
            <w:r>
              <w:rPr>
                <w:rFonts w:cs="Times New Roman" w:asciiTheme="minorEastAsia" w:hAnsiTheme="minorEastAsia"/>
                <w:b/>
                <w:bCs/>
                <w:color w:val="0D0D0D" w:themeColor="text1" w:themeTint="F2"/>
                <w:szCs w:val="21"/>
                <w:vertAlign w:val="superscript"/>
                <w14:textFill>
                  <w14:solidFill>
                    <w14:schemeClr w14:val="tx1">
                      <w14:lumMod w14:val="95000"/>
                      <w14:lumOff w14:val="5000"/>
                    </w14:schemeClr>
                  </w14:solidFill>
                </w14:textFill>
              </w:rPr>
              <w:t>3</w:t>
            </w:r>
          </w:p>
        </w:tc>
        <w:tc>
          <w:tcPr>
            <w:tcW w:w="2892" w:type="dxa"/>
            <w:tcMar>
              <w:left w:w="0" w:type="dxa"/>
              <w:right w:w="0" w:type="dxa"/>
            </w:tcMar>
            <w:vAlign w:val="center"/>
          </w:tcPr>
          <w:p>
            <w:pPr>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标准级别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2553" w:type="dxa"/>
            <w:vAlign w:val="center"/>
          </w:tcPr>
          <w:p>
            <w:pPr>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油烟</w:t>
            </w:r>
          </w:p>
        </w:tc>
        <w:tc>
          <w:tcPr>
            <w:tcW w:w="3556" w:type="dxa"/>
            <w:tcMar>
              <w:left w:w="0" w:type="dxa"/>
              <w:right w:w="0" w:type="dxa"/>
            </w:tcMar>
            <w:vAlign w:val="center"/>
          </w:tcPr>
          <w:p>
            <w:pPr>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2892" w:type="dxa"/>
            <w:vAlign w:val="center"/>
          </w:tcPr>
          <w:p>
            <w:pPr>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DB41/1604-2018</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（2）水污染物排放标准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本项目裂解含油废水及水封罐废水采用雾化喷嘴雾化处理后喷入裂解炉燃烧室燃烧处理，不外排。冷凝器循环</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冷却</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水、脱硫除尘废水经</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沉淀</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处理后循环使用；</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厂区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地面清洗废水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初期雨水经隔油沉淀池处理后，</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一同</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经化粪池预处理后</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职工生活</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污水进入厂区一体化污水处理设施处理达标后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，通过市政污水管网排入西平县第三污水处理厂进一步处理</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后排放地表水体（</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红澍河</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。故项目废水排放执行《污水综合排放标准》（GB8978-1996）表4三级标准及西平县第三污水处理厂进水水质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标准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具体指标见表1.4-9。</w:t>
      </w:r>
    </w:p>
    <w:p>
      <w:pPr>
        <w:widowControl/>
        <w:adjustRightInd w:val="0"/>
        <w:snapToGrid w:val="0"/>
        <w:jc w:val="center"/>
        <w:rPr>
          <w:rFonts w:cs="宋体"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表1.4-9  项目废水排放标准 </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 xml:space="preserve"> </w:t>
      </w:r>
      <w:r>
        <w:rPr>
          <w:rFonts w:hint="eastAsia" w:cs="宋体" w:asciiTheme="minorEastAsia" w:hAnsiTheme="minorEastAsia"/>
          <w:bCs/>
          <w:color w:val="0D0D0D" w:themeColor="text1" w:themeTint="F2"/>
          <w:sz w:val="24"/>
          <w:szCs w:val="24"/>
          <w14:textFill>
            <w14:solidFill>
              <w14:schemeClr w14:val="tx1">
                <w14:lumMod w14:val="95000"/>
                <w14:lumOff w14:val="5000"/>
              </w14:schemeClr>
            </w14:solidFill>
          </w14:textFill>
        </w:rPr>
        <w:t xml:space="preserve"> 单位：mg/L</w:t>
      </w:r>
    </w:p>
    <w:tbl>
      <w:tblPr>
        <w:tblStyle w:val="27"/>
        <w:tblW w:w="89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1670"/>
        <w:gridCol w:w="2502"/>
        <w:gridCol w:w="3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top w:val="single" w:color="auto" w:sz="12" w:space="0"/>
              <w:left w:val="single" w:color="auto" w:sz="12" w:space="0"/>
            </w:tcBorders>
            <w:vAlign w:val="center"/>
          </w:tcPr>
          <w:p>
            <w:pPr>
              <w:widowControl/>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序号</w:t>
            </w:r>
          </w:p>
        </w:tc>
        <w:tc>
          <w:tcPr>
            <w:tcW w:w="1670" w:type="dxa"/>
            <w:tcBorders>
              <w:top w:val="single" w:color="auto" w:sz="12" w:space="0"/>
            </w:tcBorders>
            <w:vAlign w:val="center"/>
          </w:tcPr>
          <w:p>
            <w:pPr>
              <w:widowControl/>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污染物</w:t>
            </w:r>
          </w:p>
        </w:tc>
        <w:tc>
          <w:tcPr>
            <w:tcW w:w="2502" w:type="dxa"/>
            <w:tcBorders>
              <w:top w:val="single" w:color="auto" w:sz="12" w:space="0"/>
            </w:tcBorders>
            <w:vAlign w:val="center"/>
          </w:tcPr>
          <w:p>
            <w:pPr>
              <w:widowControl/>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标准限值</w:t>
            </w:r>
          </w:p>
        </w:tc>
        <w:tc>
          <w:tcPr>
            <w:tcW w:w="3440" w:type="dxa"/>
            <w:tcBorders>
              <w:top w:val="single" w:color="auto" w:sz="12" w:space="0"/>
              <w:right w:val="single" w:color="auto" w:sz="12" w:space="0"/>
            </w:tcBorders>
            <w:vAlign w:val="center"/>
          </w:tcPr>
          <w:p>
            <w:pPr>
              <w:widowControl/>
              <w:adjustRightInd w:val="0"/>
              <w:snapToGrid w:val="0"/>
              <w:jc w:val="center"/>
              <w:textAlignment w:val="baseline"/>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标准级别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lef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w:t>
            </w:r>
          </w:p>
        </w:tc>
        <w:tc>
          <w:tcPr>
            <w:tcW w:w="1670"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COD</w:t>
            </w:r>
          </w:p>
        </w:tc>
        <w:tc>
          <w:tcPr>
            <w:tcW w:w="2502" w:type="dxa"/>
            <w:vAlign w:val="center"/>
          </w:tcPr>
          <w:p>
            <w:pPr>
              <w:widowControl/>
              <w:adjustRightInd w:val="0"/>
              <w:snapToGrid w:val="0"/>
              <w:jc w:val="center"/>
              <w:textAlignment w:val="baseline"/>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 350</w:t>
            </w:r>
          </w:p>
        </w:tc>
        <w:tc>
          <w:tcPr>
            <w:tcW w:w="3440" w:type="dxa"/>
            <w:vMerge w:val="restart"/>
            <w:tcBorders>
              <w:righ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《污水综合排放标准》（GB8978-1996）表4三级标准及西平县第三污水处理厂进水水质要求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lef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w:t>
            </w:r>
          </w:p>
        </w:tc>
        <w:tc>
          <w:tcPr>
            <w:tcW w:w="1670"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BOD</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5</w:t>
            </w:r>
          </w:p>
        </w:tc>
        <w:tc>
          <w:tcPr>
            <w:tcW w:w="2502"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 150</w:t>
            </w:r>
          </w:p>
        </w:tc>
        <w:tc>
          <w:tcPr>
            <w:tcW w:w="3440" w:type="dxa"/>
            <w:vMerge w:val="continue"/>
            <w:tcBorders>
              <w:righ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lef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w:t>
            </w:r>
          </w:p>
        </w:tc>
        <w:tc>
          <w:tcPr>
            <w:tcW w:w="1670"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SS</w:t>
            </w:r>
          </w:p>
        </w:tc>
        <w:tc>
          <w:tcPr>
            <w:tcW w:w="2502"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 210</w:t>
            </w:r>
          </w:p>
        </w:tc>
        <w:tc>
          <w:tcPr>
            <w:tcW w:w="3440" w:type="dxa"/>
            <w:vMerge w:val="continue"/>
            <w:tcBorders>
              <w:righ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lef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4</w:t>
            </w:r>
          </w:p>
        </w:tc>
        <w:tc>
          <w:tcPr>
            <w:tcW w:w="1670"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NH</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w:t>
            </w:r>
          </w:p>
        </w:tc>
        <w:tc>
          <w:tcPr>
            <w:tcW w:w="2502"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 35</w:t>
            </w:r>
          </w:p>
        </w:tc>
        <w:tc>
          <w:tcPr>
            <w:tcW w:w="3440" w:type="dxa"/>
            <w:vMerge w:val="continue"/>
            <w:tcBorders>
              <w:righ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lef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w:t>
            </w:r>
          </w:p>
        </w:tc>
        <w:tc>
          <w:tcPr>
            <w:tcW w:w="1670"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硫化物</w:t>
            </w:r>
          </w:p>
        </w:tc>
        <w:tc>
          <w:tcPr>
            <w:tcW w:w="2502" w:type="dxa"/>
            <w:vAlign w:val="center"/>
          </w:tcPr>
          <w:p>
            <w:pPr>
              <w:widowControl/>
              <w:adjustRightInd w:val="0"/>
              <w:snapToGrid w:val="0"/>
              <w:jc w:val="center"/>
              <w:textAlignment w:val="baseline"/>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w:t>
            </w: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2.0</w:t>
            </w:r>
          </w:p>
        </w:tc>
        <w:tc>
          <w:tcPr>
            <w:tcW w:w="3440" w:type="dxa"/>
            <w:vMerge w:val="continue"/>
            <w:tcBorders>
              <w:righ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lef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6</w:t>
            </w:r>
          </w:p>
        </w:tc>
        <w:tc>
          <w:tcPr>
            <w:tcW w:w="1670" w:type="dxa"/>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动植物油</w:t>
            </w:r>
          </w:p>
        </w:tc>
        <w:tc>
          <w:tcPr>
            <w:tcW w:w="2502" w:type="dxa"/>
            <w:vAlign w:val="center"/>
          </w:tcPr>
          <w:p>
            <w:pPr>
              <w:widowControl/>
              <w:adjustRightInd w:val="0"/>
              <w:snapToGrid w:val="0"/>
              <w:jc w:val="center"/>
              <w:textAlignment w:val="baseline"/>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 xml:space="preserve">≤ </w:t>
            </w: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1</w:t>
            </w: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0</w:t>
            </w: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w:t>
            </w:r>
          </w:p>
        </w:tc>
        <w:tc>
          <w:tcPr>
            <w:tcW w:w="3440" w:type="dxa"/>
            <w:vMerge w:val="continue"/>
            <w:tcBorders>
              <w:righ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exact"/>
          <w:jc w:val="center"/>
        </w:trPr>
        <w:tc>
          <w:tcPr>
            <w:tcW w:w="1293" w:type="dxa"/>
            <w:tcBorders>
              <w:left w:val="single" w:color="auto" w:sz="12" w:space="0"/>
              <w:bottom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7</w:t>
            </w:r>
          </w:p>
        </w:tc>
        <w:tc>
          <w:tcPr>
            <w:tcW w:w="1670" w:type="dxa"/>
            <w:tcBorders>
              <w:bottom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石油类</w:t>
            </w:r>
          </w:p>
        </w:tc>
        <w:tc>
          <w:tcPr>
            <w:tcW w:w="2502" w:type="dxa"/>
            <w:tcBorders>
              <w:bottom w:val="single" w:color="auto" w:sz="12" w:space="0"/>
            </w:tcBorders>
            <w:vAlign w:val="center"/>
          </w:tcPr>
          <w:p>
            <w:pPr>
              <w:widowControl/>
              <w:adjustRightInd w:val="0"/>
              <w:snapToGrid w:val="0"/>
              <w:jc w:val="center"/>
              <w:textAlignment w:val="baseline"/>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 30</w:t>
            </w:r>
          </w:p>
        </w:tc>
        <w:tc>
          <w:tcPr>
            <w:tcW w:w="3440" w:type="dxa"/>
            <w:vMerge w:val="continue"/>
            <w:tcBorders>
              <w:bottom w:val="single" w:color="auto" w:sz="12" w:space="0"/>
              <w:right w:val="single" w:color="auto" w:sz="12" w:space="0"/>
            </w:tcBorders>
            <w:vAlign w:val="center"/>
          </w:tcPr>
          <w:p>
            <w:pPr>
              <w:widowControl/>
              <w:adjustRightInd w:val="0"/>
              <w:snapToGrid w:val="0"/>
              <w:jc w:val="center"/>
              <w:textAlignment w:val="baseline"/>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（3）噪声排放标准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位于西平县产业集聚区静脉产业园，拟建场址</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所在地区域属于3类声环境功能区，因此本项目东、西、南、北厂界噪声执行《工业企业厂界环境噪声排放标准》（GB12348-2008）3类标准。</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本项目噪声排放标准见表1.4-10。</w:t>
      </w: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表1.4-10     噪声排放标准</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CellMar>
          <w:top w:w="0" w:type="dxa"/>
          <w:left w:w="108" w:type="dxa"/>
          <w:bottom w:w="0" w:type="dxa"/>
          <w:right w:w="108" w:type="dxa"/>
        </w:tblCellMar>
      </w:tblPr>
      <w:tblGrid>
        <w:gridCol w:w="2220"/>
        <w:gridCol w:w="1632"/>
        <w:gridCol w:w="720"/>
        <w:gridCol w:w="1013"/>
        <w:gridCol w:w="1105"/>
        <w:gridCol w:w="1064"/>
        <w:gridCol w:w="12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cantSplit/>
          <w:trHeight w:val="340" w:hRule="atLeast"/>
          <w:tblHeader/>
          <w:jc w:val="center"/>
        </w:trPr>
        <w:tc>
          <w:tcPr>
            <w:tcW w:w="2220" w:type="dxa"/>
            <w:vMerge w:val="restart"/>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标准名称</w:t>
            </w:r>
          </w:p>
        </w:tc>
        <w:tc>
          <w:tcPr>
            <w:tcW w:w="1632" w:type="dxa"/>
            <w:vMerge w:val="restart"/>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标准号</w:t>
            </w:r>
          </w:p>
        </w:tc>
        <w:tc>
          <w:tcPr>
            <w:tcW w:w="720" w:type="dxa"/>
            <w:vMerge w:val="restart"/>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执行</w:t>
            </w:r>
          </w:p>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w:t>
            </w:r>
          </w:p>
        </w:tc>
        <w:tc>
          <w:tcPr>
            <w:tcW w:w="1013" w:type="dxa"/>
            <w:vMerge w:val="restart"/>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项 目</w:t>
            </w:r>
          </w:p>
        </w:tc>
        <w:tc>
          <w:tcPr>
            <w:tcW w:w="3419" w:type="dxa"/>
            <w:gridSpan w:val="3"/>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cantSplit/>
          <w:trHeight w:val="340" w:hRule="atLeast"/>
          <w:tblHeader/>
          <w:jc w:val="center"/>
        </w:trPr>
        <w:tc>
          <w:tcPr>
            <w:tcW w:w="2220" w:type="dxa"/>
            <w:vMerge w:val="continue"/>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632" w:type="dxa"/>
            <w:vMerge w:val="continue"/>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720" w:type="dxa"/>
            <w:vMerge w:val="continue"/>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013" w:type="dxa"/>
            <w:vMerge w:val="continue"/>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tc>
        <w:tc>
          <w:tcPr>
            <w:tcW w:w="1105"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类别</w:t>
            </w:r>
          </w:p>
        </w:tc>
        <w:tc>
          <w:tcPr>
            <w:tcW w:w="1064"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限值</w:t>
            </w:r>
          </w:p>
        </w:tc>
        <w:tc>
          <w:tcPr>
            <w:tcW w:w="1250"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2220"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《工业企业厂界环境噪声排放标准》</w:t>
            </w:r>
          </w:p>
        </w:tc>
        <w:tc>
          <w:tcPr>
            <w:tcW w:w="1632"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GB12348-2008</w:t>
            </w:r>
          </w:p>
        </w:tc>
        <w:tc>
          <w:tcPr>
            <w:tcW w:w="720"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3类</w:t>
            </w:r>
          </w:p>
        </w:tc>
        <w:tc>
          <w:tcPr>
            <w:tcW w:w="1013"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等效声级LAeq</w:t>
            </w:r>
          </w:p>
        </w:tc>
        <w:tc>
          <w:tcPr>
            <w:tcW w:w="110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昼间</w:t>
            </w:r>
          </w:p>
        </w:tc>
        <w:tc>
          <w:tcPr>
            <w:tcW w:w="106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65</w:t>
            </w:r>
          </w:p>
        </w:tc>
        <w:tc>
          <w:tcPr>
            <w:tcW w:w="1250"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2220"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632"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720"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013"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c>
          <w:tcPr>
            <w:tcW w:w="110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夜间</w:t>
            </w:r>
          </w:p>
        </w:tc>
        <w:tc>
          <w:tcPr>
            <w:tcW w:w="106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55</w:t>
            </w:r>
          </w:p>
        </w:tc>
        <w:tc>
          <w:tcPr>
            <w:tcW w:w="1250"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（4）固体废物</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本项目一般固废暂存</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场所</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执行《一般工业固体废物贮存、处置场污染控制标准》（GB18599-2001）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及2013修改单</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规定的相关要求</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，危险废物执行《危险废物贮存污染控制标准》（GB18597-2001）及</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2013</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修改单</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规定的相关要求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14" w:name="_Toc8376"/>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1.5 评价工作等级及评价范围</w:t>
      </w:r>
      <w:bookmarkEnd w:id="10"/>
      <w:bookmarkEnd w:id="11"/>
      <w:bookmarkEnd w:id="12"/>
      <w:bookmarkEnd w:id="13"/>
      <w:bookmarkEnd w:id="14"/>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kern w:val="0"/>
          <w:sz w:val="24"/>
          <w:szCs w:val="28"/>
          <w14:textFill>
            <w14:solidFill>
              <w14:schemeClr w14:val="tx1">
                <w14:lumMod w14:val="95000"/>
                <w14:lumOff w14:val="5000"/>
              </w14:schemeClr>
            </w14:solidFill>
          </w14:textFill>
        </w:rPr>
      </w:pPr>
      <w:bookmarkStart w:id="15" w:name="_Toc195523691"/>
      <w:bookmarkStart w:id="16" w:name="_Toc178676318"/>
      <w:bookmarkStart w:id="17" w:name="_Toc257040906"/>
      <w:bookmarkStart w:id="18" w:name="_Toc269659383"/>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1.5.1</w:t>
      </w:r>
      <w:bookmarkEnd w:id="15"/>
      <w:bookmarkEnd w:id="16"/>
      <w:bookmarkEnd w:id="17"/>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环境空气</w:t>
      </w:r>
      <w:bookmarkEnd w:id="18"/>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（1）环境空气评价工作等级</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根据《环境影响评价技术导则 大气环境》（HJ/T2.2-2018）的规定，进行计算和评价工作等级的划分。根据项目的初步工程分析结果，选择PM</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TSP、</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HCl、</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非甲烷总烃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、苯并[a]芘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为主要污染因子，</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按各污染源正常工况排放，采用</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ARESCREEN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估算模式，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分别计算每一种污染物的最大地面浓度占标率P</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i</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（第i个污染物），及第i个污染物的地面浓度达标准限值10%时所对应的最远距离D</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。其中P</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i</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定义为：</w:t>
      </w:r>
    </w:p>
    <w:p>
      <w:pPr>
        <w:adjustRightInd w:val="0"/>
        <w:snapToGrid w:val="0"/>
        <w:spacing w:line="360" w:lineRule="auto"/>
        <w:jc w:val="center"/>
        <w:rPr>
          <w:rFonts w:cs="Times New Roman" w:asciiTheme="minorEastAsia" w:hAnsiTheme="minorEastAsia"/>
          <w:color w:val="0D0D0D" w:themeColor="text1" w:themeTint="F2"/>
          <w:sz w:val="28"/>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position w:val="-30"/>
          <w:sz w:val="28"/>
          <w:szCs w:val="28"/>
          <w14:textFill>
            <w14:solidFill>
              <w14:schemeClr w14:val="tx1">
                <w14:lumMod w14:val="95000"/>
                <w14:lumOff w14:val="5000"/>
              </w14:schemeClr>
            </w14:solidFill>
          </w14:textFill>
        </w:rPr>
        <w:drawing>
          <wp:inline distT="0" distB="0" distL="0" distR="0">
            <wp:extent cx="1048385" cy="410210"/>
            <wp:effectExtent l="0" t="0" r="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048385" cy="410210"/>
                    </a:xfrm>
                    <a:prstGeom prst="rect">
                      <a:avLst/>
                    </a:prstGeom>
                    <a:noFill/>
                    <a:ln>
                      <a:noFill/>
                    </a:ln>
                  </pic:spPr>
                </pic:pic>
              </a:graphicData>
            </a:graphic>
          </wp:inline>
        </w:drawing>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式中：</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P</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i</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—第i个污染物的最大地面浓度占标率，%；</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i</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—采用估算模式计算出的第i个污染物的最大地面浓度，mg/m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0i</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—第i个污染物的环境空气质量标准，mg/m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oi</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8"/>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选用《环境空气质量标准》（GB 3095-2012）中二级标准小时值（</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 xml:space="preserve">2 </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0.50mg/m</w:t>
      </w:r>
      <w:r>
        <w:rPr>
          <w:rFonts w:cs="Times New Roman" w:asciiTheme="minorEastAsia" w:hAnsiTheme="minorEastAsia"/>
          <w:color w:val="0D0D0D" w:themeColor="text1" w:themeTint="F2"/>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8"/>
          <w:vertAlign w:val="subscript"/>
          <w14:textFill>
            <w14:solidFill>
              <w14:schemeClr w14:val="tx1">
                <w14:lumMod w14:val="95000"/>
                <w14:lumOff w14:val="5000"/>
              </w14:schemeClr>
            </w14:solidFill>
          </w14:textFill>
        </w:rPr>
        <w:t xml:space="preserve">2 </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0.20mg/m</w:t>
      </w:r>
      <w:r>
        <w:rPr>
          <w:rFonts w:cs="Times New Roman" w:asciiTheme="minorEastAsia" w:hAnsiTheme="minorEastAsia"/>
          <w:color w:val="0D0D0D" w:themeColor="text1" w:themeTint="F2"/>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、TSP、苯并[a]芘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选用《环境空气质量标准》（GB 3095-2012）中二级标准日平均值的三倍（0.45mg/m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、0.9mg/m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、7.5×10</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-6</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mg/m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、HN</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参照执行《环境影响评价技术导则 大气环境》（HJ2.2-2018）附录D中空气质量浓度参考限值（0.01mg/m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）；非甲烷总烃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参考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《大气污染物综合排放标准详解》中环境质量标准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短期浓度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限值（2.0mg/m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环境空气评价级别见表1.5-1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估算模式参数取值</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及估算结果</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见表1.5-2和1.5-3。</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表1.5-1        大气环境评价工作等级判据表</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3467"/>
        <w:gridCol w:w="5537"/>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trHeight w:val="397" w:hRule="exact"/>
          <w:jc w:val="center"/>
        </w:trPr>
        <w:tc>
          <w:tcPr>
            <w:tcW w:w="3467"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评价工作对等级</w:t>
            </w:r>
          </w:p>
        </w:tc>
        <w:tc>
          <w:tcPr>
            <w:tcW w:w="5537" w:type="dxa"/>
            <w:vAlign w:val="center"/>
          </w:tcPr>
          <w:p>
            <w:pPr>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评价工作分级判据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trHeight w:val="397" w:hRule="exact"/>
          <w:jc w:val="center"/>
        </w:trPr>
        <w:tc>
          <w:tcPr>
            <w:tcW w:w="34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一级</w:t>
            </w:r>
          </w:p>
        </w:tc>
        <w:tc>
          <w:tcPr>
            <w:tcW w:w="553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 xml:space="preserve">max </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 10%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trHeight w:val="397" w:hRule="exact"/>
          <w:jc w:val="center"/>
        </w:trPr>
        <w:tc>
          <w:tcPr>
            <w:tcW w:w="34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二级</w:t>
            </w:r>
          </w:p>
        </w:tc>
        <w:tc>
          <w:tcPr>
            <w:tcW w:w="553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 ≤ P</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max</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&lt; 10％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cantSplit/>
          <w:trHeight w:val="397" w:hRule="exact"/>
          <w:jc w:val="center"/>
        </w:trPr>
        <w:tc>
          <w:tcPr>
            <w:tcW w:w="346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三级</w:t>
            </w:r>
          </w:p>
        </w:tc>
        <w:tc>
          <w:tcPr>
            <w:tcW w:w="5537"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max</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 xml:space="preserve"> &lt; 1％</w:t>
            </w:r>
          </w:p>
        </w:tc>
      </w:tr>
    </w:tbl>
    <w:p>
      <w:pPr>
        <w:adjustRightInd w:val="0"/>
        <w:snapToGrid w:val="0"/>
        <w:spacing w:before="156" w:beforeLines="5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1.5-2 </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      项目有组织废气污染物排放参数</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及估算结果</w:t>
      </w:r>
    </w:p>
    <w:tbl>
      <w:tblPr>
        <w:tblStyle w:val="27"/>
        <w:tblW w:w="876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7"/>
        <w:gridCol w:w="1208"/>
        <w:gridCol w:w="1134"/>
        <w:gridCol w:w="1048"/>
        <w:gridCol w:w="601"/>
        <w:gridCol w:w="752"/>
        <w:gridCol w:w="601"/>
        <w:gridCol w:w="885"/>
        <w:gridCol w:w="767"/>
        <w:gridCol w:w="7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29" w:hRule="atLeast"/>
          <w:tblHeader/>
          <w:jc w:val="center"/>
        </w:trPr>
        <w:tc>
          <w:tcPr>
            <w:tcW w:w="1007"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污染源</w:t>
            </w:r>
          </w:p>
        </w:tc>
        <w:tc>
          <w:tcPr>
            <w:tcW w:w="1208"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废气量</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Nm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/h</w:t>
            </w:r>
          </w:p>
        </w:tc>
        <w:tc>
          <w:tcPr>
            <w:tcW w:w="1134"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污染物名称</w:t>
            </w:r>
          </w:p>
        </w:tc>
        <w:tc>
          <w:tcPr>
            <w:tcW w:w="3002" w:type="dxa"/>
            <w:gridSpan w:val="4"/>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排放源参数</w:t>
            </w:r>
          </w:p>
        </w:tc>
        <w:tc>
          <w:tcPr>
            <w:tcW w:w="885"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评价</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标准</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mg/m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p>
        </w:tc>
        <w:tc>
          <w:tcPr>
            <w:tcW w:w="767"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vertAlign w:val="subscript"/>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P</w:t>
            </w:r>
            <w:r>
              <w:rPr>
                <w:rFonts w:cs="Times New Roman" w:asciiTheme="minorEastAsia" w:hAnsiTheme="minorEastAsia"/>
                <w:b/>
                <w:bCs/>
                <w:color w:val="0D0D0D" w:themeColor="text1" w:themeTint="F2"/>
                <w:sz w:val="18"/>
                <w:szCs w:val="18"/>
                <w:vertAlign w:val="subscript"/>
                <w14:textFill>
                  <w14:solidFill>
                    <w14:schemeClr w14:val="tx1">
                      <w14:lumMod w14:val="95000"/>
                      <w14:lumOff w14:val="5000"/>
                    </w14:schemeClr>
                  </w14:solidFill>
                </w14:textFill>
              </w:rPr>
              <w:t>max</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763"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D</w:t>
            </w:r>
            <w:r>
              <w:rPr>
                <w:rFonts w:cs="Times New Roman" w:asciiTheme="minorEastAsia" w:hAnsiTheme="minorEastAsia"/>
                <w:b/>
                <w:bCs/>
                <w:color w:val="0D0D0D" w:themeColor="text1" w:themeTint="F2"/>
                <w:sz w:val="18"/>
                <w:szCs w:val="18"/>
                <w:vertAlign w:val="subscript"/>
                <w14:textFill>
                  <w14:solidFill>
                    <w14:schemeClr w14:val="tx1">
                      <w14:lumMod w14:val="95000"/>
                      <w14:lumOff w14:val="5000"/>
                    </w14:schemeClr>
                  </w14:solidFill>
                </w14:textFill>
              </w:rPr>
              <w:t>10%</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34" w:hRule="atLeast"/>
          <w:tblHeader/>
          <w:jc w:val="center"/>
        </w:trPr>
        <w:tc>
          <w:tcPr>
            <w:tcW w:w="1007"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208"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134"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048"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速率</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60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高度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752"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直径</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60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温度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885"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67"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63"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Merge w:val="restart"/>
            <w:vAlign w:val="center"/>
          </w:tcPr>
          <w:p>
            <w:pPr>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气</w:t>
            </w: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燃烧废气处理装置排气筒（1#等效排气筒）</w:t>
            </w:r>
          </w:p>
        </w:tc>
        <w:tc>
          <w:tcPr>
            <w:tcW w:w="1208" w:type="dxa"/>
            <w:vMerge w:val="restart"/>
            <w:vAlign w:val="center"/>
          </w:tcPr>
          <w:p>
            <w:pPr>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2000</w:t>
            </w:r>
          </w:p>
        </w:tc>
        <w:tc>
          <w:tcPr>
            <w:tcW w:w="113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10</w:t>
            </w:r>
          </w:p>
        </w:tc>
        <w:tc>
          <w:tcPr>
            <w:tcW w:w="10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0.144</w:t>
            </w:r>
          </w:p>
        </w:tc>
        <w:tc>
          <w:tcPr>
            <w:tcW w:w="601"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752"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0.85</w:t>
            </w:r>
          </w:p>
        </w:tc>
        <w:tc>
          <w:tcPr>
            <w:tcW w:w="601"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885"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0.45</w:t>
            </w:r>
          </w:p>
        </w:tc>
        <w:tc>
          <w:tcPr>
            <w:tcW w:w="76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56</w:t>
            </w:r>
          </w:p>
        </w:tc>
        <w:tc>
          <w:tcPr>
            <w:tcW w:w="76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208"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34"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SO</w:t>
            </w:r>
            <w:r>
              <w:rPr>
                <w:rFonts w:cs="Times New Roman"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p>
        </w:tc>
        <w:tc>
          <w:tcPr>
            <w:tcW w:w="10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0.555</w:t>
            </w: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52"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85"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0.5</w:t>
            </w:r>
          </w:p>
        </w:tc>
        <w:tc>
          <w:tcPr>
            <w:tcW w:w="767"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1.94</w:t>
            </w:r>
          </w:p>
        </w:tc>
        <w:tc>
          <w:tcPr>
            <w:tcW w:w="763"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08"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NO</w:t>
            </w:r>
            <w:r>
              <w:rPr>
                <w:rFonts w:cs="Times New Roman"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p>
        </w:tc>
        <w:tc>
          <w:tcPr>
            <w:tcW w:w="10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85"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0.2</w:t>
            </w:r>
          </w:p>
        </w:tc>
        <w:tc>
          <w:tcPr>
            <w:tcW w:w="767"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4.8</w:t>
            </w:r>
          </w:p>
        </w:tc>
        <w:tc>
          <w:tcPr>
            <w:tcW w:w="763"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08"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0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0.006</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85"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0.01</w:t>
            </w:r>
          </w:p>
        </w:tc>
        <w:tc>
          <w:tcPr>
            <w:tcW w:w="76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76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08"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adjustRightInd w:val="0"/>
              <w:snapToGrid w:val="0"/>
              <w:jc w:val="cente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pPr>
            <w:r>
              <w:rPr>
                <w:rFonts w:hint="eastAsia" w:cs="Times New Roman" w:asciiTheme="minorEastAsia" w:hAnsiTheme="minorEastAsia"/>
                <w:color w:val="262626" w:themeColor="text1" w:themeTint="D9"/>
                <w:sz w:val="18"/>
                <w:szCs w:val="18"/>
                <w14:textFill>
                  <w14:solidFill>
                    <w14:schemeClr w14:val="tx1">
                      <w14:lumMod w14:val="85000"/>
                      <w14:lumOff w14:val="15000"/>
                    </w14:schemeClr>
                  </w14:solidFill>
                </w14:textFill>
              </w:rPr>
              <w:t>NH</w:t>
            </w:r>
            <w:r>
              <w:rPr>
                <w:rFonts w:hint="eastAsia" w:cs="Times New Roman" w:asciiTheme="minorEastAsia" w:hAnsiTheme="minorEastAsia"/>
                <w:color w:val="262626" w:themeColor="text1" w:themeTint="D9"/>
                <w:sz w:val="18"/>
                <w:szCs w:val="18"/>
                <w:vertAlign w:val="subscript"/>
                <w14:textFill>
                  <w14:solidFill>
                    <w14:schemeClr w14:val="tx1">
                      <w14:lumMod w14:val="85000"/>
                      <w14:lumOff w14:val="15000"/>
                    </w14:schemeClr>
                  </w14:solidFill>
                </w14:textFill>
              </w:rPr>
              <w:t>3</w:t>
            </w:r>
          </w:p>
        </w:tc>
        <w:tc>
          <w:tcPr>
            <w:tcW w:w="1048" w:type="dxa"/>
            <w:vAlign w:val="center"/>
          </w:tcPr>
          <w:p>
            <w:pPr>
              <w:spacing w:line="240" w:lineRule="atLeast"/>
              <w:jc w:val="center"/>
              <w:rPr>
                <w:rFonts w:asciiTheme="minorEastAsia" w:hAnsiTheme="minorEastAsia"/>
                <w:color w:val="262626" w:themeColor="text1" w:themeTint="D9"/>
                <w:sz w:val="18"/>
                <w:szCs w:val="18"/>
                <w14:textFill>
                  <w14:solidFill>
                    <w14:schemeClr w14:val="tx1">
                      <w14:lumMod w14:val="85000"/>
                      <w14:lumOff w14:val="15000"/>
                    </w14:schemeClr>
                  </w14:solidFill>
                </w14:textFill>
              </w:rPr>
            </w:pPr>
            <w:r>
              <w:rPr>
                <w:rFonts w:hint="eastAsia" w:asciiTheme="minorEastAsia" w:hAnsiTheme="minorEastAsia"/>
                <w:color w:val="262626" w:themeColor="text1" w:themeTint="D9"/>
                <w:sz w:val="18"/>
                <w:szCs w:val="18"/>
                <w14:textFill>
                  <w14:solidFill>
                    <w14:schemeClr w14:val="tx1">
                      <w14:lumMod w14:val="85000"/>
                      <w14:lumOff w14:val="15000"/>
                    </w14:schemeClr>
                  </w14:solidFill>
                </w14:textFill>
              </w:rPr>
              <w:t>0.1</w:t>
            </w:r>
          </w:p>
        </w:tc>
        <w:tc>
          <w:tcPr>
            <w:tcW w:w="601" w:type="dxa"/>
            <w:vMerge w:val="continue"/>
            <w:vAlign w:val="center"/>
          </w:tcPr>
          <w:p>
            <w:pPr>
              <w:adjustRightInd w:val="0"/>
              <w:snapToGrid w:val="0"/>
              <w:jc w:val="cente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pPr>
          </w:p>
        </w:tc>
        <w:tc>
          <w:tcPr>
            <w:tcW w:w="752" w:type="dxa"/>
            <w:vMerge w:val="continue"/>
            <w:vAlign w:val="center"/>
          </w:tcPr>
          <w:p>
            <w:pPr>
              <w:adjustRightInd w:val="0"/>
              <w:snapToGrid w:val="0"/>
              <w:jc w:val="cente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pPr>
          </w:p>
        </w:tc>
        <w:tc>
          <w:tcPr>
            <w:tcW w:w="601" w:type="dxa"/>
            <w:vMerge w:val="continue"/>
            <w:vAlign w:val="center"/>
          </w:tcPr>
          <w:p>
            <w:pPr>
              <w:adjustRightInd w:val="0"/>
              <w:snapToGrid w:val="0"/>
              <w:jc w:val="cente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pPr>
          </w:p>
        </w:tc>
        <w:tc>
          <w:tcPr>
            <w:tcW w:w="885" w:type="dxa"/>
            <w:vAlign w:val="center"/>
          </w:tcPr>
          <w:p>
            <w:pPr>
              <w:adjustRightInd w:val="0"/>
              <w:snapToGrid w:val="0"/>
              <w:jc w:val="cente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pPr>
            <w: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t>0.</w:t>
            </w:r>
            <w:r>
              <w:rPr>
                <w:rFonts w:hint="eastAsia" w:cs="Times New Roman" w:asciiTheme="minorEastAsia" w:hAnsiTheme="minorEastAsia"/>
                <w:color w:val="262626" w:themeColor="text1" w:themeTint="D9"/>
                <w:sz w:val="18"/>
                <w:szCs w:val="18"/>
                <w14:textFill>
                  <w14:solidFill>
                    <w14:schemeClr w14:val="tx1">
                      <w14:lumMod w14:val="85000"/>
                      <w14:lumOff w14:val="15000"/>
                    </w14:schemeClr>
                  </w14:solidFill>
                </w14:textFill>
              </w:rPr>
              <w:t>2</w:t>
            </w:r>
          </w:p>
        </w:tc>
        <w:tc>
          <w:tcPr>
            <w:tcW w:w="767" w:type="dxa"/>
            <w:vAlign w:val="center"/>
          </w:tcPr>
          <w:p>
            <w:pPr>
              <w:adjustRightInd w:val="0"/>
              <w:snapToGrid w:val="0"/>
              <w:jc w:val="cente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pPr>
            <w:r>
              <w:rPr>
                <w:rFonts w:hint="eastAsia" w:cs="Times New Roman" w:asciiTheme="minorEastAsia" w:hAnsiTheme="minorEastAsia"/>
                <w:color w:val="262626" w:themeColor="text1" w:themeTint="D9"/>
                <w:sz w:val="18"/>
                <w:szCs w:val="18"/>
                <w14:textFill>
                  <w14:solidFill>
                    <w14:schemeClr w14:val="tx1">
                      <w14:lumMod w14:val="85000"/>
                      <w14:lumOff w14:val="15000"/>
                    </w14:schemeClr>
                  </w14:solidFill>
                </w14:textFill>
              </w:rPr>
              <w:t>0.87</w:t>
            </w:r>
          </w:p>
        </w:tc>
        <w:tc>
          <w:tcPr>
            <w:tcW w:w="763" w:type="dxa"/>
            <w:vAlign w:val="center"/>
          </w:tcPr>
          <w:p>
            <w:pPr>
              <w:adjustRightInd w:val="0"/>
              <w:snapToGrid w:val="0"/>
              <w:jc w:val="center"/>
              <w:rPr>
                <w:rFonts w:cs="Times New Roman" w:asciiTheme="minorEastAsia" w:hAnsiTheme="minorEastAsia"/>
                <w:color w:val="262626" w:themeColor="text1" w:themeTint="D9"/>
                <w:sz w:val="18"/>
                <w:szCs w:val="18"/>
                <w14:textFill>
                  <w14:solidFill>
                    <w14:schemeClr w14:val="tx1">
                      <w14:lumMod w14:val="85000"/>
                      <w14:lumOff w14:val="15000"/>
                    </w14:schemeClr>
                  </w14:solidFill>
                </w14:textFill>
              </w:rPr>
            </w:pPr>
            <w:r>
              <w:rPr>
                <w:rFonts w:hint="eastAsia" w:cs="Times New Roman" w:asciiTheme="minorEastAsia" w:hAnsiTheme="minorEastAsia"/>
                <w:color w:val="262626" w:themeColor="text1" w:themeTint="D9"/>
                <w:sz w:val="18"/>
                <w:szCs w:val="18"/>
                <w14:textFill>
                  <w14:solidFill>
                    <w14:schemeClr w14:val="tx1">
                      <w14:lumMod w14:val="85000"/>
                      <w14:lumOff w14:val="1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08"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0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0.104</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85"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76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76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08"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0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85" w:type="dxa"/>
            <w:vAlign w:val="center"/>
          </w:tcPr>
          <w:p>
            <w:pPr>
              <w:adjustRightInd w:val="0"/>
              <w:snapToGrid w:val="0"/>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tc>
        <w:tc>
          <w:tcPr>
            <w:tcW w:w="76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0.33</w:t>
            </w:r>
          </w:p>
        </w:tc>
        <w:tc>
          <w:tcPr>
            <w:tcW w:w="76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3" w:hRule="atLeast"/>
          <w:jc w:val="center"/>
        </w:trPr>
        <w:tc>
          <w:tcPr>
            <w:tcW w:w="100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车间炭黑尘袋除尘器排气筒（2#、3#）</w:t>
            </w:r>
          </w:p>
        </w:tc>
        <w:tc>
          <w:tcPr>
            <w:tcW w:w="1208"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5000</w:t>
            </w:r>
          </w:p>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（2根排气筒排放工况相同）</w:t>
            </w:r>
          </w:p>
        </w:tc>
        <w:tc>
          <w:tcPr>
            <w:tcW w:w="113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10</w:t>
            </w:r>
          </w:p>
        </w:tc>
        <w:tc>
          <w:tcPr>
            <w:tcW w:w="10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0.022</w:t>
            </w:r>
          </w:p>
        </w:tc>
        <w:tc>
          <w:tcPr>
            <w:tcW w:w="601"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752"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601"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885"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0.45</w:t>
            </w:r>
          </w:p>
        </w:tc>
        <w:tc>
          <w:tcPr>
            <w:tcW w:w="76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76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bl>
    <w:p>
      <w:pPr>
        <w:adjustRightInd w:val="0"/>
        <w:snapToGrid w:val="0"/>
        <w:spacing w:before="156" w:beforeLines="5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1.5-3</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   项目无组织废气排放参数</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及估算结果</w:t>
      </w:r>
    </w:p>
    <w:tbl>
      <w:tblPr>
        <w:tblStyle w:val="27"/>
        <w:tblW w:w="865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4"/>
        <w:gridCol w:w="1280"/>
        <w:gridCol w:w="1681"/>
        <w:gridCol w:w="1964"/>
        <w:gridCol w:w="853"/>
        <w:gridCol w:w="853"/>
        <w:gridCol w:w="6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6" w:hRule="atLeast"/>
          <w:jc w:val="center"/>
        </w:trPr>
        <w:tc>
          <w:tcPr>
            <w:tcW w:w="1324" w:type="dxa"/>
            <w:vMerge w:val="restart"/>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排放单元</w:t>
            </w:r>
          </w:p>
        </w:tc>
        <w:tc>
          <w:tcPr>
            <w:tcW w:w="1280" w:type="dxa"/>
            <w:vMerge w:val="restart"/>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污染物名称</w:t>
            </w:r>
          </w:p>
        </w:tc>
        <w:tc>
          <w:tcPr>
            <w:tcW w:w="1681" w:type="dxa"/>
            <w:vMerge w:val="restart"/>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w:t>
            </w: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源强</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1964" w:type="dxa"/>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排放特征</w:t>
            </w:r>
          </w:p>
        </w:tc>
        <w:tc>
          <w:tcPr>
            <w:tcW w:w="853"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评价标准mg/m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p>
        </w:tc>
        <w:tc>
          <w:tcPr>
            <w:tcW w:w="853"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P</w:t>
            </w:r>
            <w:r>
              <w:rPr>
                <w:rFonts w:cs="Times New Roman" w:asciiTheme="minorEastAsia" w:hAnsiTheme="minorEastAsia"/>
                <w:b/>
                <w:bCs/>
                <w:color w:val="0D0D0D" w:themeColor="text1" w:themeTint="F2"/>
                <w:sz w:val="18"/>
                <w:szCs w:val="18"/>
                <w:vertAlign w:val="subscript"/>
                <w14:textFill>
                  <w14:solidFill>
                    <w14:schemeClr w14:val="tx1">
                      <w14:lumMod w14:val="95000"/>
                      <w14:lumOff w14:val="5000"/>
                    </w14:schemeClr>
                  </w14:solidFill>
                </w14:textFill>
              </w:rPr>
              <w:t>max</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697"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D</w:t>
            </w:r>
            <w:r>
              <w:rPr>
                <w:rFonts w:cs="Times New Roman" w:asciiTheme="minorEastAsia" w:hAnsiTheme="minorEastAsia"/>
                <w:b/>
                <w:bCs/>
                <w:color w:val="0D0D0D" w:themeColor="text1" w:themeTint="F2"/>
                <w:sz w:val="18"/>
                <w:szCs w:val="18"/>
                <w:vertAlign w:val="subscript"/>
                <w14:textFill>
                  <w14:solidFill>
                    <w14:schemeClr w14:val="tx1">
                      <w14:lumMod w14:val="95000"/>
                      <w14:lumOff w14:val="5000"/>
                    </w14:schemeClr>
                  </w14:solidFill>
                </w14:textFill>
              </w:rPr>
              <w:t>10%</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33" w:hRule="atLeast"/>
          <w:jc w:val="center"/>
        </w:trPr>
        <w:tc>
          <w:tcPr>
            <w:tcW w:w="1324"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80" w:type="dxa"/>
            <w:vMerge w:val="continue"/>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681"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64"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长×宽×高m</w:t>
            </w:r>
          </w:p>
        </w:tc>
        <w:tc>
          <w:tcPr>
            <w:tcW w:w="853"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3"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7"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8" w:hRule="atLeast"/>
          <w:jc w:val="center"/>
        </w:trPr>
        <w:tc>
          <w:tcPr>
            <w:tcW w:w="1324"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储罐区</w:t>
            </w:r>
          </w:p>
        </w:tc>
        <w:tc>
          <w:tcPr>
            <w:tcW w:w="1280"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681"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0443</w:t>
            </w:r>
          </w:p>
        </w:tc>
        <w:tc>
          <w:tcPr>
            <w:tcW w:w="1964"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1.38</w:t>
            </w:r>
          </w:p>
        </w:tc>
        <w:tc>
          <w:tcPr>
            <w:tcW w:w="69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48" w:hRule="atLeast"/>
          <w:jc w:val="center"/>
        </w:trPr>
        <w:tc>
          <w:tcPr>
            <w:tcW w:w="1324" w:type="dxa"/>
            <w:vMerge w:val="restart"/>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裂解车间</w:t>
            </w:r>
          </w:p>
        </w:tc>
        <w:tc>
          <w:tcPr>
            <w:tcW w:w="1280"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TSP</w:t>
            </w:r>
          </w:p>
        </w:tc>
        <w:tc>
          <w:tcPr>
            <w:tcW w:w="1681"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0.194</w:t>
            </w:r>
          </w:p>
        </w:tc>
        <w:tc>
          <w:tcPr>
            <w:tcW w:w="1964" w:type="dxa"/>
            <w:vMerge w:val="restart"/>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3.19</w:t>
            </w:r>
          </w:p>
        </w:tc>
        <w:tc>
          <w:tcPr>
            <w:tcW w:w="69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5" w:hRule="atLeast"/>
          <w:jc w:val="center"/>
        </w:trPr>
        <w:tc>
          <w:tcPr>
            <w:tcW w:w="1324"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80"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681"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04</w:t>
            </w:r>
          </w:p>
        </w:tc>
        <w:tc>
          <w:tcPr>
            <w:tcW w:w="1964" w:type="dxa"/>
            <w:vMerge w:val="continue"/>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0.01</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0.59</w:t>
            </w:r>
          </w:p>
        </w:tc>
        <w:tc>
          <w:tcPr>
            <w:tcW w:w="69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45" w:hRule="atLeast"/>
          <w:jc w:val="center"/>
        </w:trPr>
        <w:tc>
          <w:tcPr>
            <w:tcW w:w="1324"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80"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681"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027</w:t>
            </w:r>
          </w:p>
        </w:tc>
        <w:tc>
          <w:tcPr>
            <w:tcW w:w="1964" w:type="dxa"/>
            <w:vMerge w:val="continue"/>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0.33</w:t>
            </w:r>
          </w:p>
        </w:tc>
        <w:tc>
          <w:tcPr>
            <w:tcW w:w="69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45" w:hRule="atLeast"/>
          <w:jc w:val="center"/>
        </w:trPr>
        <w:tc>
          <w:tcPr>
            <w:tcW w:w="1324"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产品库</w:t>
            </w:r>
          </w:p>
        </w:tc>
        <w:tc>
          <w:tcPr>
            <w:tcW w:w="1280"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TSP</w:t>
            </w:r>
          </w:p>
        </w:tc>
        <w:tc>
          <w:tcPr>
            <w:tcW w:w="1681"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0.024</w:t>
            </w:r>
          </w:p>
        </w:tc>
        <w:tc>
          <w:tcPr>
            <w:tcW w:w="1964"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4.5</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0.9</w:t>
            </w:r>
          </w:p>
        </w:tc>
        <w:tc>
          <w:tcPr>
            <w:tcW w:w="85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1.42</w:t>
            </w:r>
          </w:p>
        </w:tc>
        <w:tc>
          <w:tcPr>
            <w:tcW w:w="69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r>
    </w:tbl>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由表</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1.5-2和1.5-3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可知，</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项目正常工况下大气污染物排放最大占标率因子为燃烧废气1</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等效排气筒排放NOx，</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Pmax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为4.8</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未出现。</w:t>
      </w: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因此</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确定本项目大气环境影响评价工作等级为二级。</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（2）评价范围</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大气环境影响评价范围为：以项目厂址中心点为中心，边长为5km矩形范围。</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bookmarkStart w:id="19" w:name="_Toc269659384"/>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1.5.2 </w:t>
      </w:r>
      <w:bookmarkEnd w:id="19"/>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地表水</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（1）评价工作等级</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裂解含油废水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水封罐废水</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采用雾化喷嘴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雾化处理后喷入裂解炉燃烧室燃烧处理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，不外排；</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厂区地面初期雨水和废气脱硫除尘喷淋塔排放废水分别收集并经隔油预处理后，一同化粪池预处理后的职工生活废水进入厂区一体化污水处理设施处理达标后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，通过市政污水管网排入西平县第三污水处理厂进一步处理</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后排放地表水体（</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红澍河</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。根据《环境影响评价技术导则 地表水环境》（HJ 2.3-2018），本项目废水排放方式为间接排放，则地表水环境影响评价工作等级应定为三级B</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地表水评价工作等级判定</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依据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见表1.5-4。</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表1.5-4    水污染影响型建设项目评价等级判定表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5"/>
        <w:gridCol w:w="3519"/>
        <w:gridCol w:w="3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65" w:type="dxa"/>
            <w:vMerge w:val="restart"/>
            <w:vAlign w:val="center"/>
          </w:tcPr>
          <w:p>
            <w:pPr>
              <w:tabs>
                <w:tab w:val="left" w:pos="5241"/>
              </w:tabs>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评价等级</w:t>
            </w:r>
          </w:p>
        </w:tc>
        <w:tc>
          <w:tcPr>
            <w:tcW w:w="7039" w:type="dxa"/>
            <w:gridSpan w:val="2"/>
            <w:vAlign w:val="center"/>
          </w:tcPr>
          <w:p>
            <w:pPr>
              <w:tabs>
                <w:tab w:val="left" w:pos="5241"/>
              </w:tabs>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1965" w:type="dxa"/>
            <w:vMerge w:val="continue"/>
            <w:vAlign w:val="center"/>
          </w:tcPr>
          <w:p>
            <w:pPr>
              <w:tabs>
                <w:tab w:val="left" w:pos="5241"/>
              </w:tabs>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p>
        </w:tc>
        <w:tc>
          <w:tcPr>
            <w:tcW w:w="3519" w:type="dxa"/>
            <w:vAlign w:val="center"/>
          </w:tcPr>
          <w:p>
            <w:pPr>
              <w:tabs>
                <w:tab w:val="left" w:pos="5241"/>
              </w:tabs>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排放方式</w:t>
            </w:r>
          </w:p>
        </w:tc>
        <w:tc>
          <w:tcPr>
            <w:tcW w:w="3520" w:type="dxa"/>
            <w:vAlign w:val="center"/>
          </w:tcPr>
          <w:p>
            <w:pPr>
              <w:tabs>
                <w:tab w:val="left" w:pos="5241"/>
              </w:tabs>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废水排放量Q/（m</w:t>
            </w:r>
            <w:r>
              <w:rPr>
                <w:rFonts w:cs="Times New Roman" w:asciiTheme="minorEastAsia" w:hAnsiTheme="minorEastAsia"/>
                <w:b/>
                <w:bCs/>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/d）；</w:t>
            </w:r>
          </w:p>
          <w:p>
            <w:pPr>
              <w:tabs>
                <w:tab w:val="left" w:pos="5241"/>
              </w:tabs>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65"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一级</w:t>
            </w:r>
          </w:p>
        </w:tc>
        <w:tc>
          <w:tcPr>
            <w:tcW w:w="3519"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直接排放</w:t>
            </w:r>
          </w:p>
        </w:tc>
        <w:tc>
          <w:tcPr>
            <w:tcW w:w="3520"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Q≥20000或W≥60000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65"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二级</w:t>
            </w:r>
          </w:p>
        </w:tc>
        <w:tc>
          <w:tcPr>
            <w:tcW w:w="3519"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直接排放</w:t>
            </w:r>
          </w:p>
        </w:tc>
        <w:tc>
          <w:tcPr>
            <w:tcW w:w="3520"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65"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三级A</w:t>
            </w:r>
          </w:p>
        </w:tc>
        <w:tc>
          <w:tcPr>
            <w:tcW w:w="3519"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直接排放</w:t>
            </w:r>
          </w:p>
        </w:tc>
        <w:tc>
          <w:tcPr>
            <w:tcW w:w="3520"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65" w:type="dxa"/>
            <w:vAlign w:val="center"/>
          </w:tcPr>
          <w:p>
            <w:pPr>
              <w:tabs>
                <w:tab w:val="left" w:pos="5241"/>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三级B</w:t>
            </w:r>
          </w:p>
        </w:tc>
        <w:tc>
          <w:tcPr>
            <w:tcW w:w="3519" w:type="dxa"/>
            <w:vAlign w:val="center"/>
          </w:tcPr>
          <w:p>
            <w:pPr>
              <w:tabs>
                <w:tab w:val="left" w:pos="5241"/>
              </w:tabs>
              <w:adjustRightInd w:val="0"/>
              <w:snapToGrid w:val="0"/>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间接排放</w:t>
            </w:r>
          </w:p>
        </w:tc>
        <w:tc>
          <w:tcPr>
            <w:tcW w:w="3520" w:type="dxa"/>
            <w:vAlign w:val="center"/>
          </w:tcPr>
          <w:p>
            <w:pPr>
              <w:tabs>
                <w:tab w:val="left" w:pos="5241"/>
              </w:tabs>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1.5.3 地下水</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本项目主要进行废旧轮胎的裂解加工处理，属于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废旧资源加工、再生利用</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项目。根据《环境影响评价技术导则-地下水环境》（HJ610-2016）附录A《地下水环境影响评价行业分类表》，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本项目为“U</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城镇基础设施及房地产-155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废旧资源加工、再生利用”类别，建设项目编写环境影响报告书，属于</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类项目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本项目位于西平县产业集聚区静脉产业园，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根据调查，项目所在地不属于集中式饮用水水源地及其相应保护区和准保护区、不属于热水、矿泉水、温泉等特殊地下水源保护区、也不属于补给径流区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；项目区及周边无未划定准保护区的集中水式饮用水水源，不属于未划定准保护区的集中水式饮用水水源的保护区以外的补给径流区；项目区无特殊地下水资源保护区以外的分布区。但是，</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区周边村庄存在分散式饮用水源井，</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地下水环境敏感程度为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敏感。</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根据《环境影响评价技术导则-地下水环境》（HJ610-2016），建设项目地下水环境敏感程度分级</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见下表1.5-5；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地下水环境影响评价工作等级划分表见表1.5-</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6</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widowControl/>
        <w:adjustRightInd w:val="0"/>
        <w:snapToGrid w:val="0"/>
        <w:spacing w:line="360" w:lineRule="auto"/>
        <w:ind w:firstLine="482" w:firstLineChars="200"/>
        <w:jc w:val="center"/>
        <w:textAlignment w:val="baseline"/>
        <w:rPr>
          <w:rFonts w:cs="Arial" w:asciiTheme="minorEastAsia" w:hAnsiTheme="minorEastAsia"/>
          <w:b/>
          <w:color w:val="0D0D0D" w:themeColor="text1" w:themeTint="F2"/>
          <w:kern w:val="0"/>
          <w:sz w:val="24"/>
          <w:szCs w:val="24"/>
          <w14:textFill>
            <w14:solidFill>
              <w14:schemeClr w14:val="tx1">
                <w14:lumMod w14:val="95000"/>
                <w14:lumOff w14:val="5000"/>
              </w14:schemeClr>
            </w14:solidFill>
          </w14:textFill>
        </w:rPr>
      </w:pPr>
      <w:r>
        <w:rPr>
          <w:rFonts w:cs="Arial" w:asciiTheme="minorEastAsia" w:hAnsiTheme="minorEastAsia"/>
          <w:b/>
          <w:color w:val="0D0D0D" w:themeColor="text1" w:themeTint="F2"/>
          <w:kern w:val="0"/>
          <w:sz w:val="24"/>
          <w:szCs w:val="24"/>
          <w14:textFill>
            <w14:solidFill>
              <w14:schemeClr w14:val="tx1">
                <w14:lumMod w14:val="95000"/>
                <w14:lumOff w14:val="5000"/>
              </w14:schemeClr>
            </w14:solidFill>
          </w14:textFill>
        </w:rPr>
        <w:t>表</w:t>
      </w:r>
      <w:r>
        <w:rPr>
          <w:rFonts w:hint="eastAsia" w:cs="Arial" w:asciiTheme="minorEastAsia" w:hAnsiTheme="minorEastAsia"/>
          <w:b/>
          <w:color w:val="0D0D0D" w:themeColor="text1" w:themeTint="F2"/>
          <w:kern w:val="0"/>
          <w:sz w:val="24"/>
          <w:szCs w:val="24"/>
          <w14:textFill>
            <w14:solidFill>
              <w14:schemeClr w14:val="tx1">
                <w14:lumMod w14:val="95000"/>
                <w14:lumOff w14:val="5000"/>
              </w14:schemeClr>
            </w14:solidFill>
          </w14:textFill>
        </w:rPr>
        <w:t xml:space="preserve">1.5-5    </w:t>
      </w:r>
      <w:r>
        <w:rPr>
          <w:rFonts w:cs="Arial" w:asciiTheme="minorEastAsia" w:hAnsiTheme="minorEastAsia"/>
          <w:b/>
          <w:color w:val="0D0D0D" w:themeColor="text1" w:themeTint="F2"/>
          <w:kern w:val="0"/>
          <w:sz w:val="24"/>
          <w:szCs w:val="24"/>
          <w14:textFill>
            <w14:solidFill>
              <w14:schemeClr w14:val="tx1">
                <w14:lumMod w14:val="95000"/>
                <w14:lumOff w14:val="5000"/>
              </w14:schemeClr>
            </w14:solidFill>
          </w14:textFill>
        </w:rPr>
        <w:t>地下水环境敏感程度分级表</w:t>
      </w:r>
    </w:p>
    <w:tbl>
      <w:tblPr>
        <w:tblStyle w:val="27"/>
        <w:tblW w:w="0" w:type="auto"/>
        <w:tblInd w:w="-10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8"/>
        <w:gridCol w:w="7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2" w:type="dxa"/>
            <w:vAlign w:val="center"/>
          </w:tcPr>
          <w:p>
            <w:pPr>
              <w:widowControl/>
              <w:adjustRightInd w:val="0"/>
              <w:snapToGrid w:val="0"/>
              <w:spacing w:line="360" w:lineRule="auto"/>
              <w:jc w:val="cente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t>敏感程度</w:t>
            </w:r>
          </w:p>
        </w:tc>
        <w:tc>
          <w:tcPr>
            <w:tcW w:w="7704" w:type="dxa"/>
            <w:vAlign w:val="center"/>
          </w:tcPr>
          <w:p>
            <w:pPr>
              <w:widowControl/>
              <w:adjustRightInd w:val="0"/>
              <w:snapToGrid w:val="0"/>
              <w:spacing w:line="360" w:lineRule="auto"/>
              <w:ind w:firstLine="422" w:firstLineChars="200"/>
              <w:jc w:val="cente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2" w:type="dxa"/>
            <w:vAlign w:val="center"/>
          </w:tcPr>
          <w:p>
            <w:pPr>
              <w:widowControl/>
              <w:adjustRightInd w:val="0"/>
              <w:snapToGrid w:val="0"/>
              <w:spacing w:line="360" w:lineRule="auto"/>
              <w:jc w:val="cente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t>敏感</w:t>
            </w:r>
          </w:p>
        </w:tc>
        <w:tc>
          <w:tcPr>
            <w:tcW w:w="7704" w:type="dxa"/>
            <w:vAlign w:val="center"/>
          </w:tcPr>
          <w:p>
            <w:pPr>
              <w:widowControl/>
              <w:adjustRightInd w:val="0"/>
              <w:snapToGrid w:val="0"/>
              <w:spacing w:line="360" w:lineRule="auto"/>
              <w:ind w:firstLine="420" w:firstLineChars="200"/>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r>
              <w:rPr>
                <w:rFonts w:hint="eastAsia" w:cs="Arial" w:asciiTheme="minorEastAsia" w:hAnsiTheme="minorEastAsia"/>
                <w:color w:val="0D0D0D" w:themeColor="text1" w:themeTint="F2"/>
                <w:kern w:val="0"/>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2" w:type="dxa"/>
            <w:vAlign w:val="center"/>
          </w:tcPr>
          <w:p>
            <w:pPr>
              <w:widowControl/>
              <w:adjustRightInd w:val="0"/>
              <w:snapToGrid w:val="0"/>
              <w:spacing w:line="360" w:lineRule="auto"/>
              <w:jc w:val="cente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t>较敏感</w:t>
            </w:r>
          </w:p>
        </w:tc>
        <w:tc>
          <w:tcPr>
            <w:tcW w:w="7704" w:type="dxa"/>
            <w:vAlign w:val="center"/>
          </w:tcPr>
          <w:p>
            <w:pPr>
              <w:widowControl/>
              <w:adjustRightInd w:val="0"/>
              <w:snapToGrid w:val="0"/>
              <w:spacing w:line="360" w:lineRule="auto"/>
              <w:ind w:firstLine="420" w:firstLineChars="200"/>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hint="eastAsia" w:cs="Arial" w:asciiTheme="minorEastAsia" w:hAnsiTheme="minorEastAsia"/>
                <w:color w:val="0D0D0D" w:themeColor="text1" w:themeTint="F2"/>
                <w:kern w:val="0"/>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42" w:type="dxa"/>
            <w:vAlign w:val="center"/>
          </w:tcPr>
          <w:p>
            <w:pPr>
              <w:widowControl/>
              <w:adjustRightInd w:val="0"/>
              <w:snapToGrid w:val="0"/>
              <w:spacing w:line="360" w:lineRule="auto"/>
              <w:jc w:val="cente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b/>
                <w:color w:val="0D0D0D" w:themeColor="text1" w:themeTint="F2"/>
                <w:kern w:val="0"/>
                <w:szCs w:val="21"/>
                <w14:textFill>
                  <w14:solidFill>
                    <w14:schemeClr w14:val="tx1">
                      <w14:lumMod w14:val="95000"/>
                      <w14:lumOff w14:val="5000"/>
                    </w14:schemeClr>
                  </w14:solidFill>
                </w14:textFill>
              </w:rPr>
              <w:t>不敏感</w:t>
            </w:r>
          </w:p>
        </w:tc>
        <w:tc>
          <w:tcPr>
            <w:tcW w:w="7704" w:type="dxa"/>
            <w:vAlign w:val="center"/>
          </w:tcPr>
          <w:p>
            <w:pPr>
              <w:widowControl/>
              <w:adjustRightInd w:val="0"/>
              <w:snapToGrid w:val="0"/>
              <w:spacing w:line="360" w:lineRule="auto"/>
              <w:ind w:firstLine="210" w:firstLineChars="100"/>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t>上述地区之外的其它地区</w:t>
            </w:r>
            <w:r>
              <w:rPr>
                <w:rFonts w:hint="eastAsia" w:cs="Arial" w:asciiTheme="minorEastAsia" w:hAnsiTheme="minorEastAsia"/>
                <w:color w:val="0D0D0D" w:themeColor="text1" w:themeTint="F2"/>
                <w:kern w:val="0"/>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8946" w:type="dxa"/>
            <w:gridSpan w:val="2"/>
            <w:vAlign w:val="center"/>
          </w:tcPr>
          <w:p>
            <w:pPr>
              <w:widowControl/>
              <w:adjustRightInd w:val="0"/>
              <w:snapToGrid w:val="0"/>
              <w:spacing w:line="360" w:lineRule="auto"/>
              <w:ind w:firstLine="420" w:firstLineChars="200"/>
              <w:jc w:val="left"/>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Arial" w:asciiTheme="minorEastAsia" w:hAnsiTheme="minorEastAsia"/>
                <w:color w:val="0D0D0D" w:themeColor="text1" w:themeTint="F2"/>
                <w:kern w:val="0"/>
                <w:szCs w:val="21"/>
                <w14:textFill>
                  <w14:solidFill>
                    <w14:schemeClr w14:val="tx1">
                      <w14:lumMod w14:val="95000"/>
                      <w14:lumOff w14:val="5000"/>
                    </w14:schemeClr>
                  </w14:solidFill>
                </w14:textFill>
              </w:rPr>
              <w:t>注：a“环境敏感区”是指《建设项目环境影响评价分类管理目录》中所界定的涉及地下水的环境敏感区</w:t>
            </w:r>
            <w:r>
              <w:rPr>
                <w:rFonts w:hint="eastAsia" w:cs="Arial" w:asciiTheme="minorEastAsia" w:hAnsiTheme="minorEastAsia"/>
                <w:color w:val="0D0D0D" w:themeColor="text1" w:themeTint="F2"/>
                <w:kern w:val="0"/>
                <w:szCs w:val="21"/>
                <w14:textFill>
                  <w14:solidFill>
                    <w14:schemeClr w14:val="tx1">
                      <w14:lumMod w14:val="95000"/>
                      <w14:lumOff w14:val="5000"/>
                    </w14:schemeClr>
                  </w14:solidFill>
                </w14:textFill>
              </w:rPr>
              <w:t>。</w:t>
            </w:r>
          </w:p>
        </w:tc>
      </w:tr>
    </w:tbl>
    <w:p>
      <w:pPr>
        <w:adjustRightInd w:val="0"/>
        <w:snapToGrid w:val="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表1.5-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6</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地下水评价工作等级划分表</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196"/>
        <w:gridCol w:w="1859"/>
        <w:gridCol w:w="1822"/>
        <w:gridCol w:w="21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6" w:type="dxa"/>
            <w:tcBorders>
              <w:right w:val="single" w:color="auto" w:sz="4" w:space="0"/>
              <w:tl2br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 xml:space="preserve">                  项目类别</w:t>
            </w:r>
          </w:p>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p>
          <w:p>
            <w:pPr>
              <w:adjustRightInd w:val="0"/>
              <w:snapToGrid w:val="0"/>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环境敏感程度</w:t>
            </w:r>
          </w:p>
        </w:tc>
        <w:tc>
          <w:tcPr>
            <w:tcW w:w="1859" w:type="dxa"/>
            <w:tcBorders>
              <w:lef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Cs w:val="20"/>
                <w14:textFill>
                  <w14:solidFill>
                    <w14:schemeClr w14:val="tx1">
                      <w14:lumMod w14:val="95000"/>
                      <w14:lumOff w14:val="5000"/>
                    </w14:schemeClr>
                  </w14:solidFill>
                </w14:textFill>
              </w:rPr>
              <w:t>Ⅰ</w:t>
            </w: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类项目</w:t>
            </w:r>
          </w:p>
        </w:tc>
        <w:tc>
          <w:tcPr>
            <w:tcW w:w="1822" w:type="dxa"/>
            <w:tcBorders>
              <w:righ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Cs w:val="20"/>
                <w14:textFill>
                  <w14:solidFill>
                    <w14:schemeClr w14:val="tx1">
                      <w14:lumMod w14:val="95000"/>
                      <w14:lumOff w14:val="5000"/>
                    </w14:schemeClr>
                  </w14:solidFill>
                </w14:textFill>
              </w:rPr>
              <w:t>Ⅱ</w:t>
            </w: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类项目</w:t>
            </w:r>
          </w:p>
        </w:tc>
        <w:tc>
          <w:tcPr>
            <w:tcW w:w="2127" w:type="dxa"/>
            <w:tcBorders>
              <w:left w:val="single" w:color="auto" w:sz="4" w:space="0"/>
            </w:tcBorders>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Cs w:val="20"/>
                <w14:textFill>
                  <w14:solidFill>
                    <w14:schemeClr w14:val="tx1">
                      <w14:lumMod w14:val="95000"/>
                      <w14:lumOff w14:val="5000"/>
                    </w14:schemeClr>
                  </w14:solidFill>
                </w14:textFill>
              </w:rPr>
              <w:t>Ⅲ</w:t>
            </w: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类项目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6"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敏感</w:t>
            </w:r>
          </w:p>
        </w:tc>
        <w:tc>
          <w:tcPr>
            <w:tcW w:w="1859"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一</w:t>
            </w:r>
          </w:p>
        </w:tc>
        <w:tc>
          <w:tcPr>
            <w:tcW w:w="1822"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一</w:t>
            </w:r>
          </w:p>
        </w:tc>
        <w:tc>
          <w:tcPr>
            <w:tcW w:w="212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6" w:type="dxa"/>
            <w:tcBorders>
              <w:right w:val="single" w:color="auto" w:sz="4" w:space="0"/>
            </w:tcBorders>
            <w:vAlign w:val="center"/>
          </w:tcPr>
          <w:p>
            <w:pPr>
              <w:adjustRightInd w:val="0"/>
              <w:snapToGrid w:val="0"/>
              <w:jc w:val="center"/>
              <w:rPr>
                <w:rFonts w:cs="Times New Roman" w:asciiTheme="minorEastAsia" w:hAnsiTheme="minorEastAsia"/>
                <w:b/>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0"/>
                <w14:textFill>
                  <w14:solidFill>
                    <w14:schemeClr w14:val="tx1">
                      <w14:lumMod w14:val="95000"/>
                      <w14:lumOff w14:val="5000"/>
                    </w14:schemeClr>
                  </w14:solidFill>
                </w14:textFill>
              </w:rPr>
              <w:t>较敏感</w:t>
            </w:r>
          </w:p>
        </w:tc>
        <w:tc>
          <w:tcPr>
            <w:tcW w:w="1859"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一</w:t>
            </w:r>
          </w:p>
        </w:tc>
        <w:tc>
          <w:tcPr>
            <w:tcW w:w="1822"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二</w:t>
            </w:r>
          </w:p>
        </w:tc>
        <w:tc>
          <w:tcPr>
            <w:tcW w:w="2127" w:type="dxa"/>
            <w:tcBorders>
              <w:left w:val="single" w:color="auto" w:sz="4" w:space="0"/>
              <w:bottom w:val="single" w:color="auto" w:sz="6" w:space="0"/>
            </w:tcBorders>
            <w:vAlign w:val="center"/>
          </w:tcPr>
          <w:p>
            <w:pPr>
              <w:adjustRightInd w:val="0"/>
              <w:snapToGrid w:val="0"/>
              <w:jc w:val="center"/>
              <w:rPr>
                <w:rFonts w:cs="Times New Roman" w:asciiTheme="minorEastAsia" w:hAnsiTheme="minorEastAsia"/>
                <w:b/>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196"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不敏感</w:t>
            </w:r>
          </w:p>
        </w:tc>
        <w:tc>
          <w:tcPr>
            <w:tcW w:w="1859"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二</w:t>
            </w:r>
          </w:p>
        </w:tc>
        <w:tc>
          <w:tcPr>
            <w:tcW w:w="1822"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三</w:t>
            </w:r>
          </w:p>
        </w:tc>
        <w:tc>
          <w:tcPr>
            <w:tcW w:w="2127" w:type="dxa"/>
            <w:tcBorders>
              <w:left w:val="single" w:color="auto" w:sz="4" w:space="0"/>
              <w:bottom w:val="single" w:color="000000"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三</w:t>
            </w:r>
          </w:p>
        </w:tc>
      </w:tr>
    </w:tbl>
    <w:p>
      <w:pPr>
        <w:keepNext/>
        <w:keepLines/>
        <w:adjustRightInd w:val="0"/>
        <w:snapToGrid w:val="0"/>
        <w:spacing w:before="156" w:beforeLines="50" w:line="360" w:lineRule="auto"/>
        <w:ind w:firstLine="480" w:firstLineChars="200"/>
        <w:outlineLvl w:val="2"/>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根据上述分析，本项目为</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类项目，环境敏感程度为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较</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敏感，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地下水评价等级为</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三级。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评价范围定为厂址</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地下水流向下游2km、两侧各1km、上游1km范围内约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6km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区域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1.5.4 声环境</w:t>
      </w:r>
    </w:p>
    <w:p>
      <w:pPr>
        <w:adjustRightInd w:val="0"/>
        <w:snapToGrid w:val="0"/>
        <w:spacing w:line="360" w:lineRule="auto"/>
        <w:ind w:firstLine="48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西平县产业集聚区静脉产业园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，所在区域声环境功能区属于3类标准区域，项目建成前后评价范围内敏感目标噪声级增高量在 3dB（A）以下，受影响人口数量变化不大，根据《环境影响评价技术导则 声环境》（HJ 2.4-2009），确定声环境影响评价为</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三级评价</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评价范围为厂界外200m范围内的敏感点。</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5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土壤环境评价工作等级及范围</w:t>
      </w:r>
    </w:p>
    <w:p>
      <w:pPr>
        <w:adjustRightInd w:val="0"/>
        <w:snapToGrid w:val="0"/>
        <w:spacing w:line="360" w:lineRule="auto"/>
        <w:ind w:firstLine="480" w:firstLineChars="200"/>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《环境影响评价技术导则  土壤环境（试行）》（HJ964-2018）附录A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“环境和公共设施管理业”中的“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废旧资源加工、再生利用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土壤环境影响评价项目类别</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属于</w:t>
      </w:r>
      <w:r>
        <w:rPr>
          <w:rFonts w:hint="eastAsia" w:cs="宋体" w:asciiTheme="minorEastAsia" w:hAnsiTheme="minorEastAsia"/>
          <w:color w:val="0D0D0D" w:themeColor="text1" w:themeTint="F2"/>
          <w:sz w:val="24"/>
          <w:szCs w:val="24"/>
          <w:lang w:eastAsia="ja-JP"/>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类建设项目；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本次工程为污染型建设项目，用地性质为工业用地，占地面积约3.33ha</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（＜5ha</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），属于小型建设项目；根据实地调查，项目区周边无耕地、园地、牧草地、饮用水源地或居民区、医院、学校、疗养院、养老院等土壤环境敏感目标，现状存在林地，</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土壤环境敏感程度为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敏感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根据《环境影响评价技术导则  土壤环境（试行）》（HJ964-2018）6.2.1.2评价工作等级划分标准，本项目</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可不开展</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土壤环境影响评价</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。具体判定依据见下表1.5-7。</w:t>
      </w:r>
    </w:p>
    <w:p>
      <w:pPr>
        <w:adjustRightInd w:val="0"/>
        <w:snapToGrid w:val="0"/>
        <w:spacing w:line="360" w:lineRule="auto"/>
        <w:ind w:firstLine="1687" w:firstLineChars="7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kern w:val="0"/>
          <w:sz w:val="24"/>
          <w14:textFill>
            <w14:solidFill>
              <w14:schemeClr w14:val="tx1">
                <w14:lumMod w14:val="95000"/>
                <w14:lumOff w14:val="5000"/>
              </w14:schemeClr>
            </w14:solidFill>
          </w14:textFill>
        </w:rPr>
        <w:t>1.5-7</w:t>
      </w:r>
      <w:r>
        <w:rPr>
          <w:rFonts w:cs="Times New Roman" w:asciiTheme="minorEastAsia" w:hAnsiTheme="minorEastAsia"/>
          <w:b/>
          <w:color w:val="0D0D0D" w:themeColor="text1" w:themeTint="F2"/>
          <w:kern w:val="0"/>
          <w:sz w:val="24"/>
          <w14:textFill>
            <w14:solidFill>
              <w14:schemeClr w14:val="tx1">
                <w14:lumMod w14:val="95000"/>
                <w14:lumOff w14:val="5000"/>
              </w14:schemeClr>
            </w14:solidFill>
          </w14:textFill>
        </w:rPr>
        <w:t xml:space="preserve">   污染影响型评价工作等级划分表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9"/>
        <w:gridCol w:w="972"/>
        <w:gridCol w:w="835"/>
        <w:gridCol w:w="766"/>
        <w:gridCol w:w="866"/>
        <w:gridCol w:w="699"/>
        <w:gridCol w:w="686"/>
        <w:gridCol w:w="686"/>
        <w:gridCol w:w="686"/>
        <w:gridCol w:w="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79" w:type="dxa"/>
            <w:vMerge w:val="restart"/>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敏感程度</w:t>
            </w:r>
          </w:p>
        </w:tc>
        <w:tc>
          <w:tcPr>
            <w:tcW w:w="2573" w:type="dxa"/>
            <w:gridSpan w:val="3"/>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Cs w:val="21"/>
                <w14:textFill>
                  <w14:solidFill>
                    <w14:schemeClr w14:val="tx1">
                      <w14:lumMod w14:val="95000"/>
                      <w14:lumOff w14:val="5000"/>
                    </w14:schemeClr>
                  </w14:solidFill>
                </w14:textFill>
              </w:rPr>
              <w:t>Ⅰ</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类</w:t>
            </w:r>
          </w:p>
        </w:tc>
        <w:tc>
          <w:tcPr>
            <w:tcW w:w="2251" w:type="dxa"/>
            <w:gridSpan w:val="3"/>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Cs w:val="21"/>
                <w14:textFill>
                  <w14:solidFill>
                    <w14:schemeClr w14:val="tx1">
                      <w14:lumMod w14:val="95000"/>
                      <w14:lumOff w14:val="5000"/>
                    </w14:schemeClr>
                  </w14:solidFill>
                </w14:textFill>
              </w:rPr>
              <w:t>Ⅱ</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类</w:t>
            </w:r>
          </w:p>
        </w:tc>
        <w:tc>
          <w:tcPr>
            <w:tcW w:w="2059" w:type="dxa"/>
            <w:gridSpan w:val="3"/>
            <w:shd w:val="clear" w:color="auto" w:fill="auto"/>
            <w:vAlign w:val="center"/>
          </w:tcPr>
          <w:p>
            <w:pPr>
              <w:widowControl/>
              <w:spacing w:line="360" w:lineRule="exact"/>
              <w:jc w:val="center"/>
              <w:rPr>
                <w:rFonts w:cs="Times New Roman"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kern w:val="0"/>
                <w:szCs w:val="21"/>
                <w14:textFill>
                  <w14:solidFill>
                    <w14:schemeClr w14:val="tx1">
                      <w14:lumMod w14:val="95000"/>
                      <w14:lumOff w14:val="5000"/>
                    </w14:schemeClr>
                  </w14:solidFill>
                </w14:textFill>
              </w:rPr>
              <w:t>Ⅲ</w:t>
            </w:r>
            <w:r>
              <w:rPr>
                <w:rFonts w:cs="Times New Roman" w:asciiTheme="minorEastAsia" w:hAnsiTheme="minorEastAsia"/>
                <w:b/>
                <w:color w:val="0D0D0D" w:themeColor="text1" w:themeTint="F2"/>
                <w:kern w:val="0"/>
                <w:szCs w:val="21"/>
                <w14:textFill>
                  <w14:solidFill>
                    <w14:schemeClr w14:val="tx1">
                      <w14:lumMod w14:val="95000"/>
                      <w14:lumOff w14:val="5000"/>
                    </w14:schemeClr>
                  </w14:solidFill>
                </w14:textFill>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1479" w:type="dxa"/>
            <w:vMerge w:val="continue"/>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972"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大</w:t>
            </w:r>
          </w:p>
        </w:tc>
        <w:tc>
          <w:tcPr>
            <w:tcW w:w="835"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中</w:t>
            </w:r>
          </w:p>
        </w:tc>
        <w:tc>
          <w:tcPr>
            <w:tcW w:w="7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小</w:t>
            </w:r>
          </w:p>
        </w:tc>
        <w:tc>
          <w:tcPr>
            <w:tcW w:w="8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大</w:t>
            </w:r>
          </w:p>
        </w:tc>
        <w:tc>
          <w:tcPr>
            <w:tcW w:w="699"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中</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小</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中</w:t>
            </w:r>
          </w:p>
        </w:tc>
        <w:tc>
          <w:tcPr>
            <w:tcW w:w="687"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79"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敏感</w:t>
            </w:r>
          </w:p>
        </w:tc>
        <w:tc>
          <w:tcPr>
            <w:tcW w:w="972"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一级</w:t>
            </w:r>
          </w:p>
        </w:tc>
        <w:tc>
          <w:tcPr>
            <w:tcW w:w="835"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一级</w:t>
            </w:r>
          </w:p>
        </w:tc>
        <w:tc>
          <w:tcPr>
            <w:tcW w:w="7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一级</w:t>
            </w:r>
          </w:p>
        </w:tc>
        <w:tc>
          <w:tcPr>
            <w:tcW w:w="8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699"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7" w:type="dxa"/>
            <w:tcBorders>
              <w:bottom w:val="single" w:color="auto" w:sz="4" w:space="0"/>
            </w:tcBorders>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79" w:type="dxa"/>
            <w:shd w:val="clear" w:color="auto" w:fill="auto"/>
            <w:vAlign w:val="center"/>
          </w:tcPr>
          <w:p>
            <w:pPr>
              <w:widowControl/>
              <w:spacing w:line="360" w:lineRule="exact"/>
              <w:jc w:val="center"/>
              <w:rPr>
                <w:rFonts w:cs="Times New Roman"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Cs w:val="21"/>
                <w14:textFill>
                  <w14:solidFill>
                    <w14:schemeClr w14:val="tx1">
                      <w14:lumMod w14:val="95000"/>
                      <w14:lumOff w14:val="5000"/>
                    </w14:schemeClr>
                  </w14:solidFill>
                </w14:textFill>
              </w:rPr>
              <w:t>较敏感</w:t>
            </w:r>
          </w:p>
        </w:tc>
        <w:tc>
          <w:tcPr>
            <w:tcW w:w="972"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一级</w:t>
            </w:r>
          </w:p>
        </w:tc>
        <w:tc>
          <w:tcPr>
            <w:tcW w:w="835"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一级</w:t>
            </w:r>
          </w:p>
        </w:tc>
        <w:tc>
          <w:tcPr>
            <w:tcW w:w="7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8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699"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7" w:type="dxa"/>
            <w:shd w:val="clear" w:color="auto" w:fill="DDD9C4" w:themeFill="background2" w:themeFillShade="E6"/>
            <w:vAlign w:val="center"/>
          </w:tcPr>
          <w:p>
            <w:pPr>
              <w:widowControl/>
              <w:spacing w:line="360" w:lineRule="exact"/>
              <w:jc w:val="center"/>
              <w:rPr>
                <w:rFonts w:cs="Times New Roman" w:asciiTheme="minorEastAsia" w:hAnsiTheme="minorEastAsia"/>
                <w:b/>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79"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不敏感</w:t>
            </w:r>
          </w:p>
        </w:tc>
        <w:tc>
          <w:tcPr>
            <w:tcW w:w="972"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一级</w:t>
            </w:r>
          </w:p>
        </w:tc>
        <w:tc>
          <w:tcPr>
            <w:tcW w:w="835"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7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86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二级</w:t>
            </w:r>
          </w:p>
        </w:tc>
        <w:tc>
          <w:tcPr>
            <w:tcW w:w="699"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三级</w:t>
            </w:r>
          </w:p>
        </w:tc>
        <w:tc>
          <w:tcPr>
            <w:tcW w:w="686"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c>
          <w:tcPr>
            <w:tcW w:w="687" w:type="dxa"/>
            <w:shd w:val="clear" w:color="auto" w:fill="auto"/>
            <w:vAlign w:val="center"/>
          </w:tcPr>
          <w:p>
            <w:pPr>
              <w:widowControl/>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tc>
      </w:tr>
    </w:tbl>
    <w:p>
      <w:pPr>
        <w:widowControl/>
        <w:spacing w:line="520" w:lineRule="exact"/>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6</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环境风险</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营运期废轮胎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裂解气</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冷凝后不凝气直接通过管道输入燃烧装置燃烧，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作为生产热源</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利用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不设</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气柜</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涉及的风险物质主要包括裂解油、裂解气及启动时所需柴油</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等</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计算</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厂区风险物质存在数量与临界量比值</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Q值</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为0.2558</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＜1，根据《建设项目环境风险评价技术导则》（HJ 169-2018）附录C</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该项目环境风险潜势为</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Ⅰ</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根据《建设项目环境风险评价技术导则》（HJ 169-2018），环境风险评价工作等级划分见表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1.5-</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8</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1.5-</w:t>
      </w: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8</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评价工作级别划分依据表</w:t>
      </w:r>
    </w:p>
    <w:tbl>
      <w:tblPr>
        <w:tblStyle w:val="27"/>
        <w:tblW w:w="87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4"/>
        <w:gridCol w:w="1565"/>
        <w:gridCol w:w="1708"/>
        <w:gridCol w:w="1850"/>
        <w:gridCol w:w="1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1714" w:type="dxa"/>
            <w:tcBorders>
              <w:top w:val="single" w:color="auto" w:sz="12" w:space="0"/>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环境风险潜势</w:t>
            </w:r>
          </w:p>
        </w:tc>
        <w:tc>
          <w:tcPr>
            <w:tcW w:w="1565" w:type="dxa"/>
            <w:tcBorders>
              <w:top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Ⅳ</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Ⅳ</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p>
        </w:tc>
        <w:tc>
          <w:tcPr>
            <w:tcW w:w="1708" w:type="dxa"/>
            <w:tcBorders>
              <w:top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Ⅲ</w:t>
            </w:r>
          </w:p>
        </w:tc>
        <w:tc>
          <w:tcPr>
            <w:tcW w:w="1850" w:type="dxa"/>
            <w:tcBorders>
              <w:top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Ⅱ</w:t>
            </w:r>
          </w:p>
        </w:tc>
        <w:tc>
          <w:tcPr>
            <w:tcW w:w="1919" w:type="dxa"/>
            <w:tcBorders>
              <w:top w:val="single" w:color="auto" w:sz="12"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Cs w:val="21"/>
                <w14:textFill>
                  <w14:solidFill>
                    <w14:schemeClr w14:val="tx1">
                      <w14:lumMod w14:val="95000"/>
                      <w14:lumOff w14:val="5000"/>
                    </w14:schemeClr>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1714"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评价工作等级</w:t>
            </w:r>
          </w:p>
        </w:tc>
        <w:tc>
          <w:tcPr>
            <w:tcW w:w="1565"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一</w:t>
            </w:r>
          </w:p>
        </w:tc>
        <w:tc>
          <w:tcPr>
            <w:tcW w:w="1708"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二</w:t>
            </w:r>
          </w:p>
        </w:tc>
        <w:tc>
          <w:tcPr>
            <w:tcW w:w="1850"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三</w:t>
            </w:r>
          </w:p>
        </w:tc>
        <w:tc>
          <w:tcPr>
            <w:tcW w:w="191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简单分析</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8757" w:type="dxa"/>
            <w:gridSpan w:val="5"/>
            <w:tcBorders>
              <w:left w:val="single" w:color="auto" w:sz="12" w:space="0"/>
              <w:bottom w:val="single" w:color="auto" w:sz="12" w:space="0"/>
              <w:right w:val="single" w:color="auto" w:sz="12" w:space="0"/>
            </w:tcBorders>
            <w:vAlign w:val="center"/>
          </w:tcPr>
          <w:p>
            <w:pPr>
              <w:adjustRightInd w:val="0"/>
              <w:snapToGrid w:val="0"/>
              <w:jc w:val="left"/>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a是相对于详细评价工作内容而言的，在描述危险物质、环境影响途径、环境危害后果、风险防范措等方面给出定性的说明。见附录A。</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根据上述分析，本项目环境风险潜势为</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Ⅰ</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，确定本项目风险评价等级为简单分析，对风险物质的环境影响途径、环境危害后果、风险防范措施等方面给出定性的说明。</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评价工作等级及评价范围汇总</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本项目评价工作等级及评价范围汇总情况详见表1.5-</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各环境要素评价范围见下图1.5-1。</w:t>
      </w:r>
    </w:p>
    <w:p>
      <w:pPr>
        <w:widowControl/>
        <w:adjustRightInd w:val="0"/>
        <w:snapToGrid w:val="0"/>
        <w:jc w:val="center"/>
        <w:rPr>
          <w:rFonts w:cs="Times New Roman" w:asciiTheme="minorEastAsia" w:hAnsiTheme="minorEastAsia"/>
          <w:b/>
          <w:color w:val="0D0D0D" w:themeColor="text1" w:themeTint="F2"/>
          <w:kern w:val="0"/>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24"/>
          <w:szCs w:val="24"/>
          <w14:textFill>
            <w14:solidFill>
              <w14:schemeClr w14:val="tx1">
                <w14:lumMod w14:val="95000"/>
                <w14:lumOff w14:val="5000"/>
              </w14:schemeClr>
            </w14:solidFill>
          </w14:textFill>
        </w:rPr>
        <w:t>表1.5-</w:t>
      </w:r>
      <w:r>
        <w:rPr>
          <w:rFonts w:hint="eastAsia" w:cs="Times New Roman" w:asciiTheme="minorEastAsia" w:hAnsiTheme="minorEastAsia"/>
          <w:b/>
          <w:color w:val="0D0D0D" w:themeColor="text1" w:themeTint="F2"/>
          <w:kern w:val="0"/>
          <w:sz w:val="24"/>
          <w:szCs w:val="24"/>
          <w14:textFill>
            <w14:solidFill>
              <w14:schemeClr w14:val="tx1">
                <w14:lumMod w14:val="95000"/>
                <w14:lumOff w14:val="5000"/>
              </w14:schemeClr>
            </w14:solidFill>
          </w14:textFill>
        </w:rPr>
        <w:t>9</w:t>
      </w:r>
      <w:r>
        <w:rPr>
          <w:rFonts w:cs="Times New Roman" w:asciiTheme="minorEastAsia" w:hAnsiTheme="minorEastAsia"/>
          <w:b/>
          <w:color w:val="0D0D0D" w:themeColor="text1" w:themeTint="F2"/>
          <w:kern w:val="0"/>
          <w:sz w:val="24"/>
          <w:szCs w:val="24"/>
          <w14:textFill>
            <w14:solidFill>
              <w14:schemeClr w14:val="tx1">
                <w14:lumMod w14:val="95000"/>
                <w14:lumOff w14:val="5000"/>
              </w14:schemeClr>
            </w14:solidFill>
          </w14:textFill>
        </w:rPr>
        <w:t xml:space="preserve">       评价工作等级及评价范围一览表</w:t>
      </w:r>
    </w:p>
    <w:tbl>
      <w:tblPr>
        <w:tblStyle w:val="27"/>
        <w:tblW w:w="8769"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755"/>
        <w:gridCol w:w="1320"/>
        <w:gridCol w:w="1701"/>
        <w:gridCol w:w="4993"/>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1" w:hRule="atLeast"/>
          <w:tblHeader/>
          <w:jc w:val="center"/>
        </w:trPr>
        <w:tc>
          <w:tcPr>
            <w:tcW w:w="755"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序号</w:t>
            </w:r>
          </w:p>
        </w:tc>
        <w:tc>
          <w:tcPr>
            <w:tcW w:w="1320"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环境要素</w:t>
            </w:r>
          </w:p>
        </w:tc>
        <w:tc>
          <w:tcPr>
            <w:tcW w:w="1701"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评价工作等级</w:t>
            </w:r>
          </w:p>
        </w:tc>
        <w:tc>
          <w:tcPr>
            <w:tcW w:w="4993" w:type="dxa"/>
            <w:vAlign w:val="center"/>
          </w:tcPr>
          <w:p>
            <w:pPr>
              <w:adjustRightInd w:val="0"/>
              <w:snapToGrid w:val="0"/>
              <w:jc w:val="cente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0"/>
                <w14:textFill>
                  <w14:solidFill>
                    <w14:schemeClr w14:val="tx1">
                      <w14:lumMod w14:val="95000"/>
                      <w14:lumOff w14:val="5000"/>
                    </w14:schemeClr>
                  </w14:solidFill>
                </w14:textFill>
              </w:rPr>
              <w:t>评价范围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75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1</w:t>
            </w:r>
          </w:p>
        </w:tc>
        <w:tc>
          <w:tcPr>
            <w:tcW w:w="132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环境空气</w:t>
            </w:r>
          </w:p>
        </w:tc>
        <w:tc>
          <w:tcPr>
            <w:tcW w:w="1701"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二级</w:t>
            </w:r>
          </w:p>
        </w:tc>
        <w:tc>
          <w:tcPr>
            <w:tcW w:w="499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以项目厂址中心点为中心，边长为5km的矩形范围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75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2</w:t>
            </w:r>
          </w:p>
        </w:tc>
        <w:tc>
          <w:tcPr>
            <w:tcW w:w="132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地表水</w:t>
            </w:r>
          </w:p>
        </w:tc>
        <w:tc>
          <w:tcPr>
            <w:tcW w:w="1701"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三级B</w:t>
            </w:r>
          </w:p>
        </w:tc>
        <w:tc>
          <w:tcPr>
            <w:tcW w:w="499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分析</w:t>
            </w: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项目排水对污水厂的冲击影响等</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75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3</w:t>
            </w:r>
          </w:p>
        </w:tc>
        <w:tc>
          <w:tcPr>
            <w:tcW w:w="132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地下水</w:t>
            </w:r>
          </w:p>
        </w:tc>
        <w:tc>
          <w:tcPr>
            <w:tcW w:w="1701"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三级</w:t>
            </w:r>
          </w:p>
        </w:tc>
        <w:tc>
          <w:tcPr>
            <w:tcW w:w="499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厂址周围</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及地下水流向下游约</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6km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范围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75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4</w:t>
            </w:r>
          </w:p>
        </w:tc>
        <w:tc>
          <w:tcPr>
            <w:tcW w:w="132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声环境</w:t>
            </w:r>
          </w:p>
        </w:tc>
        <w:tc>
          <w:tcPr>
            <w:tcW w:w="1701"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三级</w:t>
            </w:r>
          </w:p>
        </w:tc>
        <w:tc>
          <w:tcPr>
            <w:tcW w:w="499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厂界外200m范围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75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5</w:t>
            </w:r>
          </w:p>
        </w:tc>
        <w:tc>
          <w:tcPr>
            <w:tcW w:w="132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环境风险</w:t>
            </w:r>
          </w:p>
        </w:tc>
        <w:tc>
          <w:tcPr>
            <w:tcW w:w="1701"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简单分析</w:t>
            </w:r>
          </w:p>
        </w:tc>
        <w:tc>
          <w:tcPr>
            <w:tcW w:w="499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项目周边半径3km范围</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51" w:hRule="atLeast"/>
          <w:jc w:val="center"/>
        </w:trPr>
        <w:tc>
          <w:tcPr>
            <w:tcW w:w="755"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w:t>
            </w:r>
          </w:p>
        </w:tc>
        <w:tc>
          <w:tcPr>
            <w:tcW w:w="132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土壤环境</w:t>
            </w:r>
          </w:p>
        </w:tc>
        <w:tc>
          <w:tcPr>
            <w:tcW w:w="1701"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w:t>
            </w:r>
          </w:p>
        </w:tc>
        <w:tc>
          <w:tcPr>
            <w:tcW w:w="499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项目区及周边0.05km范围内土壤</w:t>
            </w:r>
          </w:p>
        </w:tc>
      </w:tr>
    </w:tbl>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anchor distT="0" distB="0" distL="114300" distR="114300" simplePos="0" relativeHeight="251661312" behindDoc="0" locked="0" layoutInCell="1" allowOverlap="1">
            <wp:simplePos x="0" y="0"/>
            <wp:positionH relativeFrom="column">
              <wp:posOffset>-171450</wp:posOffset>
            </wp:positionH>
            <wp:positionV relativeFrom="paragraph">
              <wp:posOffset>124460</wp:posOffset>
            </wp:positionV>
            <wp:extent cx="5472430" cy="535432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476592" cy="5358577"/>
                    </a:xfrm>
                    <a:prstGeom prst="rect">
                      <a:avLst/>
                    </a:prstGeom>
                    <a:noFill/>
                    <a:ln>
                      <a:noFill/>
                    </a:ln>
                  </pic:spPr>
                </pic:pic>
              </a:graphicData>
            </a:graphic>
          </wp:anchor>
        </w:drawing>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图1.5-1   项目各环境要素评价范围示意图</w:t>
      </w:r>
    </w:p>
    <w:p>
      <w:pPr>
        <w:adjustRightInd w:val="0"/>
        <w:snapToGrid w:val="0"/>
        <w:spacing w:line="360" w:lineRule="auto"/>
        <w:ind w:firstLine="482" w:firstLineChars="200"/>
        <w:jc w:val="cente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20" w:name="_Toc28322"/>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1.6 环境保护目标</w:t>
      </w:r>
      <w:bookmarkEnd w:id="20"/>
    </w:p>
    <w:p>
      <w:pPr>
        <w:adjustRightInd w:val="0"/>
        <w:snapToGrid w:val="0"/>
        <w:spacing w:line="360" w:lineRule="auto"/>
        <w:ind w:firstLine="480" w:firstLineChars="200"/>
        <w:rPr>
          <w:rFonts w:cs="Times New Roman" w:asciiTheme="minorEastAsia" w:hAnsiTheme="minorEastAsia"/>
          <w:color w:val="0D0D0D" w:themeColor="text1" w:themeTint="F2"/>
          <w:sz w:val="24"/>
          <w:szCs w:val="24"/>
          <w:lang w:val="zh-CN"/>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w:t>
      </w:r>
      <w:r>
        <w:rPr>
          <w:rFonts w:cs="Times New Roman" w:asciiTheme="minorEastAsia" w:hAnsiTheme="minorEastAsia"/>
          <w:color w:val="0D0D0D" w:themeColor="text1" w:themeTint="F2"/>
          <w:sz w:val="24"/>
          <w:szCs w:val="24"/>
          <w:lang w:val="zh-CN"/>
          <w14:textFill>
            <w14:solidFill>
              <w14:schemeClr w14:val="tx1">
                <w14:lumMod w14:val="95000"/>
                <w14:lumOff w14:val="5000"/>
              </w14:schemeClr>
            </w14:solidFill>
          </w14:textFill>
        </w:rPr>
        <w:t>现场调查，评价区及周边无自然保护区、风景名胜区、饮用水源保护区等需特殊保护的区域。本次评价的环境保护目标按环境要素划分详见表</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1.6-1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；项目周边主要环境保护目标分布见下图1.6-1</w:t>
      </w:r>
      <w:r>
        <w:rPr>
          <w:rFonts w:cs="Times New Roman" w:asciiTheme="minorEastAsia" w:hAnsiTheme="minorEastAsia"/>
          <w:color w:val="0D0D0D" w:themeColor="text1" w:themeTint="F2"/>
          <w:sz w:val="24"/>
          <w:szCs w:val="24"/>
          <w:lang w:val="zh-CN"/>
          <w14:textFill>
            <w14:solidFill>
              <w14:schemeClr w14:val="tx1">
                <w14:lumMod w14:val="95000"/>
                <w14:lumOff w14:val="5000"/>
              </w14:schemeClr>
            </w14:solidFill>
          </w14:textFill>
        </w:rPr>
        <w:t>。</w:t>
      </w:r>
    </w:p>
    <w:p>
      <w:pPr>
        <w:autoSpaceDE w:val="0"/>
        <w:autoSpaceDN w:val="0"/>
        <w:adjustRightInd w:val="0"/>
        <w:snapToGrid w:val="0"/>
        <w:jc w:val="center"/>
        <w:rPr>
          <w:rFonts w:cs="Times New Roman" w:asciiTheme="minorEastAsia" w:hAnsiTheme="minorEastAsia"/>
          <w:b/>
          <w:bCs/>
          <w:color w:val="0D0D0D" w:themeColor="text1" w:themeTint="F2"/>
          <w:sz w:val="24"/>
          <w:szCs w:val="24"/>
          <w:lang w:val="zh-CN"/>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lang w:val="zh-CN"/>
          <w14:textFill>
            <w14:solidFill>
              <w14:schemeClr w14:val="tx1">
                <w14:lumMod w14:val="95000"/>
                <w14:lumOff w14:val="5000"/>
              </w14:schemeClr>
            </w14:solidFill>
          </w14:textFill>
        </w:rPr>
        <w:t>表</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1.6-1    主要</w:t>
      </w:r>
      <w:r>
        <w:rPr>
          <w:rFonts w:cs="Times New Roman" w:asciiTheme="minorEastAsia" w:hAnsiTheme="minorEastAsia"/>
          <w:b/>
          <w:bCs/>
          <w:color w:val="0D0D0D" w:themeColor="text1" w:themeTint="F2"/>
          <w:sz w:val="24"/>
          <w:szCs w:val="24"/>
          <w:lang w:val="zh-CN"/>
          <w14:textFill>
            <w14:solidFill>
              <w14:schemeClr w14:val="tx1">
                <w14:lumMod w14:val="95000"/>
                <w14:lumOff w14:val="5000"/>
              </w14:schemeClr>
            </w14:solidFill>
          </w14:textFill>
        </w:rPr>
        <w:t>环境保护目标</w:t>
      </w:r>
    </w:p>
    <w:tbl>
      <w:tblPr>
        <w:tblStyle w:val="27"/>
        <w:tblW w:w="879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35"/>
        <w:gridCol w:w="1559"/>
        <w:gridCol w:w="850"/>
        <w:gridCol w:w="1134"/>
        <w:gridCol w:w="851"/>
        <w:gridCol w:w="850"/>
        <w:gridCol w:w="24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restart"/>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类别</w:t>
            </w:r>
          </w:p>
        </w:tc>
        <w:tc>
          <w:tcPr>
            <w:tcW w:w="1559" w:type="dxa"/>
            <w:vMerge w:val="restar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名称</w:t>
            </w:r>
          </w:p>
        </w:tc>
        <w:tc>
          <w:tcPr>
            <w:tcW w:w="850" w:type="dxa"/>
            <w:vMerge w:val="restar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方位</w:t>
            </w:r>
          </w:p>
        </w:tc>
        <w:tc>
          <w:tcPr>
            <w:tcW w:w="1134" w:type="dxa"/>
            <w:vMerge w:val="restar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距离</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1701" w:type="dxa"/>
            <w:gridSpan w:val="2"/>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规模</w:t>
            </w:r>
          </w:p>
        </w:tc>
        <w:tc>
          <w:tcPr>
            <w:tcW w:w="2418" w:type="dxa"/>
            <w:vMerge w:val="restart"/>
            <w:tcBorders>
              <w:top w:val="single" w:color="auto" w:sz="12"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保护级别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top w:val="single" w:color="auto" w:sz="12" w:space="0"/>
              <w:left w:val="single" w:color="auto" w:sz="12" w:space="0"/>
              <w:bottom w:val="single" w:color="auto" w:sz="4"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Merge w:val="continue"/>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Merge w:val="continue"/>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1"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户数</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textAlignment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人数</w:t>
            </w:r>
          </w:p>
        </w:tc>
        <w:tc>
          <w:tcPr>
            <w:tcW w:w="2418" w:type="dxa"/>
            <w:vMerge w:val="continue"/>
            <w:tcBorders>
              <w:top w:val="single" w:color="auto" w:sz="12" w:space="0"/>
              <w:left w:val="single" w:color="auto" w:sz="6" w:space="0"/>
              <w:bottom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restart"/>
            <w:tcBorders>
              <w:top w:val="single" w:color="auto" w:sz="4" w:space="0"/>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环境空气</w:t>
            </w: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铁东小区</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2390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1400</w:t>
            </w:r>
          </w:p>
        </w:tc>
        <w:tc>
          <w:tcPr>
            <w:tcW w:w="2418" w:type="dxa"/>
            <w:vMerge w:val="restart"/>
            <w:tcBorders>
              <w:top w:val="single" w:color="auto" w:sz="4" w:space="0"/>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《环境空气质量标准》</w:t>
            </w:r>
          </w:p>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（GB3095-2012）二级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方庄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1890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360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1180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top w:val="single" w:color="auto" w:sz="12" w:space="0"/>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樊庄</w:t>
            </w:r>
          </w:p>
        </w:tc>
        <w:tc>
          <w:tcPr>
            <w:tcW w:w="850"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p>
        </w:tc>
        <w:tc>
          <w:tcPr>
            <w:tcW w:w="1134"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2020</w:t>
            </w:r>
          </w:p>
        </w:tc>
        <w:tc>
          <w:tcPr>
            <w:tcW w:w="851"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100</w:t>
            </w:r>
          </w:p>
        </w:tc>
        <w:tc>
          <w:tcPr>
            <w:tcW w:w="850"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350</w:t>
            </w:r>
          </w:p>
        </w:tc>
        <w:tc>
          <w:tcPr>
            <w:tcW w:w="2418" w:type="dxa"/>
            <w:vMerge w:val="continue"/>
            <w:tcBorders>
              <w:top w:val="single" w:color="auto" w:sz="12" w:space="0"/>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bottom w:val="single" w:color="auto" w:sz="4"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胡楼</w:t>
            </w:r>
          </w:p>
        </w:tc>
        <w:tc>
          <w:tcPr>
            <w:tcW w:w="850" w:type="dxa"/>
            <w:tcBorders>
              <w:top w:val="single" w:color="auto" w:sz="6"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851" w:type="dxa"/>
            <w:tcBorders>
              <w:top w:val="single" w:color="auto" w:sz="6"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100</w:t>
            </w:r>
          </w:p>
        </w:tc>
        <w:tc>
          <w:tcPr>
            <w:tcW w:w="850" w:type="dxa"/>
            <w:tcBorders>
              <w:top w:val="single" w:color="auto" w:sz="6"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310</w:t>
            </w:r>
          </w:p>
        </w:tc>
        <w:tc>
          <w:tcPr>
            <w:tcW w:w="2418" w:type="dxa"/>
            <w:vMerge w:val="continue"/>
            <w:tcBorders>
              <w:left w:val="single" w:color="auto" w:sz="6" w:space="0"/>
              <w:bottom w:val="single" w:color="auto" w:sz="4"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top w:val="single" w:color="auto" w:sz="4" w:space="0"/>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4"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大董庄</w:t>
            </w:r>
          </w:p>
        </w:tc>
        <w:tc>
          <w:tcPr>
            <w:tcW w:w="850" w:type="dxa"/>
            <w:tcBorders>
              <w:top w:val="single" w:color="auto" w:sz="4"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4"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220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51" w:type="dxa"/>
            <w:tcBorders>
              <w:top w:val="single" w:color="auto" w:sz="4"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130</w:t>
            </w:r>
          </w:p>
        </w:tc>
        <w:tc>
          <w:tcPr>
            <w:tcW w:w="850" w:type="dxa"/>
            <w:tcBorders>
              <w:top w:val="single" w:color="auto" w:sz="4" w:space="0"/>
              <w:left w:val="single" w:color="auto" w:sz="6" w:space="0"/>
              <w:bottom w:val="single" w:color="auto" w:sz="4"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410</w:t>
            </w:r>
          </w:p>
        </w:tc>
        <w:tc>
          <w:tcPr>
            <w:tcW w:w="2418" w:type="dxa"/>
            <w:vMerge w:val="continue"/>
            <w:tcBorders>
              <w:top w:val="single" w:color="auto" w:sz="4" w:space="0"/>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小董庄</w:t>
            </w:r>
          </w:p>
        </w:tc>
        <w:tc>
          <w:tcPr>
            <w:tcW w:w="850"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39</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51"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230</w:t>
            </w:r>
          </w:p>
        </w:tc>
        <w:tc>
          <w:tcPr>
            <w:tcW w:w="850" w:type="dxa"/>
            <w:tcBorders>
              <w:top w:val="single" w:color="auto" w:sz="4"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翟庄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90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350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邢庄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1900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460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徐庄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1140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韩庄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1300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27</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82</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徐魏庄村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1910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148</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510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田庄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1650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310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李庄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2120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106</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372</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张含素</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2670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125</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486</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刘关庙</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2470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112</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392</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敬庄村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2450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152</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510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丁寨村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2815</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167</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785</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仙女铺</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240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840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李庄村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1210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220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770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贾桥村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2340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265</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985</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袁庄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99</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420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张堂</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1350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98</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343</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左湾</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116</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406</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韩桥村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52</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142</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497</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左庄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2050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320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1020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阎阁</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2215</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42</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122</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土洼</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2660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27</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张尧村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2700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180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862</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西平四中</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2330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720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金荷花园</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320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1120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西平民生医院</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1960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380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御景铭苑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213</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410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1435</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石化花苑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1980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735</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栗庄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2750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310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1180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邵庄村</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280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980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康李庄</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2870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330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1220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越中公寓</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2170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360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1260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vMerge w:val="continue"/>
            <w:tcBorders>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宏泰花园</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134"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1620</w:t>
            </w:r>
          </w:p>
        </w:tc>
        <w:tc>
          <w:tcPr>
            <w:tcW w:w="851"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140</w:t>
            </w:r>
          </w:p>
        </w:tc>
        <w:tc>
          <w:tcPr>
            <w:tcW w:w="850" w:type="dxa"/>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490</w:t>
            </w:r>
          </w:p>
        </w:tc>
        <w:tc>
          <w:tcPr>
            <w:tcW w:w="2418" w:type="dxa"/>
            <w:vMerge w:val="continue"/>
            <w:tcBorders>
              <w:left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地表水环境</w:t>
            </w:r>
          </w:p>
        </w:tc>
        <w:tc>
          <w:tcPr>
            <w:tcW w:w="1559"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红澍河</w:t>
            </w:r>
          </w:p>
        </w:tc>
        <w:tc>
          <w:tcPr>
            <w:tcW w:w="850" w:type="dxa"/>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p>
        </w:tc>
        <w:tc>
          <w:tcPr>
            <w:tcW w:w="1134" w:type="dxa"/>
            <w:tcBorders>
              <w:top w:val="single" w:color="auto" w:sz="6" w:space="0"/>
              <w:left w:val="single" w:color="auto" w:sz="6" w:space="0"/>
              <w:bottom w:val="single" w:color="auto" w:sz="6"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51"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850"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418" w:type="dxa"/>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《地表水环境质量标准》（GB3838-2002）</w:t>
            </w:r>
            <w:r>
              <w:rPr>
                <w:rFonts w:hint="eastAsia" w:cs="宋体" w:asciiTheme="minorEastAsia" w:hAnsiTheme="minorEastAsia"/>
                <w:color w:val="0D0D0D" w:themeColor="text1" w:themeTint="F2"/>
                <w:sz w:val="18"/>
                <w:szCs w:val="18"/>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地下水环境</w:t>
            </w:r>
          </w:p>
        </w:tc>
        <w:tc>
          <w:tcPr>
            <w:tcW w:w="3543" w:type="dxa"/>
            <w:gridSpan w:val="3"/>
            <w:tcBorders>
              <w:top w:val="single" w:color="auto" w:sz="6" w:space="0"/>
              <w:left w:val="single" w:color="auto" w:sz="6" w:space="0"/>
              <w:bottom w:val="single" w:color="auto" w:sz="6" w:space="0"/>
              <w:right w:val="single" w:color="auto" w:sz="4" w:space="0"/>
            </w:tcBorders>
            <w:vAlign w:val="center"/>
          </w:tcPr>
          <w:p>
            <w:pPr>
              <w:adjustRightInd w:val="0"/>
              <w:snapToGrid w:val="0"/>
              <w:spacing w:line="280" w:lineRule="exact"/>
              <w:ind w:firstLine="360" w:firstLineChars="20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项目所在区域地下水</w:t>
            </w:r>
          </w:p>
        </w:tc>
        <w:tc>
          <w:tcPr>
            <w:tcW w:w="851" w:type="dxa"/>
            <w:tcBorders>
              <w:top w:val="single" w:color="auto" w:sz="6" w:space="0"/>
              <w:left w:val="single" w:color="auto" w:sz="4" w:space="0"/>
              <w:bottom w:val="single" w:color="auto" w:sz="6"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850" w:type="dxa"/>
            <w:tcBorders>
              <w:top w:val="single" w:color="auto" w:sz="6" w:space="0"/>
              <w:left w:val="single" w:color="auto" w:sz="4"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418" w:type="dxa"/>
            <w:tcBorders>
              <w:top w:val="single" w:color="auto" w:sz="6" w:space="0"/>
              <w:left w:val="single" w:color="auto" w:sz="6" w:space="0"/>
              <w:bottom w:val="single" w:color="auto" w:sz="6" w:space="0"/>
              <w:right w:val="single" w:color="auto" w:sz="12" w:space="0"/>
            </w:tcBorders>
            <w:vAlign w:val="center"/>
          </w:tcPr>
          <w:p>
            <w:pPr>
              <w:adjustRightInd w:val="0"/>
              <w:snapToGrid w:val="0"/>
              <w:spacing w:line="260" w:lineRule="exac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t>《地下水环境质量标准》（GB/T14848-2017）</w:t>
            </w:r>
            <w:r>
              <w:rPr>
                <w:rFonts w:hint="eastAsia" w:cs="宋体" w:asciiTheme="minorEastAsia" w:hAnsiTheme="minorEastAsia"/>
                <w:color w:val="0D0D0D" w:themeColor="text1" w:themeTint="F2"/>
                <w:sz w:val="18"/>
                <w:szCs w:val="18"/>
                <w14:textFill>
                  <w14:solidFill>
                    <w14:schemeClr w14:val="tx1">
                      <w14:lumMod w14:val="95000"/>
                      <w14:lumOff w14:val="5000"/>
                    </w14:schemeClr>
                  </w14:solidFill>
                </w14:textFill>
              </w:rPr>
              <w:t>Ⅲ</w:t>
            </w:r>
            <w:r>
              <w:rPr>
                <w:rFonts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35" w:type="dxa"/>
            <w:tcBorders>
              <w:top w:val="single" w:color="auto" w:sz="6" w:space="0"/>
              <w:left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声环境</w:t>
            </w:r>
          </w:p>
        </w:tc>
        <w:tc>
          <w:tcPr>
            <w:tcW w:w="3543" w:type="dxa"/>
            <w:gridSpan w:val="3"/>
            <w:tcBorders>
              <w:top w:val="single" w:color="auto" w:sz="6" w:space="0"/>
              <w:left w:val="single" w:color="auto" w:sz="6" w:space="0"/>
              <w:bottom w:val="single" w:color="000000"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东、南、西、北厂界</w:t>
            </w:r>
          </w:p>
        </w:tc>
        <w:tc>
          <w:tcPr>
            <w:tcW w:w="851" w:type="dxa"/>
            <w:tcBorders>
              <w:top w:val="single" w:color="auto" w:sz="6" w:space="0"/>
              <w:left w:val="single" w:color="auto" w:sz="4" w:space="0"/>
              <w:bottom w:val="single" w:color="000000" w:sz="1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850" w:type="dxa"/>
            <w:tcBorders>
              <w:top w:val="single" w:color="auto" w:sz="6" w:space="0"/>
              <w:left w:val="single" w:color="auto" w:sz="4" w:space="0"/>
              <w:bottom w:val="single" w:color="000000"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418" w:type="dxa"/>
            <w:tcBorders>
              <w:top w:val="single" w:color="auto" w:sz="6" w:space="0"/>
              <w:left w:val="single" w:color="auto" w:sz="6" w:space="0"/>
              <w:bottom w:val="single" w:color="000000" w:sz="12" w:space="0"/>
              <w:right w:val="single" w:color="auto" w:sz="12" w:space="0"/>
            </w:tcBorders>
            <w:vAlign w:val="center"/>
          </w:tcPr>
          <w:p>
            <w:pPr>
              <w:adjustRightInd w:val="0"/>
              <w:snapToGrid w:val="0"/>
              <w:spacing w:line="260" w:lineRule="exact"/>
              <w:jc w:val="center"/>
              <w:rPr>
                <w:rFonts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t>《声环境质量标准》</w:t>
            </w:r>
          </w:p>
          <w:p>
            <w:pPr>
              <w:adjustRightInd w:val="0"/>
              <w:snapToGrid w:val="0"/>
              <w:spacing w:line="260" w:lineRule="exact"/>
              <w:jc w:val="center"/>
              <w:rPr>
                <w:rFonts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t>（GB3096-2008）3类</w:t>
            </w:r>
          </w:p>
        </w:tc>
      </w:tr>
    </w:tbl>
    <w:p>
      <w:pPr>
        <w:adjustRightInd w:val="0"/>
        <w:snapToGrid w:val="0"/>
        <w:spacing w:line="360" w:lineRule="auto"/>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14:textFill>
            <w14:solidFill>
              <w14:schemeClr w14:val="tx1">
                <w14:lumMod w14:val="95000"/>
                <w14:lumOff w14:val="5000"/>
              </w14:schemeClr>
            </w14:solidFill>
          </w14:textFill>
        </w:rPr>
        <w:drawing>
          <wp:anchor distT="0" distB="0" distL="114300" distR="114300" simplePos="0" relativeHeight="251659264" behindDoc="0" locked="0" layoutInCell="1" allowOverlap="1">
            <wp:simplePos x="0" y="0"/>
            <wp:positionH relativeFrom="column">
              <wp:posOffset>-125730</wp:posOffset>
            </wp:positionH>
            <wp:positionV relativeFrom="paragraph">
              <wp:posOffset>196850</wp:posOffset>
            </wp:positionV>
            <wp:extent cx="5486400" cy="3895725"/>
            <wp:effectExtent l="0" t="0" r="0" b="9525"/>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487748" cy="3896790"/>
                    </a:xfrm>
                    <a:prstGeom prst="rect">
                      <a:avLst/>
                    </a:prstGeom>
                    <a:noFill/>
                    <a:ln>
                      <a:noFill/>
                    </a:ln>
                    <a:effectLst/>
                  </pic:spPr>
                </pic:pic>
              </a:graphicData>
            </a:graphic>
          </wp:anchor>
        </w:drawing>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图1.6-1    项目周边主要环境保护目标分布图</w:t>
      </w: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21" w:name="_Toc489812791"/>
      <w:bookmarkStart w:id="22" w:name="_Toc11507"/>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1.7 厂址合理性分析</w:t>
      </w:r>
      <w:bookmarkEnd w:id="21"/>
      <w:bookmarkEnd w:id="22"/>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1.7.1 规划相符性分析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西平县产业集聚区静脉产业园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占地面积33350平方米（50亩）。根据西平县自然资源局出具的关于《西平县景虹再生资源有限公司年处理10万吨废旧轮胎低温裂解无害化资源化环保处理及循环再利用建设项目用地和选址意见的函》复函，本项目选址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西平县产业集聚区义岗路东侧、金凤大道北侧、启航路西侧、垃圾处理厂南侧，项目选址符合土地利用总体规划；且本项目位于静脉产业园，符合</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西平县产业集聚区产业布局要求。</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kern w:val="0"/>
          <w:sz w:val="24"/>
          <w:szCs w:val="30"/>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1.7.2 环境敏感性分析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（1）环境功能区划</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评价区域环境空气执行《环境空气质量标准》（GB3095-2012）二级标准；红澍河水质执行《地表水环境质量标准》（GB3838-2002）</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类标准；区域地下水水质执行《地下水质量标准》（GB/T14848-</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2017</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）中的</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类标准；区域声环境质量执行《声环境质量标准》（GB3096-2008）3类区标准。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（2）大气环境敏感性分析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本项目所在区域环境空气质量6项基本因子中，SO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、CO 均可满足《环境空气质量标准》（GB3095-2012）中的二级标准要求；PM</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不能满足《环境空气质量标准》（GB3095-2012）中的二级标准要求，项目区域环境空气质量判定为不达标区。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根据补充监测报告数据分析，</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项目厂址所在区域非甲烷总烃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、硫化氢、氨、TSP现状监测值均可满足相应空气质量标准限值</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。项目投入运营后，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各类</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废气经过治理后，大气污染物</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均可满足达标</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要求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，对区域环境空气影响较小。因此，项目选址区域大气环境敏感程度较低。</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（3）地表水环境敏感性分析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根据驻马店市地表水断面常规监测数据，近一年红澍河-上蔡陈桥断面各水质因子常规监测数据中，除2018年9月未出现超标情况外，其他月份均出现不同程度的超标，不能满足《地表水环境质量标准》（GB3838-2002）</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类标准限值。综合分析，出现超标的主要原因是流经区域生活污水汇入所致。本项目建成投产后，裂解含油废水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水封罐废水</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采用雾化喷嘴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雾化处理后喷入裂解炉燃烧室燃烧处理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，不外排；</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废气处理系统排放</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和</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厂区</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初期雨水经隔油预处理后，一同</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化粪</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池预处理后生活废水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进入厂区一体化污水处理设施处理</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满足污水厂进水标准，</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通过</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市政污水管网排入西平县第三污水处理厂</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进一步处理</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满足一级A排放标准，</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排入红澍河</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项目排水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不会对区域地表水环境产生明显</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不利</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影响</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，地表水环境敏感程度不高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（4）地下水环境敏感性分析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本项目厂址所在区域3个地下水监测点各监测因子现状监测值均能满足《地下水质量标准》（GB/T14848-2017）</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类标准的要求。建设项目场区地下水环境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敏感，在落实好防渗、防污</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等泄漏风险防控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措施后，本项目对地下水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影响较小。</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（5）声环境敏感性分析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本次</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项目拟建厂址</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规划的静脉产业园，厂区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东、南、西、北边界昼夜噪声监测值均能满足</w:t>
      </w:r>
      <w:r>
        <w:rPr>
          <w:rFonts w:cs="Times New Roman" w:asciiTheme="minorEastAsia" w:hAnsiTheme="minorEastAsia"/>
          <w:color w:val="0D0D0D" w:themeColor="text1" w:themeTint="F2"/>
          <w:sz w:val="24"/>
          <w:szCs w:val="24"/>
          <w:lang w:val="zh-CN"/>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声环境质量标准》（GB3096-2008）3类标准。项目拟建厂址周边200m范围内</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无</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声环境敏感点，项目选址区域声环境敏感性不强。</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1.7.3 “三线一单”符合性分析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原环境保护部《关于以改善环境质量为核心加强环境影响评价管理的通知》（环环评[2016]150号），切实加强环境管理，落实“生态保护红线、环境质量底线、资源利用上线和环境准入负面清单”(简称“三线一单”)约束，建立项目环评审批与规划环评、现有项目环境管理、区域环境质量联动机制，更好地发挥环评制度从源头防范环境污染和生态破坏的作用，加快推进改善环境质量。本项目与“三线一单”的符合性分析见表1.7-1。</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lang w:val="zh-CN"/>
          <w14:textFill>
            <w14:solidFill>
              <w14:schemeClr w14:val="tx1">
                <w14:lumMod w14:val="95000"/>
                <w14:lumOff w14:val="5000"/>
              </w14:schemeClr>
            </w14:solidFill>
          </w14:textFill>
        </w:rPr>
        <w:t>表</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1.7-1  本项目</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建设</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与</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区域</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“三线一单”</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管控约束要求</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符合性分析表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8"/>
        <w:gridCol w:w="6404"/>
        <w:gridCol w:w="1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98" w:type="dxa"/>
            <w:tcBorders>
              <w:top w:val="single" w:color="auto" w:sz="12" w:space="0"/>
              <w:left w:val="single" w:color="auto" w:sz="12" w:space="0"/>
            </w:tcBorders>
            <w:vAlign w:val="center"/>
          </w:tcPr>
          <w:p>
            <w:pPr>
              <w:widowControl/>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lang w:bidi="ar"/>
                <w14:textFill>
                  <w14:solidFill>
                    <w14:schemeClr w14:val="tx1">
                      <w14:lumMod w14:val="95000"/>
                      <w14:lumOff w14:val="5000"/>
                    </w14:schemeClr>
                  </w14:solidFill>
                </w14:textFill>
              </w:rPr>
              <w:t>“三线一单”</w:t>
            </w:r>
          </w:p>
        </w:tc>
        <w:tc>
          <w:tcPr>
            <w:tcW w:w="6404" w:type="dxa"/>
            <w:tcBorders>
              <w:top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本项目</w:t>
            </w:r>
          </w:p>
        </w:tc>
        <w:tc>
          <w:tcPr>
            <w:tcW w:w="1102" w:type="dxa"/>
            <w:tcBorders>
              <w:top w:val="single" w:color="auto" w:sz="12" w:space="0"/>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6" w:hRule="atLeast"/>
          <w:jc w:val="center"/>
        </w:trPr>
        <w:tc>
          <w:tcPr>
            <w:tcW w:w="1498" w:type="dxa"/>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生态保护红线</w:t>
            </w:r>
          </w:p>
        </w:tc>
        <w:tc>
          <w:tcPr>
            <w:tcW w:w="6404"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本项目位于西平县产业集聚区静脉产业园，</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用地</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不涉及环境敏感区及生态红线管控区范围。</w:t>
            </w:r>
          </w:p>
        </w:tc>
        <w:tc>
          <w:tcPr>
            <w:tcW w:w="1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8" w:hRule="atLeast"/>
          <w:jc w:val="center"/>
        </w:trPr>
        <w:tc>
          <w:tcPr>
            <w:tcW w:w="1498" w:type="dxa"/>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环境质量底线</w:t>
            </w:r>
          </w:p>
        </w:tc>
        <w:tc>
          <w:tcPr>
            <w:tcW w:w="6404"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 xml:space="preserve">大气评价区域 </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、CO 均可满足《环境空气质量标准》（GB3095-2012）中的二级标准要求；PM</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不能满足《环境空气质量标准》（GB3095-2012）中的二级标准要求，项目区域环境空气质量判定为不达标区。项目厂址所在区域内非甲烷总烃能够满足《大气污染物综合排放标准详解》中环境空气质量标准，硫化氢监测结果为：未检出</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；评价区地表水水质监测指标不能满足《地表水质量标准》（GB3838-2002）</w:t>
            </w:r>
            <w:r>
              <w:rPr>
                <w:rFonts w:hint="eastAsia" w:cs="宋体" w:asciiTheme="minorEastAsia" w:hAnsiTheme="minorEastAsia"/>
                <w:color w:val="0D0D0D" w:themeColor="text1" w:themeTint="F2"/>
                <w:kern w:val="0"/>
                <w:szCs w:val="21"/>
                <w:lang w:bidi="ar"/>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类标准，地下水</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满足《地下水质量标准》（GB/T14848-2017）</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fldChar w:fldCharType="begin"/>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instrText xml:space="preserve"> = 3 \* ROMAN \* MERGEFORMAT </w:instrTex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fldChar w:fldCharType="separate"/>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III</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fldChar w:fldCharType="end"/>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类标准要求</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；项目区昼夜等效声级均符合《声环境质量标准》（GB3096-2008）3 类标准</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。根据</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环境影响</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评价结论</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，项目运营期</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落实各项污染防治</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措施</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后，各类</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污染物</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排放</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对周边环境影响较小，</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能够满足区域环境功能区划和环境质量改善目标要求，</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不触及环境质量底线</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约束要求。</w:t>
            </w:r>
          </w:p>
        </w:tc>
        <w:tc>
          <w:tcPr>
            <w:tcW w:w="1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3" w:hRule="atLeast"/>
          <w:jc w:val="center"/>
        </w:trPr>
        <w:tc>
          <w:tcPr>
            <w:tcW w:w="1498" w:type="dxa"/>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资源利用上线</w:t>
            </w:r>
          </w:p>
        </w:tc>
        <w:tc>
          <w:tcPr>
            <w:tcW w:w="6404"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本项目利用废旧轮胎热解生产裂解油、炭黑</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、钢丝</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等，正常生产热源为裂解气</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燃烧提供</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，能源资源消耗很少，属于资源综合利用项目</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p>
        </w:tc>
        <w:tc>
          <w:tcPr>
            <w:tcW w:w="1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4" w:hRule="atLeast"/>
          <w:jc w:val="center"/>
        </w:trPr>
        <w:tc>
          <w:tcPr>
            <w:tcW w:w="1498" w:type="dxa"/>
            <w:tcBorders>
              <w:left w:val="single" w:color="auto" w:sz="12" w:space="0"/>
              <w:bottom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环境准入负面清单</w:t>
            </w:r>
          </w:p>
        </w:tc>
        <w:tc>
          <w:tcPr>
            <w:tcW w:w="6404" w:type="dxa"/>
            <w:tcBorders>
              <w:bottom w:val="single" w:color="auto" w:sz="12" w:space="0"/>
            </w:tcBorders>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项目建设符合相关产业政策，不</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属于西平县产业集聚区</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环境准入负面清单</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所列禁止类、限制类产业。</w:t>
            </w:r>
          </w:p>
        </w:tc>
        <w:tc>
          <w:tcPr>
            <w:tcW w:w="1102" w:type="dxa"/>
            <w:tcBorders>
              <w:bottom w:val="single" w:color="auto" w:sz="12"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相符</w:t>
            </w:r>
          </w:p>
        </w:tc>
      </w:tr>
    </w:tbl>
    <w:p>
      <w:pPr>
        <w:adjustRightInd w:val="0"/>
        <w:snapToGrid w:val="0"/>
        <w:spacing w:before="156" w:beforeLines="50" w:line="360" w:lineRule="auto"/>
        <w:ind w:firstLine="480" w:firstLineChars="200"/>
        <w:rPr>
          <w:rFonts w:cs="Times New Roman" w:asciiTheme="minorEastAsia" w:hAnsiTheme="minorEastAsia"/>
          <w:b/>
          <w:bCs/>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综上分析，项目选址区域符合相关规划和环境功能区划要求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环境敏感程度较低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；营运期环境影响可以接受；项目建设满足区域“三线一单”管控约束要求。因此，</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项目选址较为合理。</w:t>
      </w:r>
    </w:p>
    <w:p>
      <w:pPr>
        <w:keepNext/>
        <w:keepLines/>
        <w:adjustRightInd w:val="0"/>
        <w:snapToGrid w:val="0"/>
        <w:spacing w:before="156" w:beforeLines="50" w:line="360" w:lineRule="auto"/>
        <w:outlineLvl w:val="1"/>
        <w:rPr>
          <w:rFonts w:cs="Times New Roman" w:asciiTheme="minorEastAsia" w:hAnsiTheme="minorEastAsia"/>
          <w:b/>
          <w:bCs/>
          <w:color w:val="0D0D0D" w:themeColor="text1" w:themeTint="F2"/>
          <w:kern w:val="0"/>
          <w:sz w:val="28"/>
          <w:szCs w:val="30"/>
          <w14:textFill>
            <w14:solidFill>
              <w14:schemeClr w14:val="tx1">
                <w14:lumMod w14:val="95000"/>
                <w14:lumOff w14:val="5000"/>
              </w14:schemeClr>
            </w14:solidFill>
          </w14:textFill>
        </w:rPr>
      </w:pPr>
      <w:bookmarkStart w:id="23" w:name="_Toc29505"/>
      <w:bookmarkStart w:id="24" w:name="_Toc489812792"/>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1.8 产业政策</w:t>
      </w:r>
      <w:r>
        <w:rPr>
          <w:rFonts w:hint="eastAsia"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相符性</w:t>
      </w:r>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分析</w:t>
      </w:r>
      <w:bookmarkEnd w:id="23"/>
      <w:bookmarkEnd w:id="24"/>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bookmarkStart w:id="25" w:name="_Toc489812793"/>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本项目与《产业结构调整指导目录 （2019年 本）》</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、《废旧轮胎综合利用指导意见》(工产业政策2010第4号）、《废轮胎综合利用行业准入条件》(工信部公告2012第32号）等</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相关产业政策的相符性分析见表1.8-1</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adjustRightInd w:val="0"/>
        <w:snapToGrid w:val="0"/>
        <w:spacing w:line="360" w:lineRule="auto"/>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lang w:val="zh-CN"/>
          <w14:textFill>
            <w14:solidFill>
              <w14:schemeClr w14:val="tx1">
                <w14:lumMod w14:val="95000"/>
                <w14:lumOff w14:val="5000"/>
              </w14:schemeClr>
            </w14:solidFill>
          </w14:textFill>
        </w:rPr>
        <w:t>表</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1.8-1    本项目与</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相关产业、环保政策</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符合性分析表</w:t>
      </w:r>
    </w:p>
    <w:tbl>
      <w:tblPr>
        <w:tblStyle w:val="27"/>
        <w:tblW w:w="89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4129"/>
        <w:gridCol w:w="2525"/>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5434" w:type="dxa"/>
            <w:gridSpan w:val="2"/>
            <w:tcBorders>
              <w:top w:val="single" w:color="auto" w:sz="12" w:space="0"/>
              <w:lef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lang w:bidi="ar"/>
                <w14:textFill>
                  <w14:solidFill>
                    <w14:schemeClr w14:val="tx1">
                      <w14:lumMod w14:val="95000"/>
                      <w14:lumOff w14:val="5000"/>
                    </w14:schemeClr>
                  </w14:solidFill>
                </w14:textFill>
              </w:rPr>
              <w:t>政策名称</w:t>
            </w:r>
          </w:p>
        </w:tc>
        <w:tc>
          <w:tcPr>
            <w:tcW w:w="2525" w:type="dxa"/>
            <w:tcBorders>
              <w:top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本项目</w:t>
            </w:r>
          </w:p>
        </w:tc>
        <w:tc>
          <w:tcPr>
            <w:tcW w:w="1009" w:type="dxa"/>
            <w:tcBorders>
              <w:top w:val="single" w:color="auto" w:sz="12" w:space="0"/>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2" w:hRule="atLeast"/>
          <w:jc w:val="center"/>
        </w:trPr>
        <w:tc>
          <w:tcPr>
            <w:tcW w:w="1305" w:type="dxa"/>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《产业结构调整指导目录 （</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2019</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年 本）》</w:t>
            </w:r>
          </w:p>
        </w:tc>
        <w:tc>
          <w:tcPr>
            <w:tcW w:w="4129" w:type="dxa"/>
            <w:vAlign w:val="center"/>
          </w:tcPr>
          <w:p>
            <w:pPr>
              <w:widowControl/>
              <w:adjustRightInd w:val="0"/>
              <w:snapToGrid w:val="0"/>
              <w:jc w:val="left"/>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鼓励类“三十八、环境保护与资源节约综合利用-29、废旧电器电子产品、废印刷电路板、废旧电池、废旧船舶、废旧农机、废塑料、废橡胶、 废弃油脂等再生资源循环利用技术与设备开发”</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 xml:space="preserve"> </w:t>
            </w:r>
          </w:p>
        </w:tc>
        <w:tc>
          <w:tcPr>
            <w:tcW w:w="2525"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本项目为废旧轮胎资源化回收再利用</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009" w:type="dxa"/>
            <w:tcBorders>
              <w:righ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鼓励类， 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1" w:hRule="atLeast"/>
          <w:jc w:val="center"/>
        </w:trPr>
        <w:tc>
          <w:tcPr>
            <w:tcW w:w="1305" w:type="dxa"/>
            <w:vMerge w:val="restart"/>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《废轮胎综合利用行业准入条件》</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(工信部公告2012第32号）</w:t>
            </w:r>
          </w:p>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4129" w:type="dxa"/>
            <w:vAlign w:val="center"/>
          </w:tcPr>
          <w:p>
            <w:pPr>
              <w:widowControl/>
              <w:adjustRightInd w:val="0"/>
              <w:snapToGrid w:val="0"/>
              <w:jc w:val="left"/>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 xml:space="preserve">生产企业的设立和布局：在国家法律、法规、行政规章及规划确定或经县级以上人民政府批准的自然保护区、生态功能保护区、风景名胜区、森林公园、饮用水水源保护区内，以及大中城市、居民集中区、疗养地等环境条件要求较高的地点不得建立废轮胎加工利用企业... </w:t>
            </w:r>
          </w:p>
        </w:tc>
        <w:tc>
          <w:tcPr>
            <w:tcW w:w="2525"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本项目位于西平县产业集聚区静脉产业园</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p>
        </w:tc>
        <w:tc>
          <w:tcPr>
            <w:tcW w:w="100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jc w:val="center"/>
        </w:trPr>
        <w:tc>
          <w:tcPr>
            <w:tcW w:w="1305" w:type="dxa"/>
            <w:vMerge w:val="continue"/>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4129" w:type="dxa"/>
            <w:vAlign w:val="center"/>
          </w:tcPr>
          <w:p>
            <w:pPr>
              <w:widowControl/>
              <w:adjustRightInd w:val="0"/>
              <w:snapToGrid w:val="0"/>
              <w:jc w:val="left"/>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生产经营规模：新建、改扩建的废轮胎加工利用企业，年综合处理能力不得低于20000t</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 xml:space="preserve"> </w:t>
            </w:r>
          </w:p>
        </w:tc>
        <w:tc>
          <w:tcPr>
            <w:tcW w:w="2525"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本项目设计</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处理规模为100000t/a</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p>
        </w:tc>
        <w:tc>
          <w:tcPr>
            <w:tcW w:w="100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305" w:type="dxa"/>
            <w:vMerge w:val="continue"/>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4129" w:type="dxa"/>
            <w:vAlign w:val="center"/>
          </w:tcPr>
          <w:p>
            <w:pPr>
              <w:widowControl/>
              <w:adjustRightInd w:val="0"/>
              <w:snapToGrid w:val="0"/>
              <w:jc w:val="left"/>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 xml:space="preserve">资源回收利用：对废轮胎中的废纤维、废钢丝进行回收利用…… </w:t>
            </w:r>
          </w:p>
        </w:tc>
        <w:tc>
          <w:tcPr>
            <w:tcW w:w="2525"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废钢丝全部利用</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p>
        </w:tc>
        <w:tc>
          <w:tcPr>
            <w:tcW w:w="100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1305" w:type="dxa"/>
            <w:vMerge w:val="continue"/>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4129" w:type="dxa"/>
            <w:vAlign w:val="center"/>
          </w:tcPr>
          <w:p>
            <w:pPr>
              <w:widowControl/>
              <w:adjustRightInd w:val="0"/>
              <w:snapToGrid w:val="0"/>
              <w:jc w:val="left"/>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能源消耗指标：废轮胎热解加工综合能耗低于 300 千瓦时/吨……</w:t>
            </w:r>
          </w:p>
        </w:tc>
        <w:tc>
          <w:tcPr>
            <w:tcW w:w="2525"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本项目综合能耗21.6千瓦时/吨</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p>
        </w:tc>
        <w:tc>
          <w:tcPr>
            <w:tcW w:w="100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1305" w:type="dxa"/>
            <w:vMerge w:val="continue"/>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4129" w:type="dxa"/>
            <w:vAlign w:val="center"/>
          </w:tcPr>
          <w:p>
            <w:pPr>
              <w:widowControl/>
              <w:adjustRightInd w:val="0"/>
              <w:snapToGrid w:val="0"/>
              <w:jc w:val="left"/>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工艺与装备：热解企业采用负压热解技术，配套油品分离装置、炭黑加工装置、尾气排放环保控制装置，生产过程实现集成自动化和连续化……</w:t>
            </w:r>
          </w:p>
        </w:tc>
        <w:tc>
          <w:tcPr>
            <w:tcW w:w="2525"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采用微负压热解技术，配套油品分离装置、炭黑加工装置、尾气排放环保控制装置，生产过程实现集成自动化和连续化</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 xml:space="preserve"> </w:t>
            </w:r>
          </w:p>
        </w:tc>
        <w:tc>
          <w:tcPr>
            <w:tcW w:w="100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0" w:hRule="atLeast"/>
          <w:jc w:val="center"/>
        </w:trPr>
        <w:tc>
          <w:tcPr>
            <w:tcW w:w="1305" w:type="dxa"/>
            <w:vMerge w:val="continue"/>
            <w:tcBorders>
              <w:left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4129" w:type="dxa"/>
            <w:vAlign w:val="center"/>
          </w:tcPr>
          <w:p>
            <w:pPr>
              <w:widowControl/>
              <w:adjustRightInd w:val="0"/>
              <w:snapToGrid w:val="0"/>
              <w:jc w:val="left"/>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环境保护：废轮胎破碎处理厂房（区）应设置集尘和除尘设备，且粉尘收集设备的粉尘排放必须符合《大气污染物综合排放标准》的要求。热解处理装置尾气排放必须达到《大气污染物综合排放标准》、《恶臭污染物排放标准》</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p>
        </w:tc>
        <w:tc>
          <w:tcPr>
            <w:tcW w:w="2525" w:type="dxa"/>
            <w:vAlign w:val="center"/>
          </w:tcPr>
          <w:p>
            <w:pPr>
              <w:widowControl/>
              <w:adjustRightInd w:val="0"/>
              <w:snapToGrid w:val="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本项目不进行废轮胎破碎</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；热解装置尾气排放满足《大气污染物综合排放标准》、《恶臭污染物排放标准》</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等标准要求</w:t>
            </w: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100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5" w:type="dxa"/>
            <w:tcBorders>
              <w:left w:val="single" w:color="auto" w:sz="12" w:space="0"/>
              <w:bottom w:val="single" w:color="auto" w:sz="12" w:space="0"/>
            </w:tcBorders>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《废旧轮胎综合利用指导意见》(工产业政策2010第4号)</w:t>
            </w:r>
          </w:p>
        </w:tc>
        <w:tc>
          <w:tcPr>
            <w:tcW w:w="4129" w:type="dxa"/>
            <w:tcBorders>
              <w:bottom w:val="single" w:color="auto" w:sz="12" w:space="0"/>
            </w:tcBorders>
            <w:vAlign w:val="center"/>
          </w:tcPr>
          <w:p>
            <w:pPr>
              <w:widowControl/>
              <w:adjustRightInd w:val="0"/>
              <w:snapToGrid w:val="0"/>
              <w:jc w:val="left"/>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促进热裂解技术不断优化，推进热裂解过程降温微负压技术应用，提高热裂解炉自控稳定性和降温负压反应效率及热裂解回收产品附加值。确保运行系统密闭性，有效降低污染物排放，实现热裂解生产规范化、科学化、环保化、产业化</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加快橡胶粉直接应用、再生橡胶尾气净化、环保型负压热裂解等技术研发。</w:t>
            </w:r>
          </w:p>
        </w:tc>
        <w:tc>
          <w:tcPr>
            <w:tcW w:w="2525" w:type="dxa"/>
            <w:tcBorders>
              <w:bottom w:val="single" w:color="auto" w:sz="12" w:space="0"/>
            </w:tcBorders>
            <w:vAlign w:val="center"/>
          </w:tcPr>
          <w:p>
            <w:pPr>
              <w:widowControl/>
              <w:adjustRightInd w:val="0"/>
              <w:snapToGrid w:val="0"/>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本项目采用微负压热裂解技术</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处理废旧轮胎，热裂解炉采用自动化密闭运行方式，热裂解不凝气燃烧处理后可有效降低污染物排放，可实现热裂解规范化、科学化、环保化产业化。</w:t>
            </w:r>
          </w:p>
        </w:tc>
        <w:tc>
          <w:tcPr>
            <w:tcW w:w="1009" w:type="dxa"/>
            <w:tcBorders>
              <w:bottom w:val="single" w:color="auto" w:sz="12"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符合</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由表 1.8-1 可知，本项目属于产业政策鼓励类项目，符合废轮胎综合利用行业准入条件</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和</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废轮胎综合利用</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指导意见</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的相关</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要求。</w:t>
      </w: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26" w:name="_Toc28740"/>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1.9 专题设置</w:t>
      </w:r>
      <w:bookmarkEnd w:id="25"/>
      <w:bookmarkEnd w:id="26"/>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本项目的环境影响评价工作可分为三个阶段。第一阶段为前期准备、调研和工作方案阶段；第二阶段为分析论证和预测评价阶段；第三阶段为环境影响评价文件编制阶段。</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根据本项目特点及周围环境特点，按照建设项目环境影响报告书编制规范要求，本次评价拟设置以下专题：</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第一章 总则</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第二章 建设项目工程分析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第三章 区域环境概况</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四</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章 环境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质量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现状调查与评价</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章 环境影响预测与评价</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第六章 环境风险分析与评价</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章 环境保护措施及其可行性论证</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八</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章 环境影响经济损益分析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九</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章 环境管理与监测计划</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十</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章 环境影响评价结论</w:t>
      </w:r>
    </w:p>
    <w:p>
      <w:pPr>
        <w:keepNext/>
        <w:keepLines/>
        <w:adjustRightInd w:val="0"/>
        <w:snapToGrid w:val="0"/>
        <w:spacing w:before="156" w:beforeLines="50" w:line="360" w:lineRule="auto"/>
        <w:outlineLvl w:val="1"/>
        <w:rPr>
          <w:rFonts w:cs="Times New Roman" w:asciiTheme="minorEastAsia" w:hAnsiTheme="minorEastAsia"/>
          <w:b/>
          <w:bCs/>
          <w:color w:val="0D0D0D" w:themeColor="text1" w:themeTint="F2"/>
          <w:kern w:val="0"/>
          <w:sz w:val="28"/>
          <w:szCs w:val="30"/>
          <w14:textFill>
            <w14:solidFill>
              <w14:schemeClr w14:val="tx1">
                <w14:lumMod w14:val="95000"/>
                <w14:lumOff w14:val="5000"/>
              </w14:schemeClr>
            </w14:solidFill>
          </w14:textFill>
        </w:rPr>
      </w:pPr>
      <w:bookmarkStart w:id="27" w:name="_Toc489812794"/>
      <w:bookmarkStart w:id="28" w:name="_Toc20069"/>
      <w:r>
        <w:rPr>
          <w:rFonts w:cs="Times New Roman" w:asciiTheme="minorEastAsia" w:hAnsiTheme="minorEastAsia"/>
          <w:b/>
          <w:bCs/>
          <w:color w:val="0D0D0D" w:themeColor="text1" w:themeTint="F2"/>
          <w:kern w:val="0"/>
          <w:sz w:val="28"/>
          <w:szCs w:val="30"/>
          <w14:textFill>
            <w14:solidFill>
              <w14:schemeClr w14:val="tx1">
                <w14:lumMod w14:val="95000"/>
                <w14:lumOff w14:val="5000"/>
              </w14:schemeClr>
            </w14:solidFill>
          </w14:textFill>
        </w:rPr>
        <w:t>1.10 评价成果与形式</w:t>
      </w:r>
      <w:bookmarkEnd w:id="27"/>
      <w:bookmarkEnd w:id="28"/>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本项目评价成果为《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西平县景虹再生资源有限公司年处理10万吨废轮胎低温裂解无害化资源化环保处理及循环再利用建设项目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环境影响报告书》。</w:t>
      </w:r>
    </w:p>
    <w:p>
      <w:pPr>
        <w:keepNext/>
        <w:keepLines/>
        <w:adjustRightInd w:val="0"/>
        <w:snapToGrid w:val="0"/>
        <w:spacing w:before="156" w:beforeLines="50" w:line="360" w:lineRule="auto"/>
        <w:outlineLvl w:val="1"/>
        <w:rPr>
          <w:rFonts w:cs="Times New Roman" w:asciiTheme="minorEastAsia" w:hAnsiTheme="minorEastAsia"/>
          <w:b/>
          <w:bCs/>
          <w:color w:val="0D0D0D" w:themeColor="text1" w:themeTint="F2"/>
          <w:kern w:val="0"/>
          <w:sz w:val="28"/>
          <w:szCs w:val="30"/>
          <w14:textFill>
            <w14:solidFill>
              <w14:schemeClr w14:val="tx1">
                <w14:lumMod w14:val="95000"/>
                <w14:lumOff w14:val="5000"/>
              </w14:schemeClr>
            </w14:solidFill>
          </w14:textFill>
        </w:rPr>
      </w:pPr>
      <w:bookmarkStart w:id="29" w:name="_Toc489812795"/>
      <w:bookmarkStart w:id="30" w:name="_Toc9651"/>
      <w:r>
        <w:rPr>
          <w:rFonts w:cs="Times New Roman" w:asciiTheme="minorEastAsia" w:hAnsiTheme="minorEastAsia"/>
          <w:b/>
          <w:bCs/>
          <w:color w:val="0D0D0D" w:themeColor="text1" w:themeTint="F2"/>
          <w:kern w:val="0"/>
          <w:sz w:val="28"/>
          <w:szCs w:val="30"/>
          <w14:textFill>
            <w14:solidFill>
              <w14:schemeClr w14:val="tx1">
                <w14:lumMod w14:val="95000"/>
                <w14:lumOff w14:val="5000"/>
              </w14:schemeClr>
            </w14:solidFill>
          </w14:textFill>
        </w:rPr>
        <w:t>1.11 评价工作程序</w:t>
      </w:r>
      <w:bookmarkEnd w:id="29"/>
      <w:bookmarkEnd w:id="30"/>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本次环境影响评价的工作程序见图1.11-1。</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drawing>
          <wp:anchor distT="0" distB="0" distL="114300" distR="114300" simplePos="0" relativeHeight="251658240" behindDoc="0" locked="0" layoutInCell="1" allowOverlap="1">
            <wp:simplePos x="0" y="0"/>
            <wp:positionH relativeFrom="column">
              <wp:posOffset>62865</wp:posOffset>
            </wp:positionH>
            <wp:positionV relativeFrom="paragraph">
              <wp:posOffset>13970</wp:posOffset>
            </wp:positionV>
            <wp:extent cx="5210810" cy="665734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12806" cy="6660090"/>
                    </a:xfrm>
                    <a:prstGeom prst="rect">
                      <a:avLst/>
                    </a:prstGeom>
                    <a:noFill/>
                    <a:ln>
                      <a:noFill/>
                    </a:ln>
                    <a:effectLst/>
                  </pic:spPr>
                </pic:pic>
              </a:graphicData>
            </a:graphic>
          </wp:anchor>
        </w:drawing>
      </w: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图1.11-1  评价技术路线图</w:t>
      </w: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keepNext/>
        <w:keepLines/>
        <w:adjustRightInd w:val="0"/>
        <w:snapToGrid w:val="0"/>
        <w:spacing w:before="312" w:beforeLines="100" w:after="312" w:afterLines="100" w:line="360" w:lineRule="auto"/>
        <w:ind w:firstLine="723" w:firstLineChars="200"/>
        <w:jc w:val="center"/>
        <w:outlineLvl w:val="0"/>
        <w:rPr>
          <w:rFonts w:cs="Times New Roman" w:asciiTheme="minorEastAsia" w:hAnsiTheme="minorEastAsia"/>
          <w:b/>
          <w:color w:val="0D0D0D" w:themeColor="text1" w:themeTint="F2"/>
          <w:kern w:val="44"/>
          <w:sz w:val="36"/>
          <w:szCs w:val="24"/>
          <w14:textFill>
            <w14:solidFill>
              <w14:schemeClr w14:val="tx1">
                <w14:lumMod w14:val="95000"/>
                <w14:lumOff w14:val="5000"/>
              </w14:schemeClr>
            </w14:solidFill>
          </w14:textFill>
        </w:rPr>
      </w:pPr>
      <w:bookmarkStart w:id="31" w:name="_Toc14119"/>
      <w:r>
        <w:rPr>
          <w:rFonts w:cs="Times New Roman" w:asciiTheme="minorEastAsia" w:hAnsiTheme="minorEastAsia"/>
          <w:b/>
          <w:color w:val="0D0D0D" w:themeColor="text1" w:themeTint="F2"/>
          <w:kern w:val="44"/>
          <w:sz w:val="36"/>
          <w:szCs w:val="24"/>
          <w14:textFill>
            <w14:solidFill>
              <w14:schemeClr w14:val="tx1">
                <w14:lumMod w14:val="95000"/>
                <w14:lumOff w14:val="5000"/>
              </w14:schemeClr>
            </w14:solidFill>
          </w14:textFill>
        </w:rPr>
        <w:t>第二章  建设项目工程分析</w:t>
      </w:r>
      <w:bookmarkEnd w:id="31"/>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pPr>
      <w:bookmarkStart w:id="32" w:name="_Toc14176"/>
      <w:bookmarkStart w:id="33" w:name="_Toc491511073"/>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2.1 项目概况</w:t>
      </w:r>
      <w:bookmarkEnd w:id="32"/>
      <w:bookmarkEnd w:id="33"/>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2.1.1项目基本情况</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表2.1-1    项目基本情况一览表</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27"/>
        <w:gridCol w:w="73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项目</w:t>
            </w:r>
          </w:p>
        </w:tc>
        <w:tc>
          <w:tcPr>
            <w:tcW w:w="7377" w:type="dxa"/>
            <w:vAlign w:val="center"/>
          </w:tcPr>
          <w:p>
            <w:pPr>
              <w:adjustRightInd w:val="0"/>
              <w:snapToGrid w:val="0"/>
              <w:jc w:val="center"/>
              <w:textAlignment w:val="cente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Cs w:val="21"/>
                <w14:textFill>
                  <w14:solidFill>
                    <w14:schemeClr w14:val="tx1">
                      <w14:lumMod w14:val="95000"/>
                      <w14:lumOff w14:val="5000"/>
                    </w14:schemeClr>
                  </w14:solidFill>
                </w14:textFill>
              </w:rPr>
              <w:t>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项目名称</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西平县景虹再生资源有限公司年处理10万吨废轮胎低温裂解无害化资源化环保处理及循环再利用建设项目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建设性质</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行业类别</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C4220  非金属废料和碎屑加工处理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建设规模</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年处理</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10</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万吨废旧轮胎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建设地点</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西平县产业集聚区启航路静脉产业园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占地面积</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33350m</w:t>
            </w:r>
            <w:r>
              <w:rPr>
                <w:rFonts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（50亩）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建设内容</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新建2套废轮胎热裂解处理系统，年处理废轮胎10万吨。工程内容</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包括</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生产车间</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原料库、产品库、回收油储罐区及公用环保工程等。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工程投资</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总投资5000万元，其中环保投资</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429</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建设周期</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预计20</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年</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7</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月开工建设，20</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年</w:t>
            </w: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月建成投产，建设周期6个月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劳动定员</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20人，其中管理技术人员5人，生产人员15人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工作制度</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每天工作24h（三班制），年工作日300天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供水</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西平县</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产业集聚区供水管网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供电</w:t>
            </w:r>
          </w:p>
        </w:tc>
        <w:tc>
          <w:tcPr>
            <w:tcW w:w="7377" w:type="dxa"/>
            <w:vAlign w:val="center"/>
          </w:tcPr>
          <w:p>
            <w:pPr>
              <w:adjustRightInd w:val="0"/>
              <w:snapToGrid w:val="0"/>
              <w:jc w:val="center"/>
              <w:textAlignment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西平县</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产业集聚区供电站</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建设内容</w:t>
      </w:r>
    </w:p>
    <w:p>
      <w:pPr>
        <w:adjustRightInd w:val="0"/>
        <w:snapToGrid w:val="0"/>
        <w:spacing w:line="360" w:lineRule="auto"/>
        <w:ind w:firstLine="48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本项目建设内容主要有：主体工程、附属工程、公用工程、环保工程及绿化工程等，具体见表2.1-</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表2.1-</w:t>
      </w:r>
      <w:r>
        <w:rPr>
          <w:rFonts w:hint="eastAsia"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 xml:space="preserve">    项目建设内容一览表</w:t>
      </w:r>
    </w:p>
    <w:tbl>
      <w:tblPr>
        <w:tblStyle w:val="2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00"/>
        <w:gridCol w:w="1061"/>
        <w:gridCol w:w="71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00" w:type="dxa"/>
            <w:tcBorders>
              <w:left w:val="single" w:color="auto" w:sz="12" w:space="0"/>
            </w:tcBorders>
            <w:vAlign w:val="center"/>
          </w:tcPr>
          <w:p>
            <w:pPr>
              <w:autoSpaceDE w:val="0"/>
              <w:autoSpaceDN w:val="0"/>
              <w:adjustRightInd w:val="0"/>
              <w:snapToGrid w:val="0"/>
              <w:jc w:val="center"/>
              <w:rPr>
                <w:rFonts w:cs="Times New Roman" w:asciiTheme="minorEastAsia" w:hAnsiTheme="minorEastAsia"/>
                <w:b/>
                <w:bCs/>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pacing w:val="-3"/>
                <w:szCs w:val="21"/>
                <w14:textFill>
                  <w14:solidFill>
                    <w14:schemeClr w14:val="tx1">
                      <w14:lumMod w14:val="95000"/>
                      <w14:lumOff w14:val="5000"/>
                    </w14:schemeClr>
                  </w14:solidFill>
                </w14:textFill>
              </w:rPr>
              <w:t>项目</w:t>
            </w:r>
          </w:p>
          <w:p>
            <w:pPr>
              <w:autoSpaceDE w:val="0"/>
              <w:autoSpaceDN w:val="0"/>
              <w:adjustRightInd w:val="0"/>
              <w:snapToGrid w:val="0"/>
              <w:jc w:val="center"/>
              <w:rPr>
                <w:rFonts w:cs="Times New Roman" w:asciiTheme="minorEastAsia" w:hAnsiTheme="minorEastAsia"/>
                <w:b/>
                <w:bCs/>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pacing w:val="-3"/>
                <w:szCs w:val="21"/>
                <w14:textFill>
                  <w14:solidFill>
                    <w14:schemeClr w14:val="tx1">
                      <w14:lumMod w14:val="95000"/>
                      <w14:lumOff w14:val="5000"/>
                    </w14:schemeClr>
                  </w14:solidFill>
                </w14:textFill>
              </w:rPr>
              <w:t>组成</w:t>
            </w:r>
          </w:p>
        </w:tc>
        <w:tc>
          <w:tcPr>
            <w:tcW w:w="8204" w:type="dxa"/>
            <w:gridSpan w:val="2"/>
            <w:tcBorders>
              <w:right w:val="single" w:color="auto" w:sz="12" w:space="0"/>
            </w:tcBorders>
            <w:vAlign w:val="center"/>
          </w:tcPr>
          <w:p>
            <w:pPr>
              <w:autoSpaceDE w:val="0"/>
              <w:autoSpaceDN w:val="0"/>
              <w:adjustRightInd w:val="0"/>
              <w:snapToGrid w:val="0"/>
              <w:jc w:val="center"/>
              <w:rPr>
                <w:rFonts w:cs="Times New Roman" w:asciiTheme="minorEastAsia" w:hAnsiTheme="minorEastAsia"/>
                <w:b/>
                <w:bCs/>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pacing w:val="-3"/>
                <w:szCs w:val="21"/>
                <w14:textFill>
                  <w14:solidFill>
                    <w14:schemeClr w14:val="tx1">
                      <w14:lumMod w14:val="95000"/>
                      <w14:lumOff w14:val="5000"/>
                    </w14:schemeClr>
                  </w14:solidFill>
                </w14:textFill>
              </w:rPr>
              <w:t>建设内容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主体</w:t>
            </w:r>
          </w:p>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工程</w:t>
            </w:r>
          </w:p>
        </w:tc>
        <w:tc>
          <w:tcPr>
            <w:tcW w:w="1061" w:type="dxa"/>
            <w:tcBorders>
              <w:right w:val="single" w:color="auto" w:sz="4"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裂解车间</w:t>
            </w:r>
          </w:p>
        </w:tc>
        <w:tc>
          <w:tcPr>
            <w:tcW w:w="7143" w:type="dxa"/>
            <w:tcBorders>
              <w:left w:val="single" w:color="auto" w:sz="4" w:space="0"/>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新建</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一座，占地面积为6000m</w:t>
            </w:r>
            <w:r>
              <w:rPr>
                <w:rFonts w:cs="Times New Roman" w:asciiTheme="minorEastAsia" w:hAnsiTheme="minorEastAsia"/>
                <w:color w:val="0D0D0D" w:themeColor="text1" w:themeTint="F2"/>
                <w:spacing w:val="-3"/>
                <w:szCs w:val="21"/>
                <w:u w:val="single"/>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单层轻钢密闭结构；车间内</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建设2</w:t>
            </w: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套并联的废旧轮胎热裂解处理系统</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每套处理系统配备6台热裂解炉；每台</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炉配备1套不凝气燃烧供热系统、热裂解气</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冷凝回收油气</w:t>
            </w: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系统</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、油水分离器</w:t>
            </w: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及</w:t>
            </w:r>
            <w:r>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出渣系统等</w:t>
            </w:r>
            <w:r>
              <w:rPr>
                <w:rFonts w:hint="eastAsia"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restart"/>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附属</w:t>
            </w:r>
          </w:p>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工程</w:t>
            </w:r>
          </w:p>
        </w:tc>
        <w:tc>
          <w:tcPr>
            <w:tcW w:w="1061" w:type="dxa"/>
            <w:tcBorders>
              <w:right w:val="single" w:color="auto" w:sz="4"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原料库</w:t>
            </w:r>
          </w:p>
        </w:tc>
        <w:tc>
          <w:tcPr>
            <w:tcW w:w="7143" w:type="dxa"/>
            <w:tcBorders>
              <w:left w:val="single" w:color="auto" w:sz="4" w:space="0"/>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新建密闭</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废轮胎存储仓库1座，占地面积2000m</w:t>
            </w:r>
            <w:r>
              <w:rPr>
                <w:rFonts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单层，</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轻钢结构</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tcBorders>
              <w:right w:val="single" w:color="auto" w:sz="4"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成品库</w:t>
            </w:r>
          </w:p>
        </w:tc>
        <w:tc>
          <w:tcPr>
            <w:tcW w:w="7143" w:type="dxa"/>
            <w:tcBorders>
              <w:left w:val="single" w:color="auto" w:sz="4" w:space="0"/>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新建</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碳黑及钢丝存储仓库1座，占地面积1000m</w:t>
            </w:r>
            <w:r>
              <w:rPr>
                <w:rFonts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单层，</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轻钢结构</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tcBorders>
              <w:right w:val="single" w:color="auto" w:sz="4"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储罐区</w:t>
            </w:r>
          </w:p>
        </w:tc>
        <w:tc>
          <w:tcPr>
            <w:tcW w:w="7143" w:type="dxa"/>
            <w:tcBorders>
              <w:left w:val="single" w:color="auto" w:sz="4" w:space="0"/>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总</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占地面积约</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50</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0m</w:t>
            </w:r>
            <w:r>
              <w:rPr>
                <w:rFonts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设置</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6</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个</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柱状固定/</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内浮顶裂解油储罐</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，单个容积约</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1</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00m</w:t>
            </w:r>
            <w:r>
              <w:rPr>
                <w:rFonts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tcBorders>
              <w:right w:val="single" w:color="auto" w:sz="4"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事故水池</w:t>
            </w:r>
          </w:p>
        </w:tc>
        <w:tc>
          <w:tcPr>
            <w:tcW w:w="7143" w:type="dxa"/>
            <w:tcBorders>
              <w:left w:val="single" w:color="auto" w:sz="4" w:space="0"/>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占地面积100m</w:t>
            </w:r>
            <w:r>
              <w:rPr>
                <w:rFonts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，容积500m</w:t>
            </w:r>
            <w:r>
              <w:rPr>
                <w:rFonts w:hint="eastAsia"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，主要用于收集暂存事故废水。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tcBorders>
              <w:right w:val="single" w:color="auto" w:sz="4"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办公</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楼</w:t>
            </w:r>
          </w:p>
        </w:tc>
        <w:tc>
          <w:tcPr>
            <w:tcW w:w="7143" w:type="dxa"/>
            <w:tcBorders>
              <w:left w:val="single" w:color="auto" w:sz="4" w:space="0"/>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占地面积500m</w:t>
            </w:r>
            <w:r>
              <w:rPr>
                <w:rFonts w:hint="eastAsia"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，建筑</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面积1000m</w:t>
            </w:r>
            <w:r>
              <w:rPr>
                <w:rFonts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，2层框架结构，用于日常办公及职工食宿。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restart"/>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公用工程</w:t>
            </w: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供水</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水源来自</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产业集聚区供水管网</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。厂区设置冷却水系统，配备冷却塔2台。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排水</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项目厂区实施雨污分流、清污分流、污污分流排水制；生产废水</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初期雨水和</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生活污水</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经厂区污水站处理达标后，通过市政管网</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进入西平县第三污水处理厂</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进一步处理后排入红澍河。</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厂区后期雨水通过雨水管网系统排放红澍河。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供电</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产业集聚区电网专用线路</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供暖</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车间不</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设置</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供暖</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装置；</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办公区</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利用空调</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取暖</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restart"/>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环保</w:t>
            </w:r>
          </w:p>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工程</w:t>
            </w: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废水治理</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生产系统油水分离装置及</w:t>
            </w:r>
            <w:r>
              <w:rPr>
                <w:rFonts w:hint="eastAsia" w:cs="Times New Roman" w:asciiTheme="minorEastAsia" w:hAnsiTheme="minorEastAsia"/>
                <w:color w:val="0D0D0D" w:themeColor="text1" w:themeTint="F2"/>
                <w:kern w:val="0"/>
                <w:szCs w:val="21"/>
                <w:u w:val="single"/>
                <w:lang w:bidi="ar"/>
                <w14:textFill>
                  <w14:solidFill>
                    <w14:schemeClr w14:val="tx1">
                      <w14:lumMod w14:val="95000"/>
                      <w14:lumOff w14:val="5000"/>
                    </w14:schemeClr>
                  </w14:solidFill>
                </w14:textFill>
              </w:rPr>
              <w:t>水封罐检修产生的</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含油废水雾化后喷入</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余气燃烧装置焚烧</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处理</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。厂区地面初期雨水和废气脱硫除尘喷淋塔排放废水分别收集并经隔油沉淀池预处理后，一同化粪池预处理后的职工生活废水再经一体化污水处理设施（40m</w:t>
            </w:r>
            <w:r>
              <w:rPr>
                <w:rFonts w:hint="eastAsia" w:cs="Times New Roman" w:asciiTheme="minorEastAsia" w:hAnsiTheme="minorEastAsia"/>
                <w:color w:val="0D0D0D" w:themeColor="text1" w:themeTint="F2"/>
                <w:szCs w:val="21"/>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/d）处理达标后，</w:t>
            </w:r>
            <w:r>
              <w:rPr>
                <w:rFonts w:cs="Times New Roman" w:asciiTheme="minorEastAsia" w:hAnsiTheme="minorEastAsia"/>
                <w:color w:val="0D0D0D" w:themeColor="text1" w:themeTint="F2"/>
                <w:kern w:val="0"/>
                <w:szCs w:val="21"/>
                <w:u w:val="single"/>
                <w:lang w:bidi="ar"/>
                <w14:textFill>
                  <w14:solidFill>
                    <w14:schemeClr w14:val="tx1">
                      <w14:lumMod w14:val="95000"/>
                      <w14:lumOff w14:val="5000"/>
                    </w14:schemeClr>
                  </w14:solidFill>
                </w14:textFill>
              </w:rPr>
              <w:t>通过</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市政污水管网排入西平县第三污水处理厂进一步处理</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后排放地表水体。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废气治理</w:t>
            </w:r>
          </w:p>
        </w:tc>
        <w:tc>
          <w:tcPr>
            <w:tcW w:w="7143" w:type="dxa"/>
            <w:tcBorders>
              <w:bottom w:val="single" w:color="000000" w:sz="8" w:space="0"/>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废轮胎热裂解气经冷凝回收轻质、重质裂解油，不凝气大部分进入热裂解炉燃烧室燃烧供热，并</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采用“3T+E”燃烧控制技术，少量进入余气燃烧装置处理；燃烧废气采用</w:t>
            </w:r>
            <w:r>
              <w:rPr>
                <w:rFonts w:cs="Times New Roman" w:asciiTheme="minorEastAsia" w:hAnsiTheme="minorEastAsia"/>
                <w:color w:val="0D0D0D" w:themeColor="text1" w:themeTint="F2"/>
                <w:kern w:val="0"/>
                <w:szCs w:val="16"/>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16"/>
                <w:lang w:bidi="ar"/>
                <w14:textFill>
                  <w14:solidFill>
                    <w14:schemeClr w14:val="tx1">
                      <w14:lumMod w14:val="95000"/>
                      <w14:lumOff w14:val="5000"/>
                    </w14:schemeClr>
                  </w14:solidFill>
                </w14:textFill>
              </w:rPr>
              <w:t>SCR脱硝反应器</w:t>
            </w:r>
            <w:r>
              <w:rPr>
                <w:rFonts w:cs="Times New Roman" w:asciiTheme="minorEastAsia" w:hAnsiTheme="minorEastAsia"/>
                <w:color w:val="0D0D0D" w:themeColor="text1" w:themeTint="F2"/>
                <w:kern w:val="0"/>
                <w:szCs w:val="16"/>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16"/>
                <w:lang w:bidi="ar"/>
                <w14:textFill>
                  <w14:solidFill>
                    <w14:schemeClr w14:val="tx1">
                      <w14:lumMod w14:val="95000"/>
                      <w14:lumOff w14:val="5000"/>
                    </w14:schemeClr>
                  </w14:solidFill>
                </w14:textFill>
              </w:rPr>
              <w:t>二级雾化喷淋脱硫塔</w:t>
            </w:r>
            <w:r>
              <w:rPr>
                <w:rFonts w:cs="Times New Roman" w:asciiTheme="minorEastAsia" w:hAnsiTheme="minorEastAsia"/>
                <w:color w:val="0D0D0D" w:themeColor="text1" w:themeTint="F2"/>
                <w:kern w:val="0"/>
                <w:szCs w:val="16"/>
                <w:lang w:bidi="ar"/>
                <w14:textFill>
                  <w14:solidFill>
                    <w14:schemeClr w14:val="tx1">
                      <w14:lumMod w14:val="95000"/>
                      <w14:lumOff w14:val="5000"/>
                    </w14:schemeClr>
                  </w14:solidFill>
                </w14:textFill>
              </w:rPr>
              <w:t>+除雾器+袋式除尘器+UV光解一体机+活性炭吸附装置”</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（共14套）处理，尾气通过2根20m排气筒集束高空排放</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。粗碳黑和废钢丝出炉、包装工序产生的碳黑尘废气经集气罩收集，通过2台袋式除尘器处理，尾气经2根15m排气筒排放。</w:t>
            </w:r>
            <w:r>
              <w:rPr>
                <w:rFonts w:cs="Times New Roman" w:asciiTheme="minorEastAsia" w:hAnsiTheme="minorEastAsia"/>
                <w:iCs/>
                <w:color w:val="0D0D0D" w:themeColor="text1" w:themeTint="F2"/>
                <w:szCs w:val="16"/>
                <w14:textFill>
                  <w14:solidFill>
                    <w14:schemeClr w14:val="tx1">
                      <w14:lumMod w14:val="95000"/>
                      <w14:lumOff w14:val="5000"/>
                    </w14:schemeClr>
                  </w14:solidFill>
                </w14:textFill>
              </w:rPr>
              <w:t>食堂油烟废气</w:t>
            </w:r>
            <w:r>
              <w:rPr>
                <w:rFonts w:hint="eastAsia" w:cs="Times New Roman" w:asciiTheme="minorEastAsia" w:hAnsiTheme="minorEastAsia"/>
                <w:iCs/>
                <w:color w:val="0D0D0D" w:themeColor="text1" w:themeTint="F2"/>
                <w:szCs w:val="16"/>
                <w14:textFill>
                  <w14:solidFill>
                    <w14:schemeClr w14:val="tx1">
                      <w14:lumMod w14:val="95000"/>
                      <w14:lumOff w14:val="5000"/>
                    </w14:schemeClr>
                  </w14:solidFill>
                </w14:textFill>
              </w:rPr>
              <w:t>通过1套</w:t>
            </w:r>
            <w:r>
              <w:rPr>
                <w:rFonts w:cs="Times New Roman" w:asciiTheme="minorEastAsia" w:hAnsiTheme="minorEastAsia"/>
                <w:iCs/>
                <w:color w:val="0D0D0D" w:themeColor="text1" w:themeTint="F2"/>
                <w:szCs w:val="16"/>
                <w14:textFill>
                  <w14:solidFill>
                    <w14:schemeClr w14:val="tx1">
                      <w14:lumMod w14:val="95000"/>
                      <w14:lumOff w14:val="5000"/>
                    </w14:schemeClr>
                  </w14:solidFill>
                </w14:textFill>
              </w:rPr>
              <w:t>油烟净化器处理后经排烟管道引至</w:t>
            </w:r>
            <w:r>
              <w:rPr>
                <w:rFonts w:hint="eastAsia" w:cs="Times New Roman" w:asciiTheme="minorEastAsia" w:hAnsiTheme="minorEastAsia"/>
                <w:iCs/>
                <w:color w:val="0D0D0D" w:themeColor="text1" w:themeTint="F2"/>
                <w:szCs w:val="16"/>
                <w14:textFill>
                  <w14:solidFill>
                    <w14:schemeClr w14:val="tx1">
                      <w14:lumMod w14:val="95000"/>
                      <w14:lumOff w14:val="5000"/>
                    </w14:schemeClr>
                  </w14:solidFill>
                </w14:textFill>
              </w:rPr>
              <w:t>办公</w:t>
            </w:r>
            <w:r>
              <w:rPr>
                <w:rFonts w:cs="Times New Roman" w:asciiTheme="minorEastAsia" w:hAnsiTheme="minorEastAsia"/>
                <w:iCs/>
                <w:color w:val="0D0D0D" w:themeColor="text1" w:themeTint="F2"/>
                <w:szCs w:val="16"/>
                <w14:textFill>
                  <w14:solidFill>
                    <w14:schemeClr w14:val="tx1">
                      <w14:lumMod w14:val="95000"/>
                      <w14:lumOff w14:val="5000"/>
                    </w14:schemeClr>
                  </w14:solidFill>
                </w14:textFill>
              </w:rPr>
              <w:t>楼顶</w:t>
            </w:r>
            <w:r>
              <w:rPr>
                <w:rFonts w:hint="eastAsia" w:cs="Times New Roman" w:asciiTheme="minorEastAsia" w:hAnsiTheme="minorEastAsia"/>
                <w:iCs/>
                <w:color w:val="0D0D0D" w:themeColor="text1" w:themeTint="F2"/>
                <w:szCs w:val="16"/>
                <w14:textFill>
                  <w14:solidFill>
                    <w14:schemeClr w14:val="tx1">
                      <w14:lumMod w14:val="95000"/>
                      <w14:lumOff w14:val="5000"/>
                    </w14:schemeClr>
                  </w14:solidFill>
                </w14:textFill>
              </w:rPr>
              <w:t>高空</w:t>
            </w:r>
            <w:r>
              <w:rPr>
                <w:rFonts w:cs="Times New Roman" w:asciiTheme="minorEastAsia" w:hAnsiTheme="minorEastAsia"/>
                <w:iCs/>
                <w:color w:val="0D0D0D" w:themeColor="text1" w:themeTint="F2"/>
                <w:szCs w:val="16"/>
                <w14:textFill>
                  <w14:solidFill>
                    <w14:schemeClr w14:val="tx1">
                      <w14:lumMod w14:val="95000"/>
                      <w14:lumOff w14:val="5000"/>
                    </w14:schemeClr>
                  </w14:solidFill>
                </w14:textFill>
              </w:rPr>
              <w:t>排放</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炉处理废轮胎过程为密闭运行，</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投料</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、出料</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时保持</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炉内处于</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微负压状态</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，减少无组织热裂解气逸散；采取</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热裂解车间及粗碳黑包装车间二次密闭和负压抽风、热裂解炉设置密闭螺旋出渣系统、粗碳黑包装工序</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设置密闭螺旋送料包装</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机</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、落料点设置集气罩等措施</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控制无组织</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碳黑尘</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排放。</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裂解油储罐安装</w:t>
            </w: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油气回收装置</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，降低储罐大小呼吸有机废气排放。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噪声治理</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采用低噪声设备，合理布局采取基础减振、消声、隔声</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绿化等</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降噪</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措施</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vMerge w:val="continue"/>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固废处理处置</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建设1座50m</w:t>
            </w:r>
            <w:r>
              <w:rPr>
                <w:rFonts w:hint="eastAsia"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危废库和1座50m</w:t>
            </w:r>
            <w:r>
              <w:rPr>
                <w:rFonts w:hint="eastAsia"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一般固废暂存间。产品粗碳黑、裂解油及废钢丝等作为再生资源外售；袋除尘收集粉尘作为碳黑产品外售；废气处理装置产生的</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脱硫除尘渣</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、废水处理系统污泥及</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生活垃圾</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转运垃圾填埋场处置；废脱硝催化剂、废油渣、废油泥、废活性炭、废灯管等危险废物交有资质单位处置。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00" w:type="dxa"/>
            <w:tcBorders>
              <w:left w:val="single" w:color="auto" w:sz="12" w:space="0"/>
            </w:tcBorders>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绿化</w:t>
            </w:r>
          </w:p>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工程</w:t>
            </w:r>
          </w:p>
        </w:tc>
        <w:tc>
          <w:tcPr>
            <w:tcW w:w="1061" w:type="dxa"/>
            <w:vAlign w:val="center"/>
          </w:tcPr>
          <w:p>
            <w:pPr>
              <w:autoSpaceDE w:val="0"/>
              <w:autoSpaceDN w:val="0"/>
              <w:adjustRightInd w:val="0"/>
              <w:snapToGrid w:val="0"/>
              <w:jc w:val="cente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绿化</w:t>
            </w:r>
          </w:p>
        </w:tc>
        <w:tc>
          <w:tcPr>
            <w:tcW w:w="7143" w:type="dxa"/>
            <w:tcBorders>
              <w:right w:val="single" w:color="auto" w:sz="12" w:space="0"/>
            </w:tcBorders>
            <w:vAlign w:val="center"/>
          </w:tcPr>
          <w:p>
            <w:pPr>
              <w:autoSpaceDE w:val="0"/>
              <w:autoSpaceDN w:val="0"/>
              <w:adjustRightInd w:val="0"/>
              <w:snapToGrid w:val="0"/>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厂区绿化面积</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约5</w:t>
            </w: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000m</w:t>
            </w:r>
            <w:r>
              <w:rPr>
                <w:rFonts w:cs="Times New Roman" w:asciiTheme="minorEastAsia" w:hAnsiTheme="minorEastAsia"/>
                <w:color w:val="0D0D0D" w:themeColor="text1" w:themeTint="F2"/>
                <w:spacing w:val="-3"/>
                <w:szCs w:val="21"/>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主要生产设备</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项目建设2套</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废轮胎热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处理系统，配套12台热裂解炉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及配套设施，生产设备主要包括回自动进料机、转窑式裂解炉、</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燃烧器、汽包、</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裂解气冷凝器、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油水分离</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器、螺旋出渣机、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裂解油接收罐及储存罐、粗碳黑包装</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系统等，主要生产设备见下表 2.1-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jc w:val="center"/>
        <w:rPr>
          <w:rFonts w:cs="Times New Roman" w:asciiTheme="minorEastAsia" w:hAnsiTheme="minorEastAsia"/>
          <w:b/>
          <w:color w:val="0D0D0D" w:themeColor="text1" w:themeTint="F2"/>
          <w:kern w:val="0"/>
          <w:sz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表2.1-</w:t>
      </w:r>
      <w:r>
        <w:rPr>
          <w:rFonts w:hint="eastAsia"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 xml:space="preserve">    主要生产设备</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2701"/>
        <w:gridCol w:w="1036"/>
        <w:gridCol w:w="2650"/>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12"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序号</w:t>
            </w:r>
          </w:p>
        </w:tc>
        <w:tc>
          <w:tcPr>
            <w:tcW w:w="1585"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设备名称</w:t>
            </w:r>
          </w:p>
        </w:tc>
        <w:tc>
          <w:tcPr>
            <w:tcW w:w="608"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单位</w:t>
            </w:r>
          </w:p>
        </w:tc>
        <w:tc>
          <w:tcPr>
            <w:tcW w:w="1555" w:type="pct"/>
            <w:tcBorders>
              <w:top w:val="single" w:color="auto" w:sz="12"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型号</w:t>
            </w:r>
          </w:p>
        </w:tc>
        <w:tc>
          <w:tcPr>
            <w:tcW w:w="705" w:type="pct"/>
            <w:tcBorders>
              <w:top w:val="single" w:color="auto" w:sz="12"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w:t>
            </w:r>
          </w:p>
        </w:tc>
        <w:tc>
          <w:tcPr>
            <w:tcW w:w="1585" w:type="pct"/>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自动进料机</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widowControl/>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XY-AL200</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2</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回转窑式裂解炉</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2600×6600mm</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3</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竖式</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裂解气冷凝器</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裂解炉配套</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4</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裂解油接受</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罐</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个</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Cs w:val="16"/>
                <w:vertAlign w:val="superscript"/>
                <w14:textFill>
                  <w14:solidFill>
                    <w14:schemeClr w14:val="tx1">
                      <w14:lumMod w14:val="95000"/>
                      <w14:lumOff w14:val="5000"/>
                    </w14:schemeClr>
                  </w14:solidFill>
                </w14:textFill>
              </w:rPr>
              <w:t>3</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5</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气体缓冲罐</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个</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Φ</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700×1500×4.5mm</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6</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热裂解炉体冷却系统</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套</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3000×3000×6000mm</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7</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汽包</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个</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900×1500mm</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8</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燃烧器</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12台热裂解炉</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配套</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24台；2套余气燃烧装置配备2台</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9</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油水分离</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器</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套</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10</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叉车</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辆</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11</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风机</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3.15A-2-1.5kW-380V</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螺旋出渣机</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L=2.5m</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 xml:space="preserve">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13</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循环泵</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2.2kW50-160A</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用</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14</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储存罐</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00m</w:t>
            </w:r>
            <w:r>
              <w:rPr>
                <w:rFonts w:cs="Times New Roman" w:asciiTheme="minorEastAsia" w:hAnsiTheme="minorEastAsia"/>
                <w:color w:val="0D0D0D" w:themeColor="text1" w:themeTint="F2"/>
                <w:szCs w:val="16"/>
                <w:vertAlign w:val="superscript"/>
                <w14:textFill>
                  <w14:solidFill>
                    <w14:schemeClr w14:val="tx1">
                      <w14:lumMod w14:val="95000"/>
                      <w14:lumOff w14:val="5000"/>
                    </w14:schemeClr>
                  </w14:solidFill>
                </w14:textFill>
              </w:rPr>
              <w:t>3</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15</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轻质</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柴油储罐</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Cs w:val="16"/>
                <w:vertAlign w:val="superscript"/>
                <w14:textFill>
                  <w14:solidFill>
                    <w14:schemeClr w14:val="tx1">
                      <w14:lumMod w14:val="95000"/>
                      <w14:lumOff w14:val="5000"/>
                    </w14:schemeClr>
                  </w14:solidFill>
                </w14:textFill>
              </w:rPr>
              <w:t>3</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16</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封闭式料斗</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套</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7</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螺旋送料包装机</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18</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废钢丝打包机</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19</w:t>
            </w:r>
          </w:p>
        </w:tc>
        <w:tc>
          <w:tcPr>
            <w:tcW w:w="158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减速机</w:t>
            </w:r>
          </w:p>
        </w:tc>
        <w:tc>
          <w:tcPr>
            <w:tcW w:w="608"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JZQ-500</w:t>
            </w:r>
          </w:p>
        </w:tc>
        <w:tc>
          <w:tcPr>
            <w:tcW w:w="705" w:type="pct"/>
            <w:tcBorders>
              <w:top w:val="single" w:color="auto" w:sz="6" w:space="0"/>
              <w:left w:val="single" w:color="auto" w:sz="6" w:space="0"/>
              <w:bottom w:val="single" w:color="auto" w:sz="6"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47" w:type="pct"/>
            <w:tcBorders>
              <w:top w:val="single" w:color="auto" w:sz="6" w:space="0"/>
              <w:left w:val="single" w:color="auto" w:sz="12" w:space="0"/>
              <w:bottom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20</w:t>
            </w:r>
          </w:p>
        </w:tc>
        <w:tc>
          <w:tcPr>
            <w:tcW w:w="1585" w:type="pct"/>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变频电机</w:t>
            </w:r>
          </w:p>
        </w:tc>
        <w:tc>
          <w:tcPr>
            <w:tcW w:w="608" w:type="pct"/>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台</w:t>
            </w:r>
          </w:p>
        </w:tc>
        <w:tc>
          <w:tcPr>
            <w:tcW w:w="1555" w:type="pct"/>
            <w:tcBorders>
              <w:top w:val="single" w:color="auto" w:sz="6" w:space="0"/>
              <w:left w:val="single" w:color="auto" w:sz="6" w:space="0"/>
              <w:bottom w:val="single" w:color="auto" w:sz="12" w:space="0"/>
              <w:right w:val="single" w:color="auto" w:sz="6"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1.5</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-5.5Kw-380V</w:t>
            </w:r>
          </w:p>
        </w:tc>
        <w:tc>
          <w:tcPr>
            <w:tcW w:w="705" w:type="pct"/>
            <w:tcBorders>
              <w:top w:val="single" w:color="auto" w:sz="6" w:space="0"/>
              <w:left w:val="single" w:color="auto" w:sz="6" w:space="0"/>
              <w:bottom w:val="single" w:color="auto" w:sz="12" w:space="0"/>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30</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bookmarkStart w:id="34" w:name="_Toc491511074"/>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产品方案及生产规模</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1、产品方案</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本项目采用微负压热解技术</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处理废轮胎，</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回收</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粗碳黑、裂解油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和钢丝，其中</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主要出售给炼油厂家，不可作为成品油违规出售。</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2、产品规模</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设计</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年处理废旧轮胎10万吨，采用</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微负压</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热</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裂解工艺，根据</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热裂解</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设备生产厂家</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提供的</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大量中试试验</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成果</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及</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现有同类</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工程</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设备运行数据资料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废轮胎热</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处理后的</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物</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碳黑、</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钢丝及裂解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气冷凝</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不凝气，</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产出率</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分别</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为：4</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8</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%。产品</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粗碳黑、</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裂解油</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及副产品废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钢丝</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外售，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裂解气</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冷凝后的不凝气作为燃料送入裂解炉燃烧室</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燃烧供热</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按设备</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厂</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家提供的生产参数进行核算</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，本次工程主要产品种类及其设计生产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规模见表2.1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表2.1-</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本项目设计规模一览表</w:t>
      </w:r>
    </w:p>
    <w:tbl>
      <w:tblPr>
        <w:tblStyle w:val="27"/>
        <w:tblW w:w="9004"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48"/>
        <w:gridCol w:w="1800"/>
        <w:gridCol w:w="1616"/>
        <w:gridCol w:w="47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48" w:type="dxa"/>
            <w:tcBorders>
              <w:lef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t>序号</w:t>
            </w:r>
          </w:p>
        </w:tc>
        <w:tc>
          <w:tcPr>
            <w:tcW w:w="1800" w:type="dxa"/>
            <w:vAlign w:val="center"/>
          </w:tcPr>
          <w:p>
            <w:pPr>
              <w:adjustRightInd w:val="0"/>
              <w:snapToGrid w:val="0"/>
              <w:jc w:val="cente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t>主要产品名称</w:t>
            </w:r>
          </w:p>
        </w:tc>
        <w:tc>
          <w:tcPr>
            <w:tcW w:w="1616" w:type="dxa"/>
            <w:vAlign w:val="center"/>
          </w:tcPr>
          <w:p>
            <w:pPr>
              <w:adjustRightInd w:val="0"/>
              <w:snapToGrid w:val="0"/>
              <w:jc w:val="cente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t>产量（t/a）</w:t>
            </w:r>
          </w:p>
        </w:tc>
        <w:tc>
          <w:tcPr>
            <w:tcW w:w="4740" w:type="dxa"/>
            <w:tcBorders>
              <w:right w:val="single" w:color="auto" w:sz="12" w:space="0"/>
            </w:tcBorders>
            <w:vAlign w:val="center"/>
          </w:tcPr>
          <w:p>
            <w:pPr>
              <w:adjustRightInd w:val="0"/>
              <w:snapToGrid w:val="0"/>
              <w:jc w:val="cente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u w:val="single"/>
                <w14:textFill>
                  <w14:solidFill>
                    <w14:schemeClr w14:val="tx1">
                      <w14:lumMod w14:val="95000"/>
                      <w14:lumOff w14:val="5000"/>
                    </w14:schemeClr>
                  </w14:solidFill>
                </w14:textFill>
              </w:rPr>
              <w:t>产品去向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48"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w:t>
            </w:r>
          </w:p>
        </w:tc>
        <w:tc>
          <w:tcPr>
            <w:tcW w:w="1800"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粗碳黑</w:t>
            </w:r>
          </w:p>
        </w:tc>
        <w:tc>
          <w:tcPr>
            <w:tcW w:w="1616"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000</w:t>
            </w:r>
          </w:p>
        </w:tc>
        <w:tc>
          <w:tcPr>
            <w:tcW w:w="4740"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出售给</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橡胶制品、防水材料生产企业或碳黑深加工企业作为原料</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等</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48"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2</w:t>
            </w:r>
          </w:p>
        </w:tc>
        <w:tc>
          <w:tcPr>
            <w:tcW w:w="1800"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重质裂解油</w:t>
            </w:r>
          </w:p>
        </w:tc>
        <w:tc>
          <w:tcPr>
            <w:tcW w:w="1616"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15</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000</w:t>
            </w:r>
          </w:p>
        </w:tc>
        <w:tc>
          <w:tcPr>
            <w:tcW w:w="4740" w:type="dxa"/>
            <w:vMerge w:val="restart"/>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出售给炼油厂家</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进一步加工成品油。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48"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3</w:t>
            </w:r>
          </w:p>
        </w:tc>
        <w:tc>
          <w:tcPr>
            <w:tcW w:w="1800"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轻质裂解油</w:t>
            </w:r>
          </w:p>
        </w:tc>
        <w:tc>
          <w:tcPr>
            <w:tcW w:w="1616"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30000</w:t>
            </w:r>
          </w:p>
        </w:tc>
        <w:tc>
          <w:tcPr>
            <w:tcW w:w="4740" w:type="dxa"/>
            <w:vMerge w:val="continue"/>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48"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4</w:t>
            </w:r>
          </w:p>
        </w:tc>
        <w:tc>
          <w:tcPr>
            <w:tcW w:w="1800"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废</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钢丝</w:t>
            </w:r>
          </w:p>
        </w:tc>
        <w:tc>
          <w:tcPr>
            <w:tcW w:w="1616"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000</w:t>
            </w:r>
          </w:p>
        </w:tc>
        <w:tc>
          <w:tcPr>
            <w:tcW w:w="4740"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外售</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废</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旧资源回收中心。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848"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5</w:t>
            </w:r>
          </w:p>
        </w:tc>
        <w:tc>
          <w:tcPr>
            <w:tcW w:w="1800"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热裂解不凝气</w:t>
            </w:r>
          </w:p>
        </w:tc>
        <w:tc>
          <w:tcPr>
            <w:tcW w:w="1616"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7500</w:t>
            </w:r>
          </w:p>
        </w:tc>
        <w:tc>
          <w:tcPr>
            <w:tcW w:w="4740"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作为热裂解炉供热燃料，综合利用。</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主要原辅材料及资源能源消耗</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项目原料废旧轮胎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主要来自当地及周边废旧轮胎集中回收企业，以</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汽车轮胎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为主，约占90%，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力车轮胎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约为10%。</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根据项目原料控制方案，收购入厂的</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原材料废旧轮胎</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已经上游供货单位进行预处理，预处理主要包括切除轮胎钢圈及含氯素橡胶成分、整轮胎切割分块、清洗杂质等。因此，本项目处理的</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废旧轮胎不含氯元素</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，入厂后不再进行破碎、分拣、清洗等预处理作业，可直接送入热裂解炉进行处理。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由于原料</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废轮胎露天堆放</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会发生老化而释放</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有机物质</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及碳黑粉尘等</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，对土壤、地表水及地下水造成影响</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；因此，</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购进</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的废轮胎</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原料全部</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堆放在具有</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“防雨淋、防扬散、防渗漏”等</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措施</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的原料库</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内，</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原料库建设满足</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 xml:space="preserve">《一般工业固体废物贮存、处置场污染控制标准》（GB18599-2001）及 2013 年修改单要求。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本项目主要原辅材料及资源能源消耗情况详见表2.1-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ind w:firstLine="482" w:firstLineChars="20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表2.1-</w:t>
      </w:r>
      <w:r>
        <w:rPr>
          <w:rFonts w:hint="eastAsia"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 xml:space="preserve">5  </w:t>
      </w:r>
      <w: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 xml:space="preserve">  项目主要原辅材料消耗表</w:t>
      </w:r>
    </w:p>
    <w:tbl>
      <w:tblPr>
        <w:tblStyle w:val="27"/>
        <w:tblW w:w="87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4"/>
        <w:gridCol w:w="1523"/>
        <w:gridCol w:w="1276"/>
        <w:gridCol w:w="1276"/>
        <w:gridCol w:w="35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4" w:type="dxa"/>
            <w:tcBorders>
              <w:left w:val="single" w:color="auto" w:sz="12" w:space="0"/>
            </w:tcBorders>
            <w:vAlign w:val="center"/>
          </w:tcPr>
          <w:p>
            <w:pPr>
              <w:adjustRightInd w:val="0"/>
              <w:snapToGrid w:val="0"/>
              <w:spacing w:line="300" w:lineRule="exact"/>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类别</w:t>
            </w:r>
          </w:p>
        </w:tc>
        <w:tc>
          <w:tcPr>
            <w:tcW w:w="1523" w:type="dxa"/>
            <w:vAlign w:val="center"/>
          </w:tcPr>
          <w:p>
            <w:pPr>
              <w:adjustRightInd w:val="0"/>
              <w:snapToGrid w:val="0"/>
              <w:spacing w:line="300" w:lineRule="exact"/>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名称</w:t>
            </w:r>
          </w:p>
        </w:tc>
        <w:tc>
          <w:tcPr>
            <w:tcW w:w="1276" w:type="dxa"/>
            <w:vAlign w:val="center"/>
          </w:tcPr>
          <w:p>
            <w:pPr>
              <w:adjustRightInd w:val="0"/>
              <w:snapToGrid w:val="0"/>
              <w:spacing w:line="300" w:lineRule="exact"/>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年耗量</w:t>
            </w:r>
          </w:p>
        </w:tc>
        <w:tc>
          <w:tcPr>
            <w:tcW w:w="1276" w:type="dxa"/>
            <w:vAlign w:val="center"/>
          </w:tcPr>
          <w:p>
            <w:pPr>
              <w:adjustRightInd w:val="0"/>
              <w:snapToGrid w:val="0"/>
              <w:spacing w:line="300" w:lineRule="exact"/>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最大贮量</w:t>
            </w:r>
          </w:p>
        </w:tc>
        <w:tc>
          <w:tcPr>
            <w:tcW w:w="3544" w:type="dxa"/>
            <w:tcBorders>
              <w:right w:val="single" w:color="auto" w:sz="12" w:space="0"/>
            </w:tcBorders>
            <w:vAlign w:val="center"/>
          </w:tcPr>
          <w:p>
            <w:pPr>
              <w:adjustRightInd w:val="0"/>
              <w:snapToGrid w:val="0"/>
              <w:spacing w:line="300" w:lineRule="exact"/>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Cs w:val="21"/>
                <w14:textFill>
                  <w14:solidFill>
                    <w14:schemeClr w14:val="tx1">
                      <w14:lumMod w14:val="95000"/>
                      <w14:lumOff w14:val="5000"/>
                    </w14:schemeClr>
                  </w14:solidFill>
                </w14:textFill>
              </w:rPr>
              <w:t>形态及</w:t>
            </w:r>
            <w: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4" w:type="dxa"/>
            <w:vMerge w:val="restart"/>
            <w:tcBorders>
              <w:lef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原料辅料</w:t>
            </w:r>
          </w:p>
        </w:tc>
        <w:tc>
          <w:tcPr>
            <w:tcW w:w="1523"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废旧轮胎</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10万t</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1000t</w:t>
            </w:r>
          </w:p>
        </w:tc>
        <w:tc>
          <w:tcPr>
            <w:tcW w:w="3544" w:type="dxa"/>
            <w:tcBorders>
              <w:righ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块状，外购废旧</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轮胎回收</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企业；汽车运输。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4" w:type="dxa"/>
            <w:vMerge w:val="continue"/>
            <w:tcBorders>
              <w:lef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523"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氢氧化钠</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t</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t</w:t>
            </w:r>
          </w:p>
        </w:tc>
        <w:tc>
          <w:tcPr>
            <w:tcW w:w="3544" w:type="dxa"/>
            <w:tcBorders>
              <w:righ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片状固体，外购，汽车运输。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4" w:type="dxa"/>
            <w:vMerge w:val="continue"/>
            <w:tcBorders>
              <w:lef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523"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尿素</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t</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t</w:t>
            </w:r>
          </w:p>
        </w:tc>
        <w:tc>
          <w:tcPr>
            <w:tcW w:w="3544" w:type="dxa"/>
            <w:tcBorders>
              <w:righ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固体，外购，汽车运输。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4" w:type="dxa"/>
            <w:vMerge w:val="restart"/>
            <w:tcBorders>
              <w:lef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资源能源</w:t>
            </w:r>
          </w:p>
        </w:tc>
        <w:tc>
          <w:tcPr>
            <w:tcW w:w="1523"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新鲜水</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23460m</w:t>
            </w:r>
            <w:r>
              <w:rPr>
                <w:rFonts w:hint="eastAsia"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544" w:type="dxa"/>
            <w:tcBorders>
              <w:righ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产业集聚区供水管网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4" w:type="dxa"/>
            <w:vMerge w:val="continue"/>
            <w:tcBorders>
              <w:left w:val="single" w:color="auto" w:sz="12" w:space="0"/>
            </w:tcBorders>
            <w:vAlign w:val="center"/>
          </w:tcPr>
          <w:p>
            <w:pPr>
              <w:adjustRightInd w:val="0"/>
              <w:snapToGrid w:val="0"/>
              <w:spacing w:line="300" w:lineRule="exact"/>
              <w:ind w:firstLine="420" w:firstLineChars="20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523"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电</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64.8万度</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544" w:type="dxa"/>
            <w:tcBorders>
              <w:righ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pacing w:val="-3"/>
                <w:szCs w:val="21"/>
                <w14:textFill>
                  <w14:solidFill>
                    <w14:schemeClr w14:val="tx1">
                      <w14:lumMod w14:val="95000"/>
                      <w14:lumOff w14:val="5000"/>
                    </w14:schemeClr>
                  </w14:solidFill>
                </w14:textFill>
              </w:rPr>
              <w:t>产业集聚区电网专用线路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94" w:type="dxa"/>
            <w:vMerge w:val="continue"/>
            <w:tcBorders>
              <w:left w:val="single" w:color="auto" w:sz="12" w:space="0"/>
            </w:tcBorders>
            <w:vAlign w:val="center"/>
          </w:tcPr>
          <w:p>
            <w:pPr>
              <w:adjustRightInd w:val="0"/>
              <w:snapToGrid w:val="0"/>
              <w:spacing w:line="300" w:lineRule="exact"/>
              <w:ind w:firstLine="420" w:firstLineChars="20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523"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优质柴油</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15t</w:t>
            </w:r>
          </w:p>
        </w:tc>
        <w:tc>
          <w:tcPr>
            <w:tcW w:w="1276" w:type="dxa"/>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3.0t</w:t>
            </w:r>
          </w:p>
        </w:tc>
        <w:tc>
          <w:tcPr>
            <w:tcW w:w="3544" w:type="dxa"/>
            <w:tcBorders>
              <w:right w:val="single" w:color="auto" w:sz="12" w:space="0"/>
            </w:tcBorders>
            <w:vAlign w:val="center"/>
          </w:tcPr>
          <w:p>
            <w:pPr>
              <w:adjustRightInd w:val="0"/>
              <w:snapToGrid w:val="0"/>
              <w:spacing w:line="30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外购</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，汽车运输。</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废轮胎成分介绍如下：</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经查阅相关资料，汽车轮胎是由</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橡胶</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碳黑</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及其他助剂组成的</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复合</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橡胶</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材料</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制品。</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典型废旧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橡胶轮胎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主要组成如下表2.1-6。</w:t>
      </w:r>
    </w:p>
    <w:p>
      <w:pPr>
        <w:adjustRightInd w:val="0"/>
        <w:snapToGrid w:val="0"/>
        <w:spacing w:line="360" w:lineRule="auto"/>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2.1-6</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典型废旧轮胎</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组成</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p>
    <w:tbl>
      <w:tblPr>
        <w:tblStyle w:val="2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76"/>
        <w:gridCol w:w="1058"/>
        <w:gridCol w:w="1043"/>
        <w:gridCol w:w="1171"/>
        <w:gridCol w:w="1043"/>
        <w:gridCol w:w="1564"/>
        <w:gridCol w:w="15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32" w:type="pct"/>
            <w:vMerge w:val="restar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材料名称</w:t>
            </w:r>
          </w:p>
        </w:tc>
        <w:tc>
          <w:tcPr>
            <w:tcW w:w="1233" w:type="pct"/>
            <w:gridSpan w:val="2"/>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胎面（50%）</w:t>
            </w:r>
          </w:p>
        </w:tc>
        <w:tc>
          <w:tcPr>
            <w:tcW w:w="1299" w:type="pct"/>
            <w:gridSpan w:val="2"/>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胎侧（21%）</w:t>
            </w:r>
          </w:p>
        </w:tc>
        <w:tc>
          <w:tcPr>
            <w:tcW w:w="918" w:type="pct"/>
            <w:vMerge w:val="restar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带束层胶（4%）</w:t>
            </w:r>
          </w:p>
        </w:tc>
        <w:tc>
          <w:tcPr>
            <w:tcW w:w="918" w:type="pct"/>
            <w:vMerge w:val="restar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胎体胶（25%）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载重车轮</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乘用车轮</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载重车轮</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乘用车轮</w:t>
            </w:r>
          </w:p>
        </w:tc>
        <w:tc>
          <w:tcPr>
            <w:tcW w:w="9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9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橡胶</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58.1</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55.4</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57.2</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60.1</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54.9</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氧化锌</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2.9</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2.8</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2.9</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1.8</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5.5</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硬脂酸</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1.4</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1.1</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0.5</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防老剂</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2.3</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1.7</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0.9</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2.1</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1.6</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油类软化</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1.7</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3.9</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3.4</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3.6</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2.2</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碳黑</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31.9</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33.3</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31.5</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3.1</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24.7</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促进剂</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0.5</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0.5</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0.4</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0.7</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3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硫</w:t>
            </w:r>
          </w:p>
        </w:tc>
        <w:tc>
          <w:tcPr>
            <w:tcW w:w="621"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687"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612"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1.3</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2.2</w:t>
            </w:r>
          </w:p>
        </w:tc>
        <w:tc>
          <w:tcPr>
            <w:tcW w:w="9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1.8</w:t>
            </w:r>
          </w:p>
        </w:tc>
      </w:tr>
    </w:tbl>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根据调查资料，轮胎生产使用的橡胶原料主要为不含氯元素的接枝天然橡胶和丁基橡胶、异戊橡胶、顺丁橡胶、丁苯橡胶等人工合成橡胶，部分轮胎内层使用极少量的卤化丁基橡胶。</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lang w:val="en-GB"/>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本项目营运期严控原料来源及成分，购进原料为不含卤化丁基橡胶和已经切割去除含氯元素橡胶成分的废轮胎；因此，</w:t>
      </w:r>
      <w:r>
        <w:rPr>
          <w:rFonts w:hint="eastAsia" w:cs="Times New Roman" w:asciiTheme="minorEastAsia" w:hAnsiTheme="minorEastAsia"/>
          <w:color w:val="0D0D0D" w:themeColor="text1" w:themeTint="F2"/>
          <w:sz w:val="24"/>
          <w:szCs w:val="24"/>
          <w:u w:val="single"/>
          <w:lang w:val="en-GB"/>
          <w14:textFill>
            <w14:solidFill>
              <w14:schemeClr w14:val="tx1">
                <w14:lumMod w14:val="95000"/>
                <w14:lumOff w14:val="5000"/>
              </w14:schemeClr>
            </w14:solidFill>
          </w14:textFill>
        </w:rPr>
        <w:t>处理的废轮胎不含氯元素。</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lang w:val="en-GB"/>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根据建设单位提供的数据资料，本项目</w:t>
      </w:r>
      <w:r>
        <w:rPr>
          <w:rFonts w:hint="eastAsia" w:cs="Times New Roman" w:asciiTheme="minorEastAsia" w:hAnsiTheme="minorEastAsia"/>
          <w:color w:val="0D0D0D" w:themeColor="text1" w:themeTint="F2"/>
          <w:sz w:val="24"/>
          <w:szCs w:val="24"/>
          <w:u w:val="single"/>
          <w:lang w:val="en-GB"/>
          <w14:textFill>
            <w14:solidFill>
              <w14:schemeClr w14:val="tx1">
                <w14:lumMod w14:val="95000"/>
                <w14:lumOff w14:val="5000"/>
              </w14:schemeClr>
            </w14:solidFill>
          </w14:textFill>
        </w:rPr>
        <w:t>原料废轮胎的主要成分及所含元素分析见下表2.1-7。</w:t>
      </w:r>
    </w:p>
    <w:p>
      <w:pPr>
        <w:adjustRightInd w:val="0"/>
        <w:snapToGrid w:val="0"/>
        <w:spacing w:line="520" w:lineRule="exact"/>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项目处理</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废旧轮胎成分</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分析</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p>
    <w:tbl>
      <w:tblPr>
        <w:tblStyle w:val="2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04"/>
        <w:gridCol w:w="2334"/>
        <w:gridCol w:w="1795"/>
        <w:gridCol w:w="248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项目</w:t>
            </w: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组分</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单位</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完整轮胎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restar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工业分析</w:t>
            </w: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水分</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挥发份</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64.6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固定碳</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灰分</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restar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元素分析</w:t>
            </w: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C</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 xml:space="preserve"> </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74.5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H</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O</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bookmarkStart w:id="35" w:name="OLE_LINK1"/>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bookmarkEnd w:id="35"/>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Fe</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Merge w:val="continue"/>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370"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其他</w:t>
            </w:r>
          </w:p>
        </w:tc>
        <w:tc>
          <w:tcPr>
            <w:tcW w:w="1054"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5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18" w:type="pct"/>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发热量</w:t>
            </w:r>
          </w:p>
        </w:tc>
        <w:tc>
          <w:tcPr>
            <w:tcW w:w="3882" w:type="pct"/>
            <w:gridSpan w:val="3"/>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34922.8kJ/kg</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由上表元素分析可知，轮胎里面C元素含量74.5%。轮胎里面所含材料种类繁多，主要以石化材料为主，多数材料在300℃至400℃的温度区间内均可分解。</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轮胎中的纤维帘线以聚酯帘线、锦纶帘线以及钢丝帘线为主，其中钢丝帘线不参与热解，最终以热解钢丝的形式回收利用，聚酯帘线也就是聚对苯二甲酸乙二醇酯（PET）帘线、锦纶帘线的主要成分是尼龙，这两种帘线均为化学合成纤维，在轮胎热解过程中发生热解成小分子物质，主要裂解成为不凝气。</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2.1.</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6</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总平面布置</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根据设计原则、结合场地现状及其环境条件，按照</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项目厂区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总平面布置分为生产区、原料和产品罐区、公用工程区以及办公生活区等。生产车间布置在厂区南部，由西向东依次为废旧轮胎堆棚、热裂解主车间、碳黑包装车间，为方便物料的运输，碳黑包装车间位于热裂解主车间东侧；成品仓库在主生产车间北侧；裂解油储罐布置在</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车间西</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侧</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、原料库南侧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，设置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6</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座</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00m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立式</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浮顶油罐，配套油品装卸及输送设施；空压站、配电室布置在主车间北侧，靠近用电负荷。循环水泵房</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系统</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布置在</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车间西</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侧。生活区位于西北侧，</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远离</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生产区，与生产区分隔设置，形成相对独立生活空间，包含综合楼、食堂及生活设施两部分，综合楼布置在</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厂区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的西</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北</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侧，食堂及生活设施布置在该区的东侧。</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厂区平面布置图详见附图三。 </w:t>
      </w:r>
    </w:p>
    <w:p>
      <w:pPr>
        <w:widowControl/>
        <w:adjustRightInd w:val="0"/>
        <w:snapToGrid w:val="0"/>
        <w:spacing w:line="360" w:lineRule="auto"/>
        <w:jc w:val="left"/>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36" w:name="_Toc26858"/>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2.2 公用</w:t>
      </w:r>
      <w:bookmarkEnd w:id="36"/>
      <w:r>
        <w:rPr>
          <w:rFonts w:hint="eastAsia"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工程</w:t>
      </w:r>
    </w:p>
    <w:p>
      <w:pPr>
        <w:widowControl/>
        <w:adjustRightInd w:val="0"/>
        <w:snapToGrid w:val="0"/>
        <w:spacing w:line="360" w:lineRule="auto"/>
        <w:jc w:val="left"/>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2.2.1 供水</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及冷却水系统</w:t>
      </w:r>
      <w:r>
        <w:rPr>
          <w:rFonts w:cs="Times New Roman" w:asciiTheme="minorEastAsia" w:hAnsiTheme="minorEastAsia"/>
          <w:b/>
          <w:color w:val="0D0D0D" w:themeColor="text1" w:themeTint="F2"/>
          <w:kern w:val="0"/>
          <w:sz w:val="28"/>
          <w:szCs w:val="28"/>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新鲜水用量约33600m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/a。</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由</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集聚区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市政供水管网接入，直接供给各个用水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单元</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工程设计</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新建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循环水池</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座，配套</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台</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150m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的冷却水塔，供水压力</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0.5MPa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，给水温度</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℃，回水温度</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37</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widowControl/>
        <w:adjustRightInd w:val="0"/>
        <w:snapToGrid w:val="0"/>
        <w:spacing w:line="360" w:lineRule="auto"/>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2.2.2 排水</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项目厂区排水实施雨污分流</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、污污分流、清污分流排水制</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，雨水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经厂区雨水管网系统收集，</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通过厂区雨</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排放口向北经自然沟</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排入红澍河。</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系统油水分离器和水封罐检修产生的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含油废水雾化后喷入</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余气燃烧装置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其他生产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初期雨水和职工生活废水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经厂区1套40m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/d的一体化污水处理设施处理后，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市政污水管网排入西平县第三污水处理厂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进一步处理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满足一级A排放标准后</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排入红澍河。</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jc w:val="left"/>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2.2.3 消防</w:t>
      </w:r>
      <w: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根据《建筑设计防火规范》（GB50016-2014）本项目新建车间室外消防水量为20L/s，室内所需水量为10L/s，火灾时间按3小时计，则一次火灾所需水量为324m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工程新建1座500m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消防水池</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消防泵房</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和</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专用消防供水装置，消防供水量为30L/s，供水压力 0.5MPa，满足本项目消防供水水量及水压要求。</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厂区消防采用临时高压消防给水系统，厂区室外环状给水管网上设双出口地下式消火栓，消火栓间距小于60米。车间室内设DN65室内消火栓，消火栓箱处设直接启动给水泵房专用消防泵的控制按钮。厂区各建筑物内按规范要求设置一定数量的手提式干粉灭火器，以备初期火灾时使用。 </w:t>
      </w:r>
    </w:p>
    <w:p>
      <w:pPr>
        <w:widowControl/>
        <w:adjustRightInd w:val="0"/>
        <w:snapToGrid w:val="0"/>
        <w:spacing w:line="360" w:lineRule="auto"/>
        <w:jc w:val="left"/>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2.2.4 供电系统</w:t>
      </w:r>
      <w: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电力供应由园区电网提供，园区供电线路已敷设至</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场地，</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可</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就近接入。 </w:t>
      </w:r>
    </w:p>
    <w:p>
      <w:pPr>
        <w:widowControl/>
        <w:adjustRightInd w:val="0"/>
        <w:snapToGrid w:val="0"/>
        <w:spacing w:line="360" w:lineRule="auto"/>
        <w:jc w:val="left"/>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2.2.5 供热系统</w:t>
      </w:r>
      <w: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项目裂解炉</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首次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启动时</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燃烧室利用轻质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柴油</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作为燃料</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燃烧供热，裂解</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处理系统达到正常连续运行工况后，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使用</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废轮胎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裂解不凝气</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作为燃料燃烧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供热。</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工程厂区设置1座3m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轻质柴油储罐，不设置热裂解不凝气储气设备，热裂解炉利用后多余的热裂解不凝气进入2套余气燃烧装置燃烧处理。</w:t>
      </w:r>
    </w:p>
    <w:p>
      <w:pPr>
        <w:keepNext/>
        <w:keepLines/>
        <w:adjustRightInd w:val="0"/>
        <w:snapToGrid w:val="0"/>
        <w:spacing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2.2.6 储运系统</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（1）原料储运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废轮胎储存区位于厂区东北角，设置全封闭库房，建筑面积约3000m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，高14m，用于原料废轮胎的卸车和储存。工程原料采用汽车运输。</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（2）产品及副产品储运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24"/>
          <w:szCs w:val="24"/>
          <w:u w:val="single"/>
          <w14:textFill>
            <w14:solidFill>
              <w14:schemeClr w14:val="tx1">
                <w14:lumMod w14:val="95000"/>
                <w14:lumOff w14:val="5000"/>
              </w14:schemeClr>
            </w14:solidFill>
          </w14:textFill>
        </w:rPr>
        <w:t>①</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裂解油储存</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本项目裂解</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产生的裂解油</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采用</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4座100m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立式内浮顶及2座100m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固定顶</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储油罐储存，储油罐区位于厂内生产车间</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西</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侧，占地面积约</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500</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。工程裂解油产品采用罐车汽运外售。</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厂区裂解油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具体储存情况见表2.2-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520" w:lineRule="exact"/>
        <w:ind w:firstLine="480" w:firstLineChars="200"/>
        <w:jc w:val="left"/>
        <w:rPr>
          <w:rFonts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t>表</w:t>
      </w:r>
      <w:r>
        <w:rPr>
          <w:rFonts w:hint="eastAsia"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t>2.2-1</w:t>
      </w:r>
      <w:r>
        <w:rPr>
          <w:rFonts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t xml:space="preserve">     </w:t>
      </w:r>
      <w:r>
        <w:rPr>
          <w:rFonts w:hint="eastAsia"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t xml:space="preserve"> </w:t>
      </w:r>
      <w:r>
        <w:rPr>
          <w:rFonts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t xml:space="preserve">  </w:t>
      </w:r>
      <w:r>
        <w:rPr>
          <w:rFonts w:hint="eastAsia"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t>本工程裂解油储存情况</w:t>
      </w:r>
      <w:r>
        <w:rPr>
          <w:rFonts w:cs="Times New Roman" w:asciiTheme="minorEastAsia" w:hAnsiTheme="minorEastAsia"/>
          <w:bCs/>
          <w:color w:val="0D0D0D" w:themeColor="text1" w:themeTint="F2"/>
          <w:sz w:val="24"/>
          <w:szCs w:val="20"/>
          <w14:textFill>
            <w14:solidFill>
              <w14:schemeClr w14:val="tx1">
                <w14:lumMod w14:val="95000"/>
                <w14:lumOff w14:val="5000"/>
              </w14:schemeClr>
            </w14:solidFill>
          </w14:textFill>
        </w:rPr>
        <w:t>一览表</w:t>
      </w:r>
    </w:p>
    <w:tbl>
      <w:tblPr>
        <w:tblStyle w:val="27"/>
        <w:tblW w:w="841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6" w:space="0"/>
        </w:tblBorders>
        <w:tblLayout w:type="fixed"/>
        <w:tblCellMar>
          <w:top w:w="15" w:type="dxa"/>
          <w:left w:w="15" w:type="dxa"/>
          <w:bottom w:w="15" w:type="dxa"/>
          <w:right w:w="15" w:type="dxa"/>
        </w:tblCellMar>
      </w:tblPr>
      <w:tblGrid>
        <w:gridCol w:w="1734"/>
        <w:gridCol w:w="1158"/>
        <w:gridCol w:w="55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6" w:space="0"/>
          </w:tblBorders>
          <w:tblCellMar>
            <w:top w:w="15" w:type="dxa"/>
            <w:left w:w="15" w:type="dxa"/>
            <w:bottom w:w="15" w:type="dxa"/>
            <w:right w:w="15" w:type="dxa"/>
          </w:tblCellMar>
        </w:tblPrEx>
        <w:trPr>
          <w:trHeight w:val="492" w:hRule="atLeast"/>
          <w:jc w:val="center"/>
        </w:trPr>
        <w:tc>
          <w:tcPr>
            <w:tcW w:w="1734" w:type="dxa"/>
            <w:tcBorders>
              <w:right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储罐名称</w:t>
            </w:r>
          </w:p>
        </w:tc>
        <w:tc>
          <w:tcPr>
            <w:tcW w:w="1158" w:type="dxa"/>
            <w:tcBorders>
              <w:left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储罐</w:t>
            </w: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数量</w:t>
            </w:r>
          </w:p>
        </w:tc>
        <w:tc>
          <w:tcPr>
            <w:tcW w:w="5527"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储存位置及储罐类型、</w:t>
            </w: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规格</w:t>
            </w: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、工作参数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6" w:space="0"/>
          </w:tblBorders>
          <w:tblCellMar>
            <w:top w:w="15" w:type="dxa"/>
            <w:left w:w="15" w:type="dxa"/>
            <w:bottom w:w="15" w:type="dxa"/>
            <w:right w:w="15" w:type="dxa"/>
          </w:tblCellMar>
        </w:tblPrEx>
        <w:trPr>
          <w:trHeight w:val="587" w:hRule="atLeast"/>
          <w:jc w:val="center"/>
        </w:trPr>
        <w:tc>
          <w:tcPr>
            <w:tcW w:w="1734" w:type="dxa"/>
            <w:tcBorders>
              <w:right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裂解油</w:t>
            </w: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储罐</w:t>
            </w:r>
          </w:p>
        </w:tc>
        <w:tc>
          <w:tcPr>
            <w:tcW w:w="1158" w:type="dxa"/>
            <w:tcBorders>
              <w:left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6座</w:t>
            </w:r>
          </w:p>
        </w:tc>
        <w:tc>
          <w:tcPr>
            <w:tcW w:w="5527" w:type="dxa"/>
            <w:vAlign w:val="center"/>
          </w:tcPr>
          <w:p>
            <w:pPr>
              <w:widowControl/>
              <w:adjustRightInd w:val="0"/>
              <w:snapToGrid w:val="0"/>
              <w:jc w:val="center"/>
              <w:textAlignment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位于裂解油产品储罐区，单个</w:t>
            </w:r>
            <w:r>
              <w:rPr>
                <w:rFonts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容积</w:t>
            </w: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1</w:t>
            </w:r>
            <w:r>
              <w:rPr>
                <w:rFonts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00m</w:t>
            </w:r>
            <w:r>
              <w:rPr>
                <w:rFonts w:cs="Times New Roman" w:asciiTheme="minorEastAsia" w:hAnsiTheme="minorEastAsia"/>
                <w:bCs/>
                <w:color w:val="0D0D0D" w:themeColor="text1" w:themeTint="F2"/>
                <w:kern w:val="0"/>
                <w:szCs w:val="21"/>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w:t>
            </w:r>
            <w:r>
              <w:rPr>
                <w:rFonts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常压</w:t>
            </w: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w:t>
            </w:r>
            <w:r>
              <w:rPr>
                <w:rFonts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常温</w:t>
            </w: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立式内浮顶</w:t>
            </w:r>
            <w:r>
              <w:rPr>
                <w:rFonts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罐</w:t>
            </w: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4座</w:t>
            </w:r>
            <w:r>
              <w:rPr>
                <w:rFonts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w:t>
            </w: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固定顶罐2座，分别</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配套氮封装置和油气回收系统。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6" w:space="0"/>
          </w:tblBorders>
          <w:tblCellMar>
            <w:top w:w="15" w:type="dxa"/>
            <w:left w:w="15" w:type="dxa"/>
            <w:bottom w:w="15" w:type="dxa"/>
            <w:right w:w="15" w:type="dxa"/>
          </w:tblCellMar>
        </w:tblPrEx>
        <w:trPr>
          <w:trHeight w:val="587" w:hRule="atLeast"/>
          <w:jc w:val="center"/>
        </w:trPr>
        <w:tc>
          <w:tcPr>
            <w:tcW w:w="1734" w:type="dxa"/>
            <w:tcBorders>
              <w:right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裂解油接收罐</w:t>
            </w:r>
          </w:p>
        </w:tc>
        <w:tc>
          <w:tcPr>
            <w:tcW w:w="1158" w:type="dxa"/>
            <w:tcBorders>
              <w:left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12个</w:t>
            </w:r>
          </w:p>
        </w:tc>
        <w:tc>
          <w:tcPr>
            <w:tcW w:w="5527" w:type="dxa"/>
            <w:vAlign w:val="center"/>
          </w:tcPr>
          <w:p>
            <w:pPr>
              <w:widowControl/>
              <w:adjustRightInd w:val="0"/>
              <w:snapToGrid w:val="0"/>
              <w:jc w:val="center"/>
              <w:textAlignment w:val="center"/>
              <w:rPr>
                <w:rFonts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生产车间；立式罐体，单个容积1m</w:t>
            </w:r>
            <w:r>
              <w:rPr>
                <w:rFonts w:hint="eastAsia" w:cs="Times New Roman" w:asciiTheme="minorEastAsia" w:hAnsiTheme="minorEastAsia"/>
                <w:bCs/>
                <w:color w:val="0D0D0D" w:themeColor="text1" w:themeTint="F2"/>
                <w:kern w:val="0"/>
                <w:szCs w:val="21"/>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bCs/>
                <w:color w:val="0D0D0D" w:themeColor="text1" w:themeTint="F2"/>
                <w:kern w:val="0"/>
                <w:szCs w:val="21"/>
                <w:lang w:bidi="ar"/>
                <w14:textFill>
                  <w14:solidFill>
                    <w14:schemeClr w14:val="tx1">
                      <w14:lumMod w14:val="95000"/>
                      <w14:lumOff w14:val="5000"/>
                    </w14:schemeClr>
                  </w14:solidFill>
                </w14:textFill>
              </w:rPr>
              <w:t>，用于收集热裂解气冷凝回收的裂解油。</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②</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粗碳黑和钢丝储存</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工程新建1座1000m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单层钢架密闭产品库，用于储存粗碳黑和钢丝产品；钢丝经压块打捆后，储存于钢丝储存区（500m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），定期汽运外售；碳黑经袋装后，储存于碳黑储存区（500m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），定期汽运外售。</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（3）装车站</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本项目在油罐区设置装车站一处，为钢结构，罩棚式，位于罐区东侧，装车站设裂解油装车平衡鹤管，装车均采用下装式平衡鹤管密闭装卸，固定装车平衡鹤管处带防撞安全岛。</w:t>
      </w:r>
    </w:p>
    <w:p>
      <w:pPr>
        <w:widowControl/>
        <w:adjustRightInd w:val="0"/>
        <w:snapToGrid w:val="0"/>
        <w:spacing w:line="360" w:lineRule="auto"/>
        <w:jc w:val="left"/>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2.2.7 劳动定员和工作制度</w:t>
      </w:r>
      <w: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（1）工作制度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工作制度：每天工作 24 小时，四班三运转制，年工作 300 天，年生产时数7200 小时。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（2）劳动定员</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项目建成后劳动定员 20 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，均在厂区内食宿</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37" w:name="_Toc3547"/>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2.3 生产工艺及</w:t>
      </w:r>
      <w:r>
        <w:rPr>
          <w:rFonts w:hint="eastAsia"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物料平衡</w:t>
      </w:r>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分析</w:t>
      </w:r>
      <w:bookmarkEnd w:id="34"/>
      <w:bookmarkEnd w:id="37"/>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2.3.1 生产工艺简述</w:t>
      </w: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轮胎热裂解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工艺原理简述</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核心工艺为废轮胎的热裂解处理。轮胎主要由橡胶（包括天然橡胶、合成橡胶）、碳黑及多种有机、无机助剂（包括增塑剂、防老剂、硫磺和氧化锌等）组成。大多数有机化合物有热不稳定性特征，若将其置于缺氧、高温条件下，在分解和缩合共同作用下，大分子有机化合物将发生裂解，转化为相对分子质量较小的气态、液态与固态组分，有机物在这种条件下的化学转化过程称为热解。废旧轮胎热解是一个复杂、连续的化学反应过程。其中包括大分子键断裂、异构化和小分子的缩合等化学反应，最后生成较小的分子。在热解过程中，中间产物存在两种变化趋势：一是由大分子变成小分子，直至气体的裂解过程；二是由极小分子聚合成较大分子的聚合过程。这种反应没有明显的阶段性，许多反应都是交叉进行的。热解过程可用下式表示：</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有机固体废弃物→气体（H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、CO、CO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）+有机液体（有机酸、芳烃、焦油、煤油、醇、醛类等）+固体（碳黑）</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解的实质是加热有机大分子，使之裂解成小分子析出。在这个过程中，不同的温度区间所进行的反应不同，产物组成也不同，有机物成分不同，整个热解过程的开始温度也不同。从而导致热解的工艺复杂，对温度的控制比较严格。有机物的热稳定性取决于组成分子的各原子的结合键的形成及键能的大小，键能大的难断裂，其热稳定性高；键能小的易分解，其热稳定性低。热解产物的产率取决于原料的化学结构、物理形态和热解的温度和速率。</w:t>
      </w:r>
    </w:p>
    <w:p>
      <w:pPr>
        <w:numPr>
          <w:ilvl w:val="0"/>
          <w:numId w:val="1"/>
        </w:num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热裂解设备工作原理</w:t>
      </w:r>
    </w:p>
    <w:p>
      <w:pPr>
        <w:adjustRightInd w:val="0"/>
        <w:snapToGrid w:val="0"/>
        <w:spacing w:line="360" w:lineRule="auto"/>
        <w:ind w:firstLine="480" w:firstLineChars="200"/>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本项目引进河南东盈机械设备有限公司成套的卧式旋转废轮胎裂解设备</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（热裂解炉）</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主要包括轮胎热裂解反应釜、热裂解不凝气燃烧加热室及进、出料系统和配套的冷凝油气回收系统、油水分离器、自动出渣系统等。</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废旧轮胎处理</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后</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产生四种</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产物</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裂解油</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、粗碳黑、</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废</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钢丝和裂解不凝气。</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裂解油</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、粗碳黑</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、废</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钢丝不再进行加工处理，直接外售；裂解不凝气</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进入</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炉燃烧室作为燃料</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燃烧</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，为热裂解室</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供热。</w:t>
      </w:r>
    </w:p>
    <w:p>
      <w:pPr>
        <w:adjustRightInd w:val="0"/>
        <w:snapToGrid w:val="0"/>
        <w:spacing w:line="360" w:lineRule="auto"/>
        <w:ind w:firstLine="480" w:firstLineChars="200"/>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热裂解设备</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采用无剥离、低温微负压裂解工艺技术，该工艺不需要添加</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任何</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催化剂</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废轮胎的热裂解是指在无氧或缺氧工况及适当的温度下，橡胶中主链具有不饱和键的高分子断裂，产物主要是单体、二聚物和碎片，生成物再聚合为多种烯烃，从而脱出挥发性物质并形成固体炭的过程。</w:t>
      </w:r>
    </w:p>
    <w:p>
      <w:pPr>
        <w:adjustRightInd w:val="0"/>
        <w:snapToGrid w:val="0"/>
        <w:spacing w:line="360" w:lineRule="auto"/>
        <w:ind w:firstLine="480" w:firstLineChars="200"/>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裂解方程式如下</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-）nn[C+H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4</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6</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8</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4</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5</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11</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24</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20</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42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 xml:space="preserve"> （说明：C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5</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11</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24</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为汽油馏分，C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12</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26</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20</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 xml:space="preserve">42 </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为柴油馏分，C</w:t>
      </w:r>
      <w:r>
        <w:rPr>
          <w:rFonts w:cs="宋体"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 xml:space="preserve">20 </w:t>
      </w: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以上为重油）</w:t>
      </w:r>
    </w:p>
    <w:p>
      <w:pPr>
        <w:adjustRightInd w:val="0"/>
        <w:snapToGrid w:val="0"/>
        <w:spacing w:line="360" w:lineRule="auto"/>
        <w:ind w:firstLine="480" w:firstLineChars="200"/>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宋体" w:asciiTheme="minorEastAsia" w:hAnsiTheme="minorEastAsia"/>
          <w:color w:val="0D0D0D" w:themeColor="text1" w:themeTint="F2"/>
          <w:sz w:val="24"/>
          <w:szCs w:val="24"/>
          <w14:textFill>
            <w14:solidFill>
              <w14:schemeClr w14:val="tx1">
                <w14:lumMod w14:val="95000"/>
                <w14:lumOff w14:val="5000"/>
              </w14:schemeClr>
            </w14:solidFill>
          </w14:textFill>
        </w:rPr>
        <w:t>项目轮胎热解温度为380℃，属于低温热裂解。裂解釜采用炉外加热、微负压、贫氧热裂解工艺技术，微负压可确保炉内气体不外泄，提高热裂解效率，同时热解设备的主要工艺参数（热解温度、操作压力等）实现联锁调节控制，从根本上消除了生产过程中由于气体外泄而引起的不安全隐患和二次污染。</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drawing>
          <wp:anchor distT="0" distB="0" distL="114300" distR="114300" simplePos="0" relativeHeight="251705344" behindDoc="0" locked="0" layoutInCell="1" allowOverlap="1">
            <wp:simplePos x="0" y="0"/>
            <wp:positionH relativeFrom="column">
              <wp:posOffset>-55880</wp:posOffset>
            </wp:positionH>
            <wp:positionV relativeFrom="paragraph">
              <wp:posOffset>257175</wp:posOffset>
            </wp:positionV>
            <wp:extent cx="5693410" cy="3873500"/>
            <wp:effectExtent l="0" t="0" r="2540" b="12700"/>
            <wp:wrapNone/>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696727" cy="3875500"/>
                    </a:xfrm>
                    <a:prstGeom prst="rect">
                      <a:avLst/>
                    </a:prstGeom>
                    <a:noFill/>
                    <a:ln>
                      <a:noFill/>
                    </a:ln>
                    <a:effectLst/>
                  </pic:spPr>
                </pic:pic>
              </a:graphicData>
            </a:graphic>
          </wp:anchor>
        </w:drawing>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单</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台裂解设备结构及工作原理示意图如图2.3-1所示。</w:t>
      </w:r>
    </w:p>
    <w:p>
      <w:pPr>
        <w:adjustRightInd w:val="0"/>
        <w:snapToGrid w:val="0"/>
        <w:spacing w:line="360" w:lineRule="auto"/>
        <w:ind w:firstLine="480" w:firstLineChars="200"/>
        <w:textAlignment w:val="baseline"/>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textAlignment w:val="baseline"/>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2" w:firstLineChars="200"/>
        <w:jc w:val="center"/>
        <w:outlineLvl w:val="3"/>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图2.3-1   项目</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单</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台裂解设备结构及工作原理示意图</w:t>
      </w:r>
    </w:p>
    <w:p>
      <w:pPr>
        <w:numPr>
          <w:ilvl w:val="0"/>
          <w:numId w:val="1"/>
        </w:num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裂解生产工艺流程</w:t>
      </w:r>
    </w:p>
    <w:p>
      <w:pPr>
        <w:adjustRightInd w:val="0"/>
        <w:snapToGrid w:val="0"/>
        <w:spacing w:line="360" w:lineRule="auto"/>
        <w:ind w:left="420" w:left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drawing>
          <wp:anchor distT="0" distB="0" distL="114300" distR="114300" simplePos="0" relativeHeight="252051456" behindDoc="0" locked="0" layoutInCell="1" allowOverlap="1">
            <wp:simplePos x="0" y="0"/>
            <wp:positionH relativeFrom="column">
              <wp:posOffset>-167640</wp:posOffset>
            </wp:positionH>
            <wp:positionV relativeFrom="paragraph">
              <wp:posOffset>229235</wp:posOffset>
            </wp:positionV>
            <wp:extent cx="5403850" cy="7729220"/>
            <wp:effectExtent l="0" t="0" r="635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3" cstate="print">
                      <a:lum contrast="20000"/>
                      <a:extLst>
                        <a:ext uri="{28A0092B-C50C-407E-A947-70E740481C1C}">
                          <a14:useLocalDpi xmlns:a14="http://schemas.microsoft.com/office/drawing/2010/main" val="0"/>
                        </a:ext>
                      </a:extLst>
                    </a:blip>
                    <a:srcRect b="3570"/>
                    <a:stretch>
                      <a:fillRect/>
                    </a:stretch>
                  </pic:blipFill>
                  <pic:spPr>
                    <a:xfrm>
                      <a:off x="0" y="0"/>
                      <a:ext cx="5403897" cy="7729268"/>
                    </a:xfrm>
                    <a:prstGeom prst="rect">
                      <a:avLst/>
                    </a:prstGeom>
                    <a:noFill/>
                    <a:ln>
                      <a:noFill/>
                    </a:ln>
                  </pic:spPr>
                </pic:pic>
              </a:graphicData>
            </a:graphic>
          </wp:anchor>
        </w:drawing>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项目热裂解生产工艺流程及产物环节见下图2.3-2。</w:t>
      </w: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图2.3-</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生产工艺流程及产污环节图</w:t>
      </w:r>
    </w:p>
    <w:p>
      <w:pPr>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p>
    <w:p>
      <w:pPr>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生产工艺简述：</w:t>
      </w:r>
    </w:p>
    <w:p>
      <w:pPr>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外购原料为经清洗、切割去除钢圈及含氯橡胶的块状废旧轮胎，不含氯元素，无需清洗、破碎、抽钢丝等预处理工序，直接在螺旋输送机作用下自动进入裂解炉热裂解反应釜内。热解炉运行分为进料、加热、出料三个间歇作业时段，废旧轮胎热裂解过程中采用炉外间接加热、微负压、无氧热裂解操作工艺，反应釜和燃烧加热室均为密闭运行状态，裂解气首先通过密闭管道排入竖式冷凝器及油气分离系统，冷凝分离的重质裂解油回收进入储油罐，轻质组分再经分汽包进入二次冷凝系统，分离的轻质裂解油经油水分离器去除水分后，回收至储油罐，热裂解不凝气通过水封罐均衡后，大部分进入热裂解炉燃烧室燃烧供热，少量进入余气燃烧装置燃烧处理；燃烧废气通过燃烧室及余气燃烧装置的排烟管道接入烟气处理系统，处理后达标排放。工程热裂解气在进入燃烧设备之前处于完全密闭的系统内，不会发生外逸情况。</w:t>
      </w:r>
    </w:p>
    <w:p>
      <w:pPr>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工程单台热裂解设备具体工艺过程分述如下： </w:t>
      </w:r>
    </w:p>
    <w:p>
      <w:pPr>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进料阶段：待上一批裂解完成，且设备冷却完成后，通过</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自动进料机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将废旧轮胎原料送入裂解炉。</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此</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阶段</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约需0.5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h左右</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，单台热裂解炉一次进料量约14吨。</w:t>
      </w:r>
    </w:p>
    <w:p>
      <w:pPr>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预热阶段：</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温度区间在0~120</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进料完成后，封门，整个裂解炉密闭，开启微负压设备，以2</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/min的速率进行缓慢加热，在120</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轮胎大量吸热，裂解反应开始，裂解气逐渐产生。此</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预热</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阶段</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约1</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h左右。</w:t>
      </w:r>
    </w:p>
    <w:p>
      <w:pPr>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根据设备生产单位提供的运行资料，首次运行的热裂解炉预热阶段需要少量轻质柴油作为燃料供热，以提高炉温达到运行条件，后续运行的热裂解炉主要利用前批运行裂解炉产生的富裕裂解不凝气；待整套处理系统的6台热裂解炉全部达到正常运行工况后，产生的裂解不凝气可满足系统用热需求，且尚有剩余。</w:t>
      </w:r>
    </w:p>
    <w:p>
      <w:pPr>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）升温阶段：</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此阶段</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裂解温度区间在120~380</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油、气产物</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）产生量逐渐稳定。</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高温裂解气</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首先</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进入</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竖式冷凝器及油气分离器，重质气体组分</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约60%</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冷凝成为液态的重质裂解油</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回收</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进入重油储油罐，轻质气体组分（约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40%</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）再进入二次冷凝系统，经进一步冷凝回收的轻质裂解油通过油水分离器去除水分后，回收进入轻油储罐；裂解不凝气通过水封罐净化后，大部分进入本台裂解炉燃烧室作为燃料燃烧供热</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，部分作为后续热裂解炉的启动燃料，</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少量剩余不凝气进入余气燃烧装置燃烧处理；分离的少量含油废水经雾化后喷入余气燃烧装置焚烧处理。</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此</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升温</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阶段</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h左右</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w:t>
      </w:r>
    </w:p>
    <w:p>
      <w:pPr>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4</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）恒温</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阶段：此阶段裂解温度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控制在</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380</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℃左右</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，前期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裂解过程与第二阶段的工艺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相同；</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随着时间的推移</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量</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逐渐减少，</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恒温裂解后期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在</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本热裂解炉提供的不凝气燃料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不足时，需要</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通入其他裂解炉产生的富裕裂解不凝气进行补充，</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维持热解过程</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需</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热量。此阶段</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约持续5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h左右。 </w:t>
      </w:r>
    </w:p>
    <w:p>
      <w:pPr>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）冷却阶段：经过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8</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废轮胎</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过程结束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，停止加热</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，间接通入冷却水使炉体</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冷却，持续约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冷却过程中热裂解炉继续保持密闭、微负压状态，收集气体进入热裂解气冷却系统。</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（6）出料阶段：待</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炉炉体反应釜内</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温度降低至</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8</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左右，打开</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反应釜</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碳黑出料口，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继续保持反应釜料仓处于微负压状态，</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排出粗碳黑，粗碳黑主要为热解碳黑和</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少量</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钢丝颗粒等（钢丝含量约 1~3%）。粗碳黑通过裂解炉</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反应釜</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出料口直接进入密闭的5m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粗碳黑料槽，由料槽通过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密闭螺旋出料机</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再进入碳黑</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包装机，包装成袋后转移碳黑库，直接外售，不再进行深加工</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。粗碳黑从裂解炉排出完毕后，炉内温度下降至 35~45</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，打开</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热裂解反应釜</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进料口，取出钢丝，钢丝</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出炉</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后直接</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进行</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打包</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入库</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出料过程中炉口废气和粗碳黑包装废气、废钢丝打包废气分别通过设备上方及下料口设置的集气罩收集，送入袋式除尘器处理后达标排放。</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粗碳黑</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出料阶段耗时</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钢丝</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出料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过程</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耗时</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，总用时约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根据上述裂解设备运行参数核算，项目单台热裂解炉每批次进料、废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轮胎裂解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、出料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总</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耗时约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可热裂解处理废旧轮胎600批次/年。按照工程配备的热裂解炉型号及每批次进入的废轮胎原料量分析，单台设备每批次可处理废旧轮胎约14吨，年处理量可达8400吨，项目配制热裂解炉12台，年处理废轮胎总量可达到10.08万吨；能够满足设计的生产规模要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、裂解气利用方案</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本项目共计12台裂解炉，为充分利用裂解气，裂解设备分两套系统并联运行（单套系统6台炉串联运行）。第一台裂解炉</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启动预热</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由室温升至</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120</w:t>
      </w:r>
      <w:r>
        <w:rPr>
          <w:rFonts w:hint="eastAsia" w:cs="宋体"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的</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1.5</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个小时内</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，主要</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由轻质柴油作为燃料供热，</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升温2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小时后，裂解气的产生趋于稳定状态，在为</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本台裂解炉</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供给燃料的同时，部分可作为第</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台裂解炉的启动燃料；当第2台裂解炉运行</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小时</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产气稳定</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后，</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可一同第1台热裂解炉</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第3台裂解炉提供启动燃料；</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以此类推，当第6台裂解炉运行</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小时后，第1台裂解炉刚好完成进料、开始裂解，</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可由</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第</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5、第</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6台裂解炉</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提供启动燃料</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如此循环</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，6台裂解炉即可以昼夜不间断连续运行。若中间因为原料供应、人员等问题需要停止运行，则再次启动时重复上述步骤。</w:t>
      </w:r>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单套系统6台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设备的串联裂解状态示意如表2.3-1所示。</w:t>
      </w:r>
    </w:p>
    <w:p>
      <w:pPr>
        <w:adjustRightInd w:val="0"/>
        <w:snapToGrid w:val="0"/>
        <w:jc w:val="cente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表2.3-1  单套系统6台串联</w:t>
      </w:r>
      <w:r>
        <w:rPr>
          <w:rFonts w:hint="eastAsia"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热裂解</w:t>
      </w: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设备的裂解状态示意</w:t>
      </w:r>
      <w:r>
        <w:rPr>
          <w:rFonts w:hint="eastAsia"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表</w:t>
      </w:r>
    </w:p>
    <w:tbl>
      <w:tblPr>
        <w:tblStyle w:val="27"/>
        <w:tblW w:w="74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1085"/>
        <w:gridCol w:w="951"/>
        <w:gridCol w:w="992"/>
        <w:gridCol w:w="993"/>
        <w:gridCol w:w="992"/>
        <w:gridCol w:w="9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时间</w:t>
            </w:r>
          </w:p>
        </w:tc>
        <w:tc>
          <w:tcPr>
            <w:tcW w:w="1085"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1#裂解炉</w:t>
            </w:r>
          </w:p>
        </w:tc>
        <w:tc>
          <w:tcPr>
            <w:tcW w:w="951"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2#裂解炉</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3#裂解炉</w:t>
            </w:r>
          </w:p>
        </w:tc>
        <w:tc>
          <w:tcPr>
            <w:tcW w:w="993"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4#裂解炉</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5#裂解炉</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6#裂解炉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0:00</w:t>
            </w:r>
          </w:p>
        </w:tc>
        <w:tc>
          <w:tcPr>
            <w:tcW w:w="1085"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0:30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51"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3:00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3:30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4:00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4:30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5:00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5</w:t>
            </w: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3</w:t>
            </w: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6:00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3"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6:30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7:00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7:30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8</w:t>
            </w: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8:30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9</w:t>
            </w: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9:30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10:00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10:30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11:00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11:30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12:00</w:t>
            </w:r>
          </w:p>
        </w:tc>
        <w:tc>
          <w:tcPr>
            <w:tcW w:w="1085"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12:30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13:00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13:30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14:00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51"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14:30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15:00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9" w:type="dxa"/>
            <w:tcBorders>
              <w:bottom w:val="single" w:color="auto" w:sz="4" w:space="0"/>
            </w:tcBorders>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15:30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9" w:type="dxa"/>
            <w:tcBorders>
              <w:top w:val="single" w:color="auto" w:sz="4" w:space="0"/>
            </w:tcBorders>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16:00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tcBorders>
              <w:top w:val="single" w:color="auto" w:sz="4" w:space="0"/>
            </w:tcBorders>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16:30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17:00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17:30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18:00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3"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18:30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19:00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19:30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9" w:type="dxa"/>
            <w:tcBorders>
              <w:top w:val="single" w:color="auto" w:sz="4" w:space="0"/>
            </w:tcBorders>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20:00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tcBorders>
              <w:top w:val="single" w:color="auto" w:sz="4" w:space="0"/>
            </w:tcBorders>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20:30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21:00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21:30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22:00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c>
          <w:tcPr>
            <w:tcW w:w="992"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22:30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23:00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预热中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419"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23:30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出料中</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开始升温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9" w:type="dxa"/>
            <w:tcBorders>
              <w:top w:val="single" w:color="auto" w:sz="4" w:space="0"/>
            </w:tcBorders>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24:00</w:t>
            </w:r>
          </w:p>
        </w:tc>
        <w:tc>
          <w:tcPr>
            <w:tcW w:w="1085" w:type="dxa"/>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开始进料</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冷却中</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升温中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tcBorders>
              <w:top w:val="single" w:color="auto" w:sz="4" w:space="0"/>
            </w:tcBorders>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次日0:30</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开始裂解</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开始出料</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开始冷却</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恒温产气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稳定产气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9" w:type="dxa"/>
            <w:tcBorders>
              <w:top w:val="single" w:color="auto" w:sz="4" w:space="0"/>
            </w:tcBorders>
            <w:vAlign w:val="center"/>
          </w:tcPr>
          <w:p>
            <w:pPr>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p>
        </w:tc>
        <w:tc>
          <w:tcPr>
            <w:tcW w:w="1085"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p>
        </w:tc>
        <w:tc>
          <w:tcPr>
            <w:tcW w:w="951"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p>
        </w:tc>
        <w:tc>
          <w:tcPr>
            <w:tcW w:w="993"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p>
        </w:tc>
        <w:tc>
          <w:tcPr>
            <w:tcW w:w="992" w:type="dxa"/>
            <w:vAlign w:val="center"/>
          </w:tcPr>
          <w:p>
            <w:pPr>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w:t>
            </w:r>
          </w:p>
        </w:tc>
      </w:tr>
    </w:tbl>
    <w:p>
      <w:pPr>
        <w:adjustRightInd w:val="0"/>
        <w:snapToGrid w:val="0"/>
        <w:spacing w:before="156" w:beforeLines="50" w:line="360" w:lineRule="auto"/>
        <w:ind w:firstLine="480" w:firstLineChars="200"/>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根据工程经验和热量衡算，本项目轮胎热裂解</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系统</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无法消耗全部裂解</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不凝</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气</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详见热量平衡</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热裂解炉供热系统利用后剩余</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的裂解</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不凝</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气通过</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控制</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阀门和管道导入</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余气</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燃烧</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装置进行燃烧处理，同时该</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燃烧</w:t>
      </w:r>
      <w:r>
        <w:rPr>
          <w:rFonts w:hint="eastAsia"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装置可对油水分离废水进行焚烧处理</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2.3.</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项目物料平衡</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分析</w:t>
      </w:r>
    </w:p>
    <w:p>
      <w:pPr>
        <w:adjustRightInd w:val="0"/>
        <w:snapToGrid w:val="0"/>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2.3.2.1生产系统物料平衡</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本项目以废旧轮胎为原材料料，</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采用本项目的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微负压</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裂解工艺进行热裂解，裂解产品为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粗碳黑</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钢丝及裂解气，其中裂解气回用于裂解炉加热。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根据核算，项目年裂解处理废旧轮胎100000t，通过裂解得到</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450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00t/a、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粗碳黑</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35000t/a、</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钢丝12000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t/a、</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气7500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其他500t/a。本项目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生产系统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物料衡算表见表2.2-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生产系统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物料平衡图见图2.3-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表2.3-3   项目</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生产系统</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物料衡算表     </w:t>
      </w:r>
    </w:p>
    <w:tbl>
      <w:tblPr>
        <w:tblStyle w:val="27"/>
        <w:tblW w:w="928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1539"/>
        <w:gridCol w:w="2016"/>
        <w:gridCol w:w="1816"/>
        <w:gridCol w:w="21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3" w:type="dxa"/>
            <w:gridSpan w:val="2"/>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t>输入物料</w:t>
            </w:r>
          </w:p>
        </w:tc>
        <w:tc>
          <w:tcPr>
            <w:tcW w:w="5945" w:type="dxa"/>
            <w:gridSpan w:val="3"/>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t>输出物料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widowControl/>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物料名称</w:t>
            </w:r>
          </w:p>
        </w:tc>
        <w:tc>
          <w:tcPr>
            <w:tcW w:w="1539" w:type="dxa"/>
            <w:vAlign w:val="center"/>
          </w:tcPr>
          <w:p>
            <w:pPr>
              <w:widowControl/>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数量（t/</w:t>
            </w:r>
            <w:r>
              <w:rPr>
                <w:rFonts w:hint="eastAsia"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a</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c>
          <w:tcPr>
            <w:tcW w:w="3832" w:type="dxa"/>
            <w:gridSpan w:val="2"/>
            <w:vAlign w:val="center"/>
          </w:tcPr>
          <w:p>
            <w:pPr>
              <w:widowControl/>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物料名称</w:t>
            </w:r>
          </w:p>
        </w:tc>
        <w:tc>
          <w:tcPr>
            <w:tcW w:w="2113" w:type="dxa"/>
            <w:vAlign w:val="center"/>
          </w:tcPr>
          <w:p>
            <w:pPr>
              <w:widowControl/>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数量（t/</w:t>
            </w:r>
            <w:r>
              <w:rPr>
                <w:rFonts w:hint="eastAsia"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a</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废旧轮胎</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100000</w:t>
            </w:r>
          </w:p>
        </w:tc>
        <w:tc>
          <w:tcPr>
            <w:tcW w:w="3832" w:type="dxa"/>
            <w:gridSpan w:val="2"/>
            <w:vAlign w:val="center"/>
          </w:tcPr>
          <w:p>
            <w:pPr>
              <w:adjustRightInd w:val="0"/>
              <w:snapToGrid w:val="0"/>
              <w:ind w:left="4" w:leftChars="2"/>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粗碳黑</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35000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832" w:type="dxa"/>
            <w:gridSpan w:val="2"/>
            <w:vAlign w:val="center"/>
          </w:tcPr>
          <w:p>
            <w:pPr>
              <w:adjustRightInd w:val="0"/>
              <w:snapToGrid w:val="0"/>
              <w:ind w:left="4" w:leftChars="2"/>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气</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7500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2016" w:type="dxa"/>
            <w:vMerge w:val="restart"/>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裂解油</w:t>
            </w:r>
          </w:p>
        </w:tc>
        <w:tc>
          <w:tcPr>
            <w:tcW w:w="1816" w:type="dxa"/>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重油</w:t>
            </w:r>
          </w:p>
        </w:tc>
        <w:tc>
          <w:tcPr>
            <w:tcW w:w="2113"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5000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2016" w:type="dxa"/>
            <w:vMerge w:val="continue"/>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p>
        </w:tc>
        <w:tc>
          <w:tcPr>
            <w:tcW w:w="1816" w:type="dxa"/>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轻油</w:t>
            </w:r>
          </w:p>
        </w:tc>
        <w:tc>
          <w:tcPr>
            <w:tcW w:w="2113" w:type="dxa"/>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30</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832" w:type="dxa"/>
            <w:gridSpan w:val="2"/>
            <w:vAlign w:val="center"/>
          </w:tcPr>
          <w:p>
            <w:pPr>
              <w:adjustRightInd w:val="0"/>
              <w:snapToGrid w:val="0"/>
              <w:ind w:left="4" w:leftChars="2"/>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废</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钢丝</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832" w:type="dxa"/>
            <w:gridSpan w:val="2"/>
            <w:vAlign w:val="center"/>
          </w:tcPr>
          <w:p>
            <w:pPr>
              <w:adjustRightInd w:val="0"/>
              <w:snapToGrid w:val="0"/>
              <w:ind w:left="4" w:leftChars="2"/>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油水分离器</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含油废水</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4</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6</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832" w:type="dxa"/>
            <w:gridSpan w:val="2"/>
            <w:vAlign w:val="center"/>
          </w:tcPr>
          <w:p>
            <w:pPr>
              <w:adjustRightInd w:val="0"/>
              <w:snapToGrid w:val="0"/>
              <w:ind w:left="4" w:leftChars="2"/>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碳黑尘</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832" w:type="dxa"/>
            <w:gridSpan w:val="2"/>
            <w:vAlign w:val="center"/>
          </w:tcPr>
          <w:p>
            <w:pPr>
              <w:adjustRightInd w:val="0"/>
              <w:snapToGrid w:val="0"/>
              <w:ind w:left="4" w:leftChars="2"/>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无组织排放裂解气</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3832" w:type="dxa"/>
            <w:gridSpan w:val="2"/>
            <w:vAlign w:val="center"/>
          </w:tcPr>
          <w:p>
            <w:pPr>
              <w:adjustRightInd w:val="0"/>
              <w:snapToGrid w:val="0"/>
              <w:ind w:left="4" w:leftChars="2"/>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水封罐底泥</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04"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合计</w:t>
            </w:r>
          </w:p>
        </w:tc>
        <w:tc>
          <w:tcPr>
            <w:tcW w:w="1539"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100000</w:t>
            </w:r>
          </w:p>
        </w:tc>
        <w:tc>
          <w:tcPr>
            <w:tcW w:w="3832" w:type="dxa"/>
            <w:gridSpan w:val="2"/>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合计</w:t>
            </w:r>
          </w:p>
        </w:tc>
        <w:tc>
          <w:tcPr>
            <w:tcW w:w="211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100000</w:t>
            </w:r>
          </w:p>
        </w:tc>
      </w:tr>
    </w:tbl>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14:textFill>
            <w14:solidFill>
              <w14:schemeClr w14:val="tx1">
                <w14:lumMod w14:val="95000"/>
                <w14:lumOff w14:val="5000"/>
              </w14:schemeClr>
            </w14:solidFill>
          </w14:textFill>
        </w:rPr>
        <w:drawing>
          <wp:anchor distT="0" distB="0" distL="114300" distR="114300" simplePos="0" relativeHeight="252045312" behindDoc="0" locked="0" layoutInCell="1" allowOverlap="1">
            <wp:simplePos x="0" y="0"/>
            <wp:positionH relativeFrom="column">
              <wp:posOffset>-20955</wp:posOffset>
            </wp:positionH>
            <wp:positionV relativeFrom="paragraph">
              <wp:posOffset>177800</wp:posOffset>
            </wp:positionV>
            <wp:extent cx="5171440" cy="6470015"/>
            <wp:effectExtent l="0" t="0" r="0" b="6985"/>
            <wp:wrapNone/>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24" cstate="print">
                      <a:extLst>
                        <a:ext uri="{28A0092B-C50C-407E-A947-70E740481C1C}">
                          <a14:useLocalDpi xmlns:a14="http://schemas.microsoft.com/office/drawing/2010/main" val="0"/>
                        </a:ext>
                      </a:extLst>
                    </a:blip>
                    <a:srcRect t="3557" r="2051" b="3694"/>
                    <a:stretch>
                      <a:fillRect/>
                    </a:stretch>
                  </pic:blipFill>
                  <pic:spPr>
                    <a:xfrm>
                      <a:off x="0" y="0"/>
                      <a:ext cx="5177490" cy="6477132"/>
                    </a:xfrm>
                    <a:prstGeom prst="rect">
                      <a:avLst/>
                    </a:prstGeom>
                    <a:noFill/>
                    <a:ln>
                      <a:noFill/>
                    </a:ln>
                  </pic:spPr>
                </pic:pic>
              </a:graphicData>
            </a:graphic>
          </wp:anchor>
        </w:drawing>
      </w: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图2.3-</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生产系统</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物料平衡图</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（单位：t/a）</w:t>
      </w:r>
    </w:p>
    <w:p>
      <w:pPr>
        <w:widowControl/>
        <w:adjustRightInd w:val="0"/>
        <w:snapToGrid w:val="0"/>
        <w:spacing w:line="360" w:lineRule="auto"/>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硫元素平衡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由于轮胎种类繁多，其成分变化较大，根据</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建设单位提供资料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项目废旧轮胎</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原料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中硫含量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1.5%，在裂解过程中硫转移到各产物中</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；其中，裂解不凝气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含硫率约0.</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含硫率约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，粗碳黑含硫率约1.65%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本项目废旧轮胎热裂解过程中硫元素平衡见下表2.3-4。</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表2.3-</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项目硫元素平衡表     </w:t>
      </w:r>
    </w:p>
    <w:tbl>
      <w:tblPr>
        <w:tblStyle w:val="27"/>
        <w:tblW w:w="516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83"/>
        <w:gridCol w:w="989"/>
        <w:gridCol w:w="1150"/>
        <w:gridCol w:w="992"/>
        <w:gridCol w:w="1384"/>
        <w:gridCol w:w="987"/>
        <w:gridCol w:w="1259"/>
        <w:gridCol w:w="9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96" w:type="pct"/>
            <w:gridSpan w:val="4"/>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t>投入</w:t>
            </w:r>
          </w:p>
        </w:tc>
        <w:tc>
          <w:tcPr>
            <w:tcW w:w="2604" w:type="pct"/>
            <w:gridSpan w:val="4"/>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t>产出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Merge w:val="restart"/>
            <w:vAlign w:val="center"/>
          </w:tcPr>
          <w:p>
            <w:pPr>
              <w:widowControl/>
              <w:adjustRightInd w:val="0"/>
              <w:snapToGrid w:val="0"/>
              <w:jc w:val="cente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原料</w:t>
            </w:r>
          </w:p>
        </w:tc>
        <w:tc>
          <w:tcPr>
            <w:tcW w:w="562" w:type="pct"/>
            <w:vMerge w:val="restart"/>
            <w:vAlign w:val="center"/>
          </w:tcPr>
          <w:p>
            <w:pPr>
              <w:widowControl/>
              <w:adjustRightInd w:val="0"/>
              <w:snapToGrid w:val="0"/>
              <w:jc w:val="cente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用量</w:t>
            </w:r>
          </w:p>
          <w:p>
            <w:pPr>
              <w:widowControl/>
              <w:adjustRightInd w:val="0"/>
              <w:snapToGrid w:val="0"/>
              <w:jc w:val="cente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（t/a）</w:t>
            </w:r>
          </w:p>
        </w:tc>
        <w:tc>
          <w:tcPr>
            <w:tcW w:w="1218" w:type="pct"/>
            <w:gridSpan w:val="2"/>
            <w:vAlign w:val="center"/>
          </w:tcPr>
          <w:p>
            <w:pPr>
              <w:widowControl/>
              <w:adjustRightInd w:val="0"/>
              <w:snapToGrid w:val="0"/>
              <w:jc w:val="cente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硫元素</w:t>
            </w:r>
          </w:p>
        </w:tc>
        <w:tc>
          <w:tcPr>
            <w:tcW w:w="787" w:type="pct"/>
            <w:vMerge w:val="restart"/>
            <w:vAlign w:val="center"/>
          </w:tcPr>
          <w:p>
            <w:pPr>
              <w:widowControl/>
              <w:adjustRightInd w:val="0"/>
              <w:snapToGrid w:val="0"/>
              <w:jc w:val="cente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产出</w:t>
            </w:r>
            <w:r>
              <w:rPr>
                <w:rFonts w:hint="eastAsia"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物</w:t>
            </w:r>
          </w:p>
        </w:tc>
        <w:tc>
          <w:tcPr>
            <w:tcW w:w="561" w:type="pct"/>
            <w:vMerge w:val="restart"/>
            <w:vAlign w:val="center"/>
          </w:tcPr>
          <w:p>
            <w:pPr>
              <w:widowControl/>
              <w:adjustRightInd w:val="0"/>
              <w:snapToGrid w:val="0"/>
              <w:jc w:val="cente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产出量（t/a）</w:t>
            </w:r>
          </w:p>
        </w:tc>
        <w:tc>
          <w:tcPr>
            <w:tcW w:w="1256" w:type="pct"/>
            <w:gridSpan w:val="2"/>
            <w:vAlign w:val="center"/>
          </w:tcPr>
          <w:p>
            <w:pPr>
              <w:widowControl/>
              <w:adjustRightInd w:val="0"/>
              <w:snapToGrid w:val="0"/>
              <w:jc w:val="cente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硫元素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Merge w:val="continue"/>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p>
        </w:tc>
        <w:tc>
          <w:tcPr>
            <w:tcW w:w="562" w:type="pct"/>
            <w:vMerge w:val="continue"/>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p>
        </w:tc>
        <w:tc>
          <w:tcPr>
            <w:tcW w:w="65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占原料</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比例（%）</w:t>
            </w:r>
          </w:p>
        </w:tc>
        <w:tc>
          <w:tcPr>
            <w:tcW w:w="56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含量</w:t>
            </w: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（t/a）</w:t>
            </w:r>
          </w:p>
        </w:tc>
        <w:tc>
          <w:tcPr>
            <w:tcW w:w="787" w:type="pct"/>
            <w:vMerge w:val="continue"/>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p>
        </w:tc>
        <w:tc>
          <w:tcPr>
            <w:tcW w:w="561" w:type="pct"/>
            <w:vMerge w:val="continue"/>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p>
        </w:tc>
        <w:tc>
          <w:tcPr>
            <w:tcW w:w="7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占产物</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比例（%）</w:t>
            </w:r>
          </w:p>
        </w:tc>
        <w:tc>
          <w:tcPr>
            <w:tcW w:w="54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含量</w:t>
            </w:r>
            <w:r>
              <w:rPr>
                <w:rFonts w:cs="Times New Roman" w:asciiTheme="minorEastAsia" w:hAnsiTheme="minorEastAsia"/>
                <w:snapToGrid w:val="0"/>
                <w:color w:val="0D0D0D" w:themeColor="text1" w:themeTint="F2"/>
                <w:kern w:val="0"/>
                <w:szCs w:val="21"/>
                <w:u w:val="single"/>
                <w14:textFill>
                  <w14:solidFill>
                    <w14:schemeClr w14:val="tx1">
                      <w14:lumMod w14:val="95000"/>
                      <w14:lumOff w14:val="5000"/>
                    </w14:schemeClr>
                  </w14:solidFill>
                </w14:textFill>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废旧轮胎</w:t>
            </w:r>
          </w:p>
        </w:tc>
        <w:tc>
          <w:tcPr>
            <w:tcW w:w="562"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100000</w:t>
            </w:r>
          </w:p>
        </w:tc>
        <w:tc>
          <w:tcPr>
            <w:tcW w:w="65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1.5</w:t>
            </w:r>
          </w:p>
        </w:tc>
        <w:tc>
          <w:tcPr>
            <w:tcW w:w="56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1500</w:t>
            </w:r>
          </w:p>
        </w:tc>
        <w:tc>
          <w:tcPr>
            <w:tcW w:w="787" w:type="pct"/>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粗碳黑</w:t>
            </w:r>
          </w:p>
        </w:tc>
        <w:tc>
          <w:tcPr>
            <w:tcW w:w="561" w:type="pct"/>
            <w:vAlign w:val="center"/>
          </w:tcPr>
          <w:p>
            <w:pPr>
              <w:adjustRightInd w:val="0"/>
              <w:snapToGrid w:val="0"/>
              <w:jc w:val="center"/>
              <w:rPr>
                <w:rFonts w:cs="Times New Roman" w:asciiTheme="minorEastAsia" w:hAnsiTheme="minorEastAsia"/>
                <w:color w:val="0D0D0D" w:themeColor="text1" w:themeTint="F2"/>
                <w:sz w:val="24"/>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35000</w:t>
            </w:r>
          </w:p>
        </w:tc>
        <w:tc>
          <w:tcPr>
            <w:tcW w:w="7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1.65</w:t>
            </w:r>
          </w:p>
        </w:tc>
        <w:tc>
          <w:tcPr>
            <w:tcW w:w="54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577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2"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65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787" w:type="pct"/>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气</w:t>
            </w:r>
          </w:p>
        </w:tc>
        <w:tc>
          <w:tcPr>
            <w:tcW w:w="561" w:type="pct"/>
            <w:vAlign w:val="center"/>
          </w:tcPr>
          <w:p>
            <w:pPr>
              <w:adjustRightInd w:val="0"/>
              <w:snapToGrid w:val="0"/>
              <w:jc w:val="center"/>
              <w:rPr>
                <w:rFonts w:cs="Times New Roman" w:asciiTheme="minorEastAsia" w:hAnsiTheme="minorEastAsia"/>
                <w:color w:val="0D0D0D" w:themeColor="text1" w:themeTint="F2"/>
                <w:sz w:val="24"/>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7500</w:t>
            </w:r>
          </w:p>
        </w:tc>
        <w:tc>
          <w:tcPr>
            <w:tcW w:w="7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3</w:t>
            </w:r>
          </w:p>
        </w:tc>
        <w:tc>
          <w:tcPr>
            <w:tcW w:w="54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22.5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2"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65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787" w:type="pct"/>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裂解油</w:t>
            </w:r>
          </w:p>
        </w:tc>
        <w:tc>
          <w:tcPr>
            <w:tcW w:w="561" w:type="pct"/>
            <w:vAlign w:val="center"/>
          </w:tcPr>
          <w:p>
            <w:pPr>
              <w:adjustRightInd w:val="0"/>
              <w:snapToGrid w:val="0"/>
              <w:jc w:val="center"/>
              <w:rPr>
                <w:rFonts w:cs="Times New Roman" w:asciiTheme="minorEastAsia" w:hAnsiTheme="minorEastAsia"/>
                <w:color w:val="0D0D0D" w:themeColor="text1" w:themeTint="F2"/>
                <w:sz w:val="24"/>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45000</w:t>
            </w:r>
          </w:p>
        </w:tc>
        <w:tc>
          <w:tcPr>
            <w:tcW w:w="7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2.0</w:t>
            </w:r>
          </w:p>
        </w:tc>
        <w:tc>
          <w:tcPr>
            <w:tcW w:w="54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2"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65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787" w:type="pct"/>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钢丝</w:t>
            </w:r>
          </w:p>
        </w:tc>
        <w:tc>
          <w:tcPr>
            <w:tcW w:w="56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120</w:t>
            </w: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00</w:t>
            </w:r>
          </w:p>
        </w:tc>
        <w:tc>
          <w:tcPr>
            <w:tcW w:w="7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w:t>
            </w:r>
          </w:p>
        </w:tc>
        <w:tc>
          <w:tcPr>
            <w:tcW w:w="54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2"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65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787" w:type="pct"/>
            <w:vAlign w:val="center"/>
          </w:tcPr>
          <w:p>
            <w:pPr>
              <w:adjustRightInd w:val="0"/>
              <w:snapToGrid w:val="0"/>
              <w:ind w:left="4" w:leftChars="2"/>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其他</w:t>
            </w:r>
          </w:p>
        </w:tc>
        <w:tc>
          <w:tcPr>
            <w:tcW w:w="56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500</w:t>
            </w:r>
          </w:p>
        </w:tc>
        <w:tc>
          <w:tcPr>
            <w:tcW w:w="7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0.1</w:t>
            </w:r>
          </w:p>
        </w:tc>
        <w:tc>
          <w:tcPr>
            <w:tcW w:w="54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合计</w:t>
            </w:r>
          </w:p>
        </w:tc>
        <w:tc>
          <w:tcPr>
            <w:tcW w:w="562"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100000</w:t>
            </w:r>
          </w:p>
        </w:tc>
        <w:tc>
          <w:tcPr>
            <w:tcW w:w="65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64"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1500</w:t>
            </w:r>
          </w:p>
        </w:tc>
        <w:tc>
          <w:tcPr>
            <w:tcW w:w="787"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合计</w:t>
            </w:r>
          </w:p>
        </w:tc>
        <w:tc>
          <w:tcPr>
            <w:tcW w:w="56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100000</w:t>
            </w:r>
          </w:p>
        </w:tc>
        <w:tc>
          <w:tcPr>
            <w:tcW w:w="716"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w:t>
            </w:r>
          </w:p>
        </w:tc>
        <w:tc>
          <w:tcPr>
            <w:tcW w:w="541" w:type="pct"/>
            <w:vAlign w:val="center"/>
          </w:tcPr>
          <w:p>
            <w:pPr>
              <w:adjustRightInd w:val="0"/>
              <w:snapToGrid w:val="0"/>
              <w:jc w:val="cente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u w:val="single"/>
                <w14:textFill>
                  <w14:solidFill>
                    <w14:schemeClr w14:val="tx1">
                      <w14:lumMod w14:val="95000"/>
                      <w14:lumOff w14:val="5000"/>
                    </w14:schemeClr>
                  </w14:solidFill>
                </w14:textFill>
              </w:rPr>
              <w:t>1500</w:t>
            </w:r>
          </w:p>
        </w:tc>
      </w:tr>
    </w:tbl>
    <w:p>
      <w:pPr>
        <w:keepNext/>
        <w:keepLines/>
        <w:adjustRightInd w:val="0"/>
        <w:snapToGrid w:val="0"/>
        <w:spacing w:before="156" w:beforeLines="50" w:line="360" w:lineRule="auto"/>
        <w:outlineLvl w:val="2"/>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生产系统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热量平衡</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根据《废旧轮胎热解过程的能耗分析》（薛大明，大连理工大学学报，1999年），1kg废旧轮胎热裂解所需的能量为1994kJ，热裂解装置的热量利用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效率</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70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%计，经计算可知，本项目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热裂解装置正常运行期设计处理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废旧轮胎100000t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/a，需要消耗热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28.49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kJ/a。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类比相同热裂解工艺的同类生产企业运行资料及参考天然气燃烧热值，轮胎</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气的</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密度约为0.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7174kg/m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热值</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35.146MJ/</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废轮胎</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产生量约为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7500t/a，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折算约为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1.045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 xml:space="preserve">7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，热解不凝气总热值约为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36.74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kJ/a。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本项目正常生产过程中，仅需在单套系统的第一台裂解炉点火时消耗少量轻质柴油，其余时间依靠裂解气提供热量；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项目点火时优质柴油用量为15t/a，根据《煤炭企业热源统计报表填报讲解》可知柴油的热值为46.04MJ/kg，则优质柴油提供的热量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为0.069×10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kJ/a。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综上分析，本项目热裂解装置处理全部废旧轮胎需消耗热量28.49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kJ/a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，点火优质柴油燃烧可提供总热量为0.069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kJ/a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，废旧轮胎裂解不凝气需供热量约28.421</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kJ/a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，需燃烧裂解不凝气约5801t/a。经核算，本次工程产生的裂解不凝气除满足热裂解装置正常运行用热外，尚可剩余不凝气约1699t/a，因此，项目裂解不凝气作为燃料为裂解炉提供热量是经济可行的。</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根据项目热裂解不凝气处理方案，在满足热裂解炉正常运行情况下，剩余的裂解不凝气送入余气燃烧装置燃烧处理。同时，工程热裂解气油水分离器产生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含油废水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6</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3t/a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，不凝气水封装置每年检修产生含油废水约24m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/a，该部分含油废水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经高压雾化</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后，</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喷入</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余气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燃烧</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装置焚烧处理；由于含油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废水中的油份</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具有一定热值（约0.117</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kJ/a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），焚烧过程中需热量不大，在大量不凝气助燃条件下，可以达到焚烧处理含油废水的条件及理想效果</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项目热量平衡如表2.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6和</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图2.3-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所示。</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6</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热量平衡表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4"/>
        <w:gridCol w:w="1420"/>
        <w:gridCol w:w="2217"/>
        <w:gridCol w:w="1741"/>
        <w:gridCol w:w="210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24" w:type="dxa"/>
            <w:vMerge w:val="restart"/>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燃料名称</w:t>
            </w:r>
          </w:p>
        </w:tc>
        <w:tc>
          <w:tcPr>
            <w:tcW w:w="3637" w:type="dxa"/>
            <w:gridSpan w:val="2"/>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输入</w:t>
            </w:r>
          </w:p>
        </w:tc>
        <w:tc>
          <w:tcPr>
            <w:tcW w:w="3843" w:type="dxa"/>
            <w:gridSpan w:val="2"/>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输出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24" w:type="dxa"/>
            <w:vMerge w:val="continue"/>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p>
        </w:tc>
        <w:tc>
          <w:tcPr>
            <w:tcW w:w="1420"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燃料量</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2217"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总热值</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量（×10</w:t>
            </w:r>
            <w:r>
              <w:rPr>
                <w:rFonts w:cs="Times New Roman" w:asciiTheme="minorEastAsia" w:hAnsiTheme="minorEastAsia"/>
                <w:color w:val="0D0D0D" w:themeColor="text1" w:themeTint="F2"/>
                <w:szCs w:val="16"/>
                <w:vertAlign w:val="super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）kJ</w:t>
            </w:r>
          </w:p>
        </w:tc>
        <w:tc>
          <w:tcPr>
            <w:tcW w:w="1741"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用热</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环节</w:t>
            </w:r>
          </w:p>
        </w:tc>
        <w:tc>
          <w:tcPr>
            <w:tcW w:w="2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用</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热量（×10</w:t>
            </w:r>
            <w:r>
              <w:rPr>
                <w:rFonts w:cs="Times New Roman" w:asciiTheme="minorEastAsia" w:hAnsiTheme="minorEastAsia"/>
                <w:color w:val="0D0D0D" w:themeColor="text1" w:themeTint="F2"/>
                <w:szCs w:val="16"/>
                <w:vertAlign w:val="super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）kJ</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24"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裂解气</w:t>
            </w:r>
          </w:p>
        </w:tc>
        <w:tc>
          <w:tcPr>
            <w:tcW w:w="1420"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7500</w:t>
            </w:r>
          </w:p>
        </w:tc>
        <w:tc>
          <w:tcPr>
            <w:tcW w:w="2217"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36.74</w:t>
            </w:r>
          </w:p>
        </w:tc>
        <w:tc>
          <w:tcPr>
            <w:tcW w:w="1741"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炉</w:t>
            </w:r>
          </w:p>
        </w:tc>
        <w:tc>
          <w:tcPr>
            <w:tcW w:w="2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28.49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24"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优质柴油</w:t>
            </w:r>
          </w:p>
        </w:tc>
        <w:tc>
          <w:tcPr>
            <w:tcW w:w="1420"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15</w:t>
            </w:r>
          </w:p>
        </w:tc>
        <w:tc>
          <w:tcPr>
            <w:tcW w:w="2217"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0.069</w:t>
            </w:r>
          </w:p>
        </w:tc>
        <w:tc>
          <w:tcPr>
            <w:tcW w:w="1741"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余气燃烧装置</w:t>
            </w:r>
          </w:p>
        </w:tc>
        <w:tc>
          <w:tcPr>
            <w:tcW w:w="2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8.436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24" w:type="dxa"/>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含油废水</w:t>
            </w:r>
          </w:p>
        </w:tc>
        <w:tc>
          <w:tcPr>
            <w:tcW w:w="1420"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507</w:t>
            </w:r>
          </w:p>
        </w:tc>
        <w:tc>
          <w:tcPr>
            <w:tcW w:w="2217"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117</w:t>
            </w:r>
          </w:p>
        </w:tc>
        <w:tc>
          <w:tcPr>
            <w:tcW w:w="1741"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2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44" w:type="dxa"/>
            <w:gridSpan w:val="2"/>
            <w:tcBorders>
              <w:lef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合计</w:t>
            </w:r>
          </w:p>
        </w:tc>
        <w:tc>
          <w:tcPr>
            <w:tcW w:w="2217"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36.926</w:t>
            </w:r>
          </w:p>
        </w:tc>
        <w:tc>
          <w:tcPr>
            <w:tcW w:w="1741" w:type="dxa"/>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t>—</w:t>
            </w:r>
          </w:p>
        </w:tc>
        <w:tc>
          <w:tcPr>
            <w:tcW w:w="2102"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36.926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004" w:type="dxa"/>
            <w:gridSpan w:val="5"/>
            <w:tcBorders>
              <w:left w:val="single" w:color="auto" w:sz="12" w:space="0"/>
              <w:right w:val="single" w:color="auto" w:sz="12" w:space="0"/>
            </w:tcBorders>
            <w:vAlign w:val="center"/>
          </w:tcPr>
          <w:p>
            <w:pPr>
              <w:adjustRightInd w:val="0"/>
              <w:snapToGrid w:val="0"/>
              <w:rPr>
                <w:rFonts w:cs="Times New Roman" w:asciiTheme="minorEastAsia" w:hAnsiTheme="minorEastAsia"/>
                <w:color w:val="0D0D0D" w:themeColor="text1" w:themeTint="F2"/>
                <w:szCs w:val="16"/>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16"/>
                <w14:textFill>
                  <w14:solidFill>
                    <w14:schemeClr w14:val="tx1">
                      <w14:lumMod w14:val="95000"/>
                      <w14:lumOff w14:val="5000"/>
                    </w14:schemeClr>
                  </w14:solidFill>
                </w14:textFill>
              </w:rPr>
              <w:t>备注：用热环节的热量损失计入用热量，不再单独核算。</w:t>
            </w:r>
          </w:p>
        </w:tc>
      </w:tr>
    </w:tbl>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14:textFill>
            <w14:solidFill>
              <w14:schemeClr w14:val="tx1">
                <w14:lumMod w14:val="95000"/>
                <w14:lumOff w14:val="5000"/>
              </w14:schemeClr>
            </w14:solidFill>
          </w14:textFill>
        </w:rPr>
        <w:drawing>
          <wp:anchor distT="0" distB="0" distL="114300" distR="114300" simplePos="0" relativeHeight="252038144" behindDoc="0" locked="0" layoutInCell="1" allowOverlap="1">
            <wp:simplePos x="0" y="0"/>
            <wp:positionH relativeFrom="column">
              <wp:posOffset>-280035</wp:posOffset>
            </wp:positionH>
            <wp:positionV relativeFrom="paragraph">
              <wp:posOffset>61595</wp:posOffset>
            </wp:positionV>
            <wp:extent cx="5874385" cy="1889125"/>
            <wp:effectExtent l="0" t="0" r="12065" b="0"/>
            <wp:wrapNone/>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noChangeArrowheads="1"/>
                    </pic:cNvPicPr>
                  </pic:nvPicPr>
                  <pic:blipFill>
                    <a:blip r:embed="rId25" cstate="print">
                      <a:extLst>
                        <a:ext uri="{28A0092B-C50C-407E-A947-70E740481C1C}">
                          <a14:useLocalDpi xmlns:a14="http://schemas.microsoft.com/office/drawing/2010/main" val="0"/>
                        </a:ext>
                      </a:extLst>
                    </a:blip>
                    <a:srcRect l="-1143" t="12130" r="-52" b="7881"/>
                    <a:stretch>
                      <a:fillRect/>
                    </a:stretch>
                  </pic:blipFill>
                  <pic:spPr>
                    <a:xfrm>
                      <a:off x="0" y="0"/>
                      <a:ext cx="5874588" cy="1889185"/>
                    </a:xfrm>
                    <a:prstGeom prst="rect">
                      <a:avLst/>
                    </a:prstGeom>
                    <a:noFill/>
                    <a:ln>
                      <a:noFill/>
                    </a:ln>
                  </pic:spPr>
                </pic:pic>
              </a:graphicData>
            </a:graphic>
          </wp:anchor>
        </w:drawing>
      </w: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图2.3-</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4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项目热量平衡图</w:t>
      </w:r>
    </w:p>
    <w:p>
      <w:pPr>
        <w:keepNext/>
        <w:keepLines/>
        <w:adjustRightInd w:val="0"/>
        <w:snapToGrid w:val="0"/>
        <w:spacing w:before="156" w:beforeLines="50" w:line="360" w:lineRule="auto"/>
        <w:outlineLvl w:val="2"/>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项目水平衡</w:t>
      </w:r>
    </w:p>
    <w:p>
      <w:pPr>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本项目新鲜水耗量约为78.2m</w:t>
      </w:r>
      <w:r>
        <w:rPr>
          <w:rFonts w:hint="eastAsia" w:cs="宋体"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23460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由园区供水管网供给。用水环节包括脱硫除尘系统补水、循环冷却水系统补水、水封罐补水、生活用水及消防绿化用水等。产生废水主要包括油水分离器含油废水、水封罐检修废水、冷却废水、雾化塔除尘脱硫塔排放废水、生活污水等。</w:t>
      </w:r>
    </w:p>
    <w:p>
      <w:pPr>
        <w:adjustRightInd w:val="0"/>
        <w:snapToGrid w:val="0"/>
        <w:spacing w:line="360" w:lineRule="auto"/>
        <w:ind w:firstLine="482" w:firstLineChars="200"/>
        <w:jc w:val="left"/>
        <w:rPr>
          <w:rFonts w:cs="宋体"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项目营运期生产车间及碳黑产品库地面可能散落少量碳黑尘，如果采用水冲洗方式保洁，产生的冲洗废水含有较多碳黑尘，难以处理；建设单位拟配备4台吸尘器，对车间及产品库地面定期进行保洁；同时，利用抹布对生产设备定期进行擦拭保洁。因此，本项目不产生车间地面冲洗废水及保洁废水。</w:t>
      </w:r>
    </w:p>
    <w:p>
      <w:pPr>
        <w:adjustRightInd w:val="0"/>
        <w:snapToGrid w:val="0"/>
        <w:spacing w:line="360" w:lineRule="auto"/>
        <w:ind w:firstLine="480" w:firstLineChars="200"/>
        <w:textAlignment w:val="baseline"/>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工程营运期用排水环节分析如下：</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、脱硫除尘系统用、排水</w:t>
      </w:r>
    </w:p>
    <w:p>
      <w:pPr>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12台裂解炉及2台余气燃烧装置分别配备1套“SCR脱硝反应器+二级雾化喷淋脱硫塔+UV光氧催化+活性炭吸附”燃烧废气处理系统，该系统配备的二级碱液脱硫除尘雾化塔用于去除燃烧废气中的颗粒物、二氧化硫、H</w:t>
      </w:r>
      <w:r>
        <w:rPr>
          <w:rFonts w:hint="eastAsia" w:cs="宋体"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及脱硝系统逃逸氨等，喷淋碱液与烟气接触反应后，少部分被烟气带走，大部分形成废水从雾化塔底部流出，经隔油池、四格沉淀池处理及补充碱液后，可利用碱液泵再次送入雾化塔，实现长期循环使用，不外排。</w:t>
      </w:r>
    </w:p>
    <w:p>
      <w:pPr>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根据《环境保护产品技术要求湿式烟气脱硫除尘装置》（HJ/T288-2006），通过添加脱硫剂</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（本项目为氢氧化钠）</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降低烟气中二氧化硫排放浓度的脱硫除尘装置，液气比设定为1L/m</w:t>
      </w:r>
      <w:r>
        <w:rPr>
          <w:rFonts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(即1m</w:t>
      </w:r>
      <w:r>
        <w:rPr>
          <w:rFonts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烟气用1L吸收液）</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单套燃烧废气处理装置引风机设计风量均为</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2500m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/h（每天运行24h）</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依此计算，每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台</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脱硫</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雾化塔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每天用水量为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6</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。本项目设置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脱硫</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雾化塔总数为28台，则工程</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脱硫除尘</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系统喷淋水</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总用量为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1680</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16"/>
          <w:szCs w:val="16"/>
          <w:u w:val="single"/>
          <w:lang w:bidi="ar"/>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燃烧烟气带来水分约2.8m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/d,；喷淋雾化塔运行过程中随废气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蒸发及</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清理脱硫除尘</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灰渣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等损失水量约占喷淋水量的0.2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左右，共</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损耗</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水</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约3.4</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；同时，为保证雾化塔喷淋水（碱液）清洁度，需定期排放少量废水，约占喷淋水量的1%左右，日均排放量约16.8m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故正常运行期间，</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脱硫除尘系统</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需补</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水量</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约17.4</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，主要来自新鲜水</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、循环冷却系统用、排水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项目热裂解过程中的裂解气在冷凝器中降温，在冷凝器作用下将高温下易挥发的油气体转化成</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气则经过水封稳定后，被送到裂解炉作燃料。在此过程中冷凝器中的低温水通过热量交换升温，产生一定带有热量的冷凝水，这部分废水不与废气直接接触，因此其主要污染为废热，无其他污染物，经冷却后循环使用。</w:t>
      </w: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根据企业提供的资料，项目每台冷凝器冷却水水量为</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1.25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L/s，共</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24</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台冷凝器（每台日运行时间按24h计），则需要冷却水</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总</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2592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。工程设计</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新建</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00m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循环水池</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座，配套</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台</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150m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的冷却水塔，供水压力</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0.5MPa</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，给水温度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℃，回水温度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37</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冷却水循环过程中蒸发</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损耗量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左右，约26</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为保证冷却水水质，</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循环冷却水池需定期少量排放，按照同类型企业估算，一般日均排放量为总水量的</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左右</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26</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，该部分废水属于清下水，可通过厂区排污口排放城市污水管网系统。</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因此，本工程循环冷却水系统正常运行需补充水量约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52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，来自新鲜水。</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、水封</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罐</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用、排水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工程裂解气</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冷凝后</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等</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不凝气在燃烧前，先进入水封罐</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，其</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目的</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：第一，起到对气体缓冲作用，控制气体流速；第二，对不凝可燃气中的杂质起到一定的除杂作用；第三，</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水封罐用水中</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加</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入碱性脱硫</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液</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，可起到一定脱硫作用，降低不凝气中H</w:t>
      </w:r>
      <w:r>
        <w:rPr>
          <w:rFonts w:hint="eastAsia" w:cs="Times New Roman"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S、HCL含量（一般可去除裂解不凝气中约10%的硫元素），同时，</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避免酸性气体过高聚集在管道</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内</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而易造成</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对</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管道的腐蚀；第四，</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用水将罐内外的介质隔离，防止罐内介质与氧气接触，还可达到防止气体</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泄漏及发生火灾</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的目的，其密封效果比阀门还要严密。</w:t>
      </w: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台</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炉各配备</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一个</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水封罐，</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正常运行期间水封用水</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不需要更换，只需视情形补充水</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量</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即可，设备停车时清理</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水封罐</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底部泥渣。</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裂解不凝气经过水封罐过程中，会带走少量水分，因此水封用水会不断损耗。</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建设单位提供的</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资料，</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工程单台水封罐保有水量约2.0m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，12台</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水封</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罐</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用水保有量约24m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/d，不凝气</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日均带走水</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约5</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左右</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需</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补充新鲜水</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总</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约1.2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项目设计水封罐每年检修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次，在检修过程中需要清除罐底废油泥并排出更换罐内的水封水，</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台水封罐全部检修产生水封废水总量约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24</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/a</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，该部分废水成分与油水分离废水相近，雾化后送入余气燃烧装置进行焚烧处理。</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综上分析，水封罐全年总补水量为384</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/a，约1.28</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、车辆冲洗用、排水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项目原料、产品均采用汽车运输方式，进出厂区的车辆需要对车身、轮胎等进行冲洗，冲洗用水量取</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100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L/</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辆.次；工程</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营运期平均运输量约20辆.次/天，车辆冲洗用水量约2.0m</w:t>
      </w:r>
      <w:r>
        <w:rPr>
          <w:rFonts w:hint="eastAsia" w:cs="宋体"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/d，排放系数取</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8</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，则车辆冲洗废水产生量</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480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a（1.6</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，经三级沉淀池处理后，循环使用，不外排。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、生活用水及排水 </w:t>
      </w: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项目职工人数为20人，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均</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在厂区住宿，用水定额以1</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0L/d·人计。经核算，本项目的生活用水量为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16"/>
          <w:szCs w:val="16"/>
          <w:lang w:bidi="ar"/>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/d，污</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排污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系数按</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0.8</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计，生活污水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产生</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量为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2.4</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16"/>
          <w:szCs w:val="16"/>
          <w:lang w:bidi="ar"/>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经厂区化粪池及一体化污水处理设施处理后，通过园区污水管网进入西平县第三污水处理厂处理满足一级A排放标准后，排入红澍河。</w:t>
      </w:r>
    </w:p>
    <w:p>
      <w:pPr>
        <w:widowControl/>
        <w:numPr>
          <w:ilvl w:val="0"/>
          <w:numId w:val="2"/>
        </w:numPr>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油水分离器废水</w:t>
      </w:r>
    </w:p>
    <w:p>
      <w:pPr>
        <w:widowControl/>
        <w:adjustRightInd w:val="0"/>
        <w:snapToGrid w:val="0"/>
        <w:spacing w:line="360" w:lineRule="auto"/>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项目废旧轮胎热裂解气含有极少量等水蒸气，经冷凝后通过油水分离器处理，产生含油废水约463t/a（含水约456t、含油份7.0t），平均产生量约1.52m</w:t>
      </w:r>
      <w:r>
        <w:rPr>
          <w:rFonts w:hint="eastAsia" w:cs="宋体"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/d ，该部分废水含有较多油分，雾化后进入余气燃烧装置处理。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消防给水系统 </w:t>
      </w: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根据《消防给水及消火栓系统技术规范》（</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GB50974-2014</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），本项目厂区占地面积小于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100hm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，同一时间内火灾次数按一次考虑，本项目需水量最大处为轮胎裂解车间，该车间耐火等级为二级，火灾危险性为甲类，最大车间占地面积</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6000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，对照《消防给水及消火栓系统技术规范》（</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GB50974-2014</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），本项目最大消防用水量为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0L/s</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，火灾延续时间为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3h</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，则最大消防用水量为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324</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。厂区设置有效容积</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的消防水池一座，配套消防主水泵（</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Q=168m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H=40m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P=30kW</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）两台，稳压泵（</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Q=80m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H=40m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P=5.5kW</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）一台，厂区一次水管网为消防水池提供补水，可满足消防要求。</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8、</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初期雨水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本项目油罐区、生产区初期雨水需进行有组织收集，禁止直接排放。参照《石 油化工企业给水排水系统设计规范》（</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SH3015-2003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）的要求，初期雨水按降水</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15mm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30mm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与污染区面积的乘积来计算。初期雨水产生量计算采用如下公式： </w:t>
      </w:r>
    </w:p>
    <w:p>
      <w:pPr>
        <w:widowControl/>
        <w:adjustRightInd w:val="0"/>
        <w:snapToGrid w:val="0"/>
        <w:spacing w:line="360" w:lineRule="auto"/>
        <w:ind w:firstLine="480" w:firstLineChars="20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i/>
          <w:color w:val="0D0D0D" w:themeColor="text1" w:themeTint="F2"/>
          <w:kern w:val="0"/>
          <w:sz w:val="24"/>
          <w:szCs w:val="24"/>
          <w:lang w:bidi="ar"/>
          <w14:textFill>
            <w14:solidFill>
              <w14:schemeClr w14:val="tx1">
                <w14:lumMod w14:val="95000"/>
                <w14:lumOff w14:val="5000"/>
              </w14:schemeClr>
            </w14:solidFill>
          </w14:textFill>
        </w:rPr>
        <w:t>Q=10ΨFi</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式中：</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Q——</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降雨径流总量，</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F——</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汇水面积，公顷；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Ψ——</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径流系数，取</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0.9</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i——</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降雨强度，</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项目区汇水面积考虑厂区使用面积，约为</w:t>
      </w:r>
      <w:r>
        <w:rPr>
          <w:rFonts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t>000</w:t>
      </w:r>
      <w:r>
        <w:rPr>
          <w:rFonts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t>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折合3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公顷）；收集降雨量按</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15mm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计，径流系数取</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0.9</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。经计算，本项目初期雨水一次最大量为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05m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，厂区设置容积</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雨水池，以满足厂区初期雨水暂存需求。全年</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15m</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降雨次数平均按6次计，则全年初期雨水收集量为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2430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/a，折算为8.1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初期雨水主要污染物为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SS</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及少量石油类污染物</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，经隔油沉淀池预处理后，进入一体化污水处理设施处理。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根据上述分析，本</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项目水平衡图</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图2.3-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5所示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anchor distT="0" distB="0" distL="114300" distR="114300" simplePos="0" relativeHeight="252049408" behindDoc="0" locked="0" layoutInCell="1" allowOverlap="1">
            <wp:simplePos x="0" y="0"/>
            <wp:positionH relativeFrom="column">
              <wp:posOffset>-64135</wp:posOffset>
            </wp:positionH>
            <wp:positionV relativeFrom="paragraph">
              <wp:posOffset>111760</wp:posOffset>
            </wp:positionV>
            <wp:extent cx="5503545" cy="794131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510039" cy="7950310"/>
                    </a:xfrm>
                    <a:prstGeom prst="rect">
                      <a:avLst/>
                    </a:prstGeom>
                    <a:noFill/>
                    <a:ln>
                      <a:noFill/>
                    </a:ln>
                  </pic:spPr>
                </pic:pic>
              </a:graphicData>
            </a:graphic>
          </wp:anchor>
        </w:drawing>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项目水平衡图  单位：m</w:t>
      </w:r>
      <w:r>
        <w:rPr>
          <w:rFonts w:cs="Times New Roman" w:asciiTheme="minorEastAsia" w:hAnsiTheme="minorEastAsia"/>
          <w:b/>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/d  </w:t>
      </w:r>
    </w:p>
    <w:p>
      <w:pPr>
        <w:keepNext/>
        <w:keepLines/>
        <w:adjustRightInd w:val="0"/>
        <w:snapToGrid w:val="0"/>
        <w:spacing w:before="156" w:beforeLines="50" w:line="360" w:lineRule="auto"/>
        <w:outlineLvl w:val="1"/>
        <w:rPr>
          <w:rFonts w:cs="Times New Roman" w:asciiTheme="minorEastAsia" w:hAnsiTheme="minorEastAsia"/>
          <w:b/>
          <w:snapToGrid w:val="0"/>
          <w:color w:val="0D0D0D" w:themeColor="text1" w:themeTint="F2"/>
          <w:kern w:val="0"/>
          <w:sz w:val="28"/>
          <w:szCs w:val="28"/>
          <w14:textFill>
            <w14:solidFill>
              <w14:schemeClr w14:val="tx1">
                <w14:lumMod w14:val="95000"/>
                <w14:lumOff w14:val="5000"/>
              </w14:schemeClr>
            </w14:solidFill>
          </w14:textFill>
        </w:rPr>
      </w:pPr>
      <w:bookmarkStart w:id="38" w:name="_Toc16849"/>
      <w:bookmarkStart w:id="39" w:name="_Toc489812799"/>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2.4 施工期污染因素分析</w:t>
      </w:r>
      <w:bookmarkEnd w:id="38"/>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本项目位于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西平县产业集聚区静脉产业园</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，项目所在地用地性质属于工业用地，总占地面积</w:t>
      </w:r>
      <w:r>
        <w:rPr>
          <w:rFonts w:hint="eastAsia"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5</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0亩，建筑面积</w:t>
      </w:r>
      <w:r>
        <w:rPr>
          <w:rFonts w:hint="eastAsia"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100</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00平方米，施工期主要涉及原料库、成品库建设、厂区路面硬化及设备安装等施工，主要污染因素包括施工扬尘、施工机械噪声、施工建筑垃圾、施工废水等。</w:t>
      </w:r>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2.4.1施工机械及运输车辆噪声</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施工内容主要是土建工程，当前土建施工中的相当大一部分的工程量为机械化作业，而施工所用建筑材料及部分设备需要用汽车、拖拉机等交通工具运输，因此，施工机械噪声及运输车辆噪声是项目建设中的主要污染因素。</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施工中使用的挖掘机、推土机、打夯机、切割机、卷扬机、搅拌机、振捣棒、电锯等机械设备均产生高强度噪声；汽车、拖拉机等运输车辆也产生较高的噪声。施工机械和运输车辆的噪声源强见表2.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w:t>
      </w:r>
    </w:p>
    <w:p>
      <w:pPr>
        <w:adjustRightInd w:val="0"/>
        <w:snapToGrid w:val="0"/>
        <w:jc w:val="cente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表2.4-1    施工期主要噪声源强</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376"/>
        <w:gridCol w:w="3858"/>
        <w:gridCol w:w="2361"/>
        <w:gridCol w:w="15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4"/>
                <w14:textFill>
                  <w14:solidFill>
                    <w14:schemeClr w14:val="tx1">
                      <w14:lumMod w14:val="95000"/>
                      <w14:lumOff w14:val="5000"/>
                    </w14:schemeClr>
                  </w14:solidFill>
                </w14:textFill>
              </w:rPr>
              <w:t>序号</w:t>
            </w:r>
          </w:p>
        </w:tc>
        <w:tc>
          <w:tcPr>
            <w:tcW w:w="3858" w:type="dxa"/>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4"/>
                <w14:textFill>
                  <w14:solidFill>
                    <w14:schemeClr w14:val="tx1">
                      <w14:lumMod w14:val="95000"/>
                      <w14:lumOff w14:val="5000"/>
                    </w14:schemeClr>
                  </w14:solidFill>
                </w14:textFill>
              </w:rPr>
              <w:t>产生噪声的设备</w:t>
            </w:r>
          </w:p>
        </w:tc>
        <w:tc>
          <w:tcPr>
            <w:tcW w:w="2361" w:type="dxa"/>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4"/>
                <w14:textFill>
                  <w14:solidFill>
                    <w14:schemeClr w14:val="tx1">
                      <w14:lumMod w14:val="95000"/>
                      <w14:lumOff w14:val="5000"/>
                    </w14:schemeClr>
                  </w14:solidFill>
                </w14:textFill>
              </w:rPr>
              <w:t>噪声源强</w:t>
            </w:r>
            <w: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t>[dB(A)]</w:t>
            </w:r>
          </w:p>
        </w:tc>
        <w:tc>
          <w:tcPr>
            <w:tcW w:w="1591" w:type="dxa"/>
            <w:vAlign w:val="center"/>
          </w:tcPr>
          <w:p>
            <w:pPr>
              <w:adjustRightInd w:val="0"/>
              <w:snapToGrid w:val="0"/>
              <w:jc w:val="center"/>
              <w:rPr>
                <w:rFonts w:cs="Times New Roman" w:asciiTheme="minorEastAsia" w:hAnsiTheme="minorEastAsia"/>
                <w:b/>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Cs w:val="24"/>
                <w14:textFill>
                  <w14:solidFill>
                    <w14:schemeClr w14:val="tx1">
                      <w14:lumMod w14:val="95000"/>
                      <w14:lumOff w14:val="5000"/>
                    </w14:schemeClr>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1</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挖掘机</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80~90</w:t>
            </w:r>
          </w:p>
        </w:tc>
        <w:tc>
          <w:tcPr>
            <w:tcW w:w="1591" w:type="dxa"/>
            <w:vMerge w:val="restart"/>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施工机械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2</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推土机</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75~80</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3</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打夯机</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75~80</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4</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切割机</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95~105</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5</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卷扬机</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90~95</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6</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搅拌机</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75~85</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7</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振捣棒</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80~95</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8</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电 锯</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95~105</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9</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重型汽车</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75~80</w:t>
            </w:r>
          </w:p>
        </w:tc>
        <w:tc>
          <w:tcPr>
            <w:tcW w:w="1591" w:type="dxa"/>
            <w:vMerge w:val="restart"/>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运输车辆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76"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10</w:t>
            </w:r>
          </w:p>
        </w:tc>
        <w:tc>
          <w:tcPr>
            <w:tcW w:w="3858" w:type="dxa"/>
            <w:vAlign w:val="center"/>
          </w:tcPr>
          <w:p>
            <w:pPr>
              <w:adjustRightInd w:val="0"/>
              <w:snapToGrid w:val="0"/>
              <w:jc w:val="cente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4"/>
                <w14:textFill>
                  <w14:solidFill>
                    <w14:schemeClr w14:val="tx1">
                      <w14:lumMod w14:val="95000"/>
                      <w14:lumOff w14:val="5000"/>
                    </w14:schemeClr>
                  </w14:solidFill>
                </w14:textFill>
              </w:rPr>
              <w:t>拖拉机</w:t>
            </w:r>
          </w:p>
        </w:tc>
        <w:tc>
          <w:tcPr>
            <w:tcW w:w="2361"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80~85</w:t>
            </w:r>
          </w:p>
        </w:tc>
        <w:tc>
          <w:tcPr>
            <w:tcW w:w="1591" w:type="dxa"/>
            <w:vMerge w:val="continue"/>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r>
    </w:tbl>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2.4.2 施工扬尘及粉尘</w:t>
      </w:r>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由于该项目为新建项目，目前项目所在地地表有植物，项目的建设施工中由于土壤的翻动、开挖等许多环节都会产生扬尘及粉尘。按起尘的原因可分为风力起尘和动力起尘，其中风力起尘主要是由于露天堆放的建材（如黄沙、水泥等）及裸露的施工区表层浮尘因天气干燥及大风，产生风尘扬尘；而动力起尘，主要是在建材的装卸、搅拌过程中，由于外力而产生的尘粒再悬浮而造成。施工及装卸车辆造成的扬尘最为严重，而且本项目土石方量大车辆进出多预计每天进出20辆左右。据有关文献资料介绍，车辆行驶产生的扬尘占总扬尘的60%上。车辆行驶产生的扬尘，在完全干燥情况下，可按下列经验公式计算：</w:t>
      </w:r>
    </w:p>
    <w:p>
      <w:pPr>
        <w:adjustRightInd w:val="0"/>
        <w:snapToGrid w:val="0"/>
        <w:spacing w:before="156" w:beforeLines="50" w:after="156" w:afterLines="50" w:line="360" w:lineRule="auto"/>
        <w:ind w:firstLine="964" w:firstLineChars="400"/>
        <w:jc w:val="cente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24"/>
          <w:szCs w:val="28"/>
          <w14:textFill>
            <w14:solidFill>
              <w14:schemeClr w14:val="tx1">
                <w14:lumMod w14:val="95000"/>
                <w14:lumOff w14:val="5000"/>
              </w14:schemeClr>
            </w14:solidFill>
          </w14:textFill>
        </w:rPr>
        <w:drawing>
          <wp:inline distT="0" distB="0" distL="0" distR="0">
            <wp:extent cx="2536190" cy="250190"/>
            <wp:effectExtent l="0" t="0" r="16510" b="171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536190" cy="250190"/>
                    </a:xfrm>
                    <a:prstGeom prst="rect">
                      <a:avLst/>
                    </a:prstGeom>
                    <a:noFill/>
                    <a:ln>
                      <a:noFill/>
                    </a:ln>
                    <a:effectLst/>
                  </pic:spPr>
                </pic:pic>
              </a:graphicData>
            </a:graphic>
          </wp:inline>
        </w:drawing>
      </w:r>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式中：Q——汽车行驶的扬尘，kg/km·辆；</w:t>
      </w:r>
    </w:p>
    <w:p>
      <w:pPr>
        <w:adjustRightInd w:val="0"/>
        <w:snapToGrid w:val="0"/>
        <w:spacing w:line="360" w:lineRule="auto"/>
        <w:ind w:firstLine="1200" w:firstLineChars="5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V——汽车速度，km/hr；</w:t>
      </w:r>
    </w:p>
    <w:p>
      <w:pPr>
        <w:adjustRightInd w:val="0"/>
        <w:snapToGrid w:val="0"/>
        <w:spacing w:line="360" w:lineRule="auto"/>
        <w:ind w:firstLine="1200" w:firstLineChars="5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W——汽车载重量，t；</w:t>
      </w:r>
    </w:p>
    <w:p>
      <w:pPr>
        <w:adjustRightInd w:val="0"/>
        <w:snapToGrid w:val="0"/>
        <w:spacing w:line="360" w:lineRule="auto"/>
        <w:ind w:firstLine="1200" w:firstLineChars="5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P——道路表面粉尘量，kg/m</w:t>
      </w:r>
      <w:r>
        <w:rPr>
          <w:rFonts w:cs="Times New Roman" w:asciiTheme="minorEastAsia" w:hAnsiTheme="minorEastAsia"/>
          <w:snapToGrid w:val="0"/>
          <w:color w:val="0D0D0D" w:themeColor="text1" w:themeTint="F2"/>
          <w:kern w:val="0"/>
          <w:sz w:val="24"/>
          <w:szCs w:val="28"/>
          <w:vertAlign w:val="superscript"/>
          <w14:textFill>
            <w14:solidFill>
              <w14:schemeClr w14:val="tx1">
                <w14:lumMod w14:val="95000"/>
                <w14:lumOff w14:val="5000"/>
              </w14:schemeClr>
            </w14:solidFill>
          </w14:textFill>
        </w:rPr>
        <w:t>2</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表2.4-2为一辆10吨卡车，通过一段长度为1km的路面时，不同路面清洁程度，不同行驶速度情况下的扬尘量。由此可见，在同样路面清洁程度条件下，车速越快，扬尘量越大；而在同样车速情况下路面越脏，则扬尘量越大。因此限速行驶是减少汽车扬尘的有效手段。</w:t>
      </w:r>
    </w:p>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24"/>
          <w:szCs w:val="20"/>
          <w14:textFill>
            <w14:solidFill>
              <w14:schemeClr w14:val="tx1">
                <w14:lumMod w14:val="95000"/>
                <w14:lumOff w14:val="5000"/>
              </w14:schemeClr>
            </w14:solidFill>
          </w14:textFill>
        </w:rPr>
        <w:t>表2.4-2 　在不同车速和地面清洁程度的汽车扬尘　</w:t>
      </w:r>
      <w:r>
        <w:rPr>
          <w:rFonts w:cs="Times New Roman" w:asciiTheme="minorEastAsia" w:hAnsiTheme="minorEastAsia"/>
          <w:snapToGrid w:val="0"/>
          <w:color w:val="0D0D0D" w:themeColor="text1" w:themeTint="F2"/>
          <w:kern w:val="0"/>
          <w:sz w:val="24"/>
          <w:szCs w:val="20"/>
          <w14:textFill>
            <w14:solidFill>
              <w14:schemeClr w14:val="tx1">
                <w14:lumMod w14:val="95000"/>
                <w14:lumOff w14:val="5000"/>
              </w14:schemeClr>
            </w14:solidFill>
          </w14:textFill>
        </w:rPr>
        <w:t>　　</w:t>
      </w:r>
      <w:r>
        <w:rPr>
          <w:rFonts w:cs="Times New Roman"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单位：kg/辆·公里</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20"/>
        <w:gridCol w:w="1454"/>
        <w:gridCol w:w="1344"/>
        <w:gridCol w:w="1342"/>
        <w:gridCol w:w="1343"/>
        <w:gridCol w:w="1342"/>
        <w:gridCol w:w="13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1120" w:type="dxa"/>
            <w:vAlign w:val="center"/>
          </w:tcPr>
          <w:p>
            <w:pPr>
              <w:adjustRightInd w:val="0"/>
              <w:snapToGrid w:val="0"/>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p>
            <w:pPr>
              <w:adjustRightInd w:val="0"/>
              <w:snapToGrid w:val="0"/>
              <w:ind w:right="105" w:firstLine="420" w:firstLineChars="200"/>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p>
            <w:pPr>
              <w:adjustRightInd w:val="0"/>
              <w:snapToGrid w:val="0"/>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p>
            <w:pPr>
              <w:adjustRightInd w:val="0"/>
              <w:snapToGrid w:val="0"/>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p>
        </w:tc>
        <w:tc>
          <w:tcPr>
            <w:tcW w:w="145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0.1</w:t>
            </w:r>
          </w:p>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(kg/m</w:t>
            </w:r>
            <w:r>
              <w:rPr>
                <w:rFonts w:cs="Times New Roman" w:asciiTheme="minorEastAsia" w:hAnsiTheme="minorEastAsia"/>
                <w:snapToGrid w:val="0"/>
                <w:color w:val="0D0D0D" w:themeColor="text1" w:themeTint="F2"/>
                <w:kern w:val="0"/>
                <w:szCs w:val="21"/>
                <w:vertAlign w:val="superscript"/>
                <w14:textFill>
                  <w14:solidFill>
                    <w14:schemeClr w14:val="tx1">
                      <w14:lumMod w14:val="95000"/>
                      <w14:lumOff w14:val="5000"/>
                    </w14:schemeClr>
                  </w14:solidFill>
                </w14:textFill>
              </w:rPr>
              <w:t>2</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c>
          <w:tcPr>
            <w:tcW w:w="134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0.2</w:t>
            </w:r>
          </w:p>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(kg/m</w:t>
            </w:r>
            <w:r>
              <w:rPr>
                <w:rFonts w:cs="Times New Roman" w:asciiTheme="minorEastAsia" w:hAnsiTheme="minorEastAsia"/>
                <w:snapToGrid w:val="0"/>
                <w:color w:val="0D0D0D" w:themeColor="text1" w:themeTint="F2"/>
                <w:kern w:val="0"/>
                <w:szCs w:val="21"/>
                <w:vertAlign w:val="superscript"/>
                <w14:textFill>
                  <w14:solidFill>
                    <w14:schemeClr w14:val="tx1">
                      <w14:lumMod w14:val="95000"/>
                      <w14:lumOff w14:val="5000"/>
                    </w14:schemeClr>
                  </w14:solidFill>
                </w14:textFill>
              </w:rPr>
              <w:t>2</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0.3</w:t>
            </w:r>
          </w:p>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(kg/m</w:t>
            </w:r>
            <w:r>
              <w:rPr>
                <w:rFonts w:cs="Times New Roman" w:asciiTheme="minorEastAsia" w:hAnsiTheme="minorEastAsia"/>
                <w:snapToGrid w:val="0"/>
                <w:color w:val="0D0D0D" w:themeColor="text1" w:themeTint="F2"/>
                <w:kern w:val="0"/>
                <w:szCs w:val="21"/>
                <w:vertAlign w:val="superscript"/>
                <w14:textFill>
                  <w14:solidFill>
                    <w14:schemeClr w14:val="tx1">
                      <w14:lumMod w14:val="95000"/>
                      <w14:lumOff w14:val="5000"/>
                    </w14:schemeClr>
                  </w14:solidFill>
                </w14:textFill>
              </w:rPr>
              <w:t>2</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0.4</w:t>
            </w:r>
          </w:p>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(kg/m</w:t>
            </w:r>
            <w:r>
              <w:rPr>
                <w:rFonts w:cs="Times New Roman" w:asciiTheme="minorEastAsia" w:hAnsiTheme="minorEastAsia"/>
                <w:snapToGrid w:val="0"/>
                <w:color w:val="0D0D0D" w:themeColor="text1" w:themeTint="F2"/>
                <w:kern w:val="0"/>
                <w:szCs w:val="21"/>
                <w:vertAlign w:val="superscript"/>
                <w14:textFill>
                  <w14:solidFill>
                    <w14:schemeClr w14:val="tx1">
                      <w14:lumMod w14:val="95000"/>
                      <w14:lumOff w14:val="5000"/>
                    </w14:schemeClr>
                  </w14:solidFill>
                </w14:textFill>
              </w:rPr>
              <w:t>2</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0.5</w:t>
            </w:r>
          </w:p>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(kg/m</w:t>
            </w:r>
            <w:r>
              <w:rPr>
                <w:rFonts w:cs="Times New Roman" w:asciiTheme="minorEastAsia" w:hAnsiTheme="minorEastAsia"/>
                <w:snapToGrid w:val="0"/>
                <w:color w:val="0D0D0D" w:themeColor="text1" w:themeTint="F2"/>
                <w:kern w:val="0"/>
                <w:szCs w:val="21"/>
                <w:vertAlign w:val="superscript"/>
                <w14:textFill>
                  <w14:solidFill>
                    <w14:schemeClr w14:val="tx1">
                      <w14:lumMod w14:val="95000"/>
                      <w14:lumOff w14:val="5000"/>
                    </w14:schemeClr>
                  </w14:solidFill>
                </w14:textFill>
              </w:rPr>
              <w:t>2</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1</w:t>
            </w:r>
          </w:p>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(kg/m</w:t>
            </w:r>
            <w:r>
              <w:rPr>
                <w:rFonts w:cs="Times New Roman" w:asciiTheme="minorEastAsia" w:hAnsiTheme="minorEastAsia"/>
                <w:snapToGrid w:val="0"/>
                <w:color w:val="0D0D0D" w:themeColor="text1" w:themeTint="F2"/>
                <w:kern w:val="0"/>
                <w:szCs w:val="21"/>
                <w:vertAlign w:val="superscript"/>
                <w14:textFill>
                  <w14:solidFill>
                    <w14:schemeClr w14:val="tx1">
                      <w14:lumMod w14:val="95000"/>
                      <w14:lumOff w14:val="5000"/>
                    </w14:schemeClr>
                  </w14:solidFill>
                </w14:textFill>
              </w:rPr>
              <w:t>2</w:t>
            </w: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0"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5(km/hr)</w:t>
            </w:r>
          </w:p>
        </w:tc>
        <w:tc>
          <w:tcPr>
            <w:tcW w:w="145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0.051056</w:t>
            </w:r>
          </w:p>
        </w:tc>
        <w:tc>
          <w:tcPr>
            <w:tcW w:w="134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0.085865</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0.116382</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0.144408</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0.170715</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0.287108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0"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10(km/hr)</w:t>
            </w:r>
          </w:p>
        </w:tc>
        <w:tc>
          <w:tcPr>
            <w:tcW w:w="145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0.102112</w:t>
            </w:r>
          </w:p>
        </w:tc>
        <w:tc>
          <w:tcPr>
            <w:tcW w:w="134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0.171731</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0.232764</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0.288815</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0.341431</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0.574216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0"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15(km/hr)</w:t>
            </w:r>
          </w:p>
        </w:tc>
        <w:tc>
          <w:tcPr>
            <w:tcW w:w="145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0.153167</w:t>
            </w:r>
          </w:p>
        </w:tc>
        <w:tc>
          <w:tcPr>
            <w:tcW w:w="134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0.257596</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0.349146</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0.433223</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0.512146</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0.861323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0"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25(km/hr)</w:t>
            </w:r>
          </w:p>
        </w:tc>
        <w:tc>
          <w:tcPr>
            <w:tcW w:w="145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0.255279</w:t>
            </w:r>
          </w:p>
        </w:tc>
        <w:tc>
          <w:tcPr>
            <w:tcW w:w="1344"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0.429326</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0.58191</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0.722038</w:t>
            </w:r>
          </w:p>
        </w:tc>
        <w:tc>
          <w:tcPr>
            <w:tcW w:w="1342"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0.853577</w:t>
            </w:r>
          </w:p>
        </w:tc>
        <w:tc>
          <w:tcPr>
            <w:tcW w:w="1343" w:type="dxa"/>
            <w:vAlign w:val="center"/>
          </w:tcPr>
          <w:p>
            <w:pPr>
              <w:adjustRightInd w:val="0"/>
              <w:snapToGrid w:val="0"/>
              <w:jc w:val="cente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Cs w:val="21"/>
                <w14:textFill>
                  <w14:solidFill>
                    <w14:schemeClr w14:val="tx1">
                      <w14:lumMod w14:val="95000"/>
                      <w14:lumOff w14:val="5000"/>
                    </w14:schemeClr>
                  </w14:solidFill>
                </w14:textFill>
              </w:rPr>
              <w:t>1.435539</w:t>
            </w:r>
          </w:p>
        </w:tc>
      </w:tr>
    </w:tbl>
    <w:p>
      <w:pPr>
        <w:adjustRightInd w:val="0"/>
        <w:snapToGrid w:val="0"/>
        <w:spacing w:before="156" w:beforeLines="50" w:line="360" w:lineRule="auto"/>
        <w:ind w:firstLine="561"/>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施工期扬尘的另一个主要原因是露天堆场和裸露场地的风力扬尘。由于施工的需要，一些建材需露天堆放；一些施工点表层土壤需人工开挖、堆放，在气候干燥又有风的情况下，会产生扬尘，其扬尘可按堆场起尘的经验公式计算：</w:t>
      </w:r>
    </w:p>
    <w:p>
      <w:pPr>
        <w:adjustRightInd w:val="0"/>
        <w:snapToGrid w:val="0"/>
        <w:spacing w:before="156" w:beforeLines="50" w:line="360" w:lineRule="auto"/>
        <w:ind w:firstLine="561"/>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asciiTheme="minorEastAsia" w:hAnsiTheme="minorEastAsia"/>
          <w:color w:val="0D0D0D" w:themeColor="text1" w:themeTint="F2"/>
          <w14:textFill>
            <w14:solidFill>
              <w14:schemeClr w14:val="tx1">
                <w14:lumMod w14:val="95000"/>
                <w14:lumOff w14:val="5000"/>
              </w14:schemeClr>
            </w14:solidFill>
          </w14:textFill>
        </w:rPr>
        <w:drawing>
          <wp:anchor distT="0" distB="0" distL="114300" distR="114300" simplePos="0" relativeHeight="251882496" behindDoc="0" locked="0" layoutInCell="1" allowOverlap="1">
            <wp:simplePos x="0" y="0"/>
            <wp:positionH relativeFrom="column">
              <wp:posOffset>1271905</wp:posOffset>
            </wp:positionH>
            <wp:positionV relativeFrom="paragraph">
              <wp:posOffset>78740</wp:posOffset>
            </wp:positionV>
            <wp:extent cx="1785620" cy="396875"/>
            <wp:effectExtent l="0" t="0" r="5080" b="3175"/>
            <wp:wrapNone/>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28">
                      <a:extLst>
                        <a:ext uri="{28A0092B-C50C-407E-A947-70E740481C1C}">
                          <a14:useLocalDpi xmlns:a14="http://schemas.microsoft.com/office/drawing/2010/main" val="0"/>
                        </a:ext>
                      </a:extLst>
                    </a:blip>
                    <a:srcRect l="35714"/>
                    <a:stretch>
                      <a:fillRect/>
                    </a:stretch>
                  </pic:blipFill>
                  <pic:spPr>
                    <a:xfrm>
                      <a:off x="0" y="0"/>
                      <a:ext cx="1785667" cy="396815"/>
                    </a:xfrm>
                    <a:prstGeom prst="rect">
                      <a:avLst/>
                    </a:prstGeom>
                    <a:ln>
                      <a:noFill/>
                    </a:ln>
                  </pic:spPr>
                </pic:pic>
              </a:graphicData>
            </a:graphic>
          </wp:anchor>
        </w:drawing>
      </w:r>
    </w:p>
    <w:p>
      <w:pPr>
        <w:adjustRightInd w:val="0"/>
        <w:snapToGrid w:val="0"/>
        <w:spacing w:line="360" w:lineRule="auto"/>
        <w:ind w:firstLine="56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p>
    <w:p>
      <w:pPr>
        <w:adjustRightInd w:val="0"/>
        <w:snapToGrid w:val="0"/>
        <w:spacing w:line="360" w:lineRule="auto"/>
        <w:ind w:firstLine="56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其中：Q——起尘量，kg/吨·年；</w:t>
      </w:r>
    </w:p>
    <w:p>
      <w:pPr>
        <w:adjustRightInd w:val="0"/>
        <w:snapToGrid w:val="0"/>
        <w:spacing w:line="360" w:lineRule="auto"/>
        <w:ind w:firstLine="1320" w:firstLineChars="55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V</w:t>
      </w:r>
      <w:r>
        <w:rPr>
          <w:rFonts w:cs="Times New Roman" w:asciiTheme="minorEastAsia" w:hAnsiTheme="minorEastAsia"/>
          <w:snapToGrid w:val="0"/>
          <w:color w:val="0D0D0D" w:themeColor="text1" w:themeTint="F2"/>
          <w:kern w:val="0"/>
          <w:sz w:val="24"/>
          <w:szCs w:val="28"/>
          <w:vertAlign w:val="subscript"/>
          <w14:textFill>
            <w14:solidFill>
              <w14:schemeClr w14:val="tx1">
                <w14:lumMod w14:val="95000"/>
                <w14:lumOff w14:val="5000"/>
              </w14:schemeClr>
            </w14:solidFill>
          </w14:textFill>
        </w:rPr>
        <w:t>50</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——距地面50m处风速，m/s；</w:t>
      </w:r>
    </w:p>
    <w:p>
      <w:pPr>
        <w:adjustRightInd w:val="0"/>
        <w:snapToGrid w:val="0"/>
        <w:spacing w:line="360" w:lineRule="auto"/>
        <w:ind w:firstLine="1320" w:firstLineChars="55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V</w:t>
      </w:r>
      <w:r>
        <w:rPr>
          <w:rFonts w:cs="Times New Roman" w:asciiTheme="minorEastAsia" w:hAnsiTheme="minorEastAsia"/>
          <w:snapToGrid w:val="0"/>
          <w:color w:val="0D0D0D" w:themeColor="text1" w:themeTint="F2"/>
          <w:kern w:val="0"/>
          <w:sz w:val="24"/>
          <w:szCs w:val="28"/>
          <w:vertAlign w:val="subscript"/>
          <w14:textFill>
            <w14:solidFill>
              <w14:schemeClr w14:val="tx1">
                <w14:lumMod w14:val="95000"/>
                <w14:lumOff w14:val="5000"/>
              </w14:schemeClr>
            </w14:solidFill>
          </w14:textFill>
        </w:rPr>
        <w:t>0</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——起尘</w:t>
      </w:r>
      <w:bookmarkStart w:id="40" w:name="_Hlt9132753"/>
      <w:bookmarkEnd w:id="40"/>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风速，m/s；</w:t>
      </w:r>
    </w:p>
    <w:p>
      <w:pPr>
        <w:adjustRightInd w:val="0"/>
        <w:snapToGrid w:val="0"/>
        <w:spacing w:line="360" w:lineRule="auto"/>
        <w:ind w:firstLine="1320" w:firstLineChars="55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W——尘粒的含水率，%。</w:t>
      </w:r>
    </w:p>
    <w:p>
      <w:pPr>
        <w:adjustRightInd w:val="0"/>
        <w:snapToGrid w:val="0"/>
        <w:spacing w:line="360" w:lineRule="auto"/>
        <w:ind w:firstLine="56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V</w:t>
      </w:r>
      <w:r>
        <w:rPr>
          <w:rFonts w:cs="Times New Roman" w:asciiTheme="minorEastAsia" w:hAnsiTheme="minorEastAsia"/>
          <w:snapToGrid w:val="0"/>
          <w:color w:val="0D0D0D" w:themeColor="text1" w:themeTint="F2"/>
          <w:kern w:val="0"/>
          <w:sz w:val="24"/>
          <w:szCs w:val="28"/>
          <w:vertAlign w:val="subscript"/>
          <w14:textFill>
            <w14:solidFill>
              <w14:schemeClr w14:val="tx1">
                <w14:lumMod w14:val="95000"/>
                <w14:lumOff w14:val="5000"/>
              </w14:schemeClr>
            </w14:solidFill>
          </w14:textFill>
        </w:rPr>
        <w:t>0</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与粒径和含水率有关，因此，减少露天堆放和保证一定的含水率及减少裸露地面是减少风力起尘的有效手段。</w:t>
      </w:r>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2.4.3 施工建筑垃圾及生活垃圾</w:t>
      </w:r>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施工中的建筑垃圾产生源主要来自建设过程中残余的混凝土，丢弃的断砖破瓦、破残瓷片、玻璃、钢筋头、碎石、碎木头、灰渣及其他杂物，此外，还有平整场地和开挖地基回填后的多余土方。</w:t>
      </w:r>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生活垃圾以人均每天产生1kg计算，施工人数60人，则</w:t>
      </w:r>
      <w:bookmarkStart w:id="41" w:name="_Hlt532271731"/>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生活垃圾产生量为0.06t/</w:t>
      </w:r>
      <w:bookmarkEnd w:id="41"/>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d。</w:t>
      </w:r>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2.4.4 施工废水</w:t>
      </w:r>
    </w:p>
    <w:p>
      <w:pPr>
        <w:adjustRightInd w:val="0"/>
        <w:snapToGrid w:val="0"/>
        <w:spacing w:line="360" w:lineRule="auto"/>
        <w:ind w:firstLine="480" w:firstLineChars="200"/>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施工期废水主要来自施工现场的废弃用水及施工人员生活污水，本项目施工人员按60人计，施工人员每天生活用水以100L/人计，生活污水按用水量的80%计，则生活污水的排放量为4.8m</w:t>
      </w:r>
      <w:r>
        <w:rPr>
          <w:rFonts w:cs="Times New Roman" w:asciiTheme="minorEastAsia" w:hAnsiTheme="minorEastAsia"/>
          <w:snapToGrid w:val="0"/>
          <w:color w:val="0D0D0D" w:themeColor="text1" w:themeTint="F2"/>
          <w:kern w:val="0"/>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/d，生活污水中主要污染物COD、NH</w:t>
      </w:r>
      <w:r>
        <w:rPr>
          <w:rFonts w:cs="Times New Roman" w:asciiTheme="minorEastAsia" w:hAnsiTheme="minorEastAsia"/>
          <w:snapToGrid w:val="0"/>
          <w:color w:val="0D0D0D" w:themeColor="text1" w:themeTint="F2"/>
          <w:kern w:val="0"/>
          <w:sz w:val="24"/>
          <w:szCs w:val="28"/>
          <w:vertAlign w:val="subscript"/>
          <w14:textFill>
            <w14:solidFill>
              <w14:schemeClr w14:val="tx1">
                <w14:lumMod w14:val="95000"/>
                <w14:lumOff w14:val="5000"/>
              </w14:schemeClr>
            </w14:solidFill>
          </w14:textFill>
        </w:rPr>
        <w:t>3</w:t>
      </w:r>
      <w:r>
        <w:rPr>
          <w:rFonts w:cs="Times New Roman" w:asciiTheme="minorEastAsia" w:hAnsiTheme="minorEastAsia"/>
          <w:snapToGrid w:val="0"/>
          <w:color w:val="0D0D0D" w:themeColor="text1" w:themeTint="F2"/>
          <w:kern w:val="0"/>
          <w:sz w:val="24"/>
          <w:szCs w:val="28"/>
          <w14:textFill>
            <w14:solidFill>
              <w14:schemeClr w14:val="tx1">
                <w14:lumMod w14:val="95000"/>
                <w14:lumOff w14:val="5000"/>
              </w14:schemeClr>
            </w14:solidFill>
          </w14:textFill>
        </w:rPr>
        <w:t>-N产生情况分别为350mg/L、2.77t/a，30mg/L、0.24t/a。</w:t>
      </w:r>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2.4.5主要生态影响</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建设改变了现有土地的功能，导致了周围环境总的绿色植被减少。建设施工中开挖土方，会破坏区域土体结构，对土壤微生物产生影响，土壤的理化性能将发生变化，土壤中水、肥、气、养分等不断循环的动态平衡状态受到影响，使周围的绿色植物难以得到适宜的生长环境。</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2.5 营运期污染因素</w:t>
      </w:r>
      <w:r>
        <w:rPr>
          <w:rFonts w:hint="eastAsia"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及产排污源强</w:t>
      </w:r>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分析</w:t>
      </w:r>
    </w:p>
    <w:p>
      <w:pPr>
        <w:adjustRightInd w:val="0"/>
        <w:snapToGrid w:val="0"/>
        <w:spacing w:line="360" w:lineRule="auto"/>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2.5.1项目营运期主要产污环节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根据项目生产工艺特点，本次工程营运期主要产污环节见下表2.5-1。</w:t>
      </w:r>
    </w:p>
    <w:p>
      <w:pPr>
        <w:adjustRightInd w:val="0"/>
        <w:snapToGrid w:val="0"/>
        <w:ind w:firstLine="482" w:firstLineChars="200"/>
        <w:jc w:val="center"/>
        <w:rPr>
          <w:rFonts w:cs="Times New Roman" w:asciiTheme="minorEastAsia" w:hAnsiTheme="minorEastAsia"/>
          <w:b/>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表2.</w:t>
      </w:r>
      <w:r>
        <w:rPr>
          <w:rFonts w:hint="eastAsia"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5</w:t>
      </w: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w:t>
      </w:r>
      <w:r>
        <w:rPr>
          <w:rFonts w:hint="eastAsia"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1</w:t>
      </w: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 xml:space="preserve"> </w:t>
      </w:r>
      <w:r>
        <w:rPr>
          <w:rFonts w:hint="eastAsia"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项目营运期主要产</w:t>
      </w: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污环节</w:t>
      </w:r>
      <w:r>
        <w:rPr>
          <w:rFonts w:hint="eastAsia"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及污染因素</w:t>
      </w:r>
      <w:r>
        <w:rPr>
          <w:rFonts w:cs="Times New Roman" w:asciiTheme="minorEastAsia" w:hAnsiTheme="minorEastAsia"/>
          <w:b/>
          <w:snapToGrid w:val="0"/>
          <w:color w:val="0D0D0D" w:themeColor="text1" w:themeTint="F2"/>
          <w:kern w:val="0"/>
          <w:sz w:val="24"/>
          <w:szCs w:val="24"/>
          <w14:textFill>
            <w14:solidFill>
              <w14:schemeClr w14:val="tx1">
                <w14:lumMod w14:val="95000"/>
                <w14:lumOff w14:val="5000"/>
              </w14:schemeClr>
            </w14:solidFill>
          </w14:textFill>
        </w:rPr>
        <w:t>一览表</w:t>
      </w:r>
    </w:p>
    <w:tbl>
      <w:tblPr>
        <w:tblStyle w:val="27"/>
        <w:tblW w:w="90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622"/>
        <w:gridCol w:w="1934"/>
        <w:gridCol w:w="2169"/>
        <w:gridCol w:w="36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tcBorders>
              <w:left w:val="single" w:color="auto" w:sz="12" w:space="0"/>
            </w:tcBorders>
            <w:vAlign w:val="center"/>
          </w:tcPr>
          <w:p>
            <w:pPr>
              <w:adjustRightInd w:val="0"/>
              <w:snapToGrid w:val="0"/>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 w:val="18"/>
                <w:szCs w:val="18"/>
                <w14:textFill>
                  <w14:solidFill>
                    <w14:schemeClr w14:val="tx1">
                      <w14:lumMod w14:val="95000"/>
                      <w14:lumOff w14:val="5000"/>
                    </w14:schemeClr>
                  </w14:solidFill>
                </w14:textFill>
              </w:rPr>
              <w:t>类型</w:t>
            </w:r>
          </w:p>
        </w:tc>
        <w:tc>
          <w:tcPr>
            <w:tcW w:w="622" w:type="dxa"/>
            <w:vAlign w:val="center"/>
          </w:tcPr>
          <w:p>
            <w:pPr>
              <w:adjustRightInd w:val="0"/>
              <w:snapToGrid w:val="0"/>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 w:val="18"/>
                <w:szCs w:val="18"/>
                <w14:textFill>
                  <w14:solidFill>
                    <w14:schemeClr w14:val="tx1">
                      <w14:lumMod w14:val="95000"/>
                      <w14:lumOff w14:val="5000"/>
                    </w14:schemeClr>
                  </w14:solidFill>
                </w14:textFill>
              </w:rPr>
              <w:t>序号</w:t>
            </w:r>
          </w:p>
        </w:tc>
        <w:tc>
          <w:tcPr>
            <w:tcW w:w="1934" w:type="dxa"/>
            <w:vAlign w:val="center"/>
          </w:tcPr>
          <w:p>
            <w:pPr>
              <w:adjustRightInd w:val="0"/>
              <w:snapToGrid w:val="0"/>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 w:val="18"/>
                <w:szCs w:val="18"/>
                <w14:textFill>
                  <w14:solidFill>
                    <w14:schemeClr w14:val="tx1">
                      <w14:lumMod w14:val="95000"/>
                      <w14:lumOff w14:val="5000"/>
                    </w14:schemeClr>
                  </w14:solidFill>
                </w14:textFill>
              </w:rPr>
              <w:t>产污设备/环节及污染因素</w:t>
            </w:r>
          </w:p>
        </w:tc>
        <w:tc>
          <w:tcPr>
            <w:tcW w:w="2169" w:type="dxa"/>
            <w:vAlign w:val="center"/>
          </w:tcPr>
          <w:p>
            <w:pPr>
              <w:adjustRightInd w:val="0"/>
              <w:snapToGrid w:val="0"/>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 w:val="18"/>
                <w:szCs w:val="18"/>
                <w14:textFill>
                  <w14:solidFill>
                    <w14:schemeClr w14:val="tx1">
                      <w14:lumMod w14:val="95000"/>
                      <w14:lumOff w14:val="5000"/>
                    </w14:schemeClr>
                  </w14:solidFill>
                </w14:textFill>
              </w:rPr>
              <w:t>污染因子</w:t>
            </w:r>
          </w:p>
        </w:tc>
        <w:tc>
          <w:tcPr>
            <w:tcW w:w="3606" w:type="dxa"/>
            <w:tcBorders>
              <w:right w:val="single" w:color="auto" w:sz="12" w:space="0"/>
            </w:tcBorders>
            <w:vAlign w:val="center"/>
          </w:tcPr>
          <w:p>
            <w:pPr>
              <w:adjustRightInd w:val="0"/>
              <w:snapToGrid w:val="0"/>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 w:val="18"/>
                <w:szCs w:val="18"/>
                <w14:textFill>
                  <w14:solidFill>
                    <w14:schemeClr w14:val="tx1">
                      <w14:lumMod w14:val="95000"/>
                      <w14:lumOff w14:val="5000"/>
                    </w14:schemeClr>
                  </w14:solidFill>
                </w14:textFill>
              </w:rPr>
              <w:t>治理措施及去向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restart"/>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废气</w:t>
            </w: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废旧轮胎热裂解气</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非甲烷总烃、H</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2</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S、CO、颗粒物等</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冷凝回收热裂解油后，不凝气进入热解炉燃烧室或余气燃烧装置燃烧处理。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G1</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热裂解炉燃烧室</w:t>
            </w:r>
          </w:p>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燃烧废气</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烟尘、SO</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2</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、NO</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x</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、H</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2</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S、非甲烷总烃、苯并[a]芘等</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每台热裂解设备配备1套“SCR脱硝反应器+二级雾化喷淋脱硫塔+UV光氧催化+活性炭吸附”烟气处理装置，尾气通过2根20m排气筒排放（6套装置共用1根）。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G2</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余气燃烧装置</w:t>
            </w:r>
          </w:p>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燃烧废气</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烟尘、SO</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2</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、NO</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x</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、H</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2</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S、非甲烷总烃、苯并[a]芘等</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每台装置配备1套“SCR脱硝反应器+二级雾化喷淋脱硫塔+UV光氧催化+活性炭吸附”燃烧废气处理装置，处理后尾气进入对应的热解炉燃烧烟气排气筒排放。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G3、G4</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碳黑包装及钢丝打包工序</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碳黑尘</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集气罩收集，统一进入2套袋除尘器处理，尾气通过2根15m排气筒排放。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G5</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储油罐大小呼吸</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非甲烷总烃</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安装油气回收装置，尾气无组织排放。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G6</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职工食堂油烟</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油烟</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油烟净化器处理后15m排气筒高空排放。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G7</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开炉出料废气</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碳黑尘、H</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2</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S、非甲烷总烃等</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开炉保持裂解反应釜内微负压状态，残余热裂解气收集进入冷凝及后续燃烧处理系统；少量在车间内无组织排放。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restart"/>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废水</w:t>
            </w: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W1</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油水分离器废水</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SS、石油类</w:t>
            </w:r>
          </w:p>
        </w:tc>
        <w:tc>
          <w:tcPr>
            <w:tcW w:w="3606" w:type="dxa"/>
            <w:vMerge w:val="restart"/>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雾化后喷入余气燃烧装置焚烧处理。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W2</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水封罐废水</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SS、石油类</w:t>
            </w:r>
          </w:p>
        </w:tc>
        <w:tc>
          <w:tcPr>
            <w:tcW w:w="3606" w:type="dxa"/>
            <w:vMerge w:val="continue"/>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W3</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脱硫除尘废水</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COD、BOD</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5</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、SS、氨氮、石油类、硫化物等</w:t>
            </w:r>
          </w:p>
        </w:tc>
        <w:tc>
          <w:tcPr>
            <w:tcW w:w="3606" w:type="dxa"/>
            <w:vMerge w:val="restart"/>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脱硫除尘废水沉淀处理后大部分循环使用；排放的少量废水与厂区初期雨水分别经隔油沉淀池预处理后，一同隔油化粪池预处理后的生活污水进入厂区一体化污水处理设施处理达标，然后通过市政污水管网进入城市污水处理厂进一步处理后排放地表水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W4</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生活污水</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COD、BOD</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5</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、氨氮、SS、总磷、动植物油等</w:t>
            </w:r>
          </w:p>
        </w:tc>
        <w:tc>
          <w:tcPr>
            <w:tcW w:w="3606" w:type="dxa"/>
            <w:vMerge w:val="continue"/>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W5</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厂区初期雨水</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COD、BOD</w:t>
            </w:r>
            <w:r>
              <w:rPr>
                <w:rFonts w:hint="eastAsia" w:cs="宋体" w:asciiTheme="minorEastAsia" w:hAnsiTheme="minorEastAsia"/>
                <w:bCs/>
                <w:color w:val="0D0D0D" w:themeColor="text1" w:themeTint="F2"/>
                <w:sz w:val="18"/>
                <w:szCs w:val="18"/>
                <w:vertAlign w:val="subscript"/>
                <w14:textFill>
                  <w14:solidFill>
                    <w14:schemeClr w14:val="tx1">
                      <w14:lumMod w14:val="95000"/>
                      <w14:lumOff w14:val="5000"/>
                    </w14:schemeClr>
                  </w14:solidFill>
                </w14:textFill>
              </w:rPr>
              <w:t>5</w:t>
            </w: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、氨氮、SS、石油类等</w:t>
            </w:r>
            <w: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t xml:space="preserve"> </w:t>
            </w:r>
          </w:p>
        </w:tc>
        <w:tc>
          <w:tcPr>
            <w:tcW w:w="3606" w:type="dxa"/>
            <w:vMerge w:val="continue"/>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W6</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循环冷却废水</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SS、无机盐</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循环使用，定期补水，排放少量清下水。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噪声</w:t>
            </w: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N</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生产设备运行</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噪声</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消声、减震、厂房隔音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restart"/>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固废</w:t>
            </w: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S1</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脱硫除尘装置</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脱硫除尘渣</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收集后随生活垃圾进入垃圾填埋场处置。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S2</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油水分离器、水封罐</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废油渣、废油泥</w:t>
            </w:r>
          </w:p>
        </w:tc>
        <w:tc>
          <w:tcPr>
            <w:tcW w:w="3606" w:type="dxa"/>
            <w:vMerge w:val="restart"/>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委托有危废处理资质的单位处理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S3</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废气处理系统</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废脱硝催化剂、废紫外灯管、废活性炭</w:t>
            </w:r>
          </w:p>
        </w:tc>
        <w:tc>
          <w:tcPr>
            <w:tcW w:w="3606" w:type="dxa"/>
            <w:vMerge w:val="continue"/>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S4</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袋除尘器</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收集粗碳黑尘</w:t>
            </w:r>
          </w:p>
        </w:tc>
        <w:tc>
          <w:tcPr>
            <w:tcW w:w="3606" w:type="dxa"/>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作为粗碳黑产品外售。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S5</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化粪池及一体化污水处理设施</w:t>
            </w:r>
          </w:p>
        </w:tc>
        <w:tc>
          <w:tcPr>
            <w:tcW w:w="2169" w:type="dxa"/>
            <w:vAlign w:val="center"/>
          </w:tcPr>
          <w:p>
            <w:pPr>
              <w:adjustRightInd w:val="0"/>
              <w:snapToGrid w:val="0"/>
              <w:jc w:val="center"/>
              <w:rPr>
                <w:rFonts w:cs="宋体"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污泥</w:t>
            </w:r>
          </w:p>
        </w:tc>
        <w:tc>
          <w:tcPr>
            <w:tcW w:w="3606" w:type="dxa"/>
            <w:vMerge w:val="restart"/>
            <w:tcBorders>
              <w:right w:val="single" w:color="auto" w:sz="12" w:space="0"/>
            </w:tcBorders>
            <w:vAlign w:val="center"/>
          </w:tcPr>
          <w:p>
            <w:pPr>
              <w:adjustRightInd w:val="0"/>
              <w:snapToGrid w:val="0"/>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清理收集后，由环卫部门统一转运垃圾填埋场处理。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3" w:type="dxa"/>
            <w:vMerge w:val="continue"/>
            <w:tcBorders>
              <w:lef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c>
          <w:tcPr>
            <w:tcW w:w="622"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S6</w:t>
            </w:r>
          </w:p>
        </w:tc>
        <w:tc>
          <w:tcPr>
            <w:tcW w:w="1934"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职工生活</w:t>
            </w:r>
          </w:p>
        </w:tc>
        <w:tc>
          <w:tcPr>
            <w:tcW w:w="2169" w:type="dxa"/>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Cs/>
                <w:color w:val="0D0D0D" w:themeColor="text1" w:themeTint="F2"/>
                <w:sz w:val="18"/>
                <w:szCs w:val="18"/>
                <w14:textFill>
                  <w14:solidFill>
                    <w14:schemeClr w14:val="tx1">
                      <w14:lumMod w14:val="95000"/>
                      <w14:lumOff w14:val="5000"/>
                    </w14:schemeClr>
                  </w14:solidFill>
                </w14:textFill>
              </w:rPr>
              <w:t>生活垃圾</w:t>
            </w:r>
          </w:p>
        </w:tc>
        <w:tc>
          <w:tcPr>
            <w:tcW w:w="3606" w:type="dxa"/>
            <w:vMerge w:val="continue"/>
            <w:tcBorders>
              <w:right w:val="single" w:color="auto" w:sz="12" w:space="0"/>
            </w:tcBorders>
            <w:vAlign w:val="center"/>
          </w:tcPr>
          <w:p>
            <w:pPr>
              <w:adjustRightInd w:val="0"/>
              <w:snapToGrid w:val="0"/>
              <w:jc w:val="center"/>
              <w:rPr>
                <w:rFonts w:cs="宋体" w:asciiTheme="minorEastAsia" w:hAnsiTheme="minorEastAsia"/>
                <w:bCs/>
                <w:color w:val="0D0D0D" w:themeColor="text1" w:themeTint="F2"/>
                <w:sz w:val="18"/>
                <w:szCs w:val="18"/>
                <w14:textFill>
                  <w14:solidFill>
                    <w14:schemeClr w14:val="tx1">
                      <w14:lumMod w14:val="95000"/>
                      <w14:lumOff w14:val="5000"/>
                    </w14:schemeClr>
                  </w14:solidFill>
                </w14:textFill>
              </w:rPr>
            </w:pPr>
          </w:p>
        </w:tc>
      </w:tr>
    </w:tbl>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bookmarkEnd w:id="39"/>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废水</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污染因素及产排污源强分析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1、工程营运期废水处理方案</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营运期废水产生类别</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包括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热裂解气冷凝回收裂解油系统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油水分离废水、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热裂解不凝气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水封</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罐检修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、燃烧废气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脱硫除尘</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系统排放</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废水、职工生活污水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和厂区初期雨水、厂区洗车废水、冷却系统排放清下水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等。</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按照项目设计废水处理方案，</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工程厂区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采用雨污</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、污污分流、清污分流排水</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制</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其中，冷却系统排放少量的清下水，可直接通过厂区排污口进入集聚区污水管网系统；油水分离系统含油废水及不凝气水封罐检修废水雾化后进入余气燃烧装置焚烧处理；厂区洗车废水经沉淀后全部循环利用，不外排。燃烧废气处理系统排放废水、厂区初期雨水分别经隔油预处理后，一同隔油化粪池预处理后的生活污水进入厂区一体化污水处理设施处理达标后，通过污水管网排入城市污水处理厂进一步处理后排放地表水体。</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工程营运期排放废水主要是燃烧废气处理系统排放废水、厂区初期雨水及生活污水。</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产生源强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分析</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（1）燃烧废气处理系统排放废水</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工程营运期脱硫除尘塔排放废水约16.8m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/d。根据项目燃烧烟气污染物种类及除尘、脱硫、脱硝工艺，类比同类项目，该部分废水主要含有机物、氨氮、SS、硫酸盐及少量石油类；产生浓度分别约为：COD800mg/L，BOD</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5</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400mg/L，SS500mg/L，氨氮20mg/L、石油类30mg/L、硫化物2.5mg/L；经隔油预处理后，进入厂区一体化污水处理系统处理。</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（2）职工生活废水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项目生活污水</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约2.4</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16"/>
          <w:szCs w:val="16"/>
          <w:u w:val="single"/>
          <w:lang w:bidi="ar"/>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/d。根据类比</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分析</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，生活污水污染物</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浓度</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为：COD </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45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0mg/L、BOD</w:t>
      </w:r>
      <w:r>
        <w:rPr>
          <w:rFonts w:cs="Times New Roman" w:asciiTheme="minorEastAsia" w:hAnsiTheme="minorEastAsia"/>
          <w:color w:val="0D0D0D" w:themeColor="text1" w:themeTint="F2"/>
          <w:kern w:val="0"/>
          <w:sz w:val="16"/>
          <w:szCs w:val="16"/>
          <w:u w:val="single"/>
          <w:lang w:bidi="ar"/>
          <w14:textFill>
            <w14:solidFill>
              <w14:schemeClr w14:val="tx1">
                <w14:lumMod w14:val="95000"/>
                <w14:lumOff w14:val="5000"/>
              </w14:schemeClr>
            </w14:solidFill>
          </w14:textFill>
        </w:rPr>
        <w:t xml:space="preserve">5 </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0mg/L、NH</w:t>
      </w:r>
      <w:r>
        <w:rPr>
          <w:rFonts w:cs="Times New Roman" w:asciiTheme="minorEastAsia" w:hAnsiTheme="minorEastAsia"/>
          <w:color w:val="0D0D0D" w:themeColor="text1" w:themeTint="F2"/>
          <w:kern w:val="0"/>
          <w:sz w:val="16"/>
          <w:szCs w:val="16"/>
          <w:u w:val="single"/>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-N </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45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mg/L、SS </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30</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0mg/L、</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总磷4.0mg/L、</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动植物油 </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10</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0mg/L。</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经隔油化粪池预处理后，进入厂区一体化污水处理系统处理。</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厂区</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初期雨水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根据水平衡章节分析结果，本项目全年初期雨水收集量为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243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/a，折合</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8.1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根据项目特点，类比同类工程，</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初期雨水主要污染物为COD、BOD</w:t>
      </w:r>
      <w:r>
        <w:rPr>
          <w:rFonts w:hint="eastAsia" w:cs="宋体"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、氨氮、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SS</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、石油类等</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产生浓度分别约为：COD200mg/L，BOD</w:t>
      </w:r>
      <w:r>
        <w:rPr>
          <w:rFonts w:hint="eastAsia" w:cs="Times New Roman"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5</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100mg/L，氨氮5.0mg/L、SS100mg/L、石油类10mg/L；</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初期雨水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经隔油预处理后，进入厂区一体化污水处理系统处理。</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工程各类废水产生及预处理后污染源强见下表2.5-2。</w:t>
      </w:r>
    </w:p>
    <w:p>
      <w:pPr>
        <w:widowControl/>
        <w:adjustRightInd w:val="0"/>
        <w:snapToGrid w:val="0"/>
        <w:spacing w:line="360" w:lineRule="auto"/>
        <w:ind w:firstLine="482" w:firstLineChars="200"/>
        <w:jc w:val="cente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表2.5-2   项目废水产生种类及产生情况</w:t>
      </w:r>
    </w:p>
    <w:tbl>
      <w:tblPr>
        <w:tblStyle w:val="28"/>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924"/>
        <w:gridCol w:w="1056"/>
        <w:gridCol w:w="924"/>
        <w:gridCol w:w="925"/>
        <w:gridCol w:w="792"/>
        <w:gridCol w:w="924"/>
        <w:gridCol w:w="925"/>
        <w:gridCol w:w="925"/>
        <w:gridCol w:w="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8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废水</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类别</w:t>
            </w:r>
          </w:p>
        </w:tc>
        <w:tc>
          <w:tcPr>
            <w:tcW w:w="924"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废水量（m</w:t>
            </w:r>
            <w:r>
              <w:rPr>
                <w:rFonts w:hint="eastAsia" w:cs="Times New Roman" w:asciiTheme="minorEastAsia" w:hAnsiTheme="minorEastAsia" w:eastAsia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/d）</w:t>
            </w:r>
          </w:p>
        </w:tc>
        <w:tc>
          <w:tcPr>
            <w:tcW w:w="1056"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污染物</w:t>
            </w:r>
          </w:p>
        </w:tc>
        <w:tc>
          <w:tcPr>
            <w:tcW w:w="2641" w:type="dxa"/>
            <w:gridSpan w:val="3"/>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产生源强</w:t>
            </w:r>
          </w:p>
        </w:tc>
        <w:tc>
          <w:tcPr>
            <w:tcW w:w="2774" w:type="dxa"/>
            <w:gridSpan w:val="3"/>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预处理后源强</w:t>
            </w:r>
          </w:p>
        </w:tc>
        <w:tc>
          <w:tcPr>
            <w:tcW w:w="751"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规律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浓度（mg/L）</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源强（kg/d）</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产生量（t/a）</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浓度（mg/L）</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源强（kg/d）</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产生量（t/a）</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8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燃烧废气处理系统排放废水</w:t>
            </w:r>
          </w:p>
        </w:tc>
        <w:tc>
          <w:tcPr>
            <w:tcW w:w="924"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16.8</w:t>
            </w: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COD</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800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13.44</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4.032</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600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10.08</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3.024</w:t>
            </w:r>
          </w:p>
        </w:tc>
        <w:tc>
          <w:tcPr>
            <w:tcW w:w="751"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BOD</w:t>
            </w:r>
            <w:r>
              <w:rPr>
                <w:rFonts w:hint="eastAsia" w:cs="Times New Roman" w:asciiTheme="minorEastAsia" w:hAnsiTheme="minorEastAsia" w:eastAsiaTheme="minorEastAsia"/>
                <w:color w:val="0D0D0D" w:themeColor="text1" w:themeTint="F2"/>
                <w:kern w:val="0"/>
                <w:sz w:val="18"/>
                <w:szCs w:val="18"/>
                <w:vertAlign w:val="subscript"/>
                <w:lang w:bidi="ar"/>
                <w14:textFill>
                  <w14:solidFill>
                    <w14:schemeClr w14:val="tx1">
                      <w14:lumMod w14:val="95000"/>
                      <w14:lumOff w14:val="5000"/>
                    </w14:schemeClr>
                  </w14:solidFill>
                </w14:textFill>
              </w:rPr>
              <w:t>5</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6.72</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2.016</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5.04</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1.512</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氨氮</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0.336</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0.101</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0.336</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0.101</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SS</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500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8.4</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2.52</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5.88</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1.764</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石油类</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0.504</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0.151</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0.168</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0.05</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硫化物</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2.5</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0.042</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0.013</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2.5</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0.042</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0.013</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8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生活</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污水</w:t>
            </w:r>
          </w:p>
        </w:tc>
        <w:tc>
          <w:tcPr>
            <w:tcW w:w="924"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2.4</w:t>
            </w: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COD</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1.08</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0.324</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0.72</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0.216</w:t>
            </w:r>
          </w:p>
        </w:tc>
        <w:tc>
          <w:tcPr>
            <w:tcW w:w="751"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BOD</w:t>
            </w:r>
            <w:r>
              <w:rPr>
                <w:rFonts w:hint="eastAsia" w:cs="Times New Roman" w:asciiTheme="minorEastAsia" w:hAnsiTheme="minorEastAsia" w:eastAsiaTheme="minorEastAsia"/>
                <w:color w:val="0D0D0D" w:themeColor="text1" w:themeTint="F2"/>
                <w:kern w:val="0"/>
                <w:sz w:val="18"/>
                <w:szCs w:val="18"/>
                <w:vertAlign w:val="subscript"/>
                <w:lang w:bidi="ar"/>
                <w14:textFill>
                  <w14:solidFill>
                    <w14:schemeClr w14:val="tx1">
                      <w14:lumMod w14:val="95000"/>
                      <w14:lumOff w14:val="5000"/>
                    </w14:schemeClr>
                  </w14:solidFill>
                </w14:textFill>
              </w:rPr>
              <w:t>5</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0.6</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0.18</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0.36</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0.108</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氨氮</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45</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0.108</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0.032</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45</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0.108</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0.032</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SS</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0.72</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0.216</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0.6</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0.18</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总磷</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0.003</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0.003</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动植物油</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0.24</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0.072</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60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0.144</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0.043</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8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初期</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雨水</w:t>
            </w:r>
          </w:p>
        </w:tc>
        <w:tc>
          <w:tcPr>
            <w:tcW w:w="924"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8.1</w:t>
            </w: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COD</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1.62</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0.486</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1.215</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0.365</w:t>
            </w:r>
          </w:p>
        </w:tc>
        <w:tc>
          <w:tcPr>
            <w:tcW w:w="751"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BOD</w:t>
            </w:r>
            <w:r>
              <w:rPr>
                <w:rFonts w:hint="eastAsia" w:cs="Times New Roman" w:asciiTheme="minorEastAsia" w:hAnsiTheme="minorEastAsia" w:eastAsiaTheme="minorEastAsia"/>
                <w:color w:val="0D0D0D" w:themeColor="text1" w:themeTint="F2"/>
                <w:kern w:val="0"/>
                <w:sz w:val="18"/>
                <w:szCs w:val="18"/>
                <w:vertAlign w:val="subscript"/>
                <w:lang w:bidi="ar"/>
                <w14:textFill>
                  <w14:solidFill>
                    <w14:schemeClr w14:val="tx1">
                      <w14:lumMod w14:val="95000"/>
                      <w14:lumOff w14:val="5000"/>
                    </w14:schemeClr>
                  </w14:solidFill>
                </w14:textFill>
              </w:rPr>
              <w:t>5</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0.81</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0.243</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0.81</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0.243</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氨氮</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0.041</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0.012</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0.041</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0.012</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SS</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0.81</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0.243</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80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0.065</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0.194</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8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5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石油类</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0.081</w:t>
            </w:r>
          </w:p>
        </w:tc>
        <w:tc>
          <w:tcPr>
            <w:tcW w:w="79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0.024</w:t>
            </w:r>
          </w:p>
        </w:tc>
        <w:tc>
          <w:tcPr>
            <w:tcW w:w="9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5.0</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0.041</w:t>
            </w:r>
          </w:p>
        </w:tc>
        <w:tc>
          <w:tcPr>
            <w:tcW w:w="92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0.012</w:t>
            </w:r>
          </w:p>
        </w:tc>
        <w:tc>
          <w:tcPr>
            <w:tcW w:w="751"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bl>
    <w:p>
      <w:pPr>
        <w:widowControl/>
        <w:adjustRightInd w:val="0"/>
        <w:snapToGrid w:val="0"/>
        <w:spacing w:line="240" w:lineRule="atLeast"/>
        <w:ind w:firstLine="360" w:firstLineChars="200"/>
        <w:jc w:val="left"/>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排放源强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本项目营运期</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燃烧烟气处理系统排放废水、厂区初期雨水及生活污水产生总量8190m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/a，平均约27.3m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经预处理后进入厂区一体化污水处理系统处理，排放废水满足西平县第三污水处理厂进水水质标准要求，进入该污水厂处理。考虑项目废水产生具有一定的波动性，一体化处理设施设计处理规模为40m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/d，处理工艺为“调节池+气浮池+接触氧化池+絮凝沉淀池+二沉池+清水池+达标排放”</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类比同类设施处理效率，本项目废水经一体化处理设施废水产生及排放源强见下表2.5-3。</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一体化</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处理设施污染物产排情况</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p>
    <w:tbl>
      <w:tblPr>
        <w:tblStyle w:val="28"/>
        <w:tblW w:w="86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024"/>
        <w:gridCol w:w="866"/>
        <w:gridCol w:w="865"/>
        <w:gridCol w:w="866"/>
        <w:gridCol w:w="632"/>
        <w:gridCol w:w="955"/>
        <w:gridCol w:w="866"/>
        <w:gridCol w:w="865"/>
        <w:gridCol w:w="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817"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废水量（m</w:t>
            </w:r>
            <w:r>
              <w:rPr>
                <w:rFonts w:hint="eastAsia" w:cs="Times New Roman" w:asciiTheme="minorEastAsia" w:hAnsiTheme="minorEastAsia" w:eastAsia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/d）</w:t>
            </w:r>
          </w:p>
        </w:tc>
        <w:tc>
          <w:tcPr>
            <w:tcW w:w="1024"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污染物</w:t>
            </w:r>
          </w:p>
        </w:tc>
        <w:tc>
          <w:tcPr>
            <w:tcW w:w="2597" w:type="dxa"/>
            <w:gridSpan w:val="3"/>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产生情况</w:t>
            </w:r>
          </w:p>
        </w:tc>
        <w:tc>
          <w:tcPr>
            <w:tcW w:w="632"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处理效率（%）</w:t>
            </w:r>
          </w:p>
        </w:tc>
        <w:tc>
          <w:tcPr>
            <w:tcW w:w="2686" w:type="dxa"/>
            <w:gridSpan w:val="3"/>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排放情况</w:t>
            </w:r>
          </w:p>
        </w:tc>
        <w:tc>
          <w:tcPr>
            <w:tcW w:w="882"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排放</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标准（mg/L）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浓度（mg/L）</w:t>
            </w:r>
          </w:p>
        </w:tc>
        <w:tc>
          <w:tcPr>
            <w:tcW w:w="86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源强（kg/d）</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产生量（t/a）</w:t>
            </w:r>
          </w:p>
        </w:tc>
        <w:tc>
          <w:tcPr>
            <w:tcW w:w="632"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浓度（mg/L）</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源强（kg/d）</w:t>
            </w:r>
          </w:p>
        </w:tc>
        <w:tc>
          <w:tcPr>
            <w:tcW w:w="86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排放量（t/a）</w:t>
            </w:r>
          </w:p>
        </w:tc>
        <w:tc>
          <w:tcPr>
            <w:tcW w:w="882"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817"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27.3</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（8190</w:t>
            </w:r>
          </w:p>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m</w:t>
            </w:r>
            <w:r>
              <w:rPr>
                <w:rFonts w:hint="eastAsia" w:cs="Times New Roman" w:asciiTheme="minorEastAsia" w:hAnsiTheme="minorEastAsia" w:eastAsia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/a）</w:t>
            </w:r>
          </w:p>
        </w:tc>
        <w:tc>
          <w:tcPr>
            <w:tcW w:w="10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COD</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440.17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12.017 </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3.605</w:t>
            </w:r>
          </w:p>
        </w:tc>
        <w:tc>
          <w:tcPr>
            <w:tcW w:w="63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80</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88.03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2.403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0.721</w:t>
            </w:r>
          </w:p>
        </w:tc>
        <w:tc>
          <w:tcPr>
            <w:tcW w:w="88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BOD</w:t>
            </w:r>
            <w:r>
              <w:rPr>
                <w:rFonts w:hint="eastAsia" w:cs="Times New Roman" w:asciiTheme="minorEastAsia" w:hAnsiTheme="minorEastAsia" w:eastAsiaTheme="minorEastAsia"/>
                <w:color w:val="0D0D0D" w:themeColor="text1" w:themeTint="F2"/>
                <w:kern w:val="0"/>
                <w:sz w:val="18"/>
                <w:szCs w:val="18"/>
                <w:vertAlign w:val="subscript"/>
                <w:lang w:bidi="ar"/>
                <w14:textFill>
                  <w14:solidFill>
                    <w14:schemeClr w14:val="tx1">
                      <w14:lumMod w14:val="95000"/>
                      <w14:lumOff w14:val="5000"/>
                    </w14:schemeClr>
                  </w14:solidFill>
                </w14:textFill>
              </w:rPr>
              <w:t>5</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227.47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6.210 </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1.863</w:t>
            </w:r>
          </w:p>
        </w:tc>
        <w:tc>
          <w:tcPr>
            <w:tcW w:w="63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75</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56.9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1.553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0.466</w:t>
            </w:r>
          </w:p>
        </w:tc>
        <w:tc>
          <w:tcPr>
            <w:tcW w:w="88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氨氮</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17.70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0.483 </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0.145</w:t>
            </w:r>
          </w:p>
        </w:tc>
        <w:tc>
          <w:tcPr>
            <w:tcW w:w="63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30</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12.45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0.34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0.102</w:t>
            </w:r>
          </w:p>
        </w:tc>
        <w:tc>
          <w:tcPr>
            <w:tcW w:w="88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总磷</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0.37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0.010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0.003</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30</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0.24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0.007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0.002</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SS</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261.05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7.127 </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2.138</w:t>
            </w:r>
          </w:p>
        </w:tc>
        <w:tc>
          <w:tcPr>
            <w:tcW w:w="63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85</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39.19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1.07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0.321</w:t>
            </w:r>
          </w:p>
        </w:tc>
        <w:tc>
          <w:tcPr>
            <w:tcW w:w="88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硫化物</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1.54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0.042 </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0.013</w:t>
            </w:r>
          </w:p>
        </w:tc>
        <w:tc>
          <w:tcPr>
            <w:tcW w:w="63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1.47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0.012</w:t>
            </w:r>
          </w:p>
        </w:tc>
        <w:tc>
          <w:tcPr>
            <w:tcW w:w="88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石油类</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7.58</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0.207 </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0.062</w:t>
            </w:r>
          </w:p>
        </w:tc>
        <w:tc>
          <w:tcPr>
            <w:tcW w:w="63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20</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6.11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0.167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0.05</w:t>
            </w:r>
          </w:p>
        </w:tc>
        <w:tc>
          <w:tcPr>
            <w:tcW w:w="88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动植物油</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5.24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0.143 </w:t>
            </w:r>
          </w:p>
        </w:tc>
        <w:tc>
          <w:tcPr>
            <w:tcW w:w="86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0.043</w:t>
            </w:r>
          </w:p>
        </w:tc>
        <w:tc>
          <w:tcPr>
            <w:tcW w:w="63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40</w:t>
            </w:r>
          </w:p>
        </w:tc>
        <w:tc>
          <w:tcPr>
            <w:tcW w:w="95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3.17 </w:t>
            </w:r>
          </w:p>
        </w:tc>
        <w:tc>
          <w:tcPr>
            <w:tcW w:w="866"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 xml:space="preserve">0.087 </w:t>
            </w:r>
          </w:p>
        </w:tc>
        <w:tc>
          <w:tcPr>
            <w:tcW w:w="865"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0.026</w:t>
            </w:r>
          </w:p>
        </w:tc>
        <w:tc>
          <w:tcPr>
            <w:tcW w:w="88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8"/>
                <w:szCs w:val="18"/>
                <w:lang w:bidi="ar"/>
                <w14:textFill>
                  <w14:solidFill>
                    <w14:schemeClr w14:val="tx1">
                      <w14:lumMod w14:val="95000"/>
                      <w14:lumOff w14:val="5000"/>
                    </w14:schemeClr>
                  </w14:solidFill>
                </w14:textFill>
              </w:rPr>
              <w:t>100</w:t>
            </w:r>
          </w:p>
        </w:tc>
      </w:tr>
    </w:tbl>
    <w:p>
      <w:pPr>
        <w:adjustRightInd w:val="0"/>
        <w:snapToGrid w:val="0"/>
        <w:spacing w:before="156" w:beforeLines="50" w:line="360" w:lineRule="auto"/>
        <w:ind w:firstLine="480" w:firstLineChars="200"/>
        <w:rPr>
          <w:rFonts w:cs="Times New Roman" w:asciiTheme="minorEastAsia" w:hAnsiTheme="minorEastAsia"/>
          <w:b/>
          <w:bCs/>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由上表可知</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，本项目废水经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厂区一体化污水处理设施</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，各类污染物排放浓度均可</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能够满足《污水综合排放标准》（GB8978-1996）表4三级标准及西平县第三污水处理厂进水水质要求。</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废气污染因素及产排污源强分析</w:t>
      </w:r>
    </w:p>
    <w:p>
      <w:pPr>
        <w:adjustRightInd w:val="0"/>
        <w:snapToGrid w:val="0"/>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2.5.2.1工程营运期废气处理方案</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本项目营运期产生的废气主要为：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废轮胎热裂解不凝气、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裂解炉燃烧室</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及余气燃烧装置燃烧废气，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裂解炉开炉、出料过程</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逸散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的少量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储罐产生的少量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呼吸</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废气；碳黑出料、包装过程产生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碳黑尘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一体化污水处理设施恶臭气味及</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食堂油烟等。</w:t>
      </w:r>
    </w:p>
    <w:p>
      <w:pPr>
        <w:adjustRightInd w:val="0"/>
        <w:snapToGrid w:val="0"/>
        <w:spacing w:line="360" w:lineRule="auto"/>
        <w:ind w:firstLine="482" w:firstLineChars="200"/>
        <w:rPr>
          <w:rFonts w:cs="Times New Roman" w:asciiTheme="minorEastAsia" w:hAnsiTheme="minorEastAsia"/>
          <w:b/>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u w:val="single"/>
          <w14:textFill>
            <w14:solidFill>
              <w14:schemeClr w14:val="tx1">
                <w14:lumMod w14:val="95000"/>
                <w14:lumOff w14:val="5000"/>
              </w14:schemeClr>
            </w14:solidFill>
          </w14:textFill>
        </w:rPr>
        <w:t>其中，一体化污水处理设施进水有机物浓度较低，处理过程中产生恶臭气味不大，通过对部分设施加盖、封闭及喷洒除臭剂等措施，可有效降低恶臭气体对周边环境的影响，因此，本次评价不再对项目废水处理设施恶臭气体产生及排放情况进行具体量化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按照项目设计，工程营运期各类废气处理方案如下图2.5-1。</w:t>
      </w:r>
    </w:p>
    <w:p>
      <w:pPr>
        <w:adjustRightInd w:val="0"/>
        <w:snapToGrid w:val="0"/>
        <w:spacing w:line="360" w:lineRule="auto"/>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anchor distT="0" distB="0" distL="114300" distR="114300" simplePos="0" relativeHeight="252052480" behindDoc="0" locked="0" layoutInCell="1" allowOverlap="1">
            <wp:simplePos x="0" y="0"/>
            <wp:positionH relativeFrom="column">
              <wp:posOffset>-16510</wp:posOffset>
            </wp:positionH>
            <wp:positionV relativeFrom="paragraph">
              <wp:posOffset>29210</wp:posOffset>
            </wp:positionV>
            <wp:extent cx="5670550" cy="3650615"/>
            <wp:effectExtent l="0" t="0" r="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9" cstate="print">
                      <a:extLst>
                        <a:ext uri="{28A0092B-C50C-407E-A947-70E740481C1C}">
                          <a14:useLocalDpi xmlns:a14="http://schemas.microsoft.com/office/drawing/2010/main" val="0"/>
                        </a:ext>
                      </a:extLst>
                    </a:blip>
                    <a:srcRect l="-1811" t="5482" r="-2862" b="6805"/>
                    <a:stretch>
                      <a:fillRect/>
                    </a:stretch>
                  </pic:blipFill>
                  <pic:spPr>
                    <a:xfrm>
                      <a:off x="0" y="0"/>
                      <a:ext cx="5670645" cy="3650776"/>
                    </a:xfrm>
                    <a:prstGeom prst="rect">
                      <a:avLst/>
                    </a:prstGeom>
                    <a:noFill/>
                    <a:ln>
                      <a:noFill/>
                    </a:ln>
                  </pic:spPr>
                </pic:pic>
              </a:graphicData>
            </a:graphic>
          </wp:anchor>
        </w:drawing>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图2.5-1   项目营运期废气处理路线图</w:t>
      </w:r>
    </w:p>
    <w:p>
      <w:pPr>
        <w:adjustRightInd w:val="0"/>
        <w:snapToGrid w:val="0"/>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2.5.2.2有组织</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污染源强分析</w:t>
      </w:r>
    </w:p>
    <w:p>
      <w:pPr>
        <w:adjustRightInd w:val="0"/>
        <w:snapToGrid w:val="0"/>
        <w:spacing w:line="360" w:lineRule="auto"/>
        <w:ind w:firstLine="482"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1、废轮胎热裂解不凝气</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项目原料为经过上游厂家预处理后不含氯元素的清洁块状废旧轮胎，</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裂解过程产生的裂解气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主要组分为非甲烷总烃、H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S、CH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4</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、水蒸气、碳黑尘和少量CO等；经冷凝后的不凝气主要成分为非甲烷总烃、H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S、CH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4</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、CO及少量水蒸气等。</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根据物料平衡分析，本项目裂解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轮胎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0000t/a，裂解气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经冷凝回收油品后，不凝气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产生量约为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7500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t/a（常温情况下密度为0.7174kg/m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。类比同类工程及查阅相关资料，结合本项目处理废轮胎原料组分及所含化学元素，裂解不凝气主要组分分析见下表2.5-4。</w:t>
      </w:r>
    </w:p>
    <w:p>
      <w:pPr>
        <w:tabs>
          <w:tab w:val="left" w:pos="3580"/>
        </w:tabs>
        <w:adjustRightInd w:val="0"/>
        <w:snapToGrid w:val="0"/>
        <w:spacing w:line="0" w:lineRule="atLeast"/>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表2.5-4   本项目废轮胎</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不凝气</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组成分析结果</w:t>
      </w:r>
    </w:p>
    <w:tbl>
      <w:tblPr>
        <w:tblStyle w:val="27"/>
        <w:tblW w:w="90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23"/>
        <w:gridCol w:w="1678"/>
        <w:gridCol w:w="1343"/>
        <w:gridCol w:w="1534"/>
        <w:gridCol w:w="1487"/>
        <w:gridCol w:w="16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23" w:type="dxa"/>
            <w:tcBorders>
              <w:lef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组分</w:t>
            </w:r>
          </w:p>
        </w:tc>
        <w:tc>
          <w:tcPr>
            <w:tcW w:w="1678"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体积百分数/%</w:t>
            </w:r>
          </w:p>
        </w:tc>
        <w:tc>
          <w:tcPr>
            <w:tcW w:w="1343"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组分</w:t>
            </w:r>
          </w:p>
        </w:tc>
        <w:tc>
          <w:tcPr>
            <w:tcW w:w="1534"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体积百分数/%</w:t>
            </w:r>
          </w:p>
        </w:tc>
        <w:tc>
          <w:tcPr>
            <w:tcW w:w="1487"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组分</w:t>
            </w:r>
          </w:p>
        </w:tc>
        <w:tc>
          <w:tcPr>
            <w:tcW w:w="1639" w:type="dxa"/>
            <w:tcBorders>
              <w:righ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体积百分数/%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23" w:type="dxa"/>
            <w:tcBorders>
              <w:lef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氢气</w:t>
            </w:r>
          </w:p>
        </w:tc>
        <w:tc>
          <w:tcPr>
            <w:tcW w:w="1678"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21.1</w:t>
            </w:r>
          </w:p>
        </w:tc>
        <w:tc>
          <w:tcPr>
            <w:tcW w:w="1343"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1-丁烯</w:t>
            </w:r>
          </w:p>
        </w:tc>
        <w:tc>
          <w:tcPr>
            <w:tcW w:w="1534"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1.26</w:t>
            </w:r>
          </w:p>
        </w:tc>
        <w:tc>
          <w:tcPr>
            <w:tcW w:w="1487"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2-顺丁烯</w:t>
            </w:r>
          </w:p>
        </w:tc>
        <w:tc>
          <w:tcPr>
            <w:tcW w:w="1639" w:type="dxa"/>
            <w:tcBorders>
              <w:righ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23" w:type="dxa"/>
            <w:tcBorders>
              <w:lef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甲烷</w:t>
            </w:r>
          </w:p>
        </w:tc>
        <w:tc>
          <w:tcPr>
            <w:tcW w:w="1678"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32.5</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w:t>
            </w:r>
          </w:p>
        </w:tc>
        <w:tc>
          <w:tcPr>
            <w:tcW w:w="1343"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正丁烷</w:t>
            </w:r>
          </w:p>
        </w:tc>
        <w:tc>
          <w:tcPr>
            <w:tcW w:w="1534"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0.9</w:t>
            </w:r>
          </w:p>
        </w:tc>
        <w:tc>
          <w:tcPr>
            <w:tcW w:w="1487"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总戊烷</w:t>
            </w:r>
          </w:p>
        </w:tc>
        <w:tc>
          <w:tcPr>
            <w:tcW w:w="1639" w:type="dxa"/>
            <w:tcBorders>
              <w:righ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23" w:type="dxa"/>
            <w:tcBorders>
              <w:lef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乙烷</w:t>
            </w:r>
          </w:p>
        </w:tc>
        <w:tc>
          <w:tcPr>
            <w:tcW w:w="1678"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w:t>
            </w:r>
          </w:p>
        </w:tc>
        <w:tc>
          <w:tcPr>
            <w:tcW w:w="1343"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正戊烷</w:t>
            </w:r>
          </w:p>
        </w:tc>
        <w:tc>
          <w:tcPr>
            <w:tcW w:w="1534"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0.53</w:t>
            </w:r>
          </w:p>
        </w:tc>
        <w:tc>
          <w:tcPr>
            <w:tcW w:w="1487"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二氧化碳</w:t>
            </w:r>
          </w:p>
        </w:tc>
        <w:tc>
          <w:tcPr>
            <w:tcW w:w="1639" w:type="dxa"/>
            <w:tcBorders>
              <w:righ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23" w:type="dxa"/>
            <w:tcBorders>
              <w:lef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丙烷</w:t>
            </w:r>
          </w:p>
        </w:tc>
        <w:tc>
          <w:tcPr>
            <w:tcW w:w="1678"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5.14</w:t>
            </w:r>
          </w:p>
        </w:tc>
        <w:tc>
          <w:tcPr>
            <w:tcW w:w="1343"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异戊烷</w:t>
            </w:r>
          </w:p>
        </w:tc>
        <w:tc>
          <w:tcPr>
            <w:tcW w:w="1534"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0.32</w:t>
            </w:r>
          </w:p>
        </w:tc>
        <w:tc>
          <w:tcPr>
            <w:tcW w:w="1487"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一氧化碳</w:t>
            </w:r>
          </w:p>
        </w:tc>
        <w:tc>
          <w:tcPr>
            <w:tcW w:w="1639" w:type="dxa"/>
            <w:tcBorders>
              <w:righ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23" w:type="dxa"/>
            <w:tcBorders>
              <w:lef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丙烯</w:t>
            </w:r>
          </w:p>
        </w:tc>
        <w:tc>
          <w:tcPr>
            <w:tcW w:w="1678"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3.77</w:t>
            </w:r>
          </w:p>
        </w:tc>
        <w:tc>
          <w:tcPr>
            <w:tcW w:w="1343"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异丁烷</w:t>
            </w:r>
          </w:p>
        </w:tc>
        <w:tc>
          <w:tcPr>
            <w:tcW w:w="1534"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0.3</w:t>
            </w:r>
          </w:p>
        </w:tc>
        <w:tc>
          <w:tcPr>
            <w:tcW w:w="1487"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硫化氢</w:t>
            </w:r>
          </w:p>
        </w:tc>
        <w:tc>
          <w:tcPr>
            <w:tcW w:w="1639" w:type="dxa"/>
            <w:tcBorders>
              <w:righ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23" w:type="dxa"/>
            <w:tcBorders>
              <w:left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乙烯</w:t>
            </w:r>
          </w:p>
        </w:tc>
        <w:tc>
          <w:tcPr>
            <w:tcW w:w="1678"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1.93</w:t>
            </w:r>
          </w:p>
        </w:tc>
        <w:tc>
          <w:tcPr>
            <w:tcW w:w="1343"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2-反丁烯</w:t>
            </w:r>
          </w:p>
        </w:tc>
        <w:tc>
          <w:tcPr>
            <w:tcW w:w="1534" w:type="dxa"/>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148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水蒸气及颗粒物</w:t>
            </w:r>
          </w:p>
        </w:tc>
        <w:tc>
          <w:tcPr>
            <w:tcW w:w="1639" w:type="dxa"/>
            <w:tcBorders>
              <w:right w:val="single" w:color="auto" w:sz="1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2.08</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气的主要成份为C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的烷烃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烯烃和氢气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含有少量的H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、CO等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。同时，还带有少量裂解碳黑</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按照项目设计，大部分不凝气进入热裂解炉燃烧室作为燃料燃烧供热；少量进入余气燃烧装置处理。</w:t>
      </w:r>
    </w:p>
    <w:p>
      <w:pPr>
        <w:adjustRightInd w:val="0"/>
        <w:snapToGrid w:val="0"/>
        <w:spacing w:line="360" w:lineRule="auto"/>
        <w:ind w:firstLine="482"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2、燃烧废气</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按照项目设计废气处理方案，12台热裂解炉燃烧室燃烧废气分别</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1套“SCR脱硝反应器+二级雾化喷淋脱硫塔+除雾器+袋式除尘器+UV光解一体机+活性炭吸附装置”处理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尾气分别通过2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根20m高排气筒排放（6</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台热裂解炉为1套热裂解处理系统，配备</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1根排气筒）</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同时，2套裂解不凝气余气燃烧装置产生的燃烧废气（包括含油废水焚烧废气）分别经1套“SCR脱硝反应器+二级雾化喷淋脱硫塔+除雾器+袋式除尘器+UV光解一体机+活性炭吸附装置”处理后，通过对应的热裂解炉燃烧废气排气筒排放。</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根据建设单位提供的资料，通过产污环节分析、物料平衡分析及类比资料分析，工程裂解不凝气燃烧后的废气污染物主要是烟尘、SO</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、NOx、苯并[a]芘和微量未燃烧的H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S、非甲烷总烃。</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开炉启动使用的轻质柴油</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燃料，</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柴油燃烧废气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主要为烟尘、SO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x</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与上述热裂解不凝气燃烧废气的处理途径、排放方式一致。</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（1）热裂解不凝气燃烧废气污染物产生情况</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河南伊克斯达再生资源有限公司规划年处理废旧橡胶20万吨项目2017年经驻马店市环保局环评批复，目前已经投入正常运行。该项目采用的废轮胎热裂解工艺技术、设备与本次项目基本相同，裂解不凝气组分、利用途径与本次项目一致；因此，可根据对该项目的运行及产排污调查资料，类比分析确定本次工程废轮胎裂解不凝气燃烧废气污染物产生情况。</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河南伊克斯达再生资源有限公司规划年处理废旧橡胶20万吨项目实际运行过程中不凝气燃烧废气污染物产生情况见下表2.5-5.</w:t>
      </w:r>
    </w:p>
    <w:p>
      <w:pPr>
        <w:widowControl/>
        <w:adjustRightInd w:val="0"/>
        <w:snapToGrid w:val="0"/>
        <w:spacing w:line="360" w:lineRule="auto"/>
        <w:jc w:val="cente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表2.5-5  类比项目废轮胎裂解不凝气燃烧废气污染物产生情况调查表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2"/>
        <w:gridCol w:w="1120"/>
        <w:gridCol w:w="1161"/>
        <w:gridCol w:w="842"/>
        <w:gridCol w:w="829"/>
        <w:gridCol w:w="833"/>
        <w:gridCol w:w="1101"/>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2" w:type="dxa"/>
            <w:vMerge w:val="restart"/>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类别</w:t>
            </w:r>
          </w:p>
        </w:tc>
        <w:tc>
          <w:tcPr>
            <w:tcW w:w="1120" w:type="dxa"/>
            <w:vMerge w:val="restart"/>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不凝气燃烧量（t/a）</w:t>
            </w:r>
          </w:p>
        </w:tc>
        <w:tc>
          <w:tcPr>
            <w:tcW w:w="1161" w:type="dxa"/>
            <w:vMerge w:val="restart"/>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燃烧烟气量（Nm</w:t>
            </w:r>
            <w:r>
              <w:rPr>
                <w:rFonts w:hint="eastAsia" w:eastAsia="宋体" w:cs="Times New Roman" w:asciiTheme="minorEastAsia" w:hAnsiTheme="minorEastAsia"/>
                <w:b/>
                <w:color w:val="0D0D0D" w:themeColor="text1" w:themeTint="F2"/>
                <w:kern w:val="0"/>
                <w:sz w:val="18"/>
                <w:szCs w:val="18"/>
                <w:vertAlign w:val="superscript"/>
                <w:lang w:bidi="ar"/>
                <w14:textFill>
                  <w14:solidFill>
                    <w14:schemeClr w14:val="tx1">
                      <w14:lumMod w14:val="95000"/>
                      <w14:lumOff w14:val="5000"/>
                    </w14:schemeClr>
                  </w14:solidFill>
                </w14:textFill>
              </w:rPr>
              <w:t>3</w:t>
            </w: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/a）</w:t>
            </w:r>
          </w:p>
        </w:tc>
        <w:tc>
          <w:tcPr>
            <w:tcW w:w="4749" w:type="dxa"/>
            <w:gridSpan w:val="5"/>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92" w:type="dxa"/>
            <w:vMerge w:val="continue"/>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p>
        </w:tc>
        <w:tc>
          <w:tcPr>
            <w:tcW w:w="1120" w:type="dxa"/>
            <w:vMerge w:val="continue"/>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p>
        </w:tc>
        <w:tc>
          <w:tcPr>
            <w:tcW w:w="1161" w:type="dxa"/>
            <w:vMerge w:val="continue"/>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p>
        </w:tc>
        <w:tc>
          <w:tcPr>
            <w:tcW w:w="842" w:type="dxa"/>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烟尘</w:t>
            </w:r>
          </w:p>
        </w:tc>
        <w:tc>
          <w:tcPr>
            <w:tcW w:w="829" w:type="dxa"/>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S0</w:t>
            </w:r>
            <w:r>
              <w:rPr>
                <w:rFonts w:hint="eastAsia" w:eastAsia="宋体" w:cs="Times New Roman" w:asciiTheme="minorEastAsia" w:hAnsiTheme="minorEastAsia"/>
                <w:b/>
                <w:color w:val="0D0D0D" w:themeColor="text1" w:themeTint="F2"/>
                <w:kern w:val="0"/>
                <w:sz w:val="18"/>
                <w:szCs w:val="18"/>
                <w:vertAlign w:val="subscript"/>
                <w:lang w:bidi="ar"/>
                <w14:textFill>
                  <w14:solidFill>
                    <w14:schemeClr w14:val="tx1">
                      <w14:lumMod w14:val="95000"/>
                      <w14:lumOff w14:val="5000"/>
                    </w14:schemeClr>
                  </w14:solidFill>
                </w14:textFill>
              </w:rPr>
              <w:t>2</w:t>
            </w:r>
          </w:p>
        </w:tc>
        <w:tc>
          <w:tcPr>
            <w:tcW w:w="833" w:type="dxa"/>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 xml:space="preserve">NOx </w:t>
            </w:r>
          </w:p>
        </w:tc>
        <w:tc>
          <w:tcPr>
            <w:tcW w:w="1101" w:type="dxa"/>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苯并芘[a]</w:t>
            </w:r>
          </w:p>
        </w:tc>
        <w:tc>
          <w:tcPr>
            <w:tcW w:w="1144" w:type="dxa"/>
            <w:vAlign w:val="center"/>
          </w:tcPr>
          <w:p>
            <w:pPr>
              <w:widowControl/>
              <w:adjustRightInd w:val="0"/>
              <w:snapToGrid w:val="0"/>
              <w:spacing w:line="240" w:lineRule="atLeast"/>
              <w:jc w:val="center"/>
              <w:rPr>
                <w:rFonts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b/>
                <w:color w:val="0D0D0D" w:themeColor="text1" w:themeTint="F2"/>
                <w:kern w:val="0"/>
                <w:sz w:val="18"/>
                <w:szCs w:val="18"/>
                <w:lang w:bidi="ar"/>
                <w14:textFill>
                  <w14:solidFill>
                    <w14:schemeClr w14:val="tx1">
                      <w14:lumMod w14:val="95000"/>
                      <w14:lumOff w14:val="5000"/>
                    </w14:schemeClr>
                  </w14:solidFill>
                </w14:textFill>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产生量（t/a）</w:t>
            </w:r>
          </w:p>
        </w:tc>
        <w:tc>
          <w:tcPr>
            <w:tcW w:w="112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8000</w:t>
            </w:r>
          </w:p>
        </w:tc>
        <w:tc>
          <w:tcPr>
            <w:tcW w:w="1161"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1.53×10</w:t>
            </w:r>
            <w:r>
              <w:rPr>
                <w:rFonts w:hint="eastAsia" w:eastAsia="宋体" w:cs="Times New Roman" w:asciiTheme="minorEastAsia" w:hAnsi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8</w:t>
            </w:r>
          </w:p>
        </w:tc>
        <w:tc>
          <w:tcPr>
            <w:tcW w:w="84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22.08</w:t>
            </w:r>
          </w:p>
        </w:tc>
        <w:tc>
          <w:tcPr>
            <w:tcW w:w="829"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42.16</w:t>
            </w:r>
          </w:p>
        </w:tc>
        <w:tc>
          <w:tcPr>
            <w:tcW w:w="833"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20.9</w:t>
            </w:r>
          </w:p>
        </w:tc>
        <w:tc>
          <w:tcPr>
            <w:tcW w:w="1101"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1.0</w:t>
            </w: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6</w:t>
            </w:r>
            <w: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×10</w:t>
            </w:r>
            <w:r>
              <w:rPr>
                <w:rFonts w:eastAsia="宋体" w:cs="Times New Roman" w:asciiTheme="minorEastAsia" w:hAnsi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-4</w:t>
            </w:r>
          </w:p>
        </w:tc>
        <w:tc>
          <w:tcPr>
            <w:tcW w:w="114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9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产生系数</w:t>
            </w:r>
          </w:p>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（kg/t不凝气）</w:t>
            </w:r>
          </w:p>
        </w:tc>
        <w:tc>
          <w:tcPr>
            <w:tcW w:w="112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w:t>
            </w:r>
          </w:p>
        </w:tc>
        <w:tc>
          <w:tcPr>
            <w:tcW w:w="1161"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190820Nm</w:t>
            </w:r>
            <w:r>
              <w:rPr>
                <w:rFonts w:hint="eastAsia" w:eastAsia="宋体" w:cs="Times New Roman" w:asciiTheme="minorEastAsia" w:hAnsi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3</w:t>
            </w: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/t不凝气</w:t>
            </w:r>
          </w:p>
        </w:tc>
        <w:tc>
          <w:tcPr>
            <w:tcW w:w="84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2.76</w:t>
            </w:r>
          </w:p>
        </w:tc>
        <w:tc>
          <w:tcPr>
            <w:tcW w:w="829"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5.27</w:t>
            </w:r>
          </w:p>
        </w:tc>
        <w:tc>
          <w:tcPr>
            <w:tcW w:w="833"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2.61</w:t>
            </w:r>
          </w:p>
        </w:tc>
        <w:tc>
          <w:tcPr>
            <w:tcW w:w="1101"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1.33×10</w:t>
            </w:r>
            <w:r>
              <w:rPr>
                <w:rFonts w:hint="eastAsia" w:eastAsia="宋体" w:cs="Times New Roman" w:asciiTheme="minorEastAsia" w:hAnsi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-5</w:t>
            </w:r>
          </w:p>
        </w:tc>
        <w:tc>
          <w:tcPr>
            <w:tcW w:w="114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1.0</w:t>
            </w:r>
          </w:p>
        </w:tc>
      </w:tr>
    </w:tbl>
    <w:p>
      <w:pPr>
        <w:widowControl/>
        <w:adjustRightInd w:val="0"/>
        <w:snapToGrid w:val="0"/>
        <w:spacing w:line="360" w:lineRule="auto"/>
        <w:ind w:firstLine="600" w:firstLineChars="25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360" w:firstLineChars="15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1）烟气量</w:t>
      </w:r>
    </w:p>
    <w:p>
      <w:pPr>
        <w:widowControl/>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由表2.</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可知，热解气组分特性和天然气相近，</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可视为一种清洁的燃料，</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热值与天然气相当，</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裂解气密度（标准状况下）约为0.7147kg/</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，标准状况下1t裂解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气体积</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1.4×10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，则本项目燃烧裂解气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为1.05×10</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7</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/a。</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本次</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评价</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气燃烧烟气量类比天然气，</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根据《第一次全国污染源普查工业污染源产排污系数手册》（第十分册44电力、热力的生产和供应业）和《环境保护实用数据手册》，每燃烧1万m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的天然气，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烟气产生量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为13.63万Nm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经核算</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，本工程裂解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气燃烧烟气产生量为1.43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8</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Nm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/a</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、19861Nm</w:t>
      </w:r>
      <w:r>
        <w:rPr>
          <w:rFonts w:hint="eastAsia"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p>
    <w:p>
      <w:pPr>
        <w:widowControl/>
        <w:adjustRightInd w:val="0"/>
        <w:snapToGrid w:val="0"/>
        <w:spacing w:line="360" w:lineRule="auto"/>
        <w:ind w:firstLine="600" w:firstLineChars="25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2）烟尘</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类比</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河南伊克斯达再生资源有限公司规划年处理废旧橡胶20万吨项目</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气燃烧过程中烟尘产污系数为2.76kg/t</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气，本项目裂解</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气燃烧量为7500t/a，燃烧</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废气</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烟尘产生量</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为20.7t/a，产生速率为2.88kg/h。</w:t>
      </w:r>
    </w:p>
    <w:p>
      <w:pPr>
        <w:widowControl/>
        <w:adjustRightInd w:val="0"/>
        <w:snapToGrid w:val="0"/>
        <w:spacing w:line="360" w:lineRule="auto"/>
        <w:ind w:firstLine="600" w:firstLineChars="25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项目热裂解不凝气产生量约为7500t/a，其中S份含量约0.3%，约为22.5t，通过水封罐后部分硫化物可溶于水，不凝气所含硫份有所减少，进入燃烧系统的不凝气所含硫份存在形式主要为H</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S，硫份含量约为20t/a，燃烧过程中H</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S燃烧效率达到99%以上，硫份几乎全部转化为SO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，则不凝气燃烧废气SO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产生量为20×0.99×（64/32）=39.6t/a，产生速率5.5kg/h。</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根据调查资料，河南伊克斯达再生资源有限公司规划年处理废旧橡胶20万吨项目实际运行过程中不凝气燃烧废气SO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产生量约5.27kg/t不凝气，本次项目预算SO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产生系数约为5.28kg/t不凝气，通过数据类比分析可知，本次评价不凝气燃烧废气SO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产生源强确定比较合理。</w:t>
      </w:r>
    </w:p>
    <w:p>
      <w:pPr>
        <w:widowControl/>
        <w:adjustRightInd w:val="0"/>
        <w:snapToGrid w:val="0"/>
        <w:spacing w:line="360" w:lineRule="auto"/>
        <w:ind w:firstLine="600" w:firstLineChars="25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4）NOx</w:t>
      </w:r>
    </w:p>
    <w:p>
      <w:pPr>
        <w:widowControl/>
        <w:adjustRightInd w:val="0"/>
        <w:snapToGrid w:val="0"/>
        <w:spacing w:line="360" w:lineRule="auto"/>
        <w:ind w:firstLine="480" w:firstLineChars="200"/>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类比河南伊克斯达再生资源有限公司规划年处理废旧橡胶20万吨项目实际运行数据，结合相关调查资料，废轮胎</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气组分特性和天然气相近，故本次</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气燃烧</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废气</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NO</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x产生情况可</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类比天然气。天然燃烧NO</w:t>
      </w:r>
      <w:r>
        <w:rPr>
          <w:rFonts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x</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排放系数为</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18.71</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kg/</w:t>
      </w:r>
      <w:r>
        <w:rPr>
          <w:rFonts w:hint="eastAsia" w:cs="宋体"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万</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m</w:t>
      </w:r>
      <w:r>
        <w:rPr>
          <w:rFonts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；工程</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共</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燃烧裂解不凝气</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t>1.05×10</w:t>
      </w:r>
      <w:r>
        <w:rPr>
          <w:rFonts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7</w:t>
      </w:r>
      <w:r>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t>m</w:t>
      </w:r>
      <w:r>
        <w:rPr>
          <w:rFonts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t>/a</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废气</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NO</w:t>
      </w:r>
      <w:r>
        <w:rPr>
          <w:rFonts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x</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产生量</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19.65</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t/a，产生速率为</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2.73</w:t>
      </w:r>
      <w:r>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kg/h</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p>
    <w:p>
      <w:pPr>
        <w:widowControl/>
        <w:adjustRightInd w:val="0"/>
        <w:snapToGrid w:val="0"/>
        <w:spacing w:line="360" w:lineRule="auto"/>
        <w:ind w:firstLine="600" w:firstLineChars="250"/>
        <w:rPr>
          <w:rFonts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5）H</w:t>
      </w:r>
      <w:r>
        <w:rPr>
          <w:rFonts w:hint="eastAsia"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w:t>
      </w:r>
    </w:p>
    <w:p>
      <w:pPr>
        <w:adjustRightInd w:val="0"/>
        <w:snapToGrid w:val="0"/>
        <w:spacing w:line="360" w:lineRule="auto"/>
        <w:ind w:firstLine="480" w:firstLineChars="200"/>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本项目进入燃烧系统的裂解不凝气含S约20t/a，主要存在形式为H</w:t>
      </w:r>
      <w:r>
        <w:rPr>
          <w:rFonts w:hint="eastAsia"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S，不凝气燃烧后约99%的H</w:t>
      </w:r>
      <w:r>
        <w:rPr>
          <w:rFonts w:hint="eastAsia"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S得到完全燃烧，未参与燃烧的H</w:t>
      </w:r>
      <w:r>
        <w:rPr>
          <w:rFonts w:hint="eastAsia"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S产生量约为20×0.01×（34/32）= 0.213t/a，产生速率0.03kg/h。</w:t>
      </w:r>
    </w:p>
    <w:p>
      <w:pPr>
        <w:adjustRightInd w:val="0"/>
        <w:snapToGrid w:val="0"/>
        <w:spacing w:line="360" w:lineRule="auto"/>
        <w:ind w:firstLine="600" w:firstLineChars="25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6）非甲烷总烃</w:t>
      </w:r>
    </w:p>
    <w:p>
      <w:pPr>
        <w:adjustRightInd w:val="0"/>
        <w:snapToGrid w:val="0"/>
        <w:spacing w:line="360" w:lineRule="auto"/>
        <w:ind w:firstLine="480" w:firstLineChars="200"/>
        <w:rPr>
          <w:rFonts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类比河南伊克斯达再生资源有限公司规划年处理废旧橡胶20万吨项目实际运行数据，裂解不凝气燃烧后，非甲烷总烃燃烧去除率达到99.9%以上，未参与燃烧的非甲烷总烃约占进入燃烧系统不凝气总质量的0.1%以下，燃烧废气中非甲烷总烃产生系数约1kg/t不凝气。经分析计算，本次工程不凝气燃烧废气中非甲烷总烃产生量约为7.5t/a，产生速率为1.04kg/h。</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7）苯并[a]芘</w:t>
      </w:r>
    </w:p>
    <w:p>
      <w:pPr>
        <w:snapToGrid w:val="0"/>
        <w:spacing w:line="360" w:lineRule="auto"/>
        <w:ind w:firstLine="436" w:firstLineChars="182"/>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根据相关资料，</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苯并[a]芘存在于煤焦油、各类碳黑和煤、石油等燃烧产生的烟气、香烟烟雾、汽车尾气中，以及焦化、炼油、沥青、塑料等工业污水中</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苯并[a]芘（Benzoapyrene），化学式：C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，是一种五环多环芳香烃类。结晶为黄色固体。其结构式如下：</w:t>
      </w:r>
    </w:p>
    <w:p>
      <w:pPr>
        <w:snapToGrid w:val="0"/>
        <w:spacing w:line="520" w:lineRule="exact"/>
        <w:ind w:firstLine="44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drawing>
          <wp:anchor distT="0" distB="0" distL="114300" distR="114300" simplePos="0" relativeHeight="252043264" behindDoc="0" locked="0" layoutInCell="1" allowOverlap="1">
            <wp:simplePos x="0" y="0"/>
            <wp:positionH relativeFrom="page">
              <wp:posOffset>2746375</wp:posOffset>
            </wp:positionH>
            <wp:positionV relativeFrom="paragraph">
              <wp:posOffset>88265</wp:posOffset>
            </wp:positionV>
            <wp:extent cx="1657350" cy="1047750"/>
            <wp:effectExtent l="0" t="0" r="0" b="0"/>
            <wp:wrapNone/>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657350" cy="1047750"/>
                    </a:xfrm>
                    <a:prstGeom prst="rect">
                      <a:avLst/>
                    </a:prstGeom>
                    <a:noFill/>
                    <a:ln>
                      <a:noFill/>
                    </a:ln>
                    <a:effectLst/>
                  </pic:spPr>
                </pic:pic>
              </a:graphicData>
            </a:graphic>
          </wp:anchor>
        </w:drawing>
      </w:r>
    </w:p>
    <w:p>
      <w:pPr>
        <w:snapToGrid w:val="0"/>
        <w:spacing w:line="520" w:lineRule="exact"/>
        <w:ind w:firstLine="44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napToGrid w:val="0"/>
        <w:spacing w:line="520" w:lineRule="exact"/>
        <w:ind w:firstLine="44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napToGrid w:val="0"/>
        <w:spacing w:line="520" w:lineRule="exact"/>
        <w:ind w:firstLine="44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napToGrid w:val="0"/>
        <w:spacing w:line="360" w:lineRule="auto"/>
        <w:ind w:firstLine="482"/>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苯并[a]芘</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主要是在300~600℃之间的不完全燃烧状态下产生，</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废旧轮胎裂解过程中</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基本</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不产生苯并[a]芘</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。但是，</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在轮胎配方中，轮胎最常用的软化剂</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大多</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含有多环芳烃的芳烃油</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，因此，废轮胎裂解</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不凝气燃烧不完全会产生少量的苯并[a]芘。类比</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同类项目</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确定</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本项目废轮胎裂解不凝气燃烧苯并[a]芘的产生量为</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t/a，产生</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速率为1.4</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5</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kg/h</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8）二噁英</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二噁英是目前发现的无意识合成的副产品中毒性最强的化合物，是多达210中物质（异构体）的统称。二噁英是指含有2个或1个氧键连结2个苯环的含氯有机化合物，它的英文名字“Dioxin”。根据国内外的报道。二噁英的合成过程是在低温（250~350</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条件下大分子碳（残碳）与氧、氯、氢，通过基元反应，在催化作用下形成二噁英类。根据现有的二噁英类形成机理和影响因素研究，焚烧过程中二噁英类的合成，不论是从头合成或前体物合成，有某些共同的特征如均需有氧。从头合成过程是由残炭氧化开始，前体物合成过程是由不完全燃烧产物作为起始，在飞灰催化作用下经过一系列复杂化学反应生成二噁英类，其中两者相同的反应有氯化过程和联芳基合成（Ullmann反应）。所以二噁英类</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的</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条件</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可概括为：</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①</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存在有机物或无机氯；</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②</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存在氧；</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③</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存在过度金属阳离子作为催化剂，特别是铜在催化反应中起决定作用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；④二噁英类合成再生的烟气温度在200-550</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℃之间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次</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工程</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原料为上游供货单位经切割预处理后的不含氯元素的清洁废轮胎，不凝气燃烧过程中不具备产生二噁英类的条件。</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同时，根据建设单位提供资料</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不凝气燃烧工艺采用“3T+E”控制原则，即良好的炉内温度控制、充足的反应停留时间、充分的炉内烟气紊流程度和适当的空气供给量，以达到最佳的燃烧效果和最低的二次污染。燃烧室内温度不低于850℃，烟气停留时间不少于2秒，空气供给量要求烟气中氧含量在6%~12%之间；热裂解不凝气燃烧废气首先通过雾化两级喷淋塔处理，可对燃烧烟气起到一定急冷效果。因此，即使原料夹带少量含氯元素的废轮胎，通过采取上述措施，能够有效抑制不凝气燃烧烟气中二噁英的合成及再生。</w:t>
      </w:r>
    </w:p>
    <w:p>
      <w:pPr>
        <w:snapToGrid w:val="0"/>
        <w:spacing w:line="360" w:lineRule="auto"/>
        <w:ind w:firstLine="600" w:firstLineChars="25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综上分析，本次项目既不具备二噁英类产生的条件，同时又采取有效措施抑制可能产生的二噁英类污染物。因此，本次评价不再考虑分析二噁英类污染物的产生情况。</w:t>
      </w:r>
    </w:p>
    <w:p>
      <w:pPr>
        <w:widowControl/>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燃油废气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污染物产生情况</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裂解设备启动时以轻质柴油作为燃料，项目每年使用15t轻质柴油，产生</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废气中主要污染物为烟尘、SO</w:t>
      </w:r>
      <w:r>
        <w:rPr>
          <w:rFonts w:cs="Times New Roman" w:asciiTheme="minorEastAsia" w:hAnsiTheme="minorEastAsia"/>
          <w:color w:val="0D0D0D" w:themeColor="text1" w:themeTint="F2"/>
          <w:kern w:val="0"/>
          <w:sz w:val="16"/>
          <w:szCs w:val="16"/>
          <w:lang w:bidi="ar"/>
          <w14:textFill>
            <w14:solidFill>
              <w14:schemeClr w14:val="tx1">
                <w14:lumMod w14:val="95000"/>
                <w14:lumOff w14:val="5000"/>
              </w14:schemeClr>
            </w14:solidFill>
          </w14:textFill>
        </w:rPr>
        <w:t xml:space="preserve">2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和NO</w:t>
      </w:r>
      <w:r>
        <w:rPr>
          <w:rFonts w:cs="Times New Roman"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x</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废气</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进入</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裂解不凝气燃烧废气</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处理</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系统</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处理达标后排放。</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根据第一次全国污染源普查工业污染源产排污系数手册第十分册中4430工业锅炉（热力生产和供应行业）产排污系数表-轻油工业锅炉的排污系数表可知：</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柴油燃烧</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工业废气量18694.23Nm</w:t>
      </w:r>
      <w:r>
        <w:rPr>
          <w:rFonts w:cs="Times New Roman" w:asciiTheme="minorEastAsia" w:hAnsiTheme="minorEastAsia"/>
          <w:color w:val="0D0D0D" w:themeColor="text1" w:themeTint="F2"/>
          <w:kern w:val="0"/>
          <w:sz w:val="24"/>
          <w:szCs w:val="24"/>
          <w:u w:val="single"/>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/t原料，二氧化硫产生量为19S（S为含硫量，此处为0.5）千克/吨原料，烟尘产生量为0.26千克/吨原料，氮氧化物产生量为3.67千克/吨原料。</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经计算，工程柴油燃烧后烟气污染物产生情况见下表2.5-6。</w:t>
      </w:r>
    </w:p>
    <w:p>
      <w:pPr>
        <w:snapToGrid w:val="0"/>
        <w:spacing w:line="360" w:lineRule="auto"/>
        <w:ind w:firstLine="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2.5-6</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工程</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裂解炉</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柴油燃烧</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烟气污染物产生情况表</w:t>
      </w:r>
    </w:p>
    <w:tbl>
      <w:tblPr>
        <w:tblStyle w:val="27"/>
        <w:tblW w:w="839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62"/>
        <w:gridCol w:w="1731"/>
        <w:gridCol w:w="1665"/>
        <w:gridCol w:w="1666"/>
        <w:gridCol w:w="16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 w:hRule="atLeast"/>
        </w:trPr>
        <w:tc>
          <w:tcPr>
            <w:tcW w:w="1662" w:type="dxa"/>
            <w:vMerge w:val="restart"/>
            <w:vAlign w:val="center"/>
          </w:tcPr>
          <w:p>
            <w:pPr>
              <w:spacing w:line="360" w:lineRule="exact"/>
              <w:ind w:firstLine="199" w:firstLineChars="95"/>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（t/a）</w:t>
            </w:r>
          </w:p>
        </w:tc>
        <w:tc>
          <w:tcPr>
            <w:tcW w:w="1731" w:type="dxa"/>
            <w:vMerge w:val="restart"/>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烟气量</w:t>
            </w:r>
          </w:p>
        </w:tc>
        <w:tc>
          <w:tcPr>
            <w:tcW w:w="4998" w:type="dxa"/>
            <w:gridSpan w:val="3"/>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污染物产生量（t/a）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 w:hRule="atLeast"/>
        </w:trPr>
        <w:tc>
          <w:tcPr>
            <w:tcW w:w="1662" w:type="dxa"/>
            <w:vMerge w:val="continue"/>
            <w:vAlign w:val="center"/>
          </w:tcPr>
          <w:p>
            <w:pPr>
              <w:spacing w:line="360" w:lineRule="exact"/>
              <w:ind w:firstLine="199" w:firstLineChars="95"/>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731" w:type="dxa"/>
            <w:vMerge w:val="continue"/>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665" w:type="dxa"/>
            <w:vAlign w:val="center"/>
          </w:tcPr>
          <w:p>
            <w:pPr>
              <w:spacing w:line="360" w:lineRule="exact"/>
              <w:jc w:val="center"/>
              <w:rPr>
                <w:rFonts w:cs="Times New Roman" w:asciiTheme="minorEastAsia" w:hAnsiTheme="minorEastAsia"/>
                <w:color w:val="0D0D0D" w:themeColor="text1" w:themeTint="F2"/>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烟尘</w:t>
            </w:r>
          </w:p>
        </w:tc>
        <w:tc>
          <w:tcPr>
            <w:tcW w:w="1666" w:type="dxa"/>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p>
        </w:tc>
        <w:tc>
          <w:tcPr>
            <w:tcW w:w="1667" w:type="dxa"/>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1" w:hRule="atLeast"/>
        </w:trPr>
        <w:tc>
          <w:tcPr>
            <w:tcW w:w="1662" w:type="dxa"/>
            <w:vAlign w:val="center"/>
          </w:tcPr>
          <w:p>
            <w:pPr>
              <w:spacing w:line="360" w:lineRule="auto"/>
              <w:ind w:firstLine="199" w:firstLineChars="95"/>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1731" w:type="dxa"/>
            <w:vAlign w:val="center"/>
          </w:tcPr>
          <w:p>
            <w:pPr>
              <w:spacing w:line="360" w:lineRule="auto"/>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280413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a、39Nm</w:t>
            </w:r>
            <w:r>
              <w:rPr>
                <w:rFonts w:hint="eastAsia"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/h</w:t>
            </w:r>
          </w:p>
        </w:tc>
        <w:tc>
          <w:tcPr>
            <w:tcW w:w="1665" w:type="dxa"/>
            <w:vAlign w:val="center"/>
          </w:tcPr>
          <w:p>
            <w:pPr>
              <w:widowControl/>
              <w:spacing w:line="360" w:lineRule="auto"/>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0.0039</w:t>
            </w:r>
          </w:p>
        </w:tc>
        <w:tc>
          <w:tcPr>
            <w:tcW w:w="1666" w:type="dxa"/>
            <w:vAlign w:val="center"/>
          </w:tcPr>
          <w:p>
            <w:pPr>
              <w:widowControl/>
              <w:spacing w:line="360" w:lineRule="auto"/>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0.143</w:t>
            </w:r>
          </w:p>
        </w:tc>
        <w:tc>
          <w:tcPr>
            <w:tcW w:w="1667" w:type="dxa"/>
            <w:vAlign w:val="center"/>
          </w:tcPr>
          <w:p>
            <w:pPr>
              <w:widowControl/>
              <w:spacing w:line="360" w:lineRule="auto"/>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0.055</w:t>
            </w:r>
          </w:p>
        </w:tc>
      </w:tr>
    </w:tbl>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（3）含油废水焚烧废气污染物产生情况</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工程水封罐检修及油水分离器产生含油废水总量约480m</w:t>
      </w:r>
      <w:r>
        <w:rPr>
          <w:rFonts w:hint="eastAsia" w:cs="Times New Roman" w:asciiTheme="minorEastAsia" w:hAnsiTheme="minorEastAsia"/>
          <w:bCs/>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/a，合1.6m</w:t>
      </w:r>
      <w:r>
        <w:rPr>
          <w:rFonts w:hint="eastAsia" w:cs="Times New Roman" w:asciiTheme="minorEastAsia" w:hAnsiTheme="minorEastAsia"/>
          <w:bCs/>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d，收集雾化后进入2套余气燃烧装置焚烧处理。根据工程分析，该部分废水油分质量含量约25t/a，其燃烧后主要产生水蒸气，烟气污染物产生情况与柴油基本类似；经计算，含油废水燃烧废气烟气污染物产生情况见下表2.5-7。</w:t>
      </w:r>
    </w:p>
    <w:p>
      <w:pPr>
        <w:snapToGrid w:val="0"/>
        <w:spacing w:line="360" w:lineRule="auto"/>
        <w:ind w:firstLine="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2.5-7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工程含油废水</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烟气污染物产生情况表</w:t>
      </w:r>
    </w:p>
    <w:tbl>
      <w:tblPr>
        <w:tblStyle w:val="27"/>
        <w:tblW w:w="850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84"/>
        <w:gridCol w:w="1753"/>
        <w:gridCol w:w="1687"/>
        <w:gridCol w:w="1688"/>
        <w:gridCol w:w="16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6" w:hRule="atLeast"/>
        </w:trPr>
        <w:tc>
          <w:tcPr>
            <w:tcW w:w="1684" w:type="dxa"/>
            <w:vMerge w:val="restart"/>
            <w:vAlign w:val="center"/>
          </w:tcPr>
          <w:p>
            <w:pPr>
              <w:spacing w:line="360" w:lineRule="exact"/>
              <w:ind w:firstLine="199" w:firstLineChars="95"/>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（t/a）</w:t>
            </w:r>
          </w:p>
        </w:tc>
        <w:tc>
          <w:tcPr>
            <w:tcW w:w="1753" w:type="dxa"/>
            <w:vMerge w:val="restart"/>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烟气量</w:t>
            </w:r>
          </w:p>
        </w:tc>
        <w:tc>
          <w:tcPr>
            <w:tcW w:w="5063" w:type="dxa"/>
            <w:gridSpan w:val="3"/>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污染物产生量（t/a）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6" w:hRule="atLeast"/>
        </w:trPr>
        <w:tc>
          <w:tcPr>
            <w:tcW w:w="1684" w:type="dxa"/>
            <w:vMerge w:val="continue"/>
            <w:vAlign w:val="center"/>
          </w:tcPr>
          <w:p>
            <w:pPr>
              <w:spacing w:line="360" w:lineRule="exact"/>
              <w:ind w:firstLine="199" w:firstLineChars="95"/>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753" w:type="dxa"/>
            <w:vMerge w:val="continue"/>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687" w:type="dxa"/>
            <w:vAlign w:val="center"/>
          </w:tcPr>
          <w:p>
            <w:pPr>
              <w:spacing w:line="360" w:lineRule="exact"/>
              <w:jc w:val="center"/>
              <w:rPr>
                <w:rFonts w:cs="Times New Roman" w:asciiTheme="minorEastAsia" w:hAnsiTheme="minorEastAsia"/>
                <w:color w:val="0D0D0D" w:themeColor="text1" w:themeTint="F2"/>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烟尘</w:t>
            </w:r>
          </w:p>
        </w:tc>
        <w:tc>
          <w:tcPr>
            <w:tcW w:w="1688" w:type="dxa"/>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p>
        </w:tc>
        <w:tc>
          <w:tcPr>
            <w:tcW w:w="1688" w:type="dxa"/>
            <w:vAlign w:val="center"/>
          </w:tcPr>
          <w:p>
            <w:pPr>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X</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trPr>
        <w:tc>
          <w:tcPr>
            <w:tcW w:w="1684" w:type="dxa"/>
            <w:vAlign w:val="center"/>
          </w:tcPr>
          <w:p>
            <w:pPr>
              <w:spacing w:line="360" w:lineRule="auto"/>
              <w:ind w:firstLine="199" w:firstLineChars="95"/>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25</w:t>
            </w:r>
          </w:p>
        </w:tc>
        <w:tc>
          <w:tcPr>
            <w:tcW w:w="1753" w:type="dxa"/>
            <w:vAlign w:val="center"/>
          </w:tcPr>
          <w:p>
            <w:pPr>
              <w:spacing w:line="360" w:lineRule="auto"/>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467356</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a、65Nm</w:t>
            </w:r>
            <w:r>
              <w:rPr>
                <w:rFonts w:hint="eastAsia"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/h</w:t>
            </w:r>
          </w:p>
        </w:tc>
        <w:tc>
          <w:tcPr>
            <w:tcW w:w="1687" w:type="dxa"/>
            <w:vAlign w:val="center"/>
          </w:tcPr>
          <w:p>
            <w:pPr>
              <w:widowControl/>
              <w:spacing w:line="360" w:lineRule="auto"/>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0.0065</w:t>
            </w:r>
          </w:p>
        </w:tc>
        <w:tc>
          <w:tcPr>
            <w:tcW w:w="1688" w:type="dxa"/>
            <w:vAlign w:val="center"/>
          </w:tcPr>
          <w:p>
            <w:pPr>
              <w:widowControl/>
              <w:spacing w:line="360" w:lineRule="auto"/>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0.238</w:t>
            </w:r>
          </w:p>
        </w:tc>
        <w:tc>
          <w:tcPr>
            <w:tcW w:w="1688" w:type="dxa"/>
            <w:vAlign w:val="center"/>
          </w:tcPr>
          <w:p>
            <w:pPr>
              <w:widowControl/>
              <w:spacing w:line="360" w:lineRule="auto"/>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0.092</w:t>
            </w:r>
          </w:p>
        </w:tc>
      </w:tr>
    </w:tbl>
    <w:p>
      <w:pPr>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（4）逃逸氨</w:t>
      </w:r>
    </w:p>
    <w:p>
      <w:pPr>
        <w:snapToGrid w:val="0"/>
        <w:spacing w:line="360" w:lineRule="auto"/>
        <w:ind w:firstLine="482"/>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本项目不凝气燃烧废气采用SCR脱硝工艺，利用尿素溶液作为脱硝剂，存在氨逃逸现象。类比同类成熟脱硝工艺技术参数，脱硝后烟气中氨浓度一般可控制在10mg/Nm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以下。</w:t>
      </w:r>
    </w:p>
    <w:p>
      <w:pPr>
        <w:adjustRightInd w:val="0"/>
        <w:snapToGrid w:val="0"/>
        <w:spacing w:line="360" w:lineRule="auto"/>
        <w:ind w:firstLine="482"/>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（5）项目燃烧废气污染物排放情况</w:t>
      </w:r>
    </w:p>
    <w:p>
      <w:pPr>
        <w:adjustRightInd w:val="0"/>
        <w:snapToGrid w:val="0"/>
        <w:spacing w:line="360" w:lineRule="auto"/>
        <w:ind w:firstLine="482"/>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本次工程燃烧废气采取</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SCR脱硝反应器</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二级雾化喷淋脱硫塔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+除雾器+袋式除尘器+UV光解一体机+活性炭吸附装置”处理</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工艺。</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根据企业提供资料，项目12台裂解炉分为2组</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（6台1组）</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，每组配置一个</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余气</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燃烧</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装置；</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每台裂解炉燃烧室</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及余气燃烧装置</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分别</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配备</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一套</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废气处理装置</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每</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组共配备7套处理装置，各处理装置尾气排气管道通过并联后，将排放的尾气统一收集进入1根20m</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排气筒</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（内径0.6m）排放，2根排气筒污染物排放工况一致，均为7200h/a，废气排放量均为10000Nm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本项目设计</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2个排气筒集束排放，可视</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为1个等效排气筒。</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因此，等效排气筒高度为20m，内径为0.85m。根据各燃烧装置烟气产生量，等效排气筒废气排放量约20000Nm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/h。</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经类比同类工程，</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本项目燃烧废气处理系统对</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颗粒物去除率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达到</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9</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以上</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对N</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O</w:t>
      </w:r>
      <w:r>
        <w:rPr>
          <w:rFonts w:hint="eastAsia"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x</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H</w:t>
      </w:r>
      <w:r>
        <w:rPr>
          <w:rFonts w:cs="Times New Roman" w:asciiTheme="minorEastAsia" w:hAnsiTheme="minorEastAsia"/>
          <w:color w:val="0D0D0D" w:themeColor="text1" w:themeTint="F2"/>
          <w:kern w:val="0"/>
          <w:sz w:val="16"/>
          <w:szCs w:val="16"/>
          <w:u w:val="single"/>
          <w:lang w:bidi="ar"/>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苯并[a]芘</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的去除率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达到8</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左右，对</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非甲烷总烃</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的去除率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达到</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90%</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以上</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；对</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氨的</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去除率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约50%左右</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结合前述</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燃烧废气</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各污染物产生情况，经核算，本次工程燃烧废气处理系统及等效排气筒大气污染物产生、排放情况见下表2.5-8。</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sectPr>
          <w:headerReference r:id="rId3" w:type="default"/>
          <w:footerReference r:id="rId4" w:type="default"/>
          <w:pgSz w:w="11906" w:h="16838"/>
          <w:pgMar w:top="1440" w:right="1800" w:bottom="1440" w:left="1800" w:header="851" w:footer="992" w:gutter="0"/>
          <w:cols w:space="425" w:num="1"/>
          <w:docGrid w:type="lines" w:linePitch="312" w:charSpace="0"/>
        </w:sectPr>
      </w:pP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表2.5-8    项目燃烧废气产、排情况汇总表</w:t>
      </w:r>
    </w:p>
    <w:tbl>
      <w:tblPr>
        <w:tblStyle w:val="89"/>
        <w:tblW w:w="14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134"/>
        <w:gridCol w:w="1275"/>
        <w:gridCol w:w="1276"/>
        <w:gridCol w:w="1276"/>
        <w:gridCol w:w="1134"/>
        <w:gridCol w:w="850"/>
        <w:gridCol w:w="1276"/>
        <w:gridCol w:w="1134"/>
        <w:gridCol w:w="1134"/>
        <w:gridCol w:w="1134"/>
        <w:gridCol w:w="1134"/>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排放源</w:t>
            </w:r>
          </w:p>
        </w:tc>
        <w:tc>
          <w:tcPr>
            <w:tcW w:w="1134"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废气量（Nm</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Cs w:val="21"/>
                <w14:textFill>
                  <w14:solidFill>
                    <w14:schemeClr w14:val="tx1">
                      <w14:lumMod w14:val="95000"/>
                      <w14:lumOff w14:val="5000"/>
                    </w14:schemeClr>
                  </w14:solidFill>
                </w14:textFill>
              </w:rPr>
              <w:t>/h）</w:t>
            </w:r>
          </w:p>
        </w:tc>
        <w:tc>
          <w:tcPr>
            <w:tcW w:w="1275" w:type="dxa"/>
            <w:vMerge w:val="restart"/>
            <w:vAlign w:val="center"/>
          </w:tcPr>
          <w:p>
            <w:pPr>
              <w:spacing w:line="240" w:lineRule="atLeast"/>
              <w:ind w:firstLine="300"/>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污染物</w:t>
            </w:r>
          </w:p>
        </w:tc>
        <w:tc>
          <w:tcPr>
            <w:tcW w:w="3686" w:type="dxa"/>
            <w:gridSpan w:val="3"/>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产生情况</w:t>
            </w:r>
          </w:p>
        </w:tc>
        <w:tc>
          <w:tcPr>
            <w:tcW w:w="850"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处理效率（%）</w:t>
            </w:r>
          </w:p>
        </w:tc>
        <w:tc>
          <w:tcPr>
            <w:tcW w:w="3544" w:type="dxa"/>
            <w:gridSpan w:val="3"/>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排放情况</w:t>
            </w:r>
          </w:p>
        </w:tc>
        <w:tc>
          <w:tcPr>
            <w:tcW w:w="2268" w:type="dxa"/>
            <w:gridSpan w:val="2"/>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排放标准</w:t>
            </w:r>
          </w:p>
        </w:tc>
        <w:tc>
          <w:tcPr>
            <w:tcW w:w="709"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101"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134"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5"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产生量（t/a）</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产生速率（kg/h）</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产生浓度（mg/m</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850"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排放浓度（mg/m</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排放速率（kg/h）</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排放量（t/a）</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浓度（mg/m</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速率（kg/h）</w:t>
            </w:r>
          </w:p>
        </w:tc>
        <w:tc>
          <w:tcPr>
            <w:tcW w:w="709"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燃烧废气等效排气筒（燃烧废气废气处理系统）</w:t>
            </w:r>
          </w:p>
        </w:tc>
        <w:tc>
          <w:tcPr>
            <w:tcW w:w="1134" w:type="dxa"/>
            <w:vMerge w:val="restart"/>
            <w:vAlign w:val="center"/>
          </w:tcPr>
          <w:p>
            <w:pPr>
              <w:spacing w:line="240" w:lineRule="atLeast"/>
              <w:ind w:firstLine="210" w:firstLineChars="100"/>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20000</w:t>
            </w:r>
          </w:p>
        </w:tc>
        <w:tc>
          <w:tcPr>
            <w:tcW w:w="1275"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颗粒物</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20.71</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2.876</w:t>
            </w:r>
          </w:p>
        </w:tc>
        <w:tc>
          <w:tcPr>
            <w:tcW w:w="1134"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143.8</w:t>
            </w:r>
          </w:p>
        </w:tc>
        <w:tc>
          <w:tcPr>
            <w:tcW w:w="85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95</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7.19</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0.144</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1.036</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5.9</w:t>
            </w:r>
          </w:p>
        </w:tc>
        <w:tc>
          <w:tcPr>
            <w:tcW w:w="709"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134"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5"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S0</w:t>
            </w:r>
            <w:r>
              <w:rPr>
                <w:rFonts w:hint="eastAsia"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39.981</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5.553</w:t>
            </w:r>
          </w:p>
        </w:tc>
        <w:tc>
          <w:tcPr>
            <w:tcW w:w="1134"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277.65</w:t>
            </w:r>
          </w:p>
        </w:tc>
        <w:tc>
          <w:tcPr>
            <w:tcW w:w="85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90</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27.77</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0.555</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4.0</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35</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4.3</w:t>
            </w:r>
          </w:p>
        </w:tc>
        <w:tc>
          <w:tcPr>
            <w:tcW w:w="709" w:type="dxa"/>
            <w:vAlign w:val="center"/>
          </w:tcPr>
          <w:p>
            <w:pPr>
              <w:jc w:val="center"/>
              <w:rPr>
                <w:rFonts w:asciiTheme="minorEastAsia" w:hAnsiTheme="minorEastAsia"/>
                <w:color w:val="0D0D0D" w:themeColor="text1" w:themeTint="F2"/>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134"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5"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NOx</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19.797</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2.75</w:t>
            </w:r>
          </w:p>
        </w:tc>
        <w:tc>
          <w:tcPr>
            <w:tcW w:w="1134"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137.5</w:t>
            </w:r>
          </w:p>
        </w:tc>
        <w:tc>
          <w:tcPr>
            <w:tcW w:w="85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80</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27.5</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0.55</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3.6</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1.3</w:t>
            </w:r>
          </w:p>
        </w:tc>
        <w:tc>
          <w:tcPr>
            <w:tcW w:w="709" w:type="dxa"/>
            <w:vAlign w:val="center"/>
          </w:tcPr>
          <w:p>
            <w:pPr>
              <w:jc w:val="center"/>
              <w:rPr>
                <w:rFonts w:asciiTheme="minorEastAsia" w:hAnsiTheme="minorEastAsia"/>
                <w:color w:val="0D0D0D" w:themeColor="text1" w:themeTint="F2"/>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134"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5"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H</w:t>
            </w:r>
            <w:r>
              <w:rPr>
                <w:rFonts w:hint="eastAsia"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Cs w:val="21"/>
                <w14:textFill>
                  <w14:solidFill>
                    <w14:schemeClr w14:val="tx1">
                      <w14:lumMod w14:val="95000"/>
                      <w14:lumOff w14:val="5000"/>
                    </w14:schemeClr>
                  </w14:solidFill>
                </w14:textFill>
              </w:rPr>
              <w:t>S</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0.213</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0.03</w:t>
            </w:r>
          </w:p>
        </w:tc>
        <w:tc>
          <w:tcPr>
            <w:tcW w:w="1134"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1.5</w:t>
            </w:r>
          </w:p>
        </w:tc>
        <w:tc>
          <w:tcPr>
            <w:tcW w:w="85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80</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0.3</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0.006</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0.043</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0.58</w:t>
            </w:r>
          </w:p>
        </w:tc>
        <w:tc>
          <w:tcPr>
            <w:tcW w:w="709" w:type="dxa"/>
            <w:vAlign w:val="center"/>
          </w:tcPr>
          <w:p>
            <w:pPr>
              <w:jc w:val="center"/>
              <w:rPr>
                <w:rFonts w:asciiTheme="minorEastAsia" w:hAnsiTheme="minorEastAsia"/>
                <w:color w:val="0D0D0D" w:themeColor="text1" w:themeTint="F2"/>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134"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5"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NH</w:t>
            </w:r>
            <w:r>
              <w:rPr>
                <w:rFonts w:hint="eastAsia" w:asciiTheme="minorEastAsia" w:hAnsiTheme="minorEastAsia"/>
                <w:color w:val="0D0D0D" w:themeColor="text1" w:themeTint="F2"/>
                <w:szCs w:val="21"/>
                <w:vertAlign w:val="subscript"/>
                <w14:textFill>
                  <w14:solidFill>
                    <w14:schemeClr w14:val="tx1">
                      <w14:lumMod w14:val="95000"/>
                      <w14:lumOff w14:val="5000"/>
                    </w14:schemeClr>
                  </w14:solidFill>
                </w14:textFill>
              </w:rPr>
              <w:t>3</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1.44</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0.2</w:t>
            </w:r>
          </w:p>
        </w:tc>
        <w:tc>
          <w:tcPr>
            <w:tcW w:w="1134"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85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0.1</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0.72</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8.7</w:t>
            </w:r>
          </w:p>
        </w:tc>
        <w:tc>
          <w:tcPr>
            <w:tcW w:w="709" w:type="dxa"/>
            <w:vAlign w:val="center"/>
          </w:tcPr>
          <w:p>
            <w:pPr>
              <w:jc w:val="center"/>
              <w:rPr>
                <w:rFonts w:asciiTheme="minorEastAsia" w:hAnsiTheme="minorEastAsia"/>
                <w:color w:val="0D0D0D" w:themeColor="text1" w:themeTint="F2"/>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134"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5"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非甲烷总烃</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7.5</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1.04</w:t>
            </w:r>
          </w:p>
        </w:tc>
        <w:tc>
          <w:tcPr>
            <w:tcW w:w="1134"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52</w:t>
            </w:r>
          </w:p>
        </w:tc>
        <w:tc>
          <w:tcPr>
            <w:tcW w:w="85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90</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5.2</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0.104</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0.75</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80</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17</w:t>
            </w:r>
          </w:p>
        </w:tc>
        <w:tc>
          <w:tcPr>
            <w:tcW w:w="709" w:type="dxa"/>
            <w:vAlign w:val="center"/>
          </w:tcPr>
          <w:p>
            <w:pPr>
              <w:jc w:val="center"/>
              <w:rPr>
                <w:rFonts w:asciiTheme="minorEastAsia" w:hAnsiTheme="minorEastAsia"/>
                <w:color w:val="0D0D0D" w:themeColor="text1" w:themeTint="F2"/>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1101"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134" w:type="dxa"/>
            <w:vMerge w:val="continue"/>
            <w:vAlign w:val="center"/>
          </w:tcPr>
          <w:p>
            <w:pPr>
              <w:spacing w:line="240" w:lineRule="atLeast"/>
              <w:ind w:firstLine="300"/>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275"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苯并[a]芘</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asciiTheme="minorEastAsia" w:hAnsiTheme="minorEastAsia"/>
                <w:color w:val="0D0D0D" w:themeColor="text1" w:themeTint="F2"/>
                <w:szCs w:val="21"/>
                <w14:textFill>
                  <w14:solidFill>
                    <w14:schemeClr w14:val="tx1">
                      <w14:lumMod w14:val="95000"/>
                      <w14:lumOff w14:val="5000"/>
                    </w14:schemeClr>
                  </w14:solidFill>
                </w14:textFill>
              </w:rPr>
              <w:t>1.0×10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-4</w:t>
            </w:r>
          </w:p>
        </w:tc>
        <w:tc>
          <w:tcPr>
            <w:tcW w:w="12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asciiTheme="minorEastAsia" w:hAnsiTheme="minorEastAsia"/>
                <w:color w:val="0D0D0D" w:themeColor="text1" w:themeTint="F2"/>
                <w:szCs w:val="21"/>
                <w14:textFill>
                  <w14:solidFill>
                    <w14:schemeClr w14:val="tx1">
                      <w14:lumMod w14:val="95000"/>
                      <w14:lumOff w14:val="5000"/>
                    </w14:schemeClr>
                  </w14:solidFill>
                </w14:textFill>
              </w:rPr>
              <w:t>1.4×10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-5</w:t>
            </w:r>
          </w:p>
        </w:tc>
        <w:tc>
          <w:tcPr>
            <w:tcW w:w="1134"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0.7</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c>
          <w:tcPr>
            <w:tcW w:w="85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80</w:t>
            </w:r>
          </w:p>
        </w:tc>
        <w:tc>
          <w:tcPr>
            <w:tcW w:w="1276" w:type="dxa"/>
            <w:vAlign w:val="center"/>
          </w:tcPr>
          <w:p>
            <w:pPr>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0.14</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2.8</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6</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0.2</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4</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0.3</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p>
        </w:tc>
        <w:tc>
          <w:tcPr>
            <w:tcW w:w="113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8.5</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4</w:t>
            </w:r>
          </w:p>
        </w:tc>
        <w:tc>
          <w:tcPr>
            <w:tcW w:w="709" w:type="dxa"/>
            <w:vAlign w:val="center"/>
          </w:tcPr>
          <w:p>
            <w:pPr>
              <w:jc w:val="center"/>
              <w:rPr>
                <w:rFonts w:asciiTheme="minorEastAsia" w:hAnsiTheme="minorEastAsia"/>
                <w:color w:val="0D0D0D" w:themeColor="text1" w:themeTint="F2"/>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达标</w:t>
            </w:r>
          </w:p>
        </w:tc>
      </w:tr>
    </w:tbl>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600" w:firstLineChars="25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由上表可知，工程燃烧废气经处理后，颗粒物、SO</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、NOx排放浓度均可满足</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河南省地方标准</w:t>
      </w:r>
      <w:r>
        <w:rPr>
          <w:rFonts w:cs="Times New Roman" w:asciiTheme="minorEastAsia" w:hAnsiTheme="minorEastAsia"/>
          <w:color w:val="0D0D0D" w:themeColor="text1" w:themeTint="F2"/>
          <w:sz w:val="24"/>
          <w:szCs w:val="32"/>
          <w14:textFill>
            <w14:solidFill>
              <w14:schemeClr w14:val="tx1">
                <w14:lumMod w14:val="95000"/>
                <w14:lumOff w14:val="5000"/>
              </w14:schemeClr>
            </w14:solidFill>
          </w14:textFill>
        </w:rPr>
        <w:t>《燃煤电厂大气污染物排放标准》（DB41/1424-2017）表1排放限值要求</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1"/>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1"/>
          <w14:textFill>
            <w14:solidFill>
              <w14:schemeClr w14:val="tx1">
                <w14:lumMod w14:val="95000"/>
                <w14:lumOff w14:val="5000"/>
              </w14:schemeClr>
            </w14:solidFill>
          </w14:textFill>
        </w:rPr>
        <w:t>S</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排放能够满足《恶臭污染物排放标准》（GB14554-1993）二级标准限值要求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排放浓度满足河南省地方标准《工业炉窑大气污染物排放标准》（DB41/1066-2015）表2限值要求；非甲烷总烃排放浓度满足</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豫环攻坚办[2017]162号《关于全省开展工业企业挥发性有机物专项治理工作中排放建议值的通知》中其他行业建议限值要求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；苯并[a]芘排放浓度满足《大气污染物综合排放标准》（GB16297-1996）表2限值要求。各类污染物排放速率均可满足相应的排放限值要求。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p>
      <w:pPr>
        <w:adjustRightInd w:val="0"/>
        <w:snapToGrid w:val="0"/>
        <w:spacing w:line="360" w:lineRule="auto"/>
        <w:ind w:firstLine="482"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3、热裂解炉出料及碳黑出料包装、废钢丝打包废气</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项目热裂解炉粗碳黑</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出料</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包装过程会产生的少量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碳黑尘；由于废钢丝表面沾附有碳黑，在钢丝出炉及压缩打包过程中也会产生少量碳黑尘。工程粗碳黑出料采取密闭收料箱及螺旋送料器，同时保持热裂解炉处于负压状态，可有效降低出料过程中碳黑尘的产生；同时，拟在热裂解炉出料口、碳黑包装设备和钢丝打包设备上方分别设置集气罩，收集碳黑尘废气统一引入2套袋式除尘器处理，处理后废气经2根15m排气筒排放。2台除尘器设计收集废气量及运行工况一致。单台除尘器设计运行时间7200h/a，设计处理废气量均为5000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/h，处理效率均达到99%以上。</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比同类项目，热裂解炉出料及碳黑包装、废钢丝打包过程中，碳黑尘产生量约占粗碳黑产量的0.1%，工程粗碳黑产量35000t/a，碳黑尘产生总量约35t/a。集气系统收集效率按90%计算，则收集碳黑尘总量约31.5t/a。工程单台袋式除尘器收集碳黑尘约15.75t/a，碳黑尘产生源强约2.19kg/h，产生浓度约438m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；经袋除尘器处理后，排放浓度约为4.38mg/m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，排放速率约为0.022kg/h，排放量约为0.158t/a。经核算，正常工况下，工程2台除尘器排放碳黑尘约0.316t/a。</w:t>
      </w:r>
    </w:p>
    <w:p>
      <w:pPr>
        <w:adjustRightInd w:val="0"/>
        <w:snapToGrid w:val="0"/>
        <w:spacing w:line="360" w:lineRule="auto"/>
        <w:ind w:firstLine="482"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4</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、食堂油烟废气</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本项目职工食堂在食物烹饪、加工过程中挥发的油脂、有机质热分解或裂解 会产生油烟气。</w:t>
      </w:r>
    </w:p>
    <w:p>
      <w:pPr>
        <w:widowControl/>
        <w:adjustRightInd w:val="0"/>
        <w:snapToGrid w:val="0"/>
        <w:spacing w:line="360" w:lineRule="auto"/>
        <w:ind w:firstLine="480" w:firstLineChars="200"/>
        <w:jc w:val="left"/>
        <w:rPr>
          <w:rFonts w:cs="Times New Roman" w:asciiTheme="minorEastAsia" w:hAnsiTheme="minorEastAsia"/>
          <w:snapToGrid w:val="0"/>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本项目就餐人数为20人/d，年工作天数为300天。</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根据类比分析，人均食用油用量约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60g/人·天（每天按2餐计）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则项目食用油消耗量为0.12kg/d、360kg/a。烹饪过程中一般油烟产生量占食用油用量的2%~4%，本次核算取均值3%，则本项目食堂油烟产生量为0.036kg/d、10.8kg/a。本项目食堂烹饪时间每天为4小时，评价建议安装一台风量为3000</w:t>
      </w:r>
      <w:r>
        <w:rPr>
          <w:rFonts w:cs="Times New Roman" w:asciiTheme="minorEastAsia" w:hAnsiTheme="minorEastAsia"/>
          <w:iCs/>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iCs/>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iCs/>
          <w:color w:val="0D0D0D" w:themeColor="text1" w:themeTint="F2"/>
          <w:sz w:val="24"/>
          <w:szCs w:val="24"/>
          <w14:textFill>
            <w14:solidFill>
              <w14:schemeClr w14:val="tx1">
                <w14:lumMod w14:val="95000"/>
                <w14:lumOff w14:val="5000"/>
              </w14:schemeClr>
            </w14:solidFill>
          </w14:textFill>
        </w:rPr>
        <w:t>/h的油烟净化器对产生的油烟废气处理后经排烟管道引至楼顶排放，油烟去除率不低于90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％，则经核算，处理前油烟产生浓度为3.0mg/m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，处理后油烟排放浓度为0.3mg/m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，能够满足河南省地方标准《餐饮业油烟污染物排放标准》（DB41/1604-2018）小型规模限值要求（油烟排放浓度≤1.5mg/m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2.5.2.3无组织废气</w:t>
      </w:r>
    </w:p>
    <w:p>
      <w:pPr>
        <w:adjustRightInd w:val="0"/>
        <w:snapToGrid w:val="0"/>
        <w:spacing w:line="360" w:lineRule="auto"/>
        <w:ind w:firstLine="48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1、生产车间无组织废气</w:t>
      </w:r>
    </w:p>
    <w:p>
      <w:pPr>
        <w:adjustRightInd w:val="0"/>
        <w:snapToGrid w:val="0"/>
        <w:spacing w:line="360" w:lineRule="auto"/>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完成冷却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后</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继续保持热裂解反应釜内处于微负压状态，釜内残余的热裂解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大部分能够收集进入冷凝系统，极少量在开炉过程中以无组织形式排放。因此，项目营运期生产车间无组织废气主要是热裂解炉反应釜开炉过程中未能收集的热裂解气和粗碳黑出料、包装及废钢丝打包过程中未能收集的碳黑尘废气。由于热裂解不凝气中HCl、苯并[a]芘、二噁英含量极少，评价不再对其无组织排放进行分析。工程生产车间无组织排放污染物主要为非甲烷总烃、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S、碳黑尘等。</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（1）</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无组织H</w:t>
      </w:r>
      <w:r>
        <w:rPr>
          <w:rFonts w:cs="Times New Roman" w:asciiTheme="minorEastAsia" w:hAnsiTheme="minorEastAsia"/>
          <w:bCs/>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S、非甲烷总烃</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非甲烷总烃及H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无组织排放来源</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主要是开闭裂解炉加料仓仓门时逸出。由于本项目设备密封性好，</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出料及</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投料时裂解仓内保持微负压状态，</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热裂解气</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无组织废气排放量很小。</w:t>
      </w:r>
    </w:p>
    <w:p>
      <w:pPr>
        <w:adjustRightInd w:val="0"/>
        <w:snapToGrid w:val="0"/>
        <w:spacing w:line="360" w:lineRule="auto"/>
        <w:ind w:firstLine="480" w:firstLineChars="20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类比同类废旧轮胎综合利用项目，</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热裂解炉</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开炉</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进、出料</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过程裂解气无组织排放量占总产气量的0.</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‰，即</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0.75</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根据裂解气组成分析表</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非甲烷总烃类物质占裂解气的体积百分比为26%，H</w:t>
      </w:r>
      <w:r>
        <w:rPr>
          <w:rFonts w:cs="Times New Roman" w:asciiTheme="minorEastAsia" w:hAnsiTheme="minorEastAsia"/>
          <w:color w:val="0D0D0D" w:themeColor="text1" w:themeTint="F2"/>
          <w:sz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S约</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占</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38</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。经核算，热裂解炉</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开炉</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进、出料</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过程</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热裂解气所含主要污染物无组织排放量分别为：</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非甲烷总烃0.</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19</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5t/a</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0.0</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03</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排放速率</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分别</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非甲烷总烃0.</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027</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kg/h</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0004k</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g/h</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（2）无组织碳黑尘</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生成的碳黑无研磨造粒工序，出料后直接打包外运。项目采用的封闭式螺旋出渣机与碳黑出料口严密对接，碳黑在出渣过程中被封闭在不锈钢管道中，末端直接与放置在磅秤上的包装袋对接，最大限度地防止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碳黑尘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的外泄散逸。</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同时，工程在热裂解炉出料口、碳黑包装设备和钢丝打包设备上方分别设置集气罩收集处理逸散的碳黑尘；经采取上述措施后，可有效减少车间无组织碳黑尘排放量。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类比</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同类废旧轮胎资源综合利用项目，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热裂解炉碳黑出料及包装、废钢丝打包过程中，碳黑尘产生量约占粗碳黑产量的0.1%，产生的碳黑尘约90%以上可以收集处理以有组织形式排放，约0.01%在车间内以无组织形式排放，</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再经车间阻隔</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及自然沉降</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逸散车间外的碳黑尘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占无组织排放量的40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左右。</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经核算，</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年产碳黑35000t，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碳黑尘产生量约35t/a，收集处理量约31.5t/a，车间内自然沉降量约2.1t/a；则车间外</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无组织</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碳黑尘排放</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1.4</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t/a，</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排放速率为</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0.194</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kg/h。</w:t>
      </w:r>
    </w:p>
    <w:p>
      <w:pPr>
        <w:widowControl/>
        <w:adjustRightInd w:val="0"/>
        <w:snapToGrid w:val="0"/>
        <w:spacing w:line="360" w:lineRule="auto"/>
        <w:ind w:firstLine="482"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kern w:val="0"/>
          <w:sz w:val="24"/>
          <w:szCs w:val="24"/>
          <w:lang w:bidi="ar"/>
          <w14:textFill>
            <w14:solidFill>
              <w14:schemeClr w14:val="tx1">
                <w14:lumMod w14:val="95000"/>
                <w14:lumOff w14:val="5000"/>
              </w14:schemeClr>
            </w14:solidFill>
          </w14:textFill>
        </w:rPr>
        <w:t>2</w:t>
      </w:r>
      <w:r>
        <w:rPr>
          <w:rFonts w:cs="Times New Roman" w:asciiTheme="minorEastAsia" w:hAnsiTheme="minorEastAsia"/>
          <w:b/>
          <w:bCs/>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kern w:val="0"/>
          <w:sz w:val="24"/>
          <w:szCs w:val="24"/>
          <w:lang w:bidi="ar"/>
          <w14:textFill>
            <w14:solidFill>
              <w14:schemeClr w14:val="tx1">
                <w14:lumMod w14:val="95000"/>
                <w14:lumOff w14:val="5000"/>
              </w14:schemeClr>
            </w14:solidFill>
          </w14:textFill>
        </w:rPr>
        <w:t>裂解油储罐区无组织废气</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（1）储罐区基本情况</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本工程裂解气冷凝后回收油品分为重油、轻油；共设置6个100m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裂解油储罐，重油储罐2座，轻油储罐4座。其中重油比较粘稠，难挥发，采用固定顶储罐；轻油较易挥发，采用柱状立式内浮顶储罐；单个储罐设计分别配套1套氮封装置和1套油气回收系统。</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项目回收油品</w:t>
      </w:r>
      <w:r>
        <w:rPr>
          <w:rFonts w:hint="eastAsia" w:asciiTheme="minorEastAsia" w:hAnsiTheme="minorEastAsia"/>
          <w:bCs/>
          <w:color w:val="0D0D0D" w:themeColor="text1" w:themeTint="F2"/>
          <w:sz w:val="24"/>
          <w:szCs w:val="24"/>
          <w14:textFill>
            <w14:solidFill>
              <w14:schemeClr w14:val="tx1">
                <w14:lumMod w14:val="95000"/>
                <w14:lumOff w14:val="5000"/>
              </w14:schemeClr>
            </w14:solidFill>
          </w14:textFill>
        </w:rPr>
        <w:t>45000t/a，</w:t>
      </w:r>
      <w:r>
        <w:rPr>
          <w:rFonts w:asciiTheme="minorEastAsia" w:hAnsiTheme="minorEastAsia"/>
          <w:bCs/>
          <w:color w:val="0D0D0D" w:themeColor="text1" w:themeTint="F2"/>
          <w:sz w:val="24"/>
          <w:szCs w:val="24"/>
          <w14:textFill>
            <w14:solidFill>
              <w14:schemeClr w14:val="tx1">
                <w14:lumMod w14:val="95000"/>
                <w14:lumOff w14:val="5000"/>
              </w14:schemeClr>
            </w14:solidFill>
          </w14:textFill>
        </w:rPr>
        <w:t>密度</w:t>
      </w:r>
      <w:r>
        <w:rPr>
          <w:rFonts w:hint="eastAsia" w:asciiTheme="minorEastAsia" w:hAnsiTheme="minorEastAsia"/>
          <w:bCs/>
          <w:color w:val="0D0D0D" w:themeColor="text1" w:themeTint="F2"/>
          <w:sz w:val="24"/>
          <w:szCs w:val="24"/>
          <w14:textFill>
            <w14:solidFill>
              <w14:schemeClr w14:val="tx1">
                <w14:lumMod w14:val="95000"/>
                <w14:lumOff w14:val="5000"/>
              </w14:schemeClr>
            </w14:solidFill>
          </w14:textFill>
        </w:rPr>
        <w:t>平均约</w:t>
      </w:r>
      <w:r>
        <w:rPr>
          <w:rFonts w:asciiTheme="minorEastAsia" w:hAnsiTheme="minorEastAsia"/>
          <w:bCs/>
          <w:color w:val="0D0D0D" w:themeColor="text1" w:themeTint="F2"/>
          <w:sz w:val="24"/>
          <w:szCs w:val="24"/>
          <w14:textFill>
            <w14:solidFill>
              <w14:schemeClr w14:val="tx1">
                <w14:lumMod w14:val="95000"/>
                <w14:lumOff w14:val="5000"/>
              </w14:schemeClr>
            </w14:solidFill>
          </w14:textFill>
        </w:rPr>
        <w:t>0.929×10</w:t>
      </w:r>
      <w:r>
        <w:rPr>
          <w:rFonts w:asciiTheme="minorEastAsia" w:hAnsiTheme="minorEastAsia"/>
          <w:bCs/>
          <w:color w:val="0D0D0D" w:themeColor="text1" w:themeTint="F2"/>
          <w:sz w:val="24"/>
          <w:szCs w:val="24"/>
          <w:vertAlign w:val="superscript"/>
          <w14:textFill>
            <w14:solidFill>
              <w14:schemeClr w14:val="tx1">
                <w14:lumMod w14:val="95000"/>
                <w14:lumOff w14:val="5000"/>
              </w14:schemeClr>
            </w14:solidFill>
          </w14:textFill>
        </w:rPr>
        <w:t>3</w:t>
      </w:r>
      <w:r>
        <w:rPr>
          <w:rFonts w:asciiTheme="minorEastAsia" w:hAnsiTheme="minorEastAsia"/>
          <w:bCs/>
          <w:color w:val="0D0D0D" w:themeColor="text1" w:themeTint="F2"/>
          <w:sz w:val="24"/>
          <w:szCs w:val="24"/>
          <w14:textFill>
            <w14:solidFill>
              <w14:schemeClr w14:val="tx1">
                <w14:lumMod w14:val="95000"/>
                <w14:lumOff w14:val="5000"/>
              </w14:schemeClr>
            </w14:solidFill>
          </w14:textFill>
        </w:rPr>
        <w:t>kg/m</w:t>
      </w:r>
      <w:r>
        <w:rPr>
          <w:rFonts w:asciiTheme="minorEastAsia" w:hAnsiTheme="minorEastAsia"/>
          <w:bCs/>
          <w:color w:val="0D0D0D" w:themeColor="text1" w:themeTint="F2"/>
          <w:sz w:val="24"/>
          <w:szCs w:val="24"/>
          <w:vertAlign w:val="superscript"/>
          <w14:textFill>
            <w14:solidFill>
              <w14:schemeClr w14:val="tx1">
                <w14:lumMod w14:val="95000"/>
                <w14:lumOff w14:val="5000"/>
              </w14:schemeClr>
            </w14:solidFill>
          </w14:textFill>
        </w:rPr>
        <w:t>3</w:t>
      </w:r>
      <w:r>
        <w:rPr>
          <w:rFonts w:asciiTheme="minorEastAsia" w:hAnsiTheme="minorEastAsia"/>
          <w:bCs/>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bCs/>
          <w:color w:val="0D0D0D" w:themeColor="text1" w:themeTint="F2"/>
          <w:sz w:val="24"/>
          <w:szCs w:val="24"/>
          <w14:textFill>
            <w14:solidFill>
              <w14:schemeClr w14:val="tx1">
                <w14:lumMod w14:val="95000"/>
                <w14:lumOff w14:val="5000"/>
              </w14:schemeClr>
            </w14:solidFill>
          </w14:textFill>
        </w:rPr>
        <w:t>约48400m</w:t>
      </w:r>
      <w:r>
        <w:rPr>
          <w:rFonts w:hint="eastAsia" w:asciiTheme="minorEastAsia" w:hAnsiTheme="minorEastAsia"/>
          <w:bCs/>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bCs/>
          <w:color w:val="0D0D0D" w:themeColor="text1" w:themeTint="F2"/>
          <w:sz w:val="24"/>
          <w:szCs w:val="24"/>
          <w14:textFill>
            <w14:solidFill>
              <w14:schemeClr w14:val="tx1">
                <w14:lumMod w14:val="95000"/>
                <w14:lumOff w14:val="5000"/>
              </w14:schemeClr>
            </w14:solidFill>
          </w14:textFill>
        </w:rPr>
        <w:t>/a，平均产量约为161m</w:t>
      </w:r>
      <w:r>
        <w:rPr>
          <w:rFonts w:hint="eastAsia" w:asciiTheme="minorEastAsia" w:hAnsiTheme="minorEastAsia"/>
          <w:bCs/>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bCs/>
          <w:color w:val="0D0D0D" w:themeColor="text1" w:themeTint="F2"/>
          <w:sz w:val="24"/>
          <w:szCs w:val="24"/>
          <w14:textFill>
            <w14:solidFill>
              <w14:schemeClr w14:val="tx1">
                <w14:lumMod w14:val="95000"/>
                <w14:lumOff w14:val="5000"/>
              </w14:schemeClr>
            </w14:solidFill>
          </w14:textFill>
        </w:rPr>
        <w:t>/d，其中，轻油产生量约110m</w:t>
      </w:r>
      <w:r>
        <w:rPr>
          <w:rFonts w:hint="eastAsia" w:asciiTheme="minorEastAsia" w:hAnsiTheme="minorEastAsia"/>
          <w:bCs/>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bCs/>
          <w:color w:val="0D0D0D" w:themeColor="text1" w:themeTint="F2"/>
          <w:sz w:val="24"/>
          <w:szCs w:val="24"/>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罐区最大贮存量约为480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（容积</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80%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计算），轻油最大储量约320m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。工程设计储罐年运行时间均为300d ，油品周转时间为3d。</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工程储罐设计方案见下表2.5-9。</w:t>
      </w:r>
    </w:p>
    <w:p>
      <w:pPr>
        <w:adjustRightInd w:val="0"/>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表2.5-9    项目储罐区基本情况表</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07"/>
        <w:gridCol w:w="1884"/>
        <w:gridCol w:w="1311"/>
        <w:gridCol w:w="1215"/>
        <w:gridCol w:w="1482"/>
        <w:gridCol w:w="13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2" w:hRule="atLeast"/>
        </w:trPr>
        <w:tc>
          <w:tcPr>
            <w:tcW w:w="1707"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品种</w:t>
            </w:r>
          </w:p>
        </w:tc>
        <w:tc>
          <w:tcPr>
            <w:tcW w:w="1884"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型式</w:t>
            </w:r>
          </w:p>
        </w:tc>
        <w:tc>
          <w:tcPr>
            <w:tcW w:w="1311"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直径（m）</w:t>
            </w:r>
          </w:p>
        </w:tc>
        <w:tc>
          <w:tcPr>
            <w:tcW w:w="1215"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高度</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（m）</w:t>
            </w:r>
          </w:p>
        </w:tc>
        <w:tc>
          <w:tcPr>
            <w:tcW w:w="1482"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容量（m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349"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数量（个）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2" w:hRule="atLeast"/>
        </w:trPr>
        <w:tc>
          <w:tcPr>
            <w:tcW w:w="1707"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重油储罐</w:t>
            </w:r>
          </w:p>
        </w:tc>
        <w:tc>
          <w:tcPr>
            <w:tcW w:w="1884" w:type="dxa"/>
            <w:vAlign w:val="center"/>
          </w:tcPr>
          <w:p>
            <w:pPr>
              <w:snapToGrid w:val="0"/>
              <w:spacing w:line="360" w:lineRule="exact"/>
              <w:ind w:left="-105" w:leftChars="-50" w:right="-105" w:rightChars="-5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地上立式固定顶</w:t>
            </w:r>
          </w:p>
        </w:tc>
        <w:tc>
          <w:tcPr>
            <w:tcW w:w="1311"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4.5</w:t>
            </w:r>
          </w:p>
        </w:tc>
        <w:tc>
          <w:tcPr>
            <w:tcW w:w="1215"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6.5</w:t>
            </w:r>
          </w:p>
        </w:tc>
        <w:tc>
          <w:tcPr>
            <w:tcW w:w="1482"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w:t>
            </w:r>
          </w:p>
        </w:tc>
        <w:tc>
          <w:tcPr>
            <w:tcW w:w="1349"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2" w:hRule="atLeast"/>
        </w:trPr>
        <w:tc>
          <w:tcPr>
            <w:tcW w:w="1707" w:type="dxa"/>
            <w:vAlign w:val="center"/>
          </w:tcPr>
          <w:p>
            <w:pPr>
              <w:snapToGrid w:val="0"/>
              <w:spacing w:line="360" w:lineRule="exact"/>
              <w:ind w:left="-105" w:leftChars="-50" w:right="-105" w:rightChars="-5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轻油储罐</w:t>
            </w:r>
          </w:p>
        </w:tc>
        <w:tc>
          <w:tcPr>
            <w:tcW w:w="1884" w:type="dxa"/>
            <w:vAlign w:val="center"/>
          </w:tcPr>
          <w:p>
            <w:pPr>
              <w:snapToGrid w:val="0"/>
              <w:spacing w:line="360" w:lineRule="exact"/>
              <w:ind w:left="-105" w:leftChars="-50" w:right="-105" w:rightChars="-5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地上立式内浮顶</w:t>
            </w:r>
          </w:p>
        </w:tc>
        <w:tc>
          <w:tcPr>
            <w:tcW w:w="1311"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4.5</w:t>
            </w:r>
          </w:p>
        </w:tc>
        <w:tc>
          <w:tcPr>
            <w:tcW w:w="1215"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6.5</w:t>
            </w:r>
          </w:p>
        </w:tc>
        <w:tc>
          <w:tcPr>
            <w:tcW w:w="1482"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w:t>
            </w:r>
          </w:p>
        </w:tc>
        <w:tc>
          <w:tcPr>
            <w:tcW w:w="1349" w:type="dxa"/>
            <w:vAlign w:val="center"/>
          </w:tcPr>
          <w:p>
            <w:pPr>
              <w:snapToGrid w:val="0"/>
              <w:spacing w:line="360" w:lineRule="exac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4</w:t>
            </w:r>
          </w:p>
        </w:tc>
      </w:tr>
    </w:tbl>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（2）储罐区无组织废气产排情况</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工程储罐区无组织废气主要为储罐大小呼吸排气。</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储罐大呼吸排放是由于人为的装料与卸料（即在装车时）而产生的，使液位升高及车间使用物料使液位下降时会产生蒸发损耗，即“大呼吸”损耗；储罐静贮存时，由于外界大气温度昼夜变化而蒸汽的膨胀和收缩而产生的蒸汽排除，它出现在罐内液面无任何变化的情况，是非人为干扰的自然排放方式，即“小呼吸”损耗。</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设计储油罐油品出料装车采用平衡鹤管，罐车出气口与储罐排气口密闭链接，可减少大呼吸排放量；车间产出油品通过油泵及密闭管道输送至储罐，因此，车间收集、输送油品装置挥发废气量很小，且难以具体量化计算，可不予考虑。同时，因重油粘稠，难挥发，本次评价主要考虑轻油的大小呼吸。</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储油罐大、小呼吸挥发的油品采用中石化系统公式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(SHJ)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进行计算。 </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①</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储罐大呼吸损失 </w:t>
      </w:r>
    </w:p>
    <w:p>
      <w:pPr>
        <w:widowControl/>
        <w:adjustRightInd w:val="0"/>
        <w:snapToGrid w:val="0"/>
        <w:spacing w:after="156" w:afterLines="50"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L</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DW</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=4.35×10</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×P×V</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L</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×V×K</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E</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式中：</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L</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DW</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浮顶罐年大呼吸蒸发损耗量，</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kg/a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P—</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储罐内平均温度下液体的真实蒸气压，取</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5.898kPa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V</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L</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泵送液体入罐量，</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；项目轻油33000m</w:t>
      </w:r>
      <w:r>
        <w:rPr>
          <w:rFonts w:hint="eastAsia" w:cs="宋体"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V—</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储存油品的平均重度，</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；项目取值0.929；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周转系数，次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/a</w:t>
      </w:r>
      <w:r>
        <w:rPr>
          <w:rFonts w:hint="eastAsia" w:cs="宋体" w:asciiTheme="minorEastAsia" w:hAnsiTheme="minorEastAsia"/>
          <w:color w:val="0D0D0D" w:themeColor="text1" w:themeTint="F2"/>
          <w:kern w:val="0"/>
          <w:sz w:val="20"/>
          <w:szCs w:val="20"/>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项目取值</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600；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E</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油品系数，系数，取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E</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经计算，项目4座轻油储罐大呼吸排放约量</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0.034</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②</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储罐小呼吸损失 </w:t>
      </w:r>
    </w:p>
    <w:p>
      <w:pPr>
        <w:widowControl/>
        <w:adjustRightInd w:val="0"/>
        <w:snapToGrid w:val="0"/>
        <w:spacing w:line="360" w:lineRule="auto"/>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drawing>
          <wp:inline distT="0" distB="0" distL="0" distR="0">
            <wp:extent cx="3623310" cy="466090"/>
            <wp:effectExtent l="0" t="0" r="15240"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1">
                      <a:lum bright="-6000" contrast="12000"/>
                      <a:extLst>
                        <a:ext uri="{28A0092B-C50C-407E-A947-70E740481C1C}">
                          <a14:useLocalDpi xmlns:a14="http://schemas.microsoft.com/office/drawing/2010/main" val="0"/>
                        </a:ext>
                      </a:extLst>
                    </a:blip>
                    <a:srcRect/>
                    <a:stretch>
                      <a:fillRect/>
                    </a:stretch>
                  </pic:blipFill>
                  <pic:spPr>
                    <a:xfrm>
                      <a:off x="0" y="0"/>
                      <a:ext cx="3623310" cy="466090"/>
                    </a:xfrm>
                    <a:prstGeom prst="rect">
                      <a:avLst/>
                    </a:prstGeom>
                    <a:noFill/>
                    <a:ln>
                      <a:noFill/>
                    </a:ln>
                    <a:effectLst/>
                  </pic:spPr>
                </pic:pic>
              </a:graphicData>
            </a:graphic>
          </wp:inline>
        </w:drawing>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式中：</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L</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B</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储罐的呼吸排放量（</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kg/a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储罐内蒸气的分子量，取</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150</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P—</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在大量液体状态下，真实的蒸气压力（</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5898Pa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罐的直径（</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）；4.5</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平均蒸气空间高度（</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0.15m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一天之内的平均温度差（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20</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F</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P</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涂层因子（无量纲），根据油漆状况取值在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1~1.5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之间，取</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1.02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C—</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用于小直径罐的调节因子（无量纲），对于直径在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0~9m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之间的罐体，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C=1-0.0123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D-9</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2</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，罐径大于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9m</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C=1</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C</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产品因子（石油原油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K</w:t>
      </w:r>
      <w:r>
        <w:rPr>
          <w:rFonts w:cs="Times New Roman" w:asciiTheme="minorEastAsia" w:hAnsiTheme="minorEastAsia"/>
          <w:color w:val="0D0D0D" w:themeColor="text1" w:themeTint="F2"/>
          <w:kern w:val="0"/>
          <w:sz w:val="15"/>
          <w:szCs w:val="15"/>
          <w:lang w:bidi="ar"/>
          <w14:textFill>
            <w14:solidFill>
              <w14:schemeClr w14:val="tx1">
                <w14:lumMod w14:val="95000"/>
                <w14:lumOff w14:val="5000"/>
              </w14:schemeClr>
            </w14:solidFill>
          </w14:textFill>
        </w:rPr>
        <w:t xml:space="preserve">C </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取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0.65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，其他的有机液体取</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1.0</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η</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内浮顶储罐取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0.05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，拱顶罐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1200" w:firstLineChars="5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η</w:t>
      </w:r>
      <w:r>
        <w:rPr>
          <w:rFonts w:cs="Times New Roman" w:asciiTheme="minorEastAsia" w:hAnsiTheme="minorEastAsia"/>
          <w:color w:val="0D0D0D" w:themeColor="text1" w:themeTint="F2"/>
          <w:kern w:val="0"/>
          <w:sz w:val="15"/>
          <w:szCs w:val="15"/>
          <w:vertAlign w:val="subscript"/>
          <w:lang w:bidi="ar"/>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设置呼吸阀取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0.7</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，不设呼吸阀取 </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经计算，项目4座轻油储罐储罐小呼吸排放量约为 </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3.158</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综上计算结果，工程营运期储罐区在不采取任何措施情况下，储罐呼吸排放量约3.192t/a，经</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采用平衡鹤管装车，储罐配套氮封装置及油气回收系统，可减少呼吸废气排放量约90%左右；则储油罐区无组织废气排放量为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19</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t/a</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排放速率为</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0443</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kg/h</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p>
    <w:p>
      <w:pPr>
        <w:widowControl/>
        <w:adjustRightInd w:val="0"/>
        <w:snapToGrid w:val="0"/>
        <w:spacing w:line="360" w:lineRule="auto"/>
        <w:ind w:firstLine="600" w:firstLineChars="250"/>
        <w:jc w:val="left"/>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（3）成品库无组织废气产排情况</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项目包装后的粗碳黑产品和打包后的废钢丝暂存产品库，在储存、转移、装车外售过程中会产生少量碳黑尘。类比同类工程，产品库无组织碳黑尘排放量约为0.175t/a，排放源强约0.024kg/h。</w:t>
      </w: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sectPr>
          <w:pgSz w:w="11906" w:h="16838"/>
          <w:pgMar w:top="1440" w:right="1800" w:bottom="1440" w:left="1800" w:header="851" w:footer="992" w:gutter="0"/>
          <w:cols w:space="425" w:num="1"/>
          <w:docGrid w:type="lines" w:linePitch="312" w:charSpace="0"/>
        </w:sect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终上所述，工程营运期废气产排情况见下表2.5-10。</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表2.5-10  工程营运期废气污染物产、排情况汇总表</w:t>
      </w:r>
    </w:p>
    <w:tbl>
      <w:tblPr>
        <w:tblStyle w:val="27"/>
        <w:tblW w:w="152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58"/>
        <w:gridCol w:w="850"/>
        <w:gridCol w:w="992"/>
        <w:gridCol w:w="993"/>
        <w:gridCol w:w="992"/>
        <w:gridCol w:w="850"/>
        <w:gridCol w:w="993"/>
        <w:gridCol w:w="850"/>
        <w:gridCol w:w="992"/>
        <w:gridCol w:w="993"/>
        <w:gridCol w:w="992"/>
        <w:gridCol w:w="912"/>
        <w:gridCol w:w="910"/>
        <w:gridCol w:w="635"/>
        <w:gridCol w:w="803"/>
        <w:gridCol w:w="690"/>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814" w:hRule="atLeast"/>
          <w:jc w:val="center"/>
        </w:trPr>
        <w:tc>
          <w:tcPr>
            <w:tcW w:w="1058" w:type="dxa"/>
            <w:vMerge w:val="restart"/>
            <w:vAlign w:val="center"/>
          </w:tcPr>
          <w:p>
            <w:pPr>
              <w:adjustRightInd w:val="0"/>
              <w:snapToGrid w:val="0"/>
              <w:spacing w:line="240" w:lineRule="atLeast"/>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污染源</w:t>
            </w:r>
          </w:p>
        </w:tc>
        <w:tc>
          <w:tcPr>
            <w:tcW w:w="850" w:type="dxa"/>
            <w:vMerge w:val="restart"/>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废气量</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/h)</w:t>
            </w:r>
          </w:p>
        </w:tc>
        <w:tc>
          <w:tcPr>
            <w:tcW w:w="992" w:type="dxa"/>
            <w:vMerge w:val="restart"/>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污染物类别</w:t>
            </w:r>
          </w:p>
        </w:tc>
        <w:tc>
          <w:tcPr>
            <w:tcW w:w="2835" w:type="dxa"/>
            <w:gridSpan w:val="3"/>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污染物产生状况</w:t>
            </w:r>
          </w:p>
        </w:tc>
        <w:tc>
          <w:tcPr>
            <w:tcW w:w="993" w:type="dxa"/>
            <w:vMerge w:val="restart"/>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治理</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措施</w:t>
            </w:r>
          </w:p>
        </w:tc>
        <w:tc>
          <w:tcPr>
            <w:tcW w:w="850" w:type="dxa"/>
            <w:vMerge w:val="restart"/>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去除率</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2977" w:type="dxa"/>
            <w:gridSpan w:val="3"/>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污染物排放状况</w:t>
            </w:r>
          </w:p>
        </w:tc>
        <w:tc>
          <w:tcPr>
            <w:tcW w:w="1822" w:type="dxa"/>
            <w:gridSpan w:val="2"/>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排放标准</w:t>
            </w:r>
          </w:p>
        </w:tc>
        <w:tc>
          <w:tcPr>
            <w:tcW w:w="2128" w:type="dxa"/>
            <w:gridSpan w:val="3"/>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排放参数</w:t>
            </w:r>
          </w:p>
        </w:tc>
        <w:tc>
          <w:tcPr>
            <w:tcW w:w="716" w:type="dxa"/>
            <w:vMerge w:val="restart"/>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时间（h/a）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76" w:hRule="atLeast"/>
          <w:jc w:val="center"/>
        </w:trPr>
        <w:tc>
          <w:tcPr>
            <w:tcW w:w="1058" w:type="dxa"/>
            <w:vMerge w:val="continue"/>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93"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产生量</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t</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/a)</w:t>
            </w:r>
          </w:p>
        </w:tc>
        <w:tc>
          <w:tcPr>
            <w:tcW w:w="992"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速率</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850"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浓度（mg/m</w:t>
            </w:r>
            <w:r>
              <w:rPr>
                <w:rFonts w:hint="eastAsia"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993" w:type="dxa"/>
            <w:vMerge w:val="continue"/>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浓度</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(mg/m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993"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速率</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992"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排放量</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t</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/a)</w:t>
            </w:r>
          </w:p>
        </w:tc>
        <w:tc>
          <w:tcPr>
            <w:tcW w:w="912"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浓度</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(mg/m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910"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速率</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635"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高度</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803"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排气筒内径(m)</w:t>
            </w:r>
          </w:p>
        </w:tc>
        <w:tc>
          <w:tcPr>
            <w:tcW w:w="690" w:type="dxa"/>
            <w:vAlign w:val="center"/>
          </w:tcPr>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温度</w:t>
            </w:r>
          </w:p>
          <w:p>
            <w:pPr>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50" w:hRule="atLeast"/>
          <w:jc w:val="center"/>
        </w:trPr>
        <w:tc>
          <w:tcPr>
            <w:tcW w:w="1058"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燃烧废气处理系统</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（等效排气筒1#）</w:t>
            </w:r>
          </w:p>
        </w:tc>
        <w:tc>
          <w:tcPr>
            <w:tcW w:w="850"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20000</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20.71</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2.876</w:t>
            </w:r>
          </w:p>
        </w:tc>
        <w:tc>
          <w:tcPr>
            <w:tcW w:w="850"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143.8</w:t>
            </w:r>
          </w:p>
        </w:tc>
        <w:tc>
          <w:tcPr>
            <w:tcW w:w="993"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SCR脱硝反应器+二级雾化喷淋脱硫塔+除雾器+袋式除尘器+UV光解一体机+活性炭吸附装置+20m排气筒</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7.19</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0.144</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1.036</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9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w:t>
            </w:r>
          </w:p>
        </w:tc>
        <w:tc>
          <w:tcPr>
            <w:tcW w:w="635"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803"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0.85</w:t>
            </w:r>
          </w:p>
        </w:tc>
        <w:tc>
          <w:tcPr>
            <w:tcW w:w="690"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716"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16" w:hRule="atLeast"/>
          <w:jc w:val="center"/>
        </w:trPr>
        <w:tc>
          <w:tcPr>
            <w:tcW w:w="1058"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39.981</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5.553</w:t>
            </w:r>
          </w:p>
        </w:tc>
        <w:tc>
          <w:tcPr>
            <w:tcW w:w="850"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277.65</w:t>
            </w:r>
          </w:p>
        </w:tc>
        <w:tc>
          <w:tcPr>
            <w:tcW w:w="99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27.77</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w:t>
            </w:r>
          </w:p>
        </w:tc>
        <w:tc>
          <w:tcPr>
            <w:tcW w:w="9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w:t>
            </w:r>
          </w:p>
        </w:tc>
        <w:tc>
          <w:tcPr>
            <w:tcW w:w="635"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08" w:hRule="atLeast"/>
          <w:jc w:val="center"/>
        </w:trPr>
        <w:tc>
          <w:tcPr>
            <w:tcW w:w="1058"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19.797</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850"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137.5</w:t>
            </w:r>
          </w:p>
        </w:tc>
        <w:tc>
          <w:tcPr>
            <w:tcW w:w="99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3.96</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9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w:t>
            </w:r>
          </w:p>
        </w:tc>
        <w:tc>
          <w:tcPr>
            <w:tcW w:w="635"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8" w:hRule="atLeast"/>
          <w:jc w:val="center"/>
        </w:trPr>
        <w:tc>
          <w:tcPr>
            <w:tcW w:w="1058"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0.213</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c>
          <w:tcPr>
            <w:tcW w:w="850"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99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0.006</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0.043</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9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0.33</w:t>
            </w:r>
          </w:p>
        </w:tc>
        <w:tc>
          <w:tcPr>
            <w:tcW w:w="635"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06" w:hRule="atLeast"/>
          <w:jc w:val="center"/>
        </w:trPr>
        <w:tc>
          <w:tcPr>
            <w:tcW w:w="1058"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3</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1.44</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p>
        </w:tc>
        <w:tc>
          <w:tcPr>
            <w:tcW w:w="850"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99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0.72</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w:t>
            </w:r>
          </w:p>
        </w:tc>
        <w:tc>
          <w:tcPr>
            <w:tcW w:w="9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w:t>
            </w:r>
          </w:p>
        </w:tc>
        <w:tc>
          <w:tcPr>
            <w:tcW w:w="635"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6" w:hRule="atLeast"/>
          <w:jc w:val="center"/>
        </w:trPr>
        <w:tc>
          <w:tcPr>
            <w:tcW w:w="1058"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1.04</w:t>
            </w:r>
          </w:p>
        </w:tc>
        <w:tc>
          <w:tcPr>
            <w:tcW w:w="850"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w:t>
            </w:r>
          </w:p>
        </w:tc>
        <w:tc>
          <w:tcPr>
            <w:tcW w:w="99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0.104</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0.75</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w:t>
            </w:r>
          </w:p>
        </w:tc>
        <w:tc>
          <w:tcPr>
            <w:tcW w:w="9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w:t>
            </w:r>
          </w:p>
        </w:tc>
        <w:tc>
          <w:tcPr>
            <w:tcW w:w="635"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18" w:hRule="atLeast"/>
          <w:jc w:val="center"/>
        </w:trPr>
        <w:tc>
          <w:tcPr>
            <w:tcW w:w="1058"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1.0×10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-4</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1.4×10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-5</w:t>
            </w:r>
          </w:p>
        </w:tc>
        <w:tc>
          <w:tcPr>
            <w:tcW w:w="850"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p>
        </w:tc>
        <w:tc>
          <w:tcPr>
            <w:tcW w:w="99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w:t>
            </w:r>
          </w:p>
        </w:tc>
        <w:tc>
          <w:tcPr>
            <w:tcW w:w="992"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4</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p>
        </w:tc>
        <w:tc>
          <w:tcPr>
            <w:tcW w:w="9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8.5</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4</w:t>
            </w:r>
          </w:p>
        </w:tc>
        <w:tc>
          <w:tcPr>
            <w:tcW w:w="635"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76" w:hRule="atLeast"/>
          <w:jc w:val="center"/>
        </w:trPr>
        <w:tc>
          <w:tcPr>
            <w:tcW w:w="1058"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车间碳黑尘处理系统</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（2#、3#排气筒）</w:t>
            </w:r>
          </w:p>
        </w:tc>
        <w:tc>
          <w:tcPr>
            <w:tcW w:w="85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5000</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15.75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2.19</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438</w:t>
            </w:r>
          </w:p>
        </w:tc>
        <w:tc>
          <w:tcPr>
            <w:tcW w:w="993"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袋除尘器+15m排气筒</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99</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4.38</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0.022</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0.158</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0.51</w:t>
            </w:r>
          </w:p>
        </w:tc>
        <w:tc>
          <w:tcPr>
            <w:tcW w:w="635"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803"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690"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716"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11" w:hRule="atLeast"/>
          <w:jc w:val="center"/>
        </w:trPr>
        <w:tc>
          <w:tcPr>
            <w:tcW w:w="1058"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5000</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15.75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2.19</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438</w:t>
            </w:r>
          </w:p>
        </w:tc>
        <w:tc>
          <w:tcPr>
            <w:tcW w:w="99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99</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4.38</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0.022</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0.158</w:t>
            </w:r>
          </w:p>
        </w:tc>
        <w:tc>
          <w:tcPr>
            <w:tcW w:w="91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0.51</w:t>
            </w:r>
          </w:p>
        </w:tc>
        <w:tc>
          <w:tcPr>
            <w:tcW w:w="635"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0"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24" w:hRule="atLeast"/>
          <w:jc w:val="center"/>
        </w:trPr>
        <w:tc>
          <w:tcPr>
            <w:tcW w:w="1058"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职工食堂</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（4#排气筒）</w:t>
            </w:r>
          </w:p>
        </w:tc>
        <w:tc>
          <w:tcPr>
            <w:tcW w:w="85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3000</w:t>
            </w:r>
          </w:p>
        </w:tc>
        <w:tc>
          <w:tcPr>
            <w:tcW w:w="99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油烟</w:t>
            </w:r>
          </w:p>
        </w:tc>
        <w:tc>
          <w:tcPr>
            <w:tcW w:w="993"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0.0108</w:t>
            </w: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0.009</w:t>
            </w:r>
          </w:p>
        </w:tc>
        <w:tc>
          <w:tcPr>
            <w:tcW w:w="850"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3.0</w:t>
            </w:r>
          </w:p>
        </w:tc>
        <w:tc>
          <w:tcPr>
            <w:tcW w:w="993"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油烟净化器</w:t>
            </w:r>
          </w:p>
        </w:tc>
        <w:tc>
          <w:tcPr>
            <w:tcW w:w="85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＞90</w:t>
            </w: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0.3</w:t>
            </w:r>
          </w:p>
        </w:tc>
        <w:tc>
          <w:tcPr>
            <w:tcW w:w="993"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0.0009</w:t>
            </w: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0.001</w:t>
            </w:r>
          </w:p>
        </w:tc>
        <w:tc>
          <w:tcPr>
            <w:tcW w:w="91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635"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803"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0.3</w:t>
            </w:r>
          </w:p>
        </w:tc>
        <w:tc>
          <w:tcPr>
            <w:tcW w:w="69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716"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16" w:hRule="atLeast"/>
          <w:jc w:val="center"/>
        </w:trPr>
        <w:tc>
          <w:tcPr>
            <w:tcW w:w="1908" w:type="dxa"/>
            <w:gridSpan w:val="2"/>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热裂解生产车间</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(1#面源)</w:t>
            </w:r>
          </w:p>
        </w:tc>
        <w:tc>
          <w:tcPr>
            <w:tcW w:w="99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0.486</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843" w:type="dxa"/>
            <w:gridSpan w:val="2"/>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密闭收料设备、设置集气罩集气处理及车间自然沉降等</w:t>
            </w: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60</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0.194</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w:t>
            </w:r>
          </w:p>
        </w:tc>
        <w:tc>
          <w:tcPr>
            <w:tcW w:w="91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肉眼看不见</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128" w:type="dxa"/>
            <w:gridSpan w:val="3"/>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面源长度150m，宽度40m，高度7m</w:t>
            </w:r>
          </w:p>
        </w:tc>
        <w:tc>
          <w:tcPr>
            <w:tcW w:w="716" w:type="dxa"/>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16" w:hRule="atLeast"/>
          <w:jc w:val="center"/>
        </w:trPr>
        <w:tc>
          <w:tcPr>
            <w:tcW w:w="1908" w:type="dxa"/>
            <w:gridSpan w:val="2"/>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0.195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0.027</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843" w:type="dxa"/>
            <w:gridSpan w:val="2"/>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0.027</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0.195</w:t>
            </w:r>
          </w:p>
        </w:tc>
        <w:tc>
          <w:tcPr>
            <w:tcW w:w="91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厂界2.0</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128" w:type="dxa"/>
            <w:gridSpan w:val="3"/>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2" w:hRule="atLeast"/>
          <w:jc w:val="center"/>
        </w:trPr>
        <w:tc>
          <w:tcPr>
            <w:tcW w:w="1908" w:type="dxa"/>
            <w:gridSpan w:val="2"/>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0.003</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0.0004</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843" w:type="dxa"/>
            <w:gridSpan w:val="2"/>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0.0004</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0.003</w:t>
            </w:r>
          </w:p>
        </w:tc>
        <w:tc>
          <w:tcPr>
            <w:tcW w:w="91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厂界0.06</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128" w:type="dxa"/>
            <w:gridSpan w:val="3"/>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56" w:hRule="atLeast"/>
          <w:jc w:val="center"/>
        </w:trPr>
        <w:tc>
          <w:tcPr>
            <w:tcW w:w="1908" w:type="dxa"/>
            <w:gridSpan w:val="2"/>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产品库（2#面源）</w:t>
            </w:r>
          </w:p>
        </w:tc>
        <w:tc>
          <w:tcPr>
            <w:tcW w:w="99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0.175</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0.024</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843" w:type="dxa"/>
            <w:gridSpan w:val="2"/>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产品袋装储存、库内装卸料等</w:t>
            </w: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0.024</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0.175</w:t>
            </w:r>
          </w:p>
        </w:tc>
        <w:tc>
          <w:tcPr>
            <w:tcW w:w="91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肉眼看不见</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128" w:type="dxa"/>
            <w:gridSpan w:val="3"/>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面源长度40m，宽度25m，高度4.5m</w:t>
            </w: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56" w:hRule="atLeast"/>
          <w:jc w:val="center"/>
        </w:trPr>
        <w:tc>
          <w:tcPr>
            <w:tcW w:w="1908" w:type="dxa"/>
            <w:gridSpan w:val="2"/>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裂解油储罐区</w:t>
            </w:r>
          </w:p>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（3#面源）</w:t>
            </w:r>
          </w:p>
        </w:tc>
        <w:tc>
          <w:tcPr>
            <w:tcW w:w="99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3.192</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0.443</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843" w:type="dxa"/>
            <w:gridSpan w:val="2"/>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平衡鹤管装车、储罐配套氮封装置及油气回收系统等</w:t>
            </w:r>
          </w:p>
        </w:tc>
        <w:tc>
          <w:tcPr>
            <w:tcW w:w="992" w:type="dxa"/>
            <w:vAlign w:val="center"/>
          </w:tcPr>
          <w:p>
            <w:pPr>
              <w:widowControl/>
              <w:jc w:val="center"/>
              <w:textAlignment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90</w:t>
            </w:r>
          </w:p>
        </w:tc>
        <w:tc>
          <w:tcPr>
            <w:tcW w:w="9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0.0443</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0.319</w:t>
            </w:r>
          </w:p>
        </w:tc>
        <w:tc>
          <w:tcPr>
            <w:tcW w:w="912"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厂界2.0</w:t>
            </w:r>
          </w:p>
        </w:tc>
        <w:tc>
          <w:tcPr>
            <w:tcW w:w="910" w:type="dxa"/>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128" w:type="dxa"/>
            <w:gridSpan w:val="3"/>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面源长度25m，宽度20m，高度6.5m</w:t>
            </w:r>
          </w:p>
        </w:tc>
        <w:tc>
          <w:tcPr>
            <w:tcW w:w="716" w:type="dxa"/>
            <w:vMerge w:val="continue"/>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bl>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widowControl/>
        <w:adjustRightInd w:val="0"/>
        <w:snapToGrid w:val="0"/>
        <w:spacing w:line="360" w:lineRule="auto"/>
        <w:ind w:firstLine="480" w:firstLineChars="200"/>
        <w:jc w:val="left"/>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2.5.3 噪声污染源及污染防治措施</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本项目营运期噪声主要来自进料机、送风机、出渣机、引风机、包装机、循环泵、减速机及变频电机等机械设备运行。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针对本项目噪声源特点，拟采取的治理措施有：</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（1）所有产噪设备均采用室内设置，利用墙体隔声减小噪声对外环境的影响；</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（2）选型上使用国内先进的低噪声设备，安装时采取台基减振、橡胶减震接头及减震垫等措施；</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（3）对声源设备所在位置，在不影响工艺流程、生产操作的前提下，尽可能安装消声器等。</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（4）对各类风机、循环水泵等高噪设备基础设橡胶减振垫，管道进出口加柔性软连接，以减振降噪。</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本项目通过</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上述</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降噪措施后，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噪声排放源强可降低10-20</w:t>
      </w:r>
      <w:r>
        <w:rPr>
          <w:rFonts w:hint="eastAsia" w:asciiTheme="minorEastAsia" w:hAnsiTheme="minorEastAsia"/>
          <w:color w:val="0D0D0D" w:themeColor="text1" w:themeTint="F2"/>
          <w14:textFill>
            <w14:solidFill>
              <w14:schemeClr w14:val="tx1">
                <w14:lumMod w14:val="95000"/>
                <w14:lumOff w14:val="5000"/>
              </w14:schemeClr>
            </w14:solidFill>
          </w14:textFill>
        </w:rPr>
        <w:t xml:space="preserve">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dB（A）；预计</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项目厂界噪声可达到《工业企业厂界环境噪声排放标准》（GB12348-2008）中3类标准限值要求。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项目主要设备噪声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产排</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源强见表2.5-</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11</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11</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项目设备噪声</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产、排</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源强一览表</w:t>
      </w:r>
    </w:p>
    <w:tbl>
      <w:tblPr>
        <w:tblStyle w:val="27"/>
        <w:tblW w:w="8331"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713"/>
        <w:gridCol w:w="2089"/>
        <w:gridCol w:w="1984"/>
        <w:gridCol w:w="2126"/>
        <w:gridCol w:w="141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序号</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设备</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产生</w:t>
            </w: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源强dB（A）</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排放</w:t>
            </w: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源强dB（A）</w:t>
            </w:r>
          </w:p>
        </w:tc>
        <w:tc>
          <w:tcPr>
            <w:tcW w:w="141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1</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进料机</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75</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65</w:t>
            </w:r>
          </w:p>
        </w:tc>
        <w:tc>
          <w:tcPr>
            <w:tcW w:w="1419" w:type="dxa"/>
            <w:vMerge w:val="restart"/>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连续运行</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2</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送风机</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80</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65</w:t>
            </w:r>
          </w:p>
        </w:tc>
        <w:tc>
          <w:tcPr>
            <w:tcW w:w="1419"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3</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出渣机</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75</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65</w:t>
            </w:r>
          </w:p>
        </w:tc>
        <w:tc>
          <w:tcPr>
            <w:tcW w:w="1419"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4</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引风机</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80</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65</w:t>
            </w:r>
          </w:p>
        </w:tc>
        <w:tc>
          <w:tcPr>
            <w:tcW w:w="1419"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5</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包装机</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70</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60</w:t>
            </w:r>
          </w:p>
        </w:tc>
        <w:tc>
          <w:tcPr>
            <w:tcW w:w="1419"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6</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循环泵</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72</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62</w:t>
            </w:r>
          </w:p>
        </w:tc>
        <w:tc>
          <w:tcPr>
            <w:tcW w:w="1419"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7</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减速机</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70</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60</w:t>
            </w:r>
          </w:p>
        </w:tc>
        <w:tc>
          <w:tcPr>
            <w:tcW w:w="1419"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8</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电机</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70</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60</w:t>
            </w:r>
          </w:p>
        </w:tc>
        <w:tc>
          <w:tcPr>
            <w:tcW w:w="1419" w:type="dxa"/>
            <w:vMerge w:val="continue"/>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9</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叉车</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90</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70</w:t>
            </w:r>
          </w:p>
        </w:tc>
        <w:tc>
          <w:tcPr>
            <w:tcW w:w="141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间歇运行</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713"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10</w:t>
            </w:r>
          </w:p>
        </w:tc>
        <w:tc>
          <w:tcPr>
            <w:tcW w:w="208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冷却塔</w:t>
            </w:r>
          </w:p>
        </w:tc>
        <w:tc>
          <w:tcPr>
            <w:tcW w:w="198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85</w:t>
            </w:r>
          </w:p>
        </w:tc>
        <w:tc>
          <w:tcPr>
            <w:tcW w:w="212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75</w:t>
            </w:r>
          </w:p>
        </w:tc>
        <w:tc>
          <w:tcPr>
            <w:tcW w:w="1419"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连续运行</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2.5.4 固废污染源及污染防治措施</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为废轮胎资源化处置项工程，废轮胎经热裂解处理后，回收的燃料油、废钢丝、粗碳黑均作为产品外售，按照《固体废物鉴别通则》（GB34330-2017）的相关规定，项目原料、目标产物可不作为废物统计。</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运行过程中产生的固体废物</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主要</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有：</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燃烧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废气处理系统产生固废（</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废脱硝催化剂</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、脱硫泥渣、废紫外灯管、废活性炭）、</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脉冲除尘及车间吸尘器收集粉尘、储油罐</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油泥渣</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、水封罐底泥</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、隔油池浮渣、一体化污水处理设施污泥</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和职工生活垃圾。</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按照废物分类，一般固废为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脱硫泥渣</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、脉冲除尘及车间吸尘器收集粉尘、污泥、生活垃圾等；其他固废均为危险废物。</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1、一般固废及处置措施</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脱硫泥渣</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根据项目废气处理系统处理废气情况，预计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脱硫</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除尘</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泥渣产生量约</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主要含有粗碳黑、硫酸钙、亚硫酸钙、氯化钠及少量硫酸钠、亚硫酸钠、亚硫酸氢钠等无机盐，对照《国家危险废物名录》，该类废物不在列出的危险废物之列。类比同类工程，该类废物收集后，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可</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外售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作为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新型建材企业作为烧结砖生产原料资源化利用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同时，考虑本项目的特殊性，评价要求项目投产后，对该类废物按照《危险废物鉴别技术规范》（HJ/T298-2007）及GB5085.1-GB5085-6《危险废物鉴别标准》规定的危险废物鉴别标准和鉴别方法予以认定。经鉴别属于危险废物，应按照危险废物管理要求，交有资质单位处理。</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（2）袋除尘器及车间吸尘器收集粉尘</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项目营运期袋除尘器及车间吸尘器收集粉尘量约35t/a，主要成分为粗碳黑，可全部作为产品出售。</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（3）污泥</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项目一体化污水处理设施各处理池产生沉淀污泥经板框压滤机脱水后，污泥产生量约25.0t/a（含水率60%以下），收集后转运垃圾填埋场处理。</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）项目劳动定员20人，在厂区食宿，生活垃圾按人均1kg/d计，年生产天数300天，则生活垃圾产生量为6.0t/a。生活垃圾采用垃圾桶分类收集后交由园区环卫部门统一处理，送入西平县生活垃圾填埋场处置。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2、危险废物及处置措施</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（1）废脱硝催化剂</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项目SCR脱硝反应器</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脱硝催化剂平均每</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年更换一次，废催化剂产生量约</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9.0t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次，折合</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3.0</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主要含有钛、钒系化合物；</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属于危险废物，类别</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HW50</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，代码</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772-007-50</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；防渗包装袋收集后暂存危废库，定期委托有资质单位处置。</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废活性炭</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项目营运期UV光解一体机+活性炭吸附装置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定期更换吸附</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饱和的活性炭</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，产生废活性炭属危险废物，</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类别额HW49，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废物代码为：900-039-49。根据活性炭吸附平衡，一般每1t活性炭吸附废气量约为0.3t，经核算，本项目废活性炭</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吸附废气污染物总量约4.2t/a，则废活性炭产生量约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18.2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防渗包装袋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收集后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暂存于危废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库</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，定期交于有危险废物处置资质单位进行处置，并做好台账记录。</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（3）废紫外灯管</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sz w:val="24"/>
          <w:szCs w:val="24"/>
          <w:shd w:val="clear" w:color="auto" w:fill="FFFFFF"/>
          <w14:textFill>
            <w14:solidFill>
              <w14:schemeClr w14:val="tx1">
                <w14:lumMod w14:val="95000"/>
                <w14:lumOff w14:val="5000"/>
              </w14:schemeClr>
            </w14:solidFill>
          </w14:textFill>
        </w:rPr>
        <w:t>除雾器+袋式除尘器运行过程中，需定期更换故障紫外灯管，换下的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废紫外灯管</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含有汞，</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属危险废物，</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类别HW29，</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废物代码为：900-023-29。根据类比调查，</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项目营运期紫外灯管约6个月更换一次，</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废紫外灯管产生量约为0.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t/a，收集后暂存于危废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库</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，定期交于有危险废物处置资质单位进行处置，并做好台账记录。</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（4）废油泥渣</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储油罐区设置6个容积为100m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储油罐，回收油品定期外卖，由于回收油为废旧轮胎热解的直接产物，未经过精制，含有一定的杂质，储油罐内会存在少量的废油泥渣，根据设计单位提供资料，废油泥渣的产量为总油量的1‰，项目年产燃料油45000吨，则废油泥渣的产生量为45t/a。储油罐内的废油泥渣定期清理，三个月清理1次，一年清理4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根据《国家危险废物名录》（2016年），</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废油泥渣属于危险废物，类</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别为HW08废矿物油与含矿物油废物，废物代码为900-210-08</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；评价建议废油泥渣利用防渗包装桶收集，暂存危废库，定期委托有危废资质单位进行安全处置，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并做好台账记录。</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水封罐底泥</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热裂解</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不凝气先进入水封罐，不凝废气</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中含有的部分颗粒物和去除H</w:t>
      </w:r>
      <w:r>
        <w:rPr>
          <w:rFonts w:hint="eastAsia" w:cs="Times New Roman"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S的反应产物部分沉降于罐底，形成底泥。一般</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每月清理一次水封罐底泥，根据类比同类项目，水封罐底泥产生量约为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1.2</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t/a。底泥中含有废矿物油，</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对照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《国家危险废物名录》（2016年），属于危险废物，废物类别为HW08废矿物油与含矿物油废物，废物代码为900-210-08，</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利用防渗包装桶</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收集后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暂存于危废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库</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，定期交于有危险废物处置资质单位进行处置，并做好台账记录。</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（6）隔油池浮渣</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工程营运期部分废水需经过隔油池预处理，产生隔油浮渣约1.0t/a，主要含有油脂及矿物油类，</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对照</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《国家危险废物名录》（2016年），属于危险废物，废物类别为HW08废矿物油与含矿物油废物，废物代码为900-210-08，</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利用防渗包装桶</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收集后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暂存于危废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库</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，定期交于有危险废物处置资质单位进行处置，并做好台账记录。</w:t>
      </w:r>
    </w:p>
    <w:p>
      <w:pPr>
        <w:tabs>
          <w:tab w:val="left" w:pos="3255"/>
        </w:tabs>
        <w:adjustRightInd w:val="0"/>
        <w:snapToGrid w:val="0"/>
        <w:spacing w:line="360" w:lineRule="auto"/>
        <w:ind w:firstLine="480" w:firstLineChars="200"/>
        <w:textAlignment w:val="baseline"/>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本项目一般固体废物产生及处置情况见表2.5-</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危险废物产生情况汇总表见表</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2.5-</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13</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项目一般固废处置措施一览表</w:t>
      </w:r>
    </w:p>
    <w:tbl>
      <w:tblPr>
        <w:tblStyle w:val="27"/>
        <w:tblW w:w="9004"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70"/>
        <w:gridCol w:w="1314"/>
        <w:gridCol w:w="2036"/>
        <w:gridCol w:w="1612"/>
        <w:gridCol w:w="337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序号</w:t>
            </w:r>
          </w:p>
        </w:tc>
        <w:tc>
          <w:tcPr>
            <w:tcW w:w="1314"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固废名称</w:t>
            </w:r>
          </w:p>
        </w:tc>
        <w:tc>
          <w:tcPr>
            <w:tcW w:w="2036"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固废种类</w:t>
            </w:r>
          </w:p>
        </w:tc>
        <w:tc>
          <w:tcPr>
            <w:tcW w:w="1612"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产生量（t/a）</w:t>
            </w:r>
          </w:p>
        </w:tc>
        <w:tc>
          <w:tcPr>
            <w:tcW w:w="3372"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处置措施</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67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1</w:t>
            </w:r>
          </w:p>
        </w:tc>
        <w:tc>
          <w:tcPr>
            <w:tcW w:w="1314"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脱硫泥渣</w:t>
            </w:r>
          </w:p>
        </w:tc>
        <w:tc>
          <w:tcPr>
            <w:tcW w:w="2036"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一般固废</w:t>
            </w:r>
          </w:p>
        </w:tc>
        <w:tc>
          <w:tcPr>
            <w:tcW w:w="1612"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55</w:t>
            </w:r>
          </w:p>
        </w:tc>
        <w:tc>
          <w:tcPr>
            <w:tcW w:w="3372"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外售作为</w:t>
            </w: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烧结砖生产原料</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2</w:t>
            </w:r>
          </w:p>
        </w:tc>
        <w:tc>
          <w:tcPr>
            <w:tcW w:w="1314"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收集粉尘</w:t>
            </w:r>
          </w:p>
        </w:tc>
        <w:tc>
          <w:tcPr>
            <w:tcW w:w="2036"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一般固废</w:t>
            </w:r>
          </w:p>
        </w:tc>
        <w:tc>
          <w:tcPr>
            <w:tcW w:w="1612"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35</w:t>
            </w:r>
          </w:p>
        </w:tc>
        <w:tc>
          <w:tcPr>
            <w:tcW w:w="3372" w:type="dxa"/>
            <w:tcBorders>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作为粗碳黑产品外售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3</w:t>
            </w:r>
          </w:p>
        </w:tc>
        <w:tc>
          <w:tcPr>
            <w:tcW w:w="1314"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lang w:bidi="ar"/>
                <w14:textFill>
                  <w14:solidFill>
                    <w14:schemeClr w14:val="tx1">
                      <w14:lumMod w14:val="95000"/>
                      <w14:lumOff w14:val="5000"/>
                    </w14:schemeClr>
                  </w14:solidFill>
                </w14:textFill>
              </w:rPr>
              <w:t>脱水污泥</w:t>
            </w:r>
          </w:p>
        </w:tc>
        <w:tc>
          <w:tcPr>
            <w:tcW w:w="2036" w:type="dxa"/>
            <w:tcBorders>
              <w:top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一般固废</w:t>
            </w:r>
          </w:p>
        </w:tc>
        <w:tc>
          <w:tcPr>
            <w:tcW w:w="1612"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25</w:t>
            </w:r>
          </w:p>
        </w:tc>
        <w:tc>
          <w:tcPr>
            <w:tcW w:w="3372" w:type="dxa"/>
            <w:tcBorders>
              <w:bottom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运送至垃圾填埋场处理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70" w:type="dxa"/>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0"/>
                <w14:textFill>
                  <w14:solidFill>
                    <w14:schemeClr w14:val="tx1">
                      <w14:lumMod w14:val="95000"/>
                      <w14:lumOff w14:val="5000"/>
                    </w14:schemeClr>
                  </w14:solidFill>
                </w14:textFill>
              </w:rPr>
              <w:t>4</w:t>
            </w:r>
          </w:p>
        </w:tc>
        <w:tc>
          <w:tcPr>
            <w:tcW w:w="1314"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生活垃圾</w:t>
            </w:r>
          </w:p>
        </w:tc>
        <w:tc>
          <w:tcPr>
            <w:tcW w:w="2036"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一般固废</w:t>
            </w:r>
          </w:p>
        </w:tc>
        <w:tc>
          <w:tcPr>
            <w:tcW w:w="1612" w:type="dxa"/>
            <w:tcBorders>
              <w:bottom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6.0</w:t>
            </w:r>
          </w:p>
        </w:tc>
        <w:tc>
          <w:tcPr>
            <w:tcW w:w="3372" w:type="dxa"/>
            <w:tcBorders>
              <w:top w:val="single" w:color="auto" w:sz="4" w:space="0"/>
              <w:bottom w:val="single" w:color="auto" w:sz="12" w:space="0"/>
            </w:tcBorders>
            <w:vAlign w:val="center"/>
          </w:tcPr>
          <w:p>
            <w:pPr>
              <w:adjustRightInd w:val="0"/>
              <w:snapToGrid w:val="0"/>
              <w:jc w:val="cente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0"/>
                <w14:textFill>
                  <w14:solidFill>
                    <w14:schemeClr w14:val="tx1">
                      <w14:lumMod w14:val="95000"/>
                      <w14:lumOff w14:val="5000"/>
                    </w14:schemeClr>
                  </w14:solidFill>
                </w14:textFill>
              </w:rPr>
              <w:t>运送至垃圾填埋场处理</w:t>
            </w:r>
          </w:p>
        </w:tc>
      </w:tr>
    </w:tbl>
    <w:p>
      <w:pPr>
        <w:adjustRightInd w:val="0"/>
        <w:snapToGrid w:val="0"/>
        <w:spacing w:before="156" w:beforeLines="50"/>
        <w:jc w:val="center"/>
        <w:textAlignment w:val="baseline"/>
        <w:rPr>
          <w:rFonts w:cs="Times New Roman" w:asciiTheme="minorEastAsia" w:hAnsiTheme="minorEastAsia"/>
          <w:bCs/>
          <w:iCs/>
          <w:color w:val="0D0D0D" w:themeColor="text1" w:themeTint="F2"/>
          <w:sz w:val="24"/>
          <w:szCs w:val="24"/>
          <w14:textFill>
            <w14:solidFill>
              <w14:schemeClr w14:val="tx1">
                <w14:lumMod w14:val="95000"/>
                <w14:lumOff w14:val="5000"/>
              </w14:schemeClr>
            </w14:solidFill>
          </w14:textFill>
        </w:rPr>
        <w:sectPr>
          <w:pgSz w:w="11906" w:h="16838"/>
          <w:pgMar w:top="1440" w:right="1800" w:bottom="1440" w:left="1800" w:header="851" w:footer="992" w:gutter="0"/>
          <w:cols w:space="425" w:num="1"/>
          <w:docGrid w:type="lines" w:linePitch="312" w:charSpace="0"/>
        </w:sectPr>
      </w:pPr>
      <w:bookmarkStart w:id="42" w:name="_Toc22714"/>
      <w:bookmarkStart w:id="43" w:name="_Toc10733"/>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表2.5-13     工程运营期危险废物产生与处置情况汇总表</w:t>
      </w:r>
    </w:p>
    <w:tbl>
      <w:tblPr>
        <w:tblStyle w:val="90"/>
        <w:tblW w:w="143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1839"/>
        <w:gridCol w:w="850"/>
        <w:gridCol w:w="1132"/>
        <w:gridCol w:w="990"/>
        <w:gridCol w:w="1698"/>
        <w:gridCol w:w="849"/>
        <w:gridCol w:w="1698"/>
        <w:gridCol w:w="1132"/>
        <w:gridCol w:w="1132"/>
        <w:gridCol w:w="848"/>
        <w:gridCol w:w="1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532"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序号</w:t>
            </w:r>
          </w:p>
        </w:tc>
        <w:tc>
          <w:tcPr>
            <w:tcW w:w="1839"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危险废物名称</w:t>
            </w:r>
          </w:p>
        </w:tc>
        <w:tc>
          <w:tcPr>
            <w:tcW w:w="850"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危险废物类别</w:t>
            </w:r>
          </w:p>
        </w:tc>
        <w:tc>
          <w:tcPr>
            <w:tcW w:w="1132"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危险废物代码</w:t>
            </w:r>
          </w:p>
        </w:tc>
        <w:tc>
          <w:tcPr>
            <w:tcW w:w="990"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产生量（t/a）</w:t>
            </w:r>
          </w:p>
        </w:tc>
        <w:tc>
          <w:tcPr>
            <w:tcW w:w="1698"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产生工序及装置</w:t>
            </w:r>
          </w:p>
        </w:tc>
        <w:tc>
          <w:tcPr>
            <w:tcW w:w="849"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形态</w:t>
            </w:r>
          </w:p>
        </w:tc>
        <w:tc>
          <w:tcPr>
            <w:tcW w:w="1698"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主要成分</w:t>
            </w:r>
          </w:p>
        </w:tc>
        <w:tc>
          <w:tcPr>
            <w:tcW w:w="1132"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有害成分</w:t>
            </w:r>
          </w:p>
        </w:tc>
        <w:tc>
          <w:tcPr>
            <w:tcW w:w="1132"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产生周期</w:t>
            </w:r>
          </w:p>
        </w:tc>
        <w:tc>
          <w:tcPr>
            <w:tcW w:w="848"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危险</w:t>
            </w:r>
          </w:p>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特性</w:t>
            </w:r>
          </w:p>
        </w:tc>
        <w:tc>
          <w:tcPr>
            <w:tcW w:w="1698"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5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w:t>
            </w:r>
          </w:p>
        </w:tc>
        <w:tc>
          <w:tcPr>
            <w:tcW w:w="183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废脱硝催化剂</w:t>
            </w:r>
          </w:p>
        </w:tc>
        <w:tc>
          <w:tcPr>
            <w:tcW w:w="85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HW50</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772-007-50</w:t>
            </w:r>
          </w:p>
        </w:tc>
        <w:tc>
          <w:tcPr>
            <w:tcW w:w="99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3.0</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SCR脱硝反应器</w:t>
            </w:r>
          </w:p>
        </w:tc>
        <w:tc>
          <w:tcPr>
            <w:tcW w:w="84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固体</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钛、钒系化合物等</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钛、钒</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每3年一次</w:t>
            </w:r>
          </w:p>
        </w:tc>
        <w:tc>
          <w:tcPr>
            <w:tcW w:w="84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毒性</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交有资质单位处置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w:t>
            </w:r>
          </w:p>
        </w:tc>
        <w:tc>
          <w:tcPr>
            <w:tcW w:w="183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废活性炭</w:t>
            </w:r>
          </w:p>
        </w:tc>
        <w:tc>
          <w:tcPr>
            <w:tcW w:w="85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HW49</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900-039-49</w:t>
            </w:r>
          </w:p>
        </w:tc>
        <w:tc>
          <w:tcPr>
            <w:tcW w:w="99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18.2</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UV光解一体机+活性炭吸附装置</w:t>
            </w:r>
          </w:p>
        </w:tc>
        <w:tc>
          <w:tcPr>
            <w:tcW w:w="84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固体</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活性炭、有机物</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有机物</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每3月一次</w:t>
            </w:r>
          </w:p>
        </w:tc>
        <w:tc>
          <w:tcPr>
            <w:tcW w:w="84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有害</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交有资质单位处置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w:t>
            </w:r>
          </w:p>
        </w:tc>
        <w:tc>
          <w:tcPr>
            <w:tcW w:w="183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废紫外灯管</w:t>
            </w:r>
          </w:p>
        </w:tc>
        <w:tc>
          <w:tcPr>
            <w:tcW w:w="85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HW29</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900-023-29</w:t>
            </w:r>
          </w:p>
        </w:tc>
        <w:tc>
          <w:tcPr>
            <w:tcW w:w="99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除雾器+袋式除尘器</w:t>
            </w:r>
          </w:p>
        </w:tc>
        <w:tc>
          <w:tcPr>
            <w:tcW w:w="84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固体</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玻璃、汞</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汞</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每半年一次</w:t>
            </w:r>
          </w:p>
        </w:tc>
        <w:tc>
          <w:tcPr>
            <w:tcW w:w="84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毒性</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交有资质单位处置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w:t>
            </w:r>
          </w:p>
        </w:tc>
        <w:tc>
          <w:tcPr>
            <w:tcW w:w="183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废油泥渣</w:t>
            </w:r>
          </w:p>
        </w:tc>
        <w:tc>
          <w:tcPr>
            <w:tcW w:w="85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HW08</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900-210-08</w:t>
            </w:r>
          </w:p>
        </w:tc>
        <w:tc>
          <w:tcPr>
            <w:tcW w:w="99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45</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 xml:space="preserve"> </w:t>
            </w: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油品储罐</w:t>
            </w:r>
          </w:p>
        </w:tc>
        <w:tc>
          <w:tcPr>
            <w:tcW w:w="84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半固体</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废矿物油</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废矿物油</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每3月一次</w:t>
            </w:r>
          </w:p>
        </w:tc>
        <w:tc>
          <w:tcPr>
            <w:tcW w:w="84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有害</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交有资质单位处置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5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w:t>
            </w:r>
          </w:p>
        </w:tc>
        <w:tc>
          <w:tcPr>
            <w:tcW w:w="183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水封罐底泥</w:t>
            </w:r>
          </w:p>
        </w:tc>
        <w:tc>
          <w:tcPr>
            <w:tcW w:w="85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HW08</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900-210-08</w:t>
            </w:r>
          </w:p>
        </w:tc>
        <w:tc>
          <w:tcPr>
            <w:tcW w:w="99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1.2</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水封罐</w:t>
            </w:r>
          </w:p>
        </w:tc>
        <w:tc>
          <w:tcPr>
            <w:tcW w:w="84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半固体</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废矿物油</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废矿物油</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每月一次</w:t>
            </w:r>
          </w:p>
        </w:tc>
        <w:tc>
          <w:tcPr>
            <w:tcW w:w="84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有害</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交有资质单位处置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5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6</w:t>
            </w:r>
          </w:p>
        </w:tc>
        <w:tc>
          <w:tcPr>
            <w:tcW w:w="183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隔油浮渣</w:t>
            </w:r>
          </w:p>
        </w:tc>
        <w:tc>
          <w:tcPr>
            <w:tcW w:w="85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HW08</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900-210-08</w:t>
            </w:r>
          </w:p>
        </w:tc>
        <w:tc>
          <w:tcPr>
            <w:tcW w:w="99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隔油池</w:t>
            </w:r>
          </w:p>
        </w:tc>
        <w:tc>
          <w:tcPr>
            <w:tcW w:w="84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半固体</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废矿物油、油脂</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废矿物油</w:t>
            </w:r>
          </w:p>
        </w:tc>
        <w:tc>
          <w:tcPr>
            <w:tcW w:w="1132"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连续</w:t>
            </w:r>
          </w:p>
        </w:tc>
        <w:tc>
          <w:tcPr>
            <w:tcW w:w="84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有害</w:t>
            </w:r>
          </w:p>
        </w:tc>
        <w:tc>
          <w:tcPr>
            <w:tcW w:w="169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交有资质单位处置</w:t>
            </w:r>
          </w:p>
        </w:tc>
      </w:tr>
    </w:tbl>
    <w:p>
      <w:pPr>
        <w:adjustRightInd w:val="0"/>
        <w:snapToGrid w:val="0"/>
        <w:spacing w:before="156" w:beforeLines="50"/>
        <w:jc w:val="left"/>
        <w:textAlignment w:val="baseline"/>
        <w:rPr>
          <w:rFonts w:cs="Times New Roman" w:asciiTheme="minorEastAsia" w:hAnsiTheme="minorEastAsia"/>
          <w:bCs/>
          <w:iCs/>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jc w:val="left"/>
        <w:textAlignment w:val="baseline"/>
        <w:rPr>
          <w:rFonts w:cs="Times New Roman" w:asciiTheme="minorEastAsia" w:hAnsiTheme="minorEastAsia"/>
          <w:bCs/>
          <w:iCs/>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jc w:val="left"/>
        <w:textAlignment w:val="baseline"/>
        <w:rPr>
          <w:rFonts w:cs="Times New Roman" w:asciiTheme="minorEastAsia" w:hAnsiTheme="minorEastAsia"/>
          <w:bCs/>
          <w:iCs/>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jc w:val="left"/>
        <w:textAlignment w:val="baseline"/>
        <w:rPr>
          <w:rFonts w:cs="Times New Roman" w:asciiTheme="minorEastAsia" w:hAnsiTheme="minorEastAsia"/>
          <w:bCs/>
          <w:iCs/>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jc w:val="center"/>
        <w:textAlignment w:val="baseline"/>
        <w:rPr>
          <w:rFonts w:cs="Times New Roman" w:asciiTheme="minorEastAsia" w:hAnsiTheme="minorEastAsia"/>
          <w:bCs/>
          <w:iCs/>
          <w:color w:val="0D0D0D" w:themeColor="text1" w:themeTint="F2"/>
          <w:sz w:val="24"/>
          <w:szCs w:val="24"/>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bookmarkEnd w:id="42"/>
    <w:bookmarkEnd w:id="43"/>
    <w:p>
      <w:pPr>
        <w:spacing w:line="360" w:lineRule="auto"/>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.5.5非正常排放工况及污染物排放源强分析</w:t>
      </w:r>
    </w:p>
    <w:p>
      <w:pPr>
        <w:spacing w:line="360" w:lineRule="auto"/>
        <w:ind w:firstLine="495"/>
        <w:jc w:val="left"/>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项目可能出现的非正常排放工况主要包括试运行期和开、停机阶段，以及治理设施不正常运行或出现突发故障造成的事故性排放。</w:t>
      </w:r>
    </w:p>
    <w:p>
      <w:pPr>
        <w:spacing w:line="360" w:lineRule="auto"/>
        <w:ind w:firstLine="495"/>
        <w:jc w:val="left"/>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（1）废气非正常排放情况分析</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生产工艺技术分析，工程试运行期或运行期停产后再次开机阶段，生产能力较低，大气污染物产生量低于正常水平，且各类废气处理设施与生产设备同步启动，污染物排放一般会低于正常工况。在停机过程中，生产能力及污染物产生量逐步降低，保持处理设施处于正常运行，污染物排放量逐步减少。因此，项目在试运行期和开、停机阶段，废气治理设施保持正常工况运行，不会出现大气污染物非正常排放情况。</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根据工程废气处理技术及设备运行参数分析，项目废气发生非正常排放主要包括以下3类情况：</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①燃烧废气处理系统废气非正常排放</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废气非正常排放主要原因是喷淋塔循环泵或输送管道发生故障，停止喷入喷淋液，袋除尘器破损，以及失效的紫外灯管或吸附饱和的活性炭没有及时更换，导致处理设施处理效率下降。</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经类比同类项目、同类处理设施实际运行资料，一般不会发生全部废气处理设施同时出现故障的情况，多为单项处理设施发生故障。其中，最大非正常排放工况为14套燃烧废气处理系统的活性炭吸附装置同时出现故障或活性炭吸附饱和，而未能及时检修更换活性炭，处理系统对H</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S、非甲烷总烃、苯并[a]芘等污染物处理效率分别降低至30%、50%、60%以下，造成尾气中部分污染物排放浓度高于正常工况。该类非正常排放工况持续时间一般不超过2h，经更换维修设备和更换活性炭，可使设施很快恢复正常运行。同时，必要时采取停产检修措施。</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②袋除尘器非正常排放</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设置2套袋除尘器，对热裂解炉出料、粗碳黑包装及废钢丝打包工序产生的碳黑尘进行集气、处理。类比同类处理设施，常温袋除尘器运行比较稳定，滤袋使用寿命较长，一般非正常排放主要是少量滤袋破损导致处理效率下降，经及时更换破损滤袋，即可恢复正常运行。</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③事故性排放</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废气事故性排放主要为突发停电、自然灾害、设备故障等因素，造成废气处理设施停止运行，出现废气事故性排放。评价要求项目设置双回路电源，避免出现因停电造成的废气事故性排放；一旦发生全面停电或较大自然灾害，必须实施停产措施，并启动相关事故应急响应程序和应急处置措施，停止污染物排放，最大限度降低对环境的影响。</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一旦脱硝、脱硫、除尘等主要废气处理设备出现故障停运情况，应立即对停运设备进行检修，短时间内恢复正常运行，如短时间内无法恢复正常运行，应采取停产检修措施，停止污染物排放。类比同类项目及其他行业情况，按最不利情况考虑，废气处理设备发生故障停运，处理系统对各类污染物的处理效率为0。一般该类事故性排放时间不超过1h。</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（2）废水非正常排放情况分析</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废水非正常工况排放发生在处理系统调试、长期停产后处理系统再次重新启动阶段。根据类比分析，一体化废水处理装置调试阶段，采取控制进水量及水质浓度、调试初期对废水进行回收重复处理、禁止超标废水排放等措施，逐步提升设施处理效率，直至达到正常运行工况。因此，评价不再对项目营运期废水非正常工况排放进行分析评价。</w:t>
      </w: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sectPr>
          <w:pgSz w:w="11906" w:h="16838"/>
          <w:pgMar w:top="1440" w:right="1800" w:bottom="1440" w:left="1800" w:header="851" w:footer="992" w:gutter="0"/>
          <w:cols w:space="425" w:num="1"/>
          <w:docGrid w:type="lines" w:linePitch="312" w:charSpace="0"/>
        </w:sect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综上分析，工程非正常排放主要考虑燃烧废气处理系统未及时更换吸附饱和的活性炭而造出现的废气非正常排放，以及燃烧废气处理系统出现故障性停运造成的废气事故性排放。具体非正常排放及事故性排放源强分别见下表2.5-14及表5.2-15。</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表2.5-14   项目废气污染物非正常排放源强表</w:t>
      </w:r>
    </w:p>
    <w:tbl>
      <w:tblPr>
        <w:tblStyle w:val="91"/>
        <w:tblW w:w="140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841"/>
        <w:gridCol w:w="1121"/>
        <w:gridCol w:w="993"/>
        <w:gridCol w:w="1130"/>
        <w:gridCol w:w="708"/>
        <w:gridCol w:w="1026"/>
        <w:gridCol w:w="991"/>
        <w:gridCol w:w="846"/>
        <w:gridCol w:w="987"/>
        <w:gridCol w:w="1026"/>
        <w:gridCol w:w="1131"/>
        <w:gridCol w:w="1130"/>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95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非正常</w:t>
            </w:r>
          </w:p>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排放源</w:t>
            </w:r>
          </w:p>
        </w:tc>
        <w:tc>
          <w:tcPr>
            <w:tcW w:w="84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非正常排放工况类别</w:t>
            </w:r>
          </w:p>
        </w:tc>
        <w:tc>
          <w:tcPr>
            <w:tcW w:w="112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w:t>
            </w:r>
          </w:p>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污染物</w:t>
            </w:r>
          </w:p>
        </w:tc>
        <w:tc>
          <w:tcPr>
            <w:tcW w:w="993"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产生浓度（mg/m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1130"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产生速率（kg/h）</w:t>
            </w:r>
          </w:p>
        </w:tc>
        <w:tc>
          <w:tcPr>
            <w:tcW w:w="708"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处理效率（%）</w:t>
            </w:r>
          </w:p>
        </w:tc>
        <w:tc>
          <w:tcPr>
            <w:tcW w:w="1026"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排放浓度（mg/m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99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排放速率（kg/h）</w:t>
            </w:r>
          </w:p>
        </w:tc>
        <w:tc>
          <w:tcPr>
            <w:tcW w:w="846"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持续时间（h）</w:t>
            </w:r>
          </w:p>
        </w:tc>
        <w:tc>
          <w:tcPr>
            <w:tcW w:w="987"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废气排放量（m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1026"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污染物排放量(kg)</w:t>
            </w:r>
          </w:p>
        </w:tc>
        <w:tc>
          <w:tcPr>
            <w:tcW w:w="2261" w:type="dxa"/>
            <w:gridSpan w:val="2"/>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排放标准</w:t>
            </w:r>
          </w:p>
        </w:tc>
        <w:tc>
          <w:tcPr>
            <w:tcW w:w="1119"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95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12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130"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708"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026"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99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846"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987"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026"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131"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浓度（mg/m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1130"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排放速率（kg/h）</w:t>
            </w:r>
          </w:p>
        </w:tc>
        <w:tc>
          <w:tcPr>
            <w:tcW w:w="1119"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燃烧废气处理系统</w:t>
            </w:r>
          </w:p>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（1#等效排气筒）</w:t>
            </w:r>
          </w:p>
        </w:tc>
        <w:tc>
          <w:tcPr>
            <w:tcW w:w="84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活性炭吸附装置同时出现故障</w:t>
            </w: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颗粒物</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143.8</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2.876</w:t>
            </w:r>
          </w:p>
        </w:tc>
        <w:tc>
          <w:tcPr>
            <w:tcW w:w="70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95</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7.19</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0.144</w:t>
            </w:r>
          </w:p>
        </w:tc>
        <w:tc>
          <w:tcPr>
            <w:tcW w:w="84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987"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0.288</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5.9</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277.65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5.553</w:t>
            </w:r>
          </w:p>
        </w:tc>
        <w:tc>
          <w:tcPr>
            <w:tcW w:w="70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90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27.77</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0.555</w:t>
            </w:r>
          </w:p>
        </w:tc>
        <w:tc>
          <w:tcPr>
            <w:tcW w:w="84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987" w:type="dxa"/>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1.11</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4.3</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NOx</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137.5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2.75</w:t>
            </w:r>
          </w:p>
        </w:tc>
        <w:tc>
          <w:tcPr>
            <w:tcW w:w="70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80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27.5</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0.55</w:t>
            </w:r>
          </w:p>
        </w:tc>
        <w:tc>
          <w:tcPr>
            <w:tcW w:w="84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987" w:type="dxa"/>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1.1</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50</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1.3</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0.03</w:t>
            </w:r>
          </w:p>
        </w:tc>
        <w:tc>
          <w:tcPr>
            <w:tcW w:w="70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1.05</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0.021</w:t>
            </w:r>
          </w:p>
        </w:tc>
        <w:tc>
          <w:tcPr>
            <w:tcW w:w="84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987" w:type="dxa"/>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0.042</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0.33</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NH</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3</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w:t>
            </w:r>
          </w:p>
        </w:tc>
        <w:tc>
          <w:tcPr>
            <w:tcW w:w="70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5.0</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0.1</w:t>
            </w:r>
          </w:p>
        </w:tc>
        <w:tc>
          <w:tcPr>
            <w:tcW w:w="84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987" w:type="dxa"/>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0.4</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8</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8.7</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非甲烷总烃</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52</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1.04</w:t>
            </w:r>
          </w:p>
        </w:tc>
        <w:tc>
          <w:tcPr>
            <w:tcW w:w="70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26</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0.52</w:t>
            </w:r>
          </w:p>
        </w:tc>
        <w:tc>
          <w:tcPr>
            <w:tcW w:w="84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987" w:type="dxa"/>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1.04</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80</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17</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苯并[a]芘</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0.7</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3</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1.4×10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-5</w:t>
            </w:r>
          </w:p>
        </w:tc>
        <w:tc>
          <w:tcPr>
            <w:tcW w:w="708"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60</w:t>
            </w:r>
          </w:p>
        </w:tc>
        <w:tc>
          <w:tcPr>
            <w:tcW w:w="1026"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0.28</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3</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5.6</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6</w:t>
            </w:r>
          </w:p>
        </w:tc>
        <w:tc>
          <w:tcPr>
            <w:tcW w:w="84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987" w:type="dxa"/>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1.12</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5</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0.3</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3</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8.5</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4</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bl>
    <w:p>
      <w:pPr>
        <w:spacing w:line="360" w:lineRule="auto"/>
        <w:ind w:firstLine="493"/>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由上表内容可知，项目燃烧废气处理装置活性炭吸附装置出现吸附饱和而未及时更换的非正常排放工况下，1#排气筒污染物排放浓度、排放速率均可满足排放限值要求；但H</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S、非甲烷总烃、苯并[a]芘等污染物排放浓度、排放速率较正常工况排放均有所增加。因此，工程运行期必须加强废气处理设施运行管理，及时更换吸附饱和的活性炭，在更换活性炭过程中应采取减少废气排放或停止生产措施，降低非正常排放对周边环境的不良影响。</w:t>
      </w:r>
    </w:p>
    <w:p>
      <w:pPr>
        <w:spacing w:line="360" w:lineRule="auto"/>
        <w:ind w:firstLine="493"/>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93"/>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93"/>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93"/>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表2.5-15   项目废气污染物事故性排放源强表</w:t>
      </w:r>
    </w:p>
    <w:tbl>
      <w:tblPr>
        <w:tblStyle w:val="91"/>
        <w:tblW w:w="140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841"/>
        <w:gridCol w:w="1121"/>
        <w:gridCol w:w="993"/>
        <w:gridCol w:w="1130"/>
        <w:gridCol w:w="708"/>
        <w:gridCol w:w="1026"/>
        <w:gridCol w:w="991"/>
        <w:gridCol w:w="846"/>
        <w:gridCol w:w="987"/>
        <w:gridCol w:w="1026"/>
        <w:gridCol w:w="1131"/>
        <w:gridCol w:w="1130"/>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95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非正常</w:t>
            </w:r>
          </w:p>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排放源</w:t>
            </w:r>
          </w:p>
        </w:tc>
        <w:tc>
          <w:tcPr>
            <w:tcW w:w="84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非正常排放工况类别</w:t>
            </w:r>
          </w:p>
        </w:tc>
        <w:tc>
          <w:tcPr>
            <w:tcW w:w="112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w:t>
            </w:r>
          </w:p>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污染物</w:t>
            </w:r>
          </w:p>
        </w:tc>
        <w:tc>
          <w:tcPr>
            <w:tcW w:w="993"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产生浓度（mg/m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1130"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产生速率（kg/h）</w:t>
            </w:r>
          </w:p>
        </w:tc>
        <w:tc>
          <w:tcPr>
            <w:tcW w:w="708"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处理效率（%）</w:t>
            </w:r>
          </w:p>
        </w:tc>
        <w:tc>
          <w:tcPr>
            <w:tcW w:w="1026"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排放浓度（mg/m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991"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排放速率（kg/h）</w:t>
            </w:r>
          </w:p>
        </w:tc>
        <w:tc>
          <w:tcPr>
            <w:tcW w:w="846"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持续时间（h）</w:t>
            </w:r>
          </w:p>
        </w:tc>
        <w:tc>
          <w:tcPr>
            <w:tcW w:w="987"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废气排放量（m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1026"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污染物排放量(kg)</w:t>
            </w:r>
          </w:p>
        </w:tc>
        <w:tc>
          <w:tcPr>
            <w:tcW w:w="2261" w:type="dxa"/>
            <w:gridSpan w:val="2"/>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排放标准</w:t>
            </w:r>
          </w:p>
        </w:tc>
        <w:tc>
          <w:tcPr>
            <w:tcW w:w="1119" w:type="dxa"/>
            <w:vMerge w:val="restart"/>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95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12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130"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708"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026"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991"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846"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987"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026"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c>
          <w:tcPr>
            <w:tcW w:w="1131"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浓度（mg/m</w:t>
            </w:r>
            <w:r>
              <w:rPr>
                <w:rFonts w:hint="eastAsia" w:asciiTheme="minorEastAsia" w:hAnsiTheme="minorEastAsia"/>
                <w:b/>
                <w:color w:val="0D0D0D" w:themeColor="text1" w:themeTint="F2"/>
                <w:kern w:val="0"/>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w:t>
            </w:r>
          </w:p>
        </w:tc>
        <w:tc>
          <w:tcPr>
            <w:tcW w:w="1130"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排放速率（kg/h）</w:t>
            </w:r>
          </w:p>
        </w:tc>
        <w:tc>
          <w:tcPr>
            <w:tcW w:w="1119" w:type="dxa"/>
            <w:vMerge w:val="continue"/>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95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燃烧废气处理系统</w:t>
            </w:r>
          </w:p>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（1#等效排气筒）</w:t>
            </w:r>
          </w:p>
        </w:tc>
        <w:tc>
          <w:tcPr>
            <w:tcW w:w="84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处理装置同时停运，燃烧废气直排</w:t>
            </w: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颗粒物</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143.8</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2.876</w:t>
            </w:r>
          </w:p>
        </w:tc>
        <w:tc>
          <w:tcPr>
            <w:tcW w:w="708"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w:t>
            </w:r>
          </w:p>
        </w:tc>
        <w:tc>
          <w:tcPr>
            <w:tcW w:w="1026"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143.8</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2.876</w:t>
            </w:r>
          </w:p>
        </w:tc>
        <w:tc>
          <w:tcPr>
            <w:tcW w:w="846"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p>
        </w:tc>
        <w:tc>
          <w:tcPr>
            <w:tcW w:w="987" w:type="dxa"/>
            <w:vMerge w:val="restart"/>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20000</w:t>
            </w: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2.876</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5.9</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277.65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5.553</w:t>
            </w:r>
          </w:p>
        </w:tc>
        <w:tc>
          <w:tcPr>
            <w:tcW w:w="708"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26"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277.65</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5.553</w:t>
            </w:r>
          </w:p>
        </w:tc>
        <w:tc>
          <w:tcPr>
            <w:tcW w:w="846"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87" w:type="dxa"/>
            <w:vMerge w:val="continue"/>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5.553</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4.3</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NOx</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137.5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2.75</w:t>
            </w:r>
          </w:p>
        </w:tc>
        <w:tc>
          <w:tcPr>
            <w:tcW w:w="708"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26"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137.5</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2.75</w:t>
            </w:r>
          </w:p>
        </w:tc>
        <w:tc>
          <w:tcPr>
            <w:tcW w:w="846"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87" w:type="dxa"/>
            <w:vMerge w:val="continue"/>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2.75</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50</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1.3</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1.5</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0.03</w:t>
            </w:r>
          </w:p>
        </w:tc>
        <w:tc>
          <w:tcPr>
            <w:tcW w:w="708"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26"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1.5</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0.03</w:t>
            </w:r>
          </w:p>
        </w:tc>
        <w:tc>
          <w:tcPr>
            <w:tcW w:w="846"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87" w:type="dxa"/>
            <w:vMerge w:val="continue"/>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0.03</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0.33</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非甲烷总烃</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52</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1.04</w:t>
            </w:r>
          </w:p>
        </w:tc>
        <w:tc>
          <w:tcPr>
            <w:tcW w:w="708"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26"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52</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1.04</w:t>
            </w:r>
          </w:p>
        </w:tc>
        <w:tc>
          <w:tcPr>
            <w:tcW w:w="846"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87" w:type="dxa"/>
            <w:vMerge w:val="continue"/>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1.04</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80</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17</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95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4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12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苯并[a]芘</w:t>
            </w:r>
          </w:p>
        </w:tc>
        <w:tc>
          <w:tcPr>
            <w:tcW w:w="993"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0.7</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3</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1.4×10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-5</w:t>
            </w:r>
          </w:p>
        </w:tc>
        <w:tc>
          <w:tcPr>
            <w:tcW w:w="708"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26" w:type="dxa"/>
            <w:vAlign w:val="center"/>
          </w:tcPr>
          <w:p>
            <w:pPr>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0.7</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3</w:t>
            </w:r>
          </w:p>
        </w:tc>
        <w:tc>
          <w:tcPr>
            <w:tcW w:w="99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1.4×10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-5</w:t>
            </w:r>
          </w:p>
        </w:tc>
        <w:tc>
          <w:tcPr>
            <w:tcW w:w="846"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87" w:type="dxa"/>
            <w:vMerge w:val="continue"/>
            <w:vAlign w:val="center"/>
          </w:tcPr>
          <w:p>
            <w:pPr>
              <w:jc w:val="center"/>
              <w:rPr>
                <w:rFonts w:asciiTheme="minorEastAsia" w:hAnsiTheme="minorEastAsia"/>
                <w:color w:val="0D0D0D" w:themeColor="text1" w:themeTint="F2"/>
                <w:kern w:val="0"/>
                <w:sz w:val="20"/>
                <w:szCs w:val="20"/>
                <w14:textFill>
                  <w14:solidFill>
                    <w14:schemeClr w14:val="tx1">
                      <w14:lumMod w14:val="95000"/>
                      <w14:lumOff w14:val="5000"/>
                    </w14:schemeClr>
                  </w14:solidFill>
                </w14:textFill>
              </w:rPr>
            </w:pPr>
          </w:p>
        </w:tc>
        <w:tc>
          <w:tcPr>
            <w:tcW w:w="10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1.4×10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-5</w:t>
            </w:r>
          </w:p>
        </w:tc>
        <w:tc>
          <w:tcPr>
            <w:tcW w:w="113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0.3</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3</w:t>
            </w:r>
          </w:p>
        </w:tc>
        <w:tc>
          <w:tcPr>
            <w:tcW w:w="1130"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8.5</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4</w:t>
            </w:r>
          </w:p>
        </w:tc>
        <w:tc>
          <w:tcPr>
            <w:tcW w:w="111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超标</w:t>
            </w:r>
          </w:p>
        </w:tc>
      </w:tr>
    </w:tbl>
    <w:p>
      <w:pPr>
        <w:spacing w:line="360" w:lineRule="auto"/>
        <w:ind w:firstLine="493"/>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由上表内容可知，项目燃烧废气处理系统出现停运的事故性工况下，1#排气筒颗粒物、SO</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NOx、苯并[a]芘等污染物均出现超标排放情况。因此，工程运行期必须加强废气处理设施运行管理，确保设施稳定运行，一旦发生设施故障性停运，应立即采取检修或停止生产措施，降低事故性排放对周边环境污染影响。</w:t>
      </w:r>
    </w:p>
    <w:p>
      <w:pPr>
        <w:spacing w:line="360" w:lineRule="auto"/>
        <w:ind w:firstLine="493"/>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95"/>
        <w:rPr>
          <w:rFonts w:asciiTheme="minorEastAsia" w:hAnsiTheme="minorEastAsia"/>
          <w:color w:val="0D0D0D" w:themeColor="text1" w:themeTint="F2"/>
          <w:sz w:val="24"/>
          <w:szCs w:val="24"/>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2.6</w:t>
      </w:r>
      <w:r>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项目</w:t>
      </w:r>
      <w:r>
        <w:rPr>
          <w:rFonts w:hint="eastAsia"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营运期</w:t>
      </w:r>
      <w:r>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污染物产排情况汇总</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本项目运营期污染物产排情况汇总见表2.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6</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表2.6-1    工程营运期污染物产排情况汇总表</w:t>
      </w:r>
    </w:p>
    <w:tbl>
      <w:tblPr>
        <w:tblStyle w:val="9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126"/>
        <w:gridCol w:w="1701"/>
        <w:gridCol w:w="1889"/>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污染因素</w:t>
            </w:r>
          </w:p>
        </w:tc>
        <w:tc>
          <w:tcPr>
            <w:tcW w:w="2126"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污染物</w:t>
            </w:r>
          </w:p>
        </w:tc>
        <w:tc>
          <w:tcPr>
            <w:tcW w:w="1701"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产生量（t/a）</w:t>
            </w:r>
          </w:p>
        </w:tc>
        <w:tc>
          <w:tcPr>
            <w:tcW w:w="1889"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自身消减量（t/a）</w:t>
            </w:r>
          </w:p>
        </w:tc>
        <w:tc>
          <w:tcPr>
            <w:tcW w:w="1705"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有组织</w:t>
            </w:r>
          </w:p>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废气</w:t>
            </w: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颗粒物</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20.71</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19.674</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39.981</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43.981</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NOx</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19.797</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15.837</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0.213</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0.17</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NH</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3</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1.44</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0.72</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非甲烷总烃</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7.5</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6.75</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苯并[a]芘</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-4</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0.8</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4</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二噁英</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6.768mg</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TEQ</w:t>
            </w: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/a</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6.768mg</w:t>
            </w:r>
            <w: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t>TEQ</w:t>
            </w: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碳黑尘</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31.5</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31.184</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0.316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油烟</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0.0108</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0.107</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无组织</w:t>
            </w:r>
          </w:p>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废气</w:t>
            </w: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非甲烷总烃</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3.387</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2.873</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碳黑尘</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3.675</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2.1</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kern w:val="0"/>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S</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0.003</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废水</w:t>
            </w: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COD</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4.824</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4.103</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 xml:space="preserve">0.721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BOD</w:t>
            </w:r>
            <w:r>
              <w:rPr>
                <w:rFonts w:hint="eastAsia" w:asciiTheme="minorEastAsia" w:hAnsiTheme="minorEastAsia"/>
                <w:color w:val="0D0D0D" w:themeColor="text1" w:themeTint="F2"/>
                <w:kern w:val="0"/>
                <w:sz w:val="18"/>
                <w:szCs w:val="18"/>
                <w:vertAlign w:val="subscript"/>
                <w:lang w:bidi="ar"/>
                <w14:textFill>
                  <w14:solidFill>
                    <w14:schemeClr w14:val="tx1">
                      <w14:lumMod w14:val="95000"/>
                      <w14:lumOff w14:val="5000"/>
                    </w14:schemeClr>
                  </w14:solidFill>
                </w14:textFill>
              </w:rPr>
              <w:t>5</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2.439</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1.973</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氨氮</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0.145</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0.043</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 xml:space="preserve">0.102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总磷</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0.003</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0.001</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SS</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2.979</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2.658</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 xml:space="preserve">0.321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硫化物</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0.013</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0.001</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 xml:space="preserve">0.012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石油类</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0.175</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0.125</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 xml:space="preserve">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widowControl/>
              <w:adjustRightInd w:val="0"/>
              <w:snapToGrid w:val="0"/>
              <w:spacing w:line="240" w:lineRule="atLeast"/>
              <w:jc w:val="center"/>
              <w:rPr>
                <w:rFonts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动植物油</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0.072</w:t>
            </w:r>
          </w:p>
        </w:tc>
        <w:tc>
          <w:tcPr>
            <w:tcW w:w="1889"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0.046</w:t>
            </w:r>
          </w:p>
        </w:tc>
        <w:tc>
          <w:tcPr>
            <w:tcW w:w="1705" w:type="dxa"/>
            <w:vAlign w:val="bottom"/>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 xml:space="preserve">0.026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一般固体废物</w:t>
            </w:r>
          </w:p>
        </w:tc>
        <w:tc>
          <w:tcPr>
            <w:tcW w:w="2126" w:type="dxa"/>
            <w:vAlign w:val="center"/>
          </w:tcPr>
          <w:p>
            <w:pPr>
              <w:adjustRightInd w:val="0"/>
              <w:snapToGrid w:val="0"/>
              <w:spacing w:line="260" w:lineRule="exact"/>
              <w:ind w:left="-105" w:leftChars="-50" w:right="-105" w:rightChars="-50"/>
              <w:jc w:val="cente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废物类别</w:t>
            </w:r>
          </w:p>
        </w:tc>
        <w:tc>
          <w:tcPr>
            <w:tcW w:w="1701" w:type="dxa"/>
            <w:vAlign w:val="center"/>
          </w:tcPr>
          <w:p>
            <w:pPr>
              <w:adjustRightInd w:val="0"/>
              <w:snapToGrid w:val="0"/>
              <w:spacing w:line="260" w:lineRule="exact"/>
              <w:ind w:left="-105" w:leftChars="-50" w:right="-105" w:rightChars="-50"/>
              <w:jc w:val="cente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产生量（t/a）</w:t>
            </w:r>
          </w:p>
        </w:tc>
        <w:tc>
          <w:tcPr>
            <w:tcW w:w="1889" w:type="dxa"/>
            <w:vAlign w:val="center"/>
          </w:tcPr>
          <w:p>
            <w:pPr>
              <w:adjustRightInd w:val="0"/>
              <w:snapToGrid w:val="0"/>
              <w:spacing w:line="260" w:lineRule="exact"/>
              <w:ind w:left="-105" w:leftChars="-50" w:right="-105" w:rightChars="-50"/>
              <w:jc w:val="cente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外售资源化利用量（t/a）</w:t>
            </w:r>
          </w:p>
        </w:tc>
        <w:tc>
          <w:tcPr>
            <w:tcW w:w="1705" w:type="dxa"/>
            <w:vAlign w:val="center"/>
          </w:tcPr>
          <w:p>
            <w:pPr>
              <w:spacing w:line="240" w:lineRule="atLeast"/>
              <w:jc w:val="center"/>
              <w:rPr>
                <w:rFonts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kern w:val="0"/>
                <w:sz w:val="18"/>
                <w:szCs w:val="18"/>
                <w14:textFill>
                  <w14:solidFill>
                    <w14:schemeClr w14:val="tx1">
                      <w14:lumMod w14:val="95000"/>
                      <w14:lumOff w14:val="5000"/>
                    </w14:schemeClr>
                  </w14:solidFill>
                </w14:textFill>
              </w:rPr>
              <w:t>转移/委托处置量（t/a）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adjustRightInd w:val="0"/>
              <w:snapToGrid w:val="0"/>
              <w:jc w:val="center"/>
              <w:rPr>
                <w:rFonts w:cs="Times New Roman" w:asciiTheme="minorEastAsia" w:hAnsiTheme="minorEastAsia"/>
                <w:color w:val="0D0D0D" w:themeColor="text1" w:themeTint="F2"/>
                <w:kern w:val="0"/>
                <w:sz w:val="2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0"/>
                <w:szCs w:val="21"/>
                <w:lang w:bidi="ar"/>
                <w14:textFill>
                  <w14:solidFill>
                    <w14:schemeClr w14:val="tx1">
                      <w14:lumMod w14:val="95000"/>
                      <w14:lumOff w14:val="5000"/>
                    </w14:schemeClr>
                  </w14:solidFill>
                </w14:textFill>
              </w:rPr>
              <w:t>脱硫泥渣</w:t>
            </w:r>
          </w:p>
        </w:tc>
        <w:tc>
          <w:tcPr>
            <w:tcW w:w="1701" w:type="dxa"/>
            <w:vAlign w:val="center"/>
          </w:tcPr>
          <w:p>
            <w:pPr>
              <w:adjustRightInd w:val="0"/>
              <w:snapToGrid w:val="0"/>
              <w:jc w:val="center"/>
              <w:rPr>
                <w:rFonts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t>55</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外售55</w:t>
            </w:r>
          </w:p>
        </w:tc>
        <w:tc>
          <w:tcPr>
            <w:tcW w:w="1705" w:type="dxa"/>
            <w:vAlign w:val="center"/>
          </w:tcPr>
          <w:p>
            <w:pPr>
              <w:adjustRightInd w:val="0"/>
              <w:snapToGrid w:val="0"/>
              <w:spacing w:line="260" w:lineRule="exact"/>
              <w:ind w:left="-105" w:leftChars="-50" w:right="-105" w:rightChars="-5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adjustRightInd w:val="0"/>
              <w:snapToGrid w:val="0"/>
              <w:jc w:val="center"/>
              <w:rPr>
                <w:rFonts w:cs="Times New Roman" w:asciiTheme="minorEastAsia" w:hAnsiTheme="minorEastAsia"/>
                <w:color w:val="0D0D0D" w:themeColor="text1" w:themeTint="F2"/>
                <w:kern w:val="0"/>
                <w:sz w:val="2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0"/>
                <w:szCs w:val="21"/>
                <w:lang w:bidi="ar"/>
                <w14:textFill>
                  <w14:solidFill>
                    <w14:schemeClr w14:val="tx1">
                      <w14:lumMod w14:val="95000"/>
                      <w14:lumOff w14:val="5000"/>
                    </w14:schemeClr>
                  </w14:solidFill>
                </w14:textFill>
              </w:rPr>
              <w:t>收集粉尘</w:t>
            </w:r>
          </w:p>
        </w:tc>
        <w:tc>
          <w:tcPr>
            <w:tcW w:w="1701" w:type="dxa"/>
            <w:vAlign w:val="center"/>
          </w:tcPr>
          <w:p>
            <w:pPr>
              <w:adjustRightInd w:val="0"/>
              <w:snapToGrid w:val="0"/>
              <w:jc w:val="center"/>
              <w:rPr>
                <w:rFonts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t>35</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外售35</w:t>
            </w:r>
          </w:p>
        </w:tc>
        <w:tc>
          <w:tcPr>
            <w:tcW w:w="1705" w:type="dxa"/>
            <w:vAlign w:val="center"/>
          </w:tcPr>
          <w:p>
            <w:pPr>
              <w:adjustRightInd w:val="0"/>
              <w:snapToGrid w:val="0"/>
              <w:spacing w:line="260" w:lineRule="exact"/>
              <w:ind w:left="-105" w:leftChars="-50" w:right="-105" w:rightChars="-5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adjustRightInd w:val="0"/>
              <w:snapToGrid w:val="0"/>
              <w:jc w:val="center"/>
              <w:rPr>
                <w:rFonts w:cs="Times New Roman" w:asciiTheme="minorEastAsia" w:hAnsiTheme="minorEastAsia"/>
                <w:color w:val="0D0D0D" w:themeColor="text1" w:themeTint="F2"/>
                <w:kern w:val="0"/>
                <w:sz w:val="20"/>
                <w:szCs w:val="21"/>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0"/>
                <w:szCs w:val="21"/>
                <w:lang w:bidi="ar"/>
                <w14:textFill>
                  <w14:solidFill>
                    <w14:schemeClr w14:val="tx1">
                      <w14:lumMod w14:val="95000"/>
                      <w14:lumOff w14:val="5000"/>
                    </w14:schemeClr>
                  </w14:solidFill>
                </w14:textFill>
              </w:rPr>
              <w:t>脱水污泥</w:t>
            </w:r>
          </w:p>
        </w:tc>
        <w:tc>
          <w:tcPr>
            <w:tcW w:w="1701" w:type="dxa"/>
            <w:vAlign w:val="center"/>
          </w:tcPr>
          <w:p>
            <w:pPr>
              <w:adjustRightInd w:val="0"/>
              <w:snapToGrid w:val="0"/>
              <w:jc w:val="center"/>
              <w:rPr>
                <w:rFonts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t>25</w:t>
            </w:r>
          </w:p>
        </w:tc>
        <w:tc>
          <w:tcPr>
            <w:tcW w:w="3594" w:type="dxa"/>
            <w:gridSpan w:val="2"/>
            <w:vAlign w:val="center"/>
          </w:tcPr>
          <w:p>
            <w:pPr>
              <w:adjustRightInd w:val="0"/>
              <w:snapToGrid w:val="0"/>
              <w:spacing w:line="260" w:lineRule="exact"/>
              <w:ind w:left="-105" w:leftChars="-50" w:right="-105" w:rightChars="-5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送垃圾填埋场处理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adjustRightInd w:val="0"/>
              <w:snapToGrid w:val="0"/>
              <w:jc w:val="center"/>
              <w:rPr>
                <w:rFonts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t>生活垃圾</w:t>
            </w:r>
          </w:p>
        </w:tc>
        <w:tc>
          <w:tcPr>
            <w:tcW w:w="1701" w:type="dxa"/>
            <w:vAlign w:val="center"/>
          </w:tcPr>
          <w:p>
            <w:pPr>
              <w:adjustRightInd w:val="0"/>
              <w:snapToGrid w:val="0"/>
              <w:jc w:val="center"/>
              <w:rPr>
                <w:rFonts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0"/>
                <w:szCs w:val="20"/>
                <w14:textFill>
                  <w14:solidFill>
                    <w14:schemeClr w14:val="tx1">
                      <w14:lumMod w14:val="95000"/>
                      <w14:lumOff w14:val="5000"/>
                    </w14:schemeClr>
                  </w14:solidFill>
                </w14:textFill>
              </w:rPr>
              <w:t>6.0</w:t>
            </w:r>
          </w:p>
        </w:tc>
        <w:tc>
          <w:tcPr>
            <w:tcW w:w="3594" w:type="dxa"/>
            <w:gridSpan w:val="2"/>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交环卫部门转运垃圾填埋场处理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危险废物</w:t>
            </w: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废脱硝催化剂</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3.0</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废活性炭</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18.2</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废紫外灯管</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废油泥渣</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45</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水封罐底泥</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1.2</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101" w:type="dxa"/>
            <w:vMerge w:val="continue"/>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2126"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隔油浮渣</w:t>
            </w:r>
          </w:p>
        </w:tc>
        <w:tc>
          <w:tcPr>
            <w:tcW w:w="1701"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p>
        </w:tc>
        <w:tc>
          <w:tcPr>
            <w:tcW w:w="1889"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w:t>
            </w:r>
          </w:p>
        </w:tc>
        <w:tc>
          <w:tcPr>
            <w:tcW w:w="1705" w:type="dxa"/>
            <w:vAlign w:val="center"/>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噪声</w:t>
            </w:r>
          </w:p>
        </w:tc>
        <w:tc>
          <w:tcPr>
            <w:tcW w:w="3827" w:type="dxa"/>
            <w:gridSpan w:val="2"/>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产生源强：70-90 dB（A）</w:t>
            </w:r>
          </w:p>
        </w:tc>
        <w:tc>
          <w:tcPr>
            <w:tcW w:w="3594" w:type="dxa"/>
            <w:gridSpan w:val="2"/>
          </w:tcPr>
          <w:p>
            <w:pPr>
              <w:spacing w:line="240" w:lineRule="atLeast"/>
              <w:jc w:val="center"/>
              <w:rPr>
                <w:rFonts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18"/>
                <w:szCs w:val="18"/>
                <w14:textFill>
                  <w14:solidFill>
                    <w14:schemeClr w14:val="tx1">
                      <w14:lumMod w14:val="95000"/>
                      <w14:lumOff w14:val="5000"/>
                    </w14:schemeClr>
                  </w14:solidFill>
                </w14:textFill>
              </w:rPr>
              <w:t>排放源强：55-75 dB（A）</w:t>
            </w:r>
          </w:p>
        </w:tc>
      </w:tr>
    </w:tbl>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44" w:name="_Toc489812800"/>
      <w:bookmarkStart w:id="45" w:name="_Toc13783"/>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2.</w:t>
      </w:r>
      <w:r>
        <w:rPr>
          <w:rFonts w:hint="eastAsia"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7</w:t>
      </w:r>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 xml:space="preserve"> 清洁生产</w:t>
      </w:r>
      <w:bookmarkEnd w:id="44"/>
      <w:r>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t>分析</w:t>
      </w:r>
      <w:bookmarkEnd w:id="45"/>
    </w:p>
    <w:p>
      <w:pPr>
        <w:keepNext/>
        <w:keepLines/>
        <w:adjustRightInd w:val="0"/>
        <w:snapToGrid w:val="0"/>
        <w:spacing w:line="360" w:lineRule="auto"/>
        <w:outlineLvl w:val="2"/>
        <w:rPr>
          <w:rFonts w:cs="Times New Roman" w:asciiTheme="minorEastAsia" w:hAnsiTheme="minorEastAsia"/>
          <w:b/>
          <w:bCs/>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 清洁生产指导思想及要求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工业企业实施清洁生产的根本目的是通过对生产全过程控制以实现节能、降耗，减污增效。工业企业推行清洁生产，从行业层面上讲，将主要通过产品结构上讲，将主要通过产品结构调整，生产出市场适销对路、高品质、低污染型产品，从而达到生产规模不断扩大给人类和环境带来的风险大大减少，实现工业企业的可持续发展目的。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清洁生产是一种新的污染防止战略。它是将整体预防的环境战略持续应用于生产的全过程、产品和服务中，以增加生态效率</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减少</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人类及环境的风险。对于生产过程，要求节约原材料和能源，淘汰有毒材料，减少所有废弃物的数量和毒性；对产品，要求减少从原材料提炼到产品最终处置的全生命周期的不利影响；对服务要求将环境因素纳入设计和所提供的服务中。清洁生产就是使用更清洁的原料，采取更清洁的生产过程，生产更清洁的产品或提供更清洁服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 清洁生产分析</w:t>
      </w:r>
    </w:p>
    <w:p>
      <w:pPr>
        <w:widowControl/>
        <w:adjustRightInd w:val="0"/>
        <w:snapToGrid w:val="0"/>
        <w:spacing w:line="360" w:lineRule="auto"/>
        <w:jc w:val="left"/>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2.7.2.1项目清洁生产指标分析</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目前废旧轮胎热裂解行业</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尚未</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出台清洁生产</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指标体系及</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标准，本</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次</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环评</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主要</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从以下几个方面</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对本项目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清洁生产</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指标</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进行分析：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1、产品的清洁性</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粗碳黑加工后</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可以</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作为</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橡胶制品（胶管、输送带、橡胶垫、鞋底、橡胶杂件等）的加强填料或者作为吸附剂代替商业碳黑，也可以用来制造打印油墨；副产品裂解油出售给相关企业进行脱硫</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、精炼</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等深加工再处理</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，生产成品油</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钢丝直接出售给相关钢铁企业回收利用。</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2、原辅材料的选用</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本项目属于废弃资源综合利用</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行业，</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原料</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为已经上游供货厂家切割去除钢圈及含氯元素橡胶、清洗等预处理后的</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废旧轮胎</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，进厂原料废旧轮胎不含氯元素，处理过程中不添加任何其他助剂；热裂解</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反应釜</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供热燃料主要是自身产生的</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以轻质柴油作为助燃</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燃料的使用</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因此</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项目原辅材料的选用符合清洁生产要求。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3、生产工艺与设备</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《废旧轮胎综合利用行业准入条件》中工艺与设备要求如下：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（1）再生橡胶生产采用动态法、常压连续再生法、力化学法等，再生橡胶生产企业应同步配套除尘设备、尾气净化装置、烟气及水处理装置。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（2）橡胶粉生产采用常温法，加工过程实现自动化，同步配套除尘、降噪装置。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（3）热解企业采用负压热解技术，配套油品分离装置、碳黑加工装置、尾气排放环保控制装置，生产过程实现集成自动化和连续化。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（4）采用其他先进加工利用技术方式。</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本项目采用微负压热解技术</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处理废轮胎</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热裂解炉燃烧室采用“3T+E”燃烧控制技术；</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生产过程实现集成自动化</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配套油品分离装置</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尾气排放环保控制装置</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废气采取“SCR脱硝反应器+二级雾化喷淋脱硫塔+除雾器+袋式除尘器+UV光解一体机+活性炭吸附装置”处理工艺；</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碳黑</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收集、包装工序</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配套除尘装置。因此，</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本项目建设基本符合《废旧轮胎综合利用行业准入条件》中工艺与设备要求</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4、资源及能源利用</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资源</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消耗</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及利用</w:t>
      </w:r>
    </w:p>
    <w:p>
      <w:pPr>
        <w:adjustRightInd w:val="0"/>
        <w:snapToGrid w:val="0"/>
        <w:spacing w:line="360" w:lineRule="auto"/>
        <w:ind w:firstLine="480" w:firstLineChars="20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本项目原料废旧轮胎为</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废旧</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资源</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来源广泛</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，且处理过程中不需要添加其他助剂辅料，无需消耗新鲜资源</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废轮胎经裂解后，可回收裂解油、粗碳黑、废钢丝等再生</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资源</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，用作其他产品的生产原料；</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裂解不凝气体作为裂解炉的</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供热系统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燃料，充分利用其热能</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，废轮胎原料资源化利用率达到99.5%</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工程营运期新鲜水消耗总量约78.2m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/d、23460t/a；其中，生产系统及废气处理系统新鲜水消耗量约71.08m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/d、21324t/a，折算处理单位废轮胎新鲜水耗为0.21t/t.废轮胎；生产系统冷却</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水</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及废气处理系统重复用水量约4247m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/d，工业用水重复利用率达到98.36%</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本工程</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资源</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消耗</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及利用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情况见表2.</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   项目</w:t>
      </w: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资源</w:t>
      </w:r>
      <w: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消耗</w:t>
      </w: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及利用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情况</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表     </w:t>
      </w:r>
    </w:p>
    <w:tbl>
      <w:tblPr>
        <w:tblStyle w:val="27"/>
        <w:tblW w:w="890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1123"/>
        <w:gridCol w:w="1124"/>
        <w:gridCol w:w="1170"/>
        <w:gridCol w:w="1237"/>
        <w:gridCol w:w="1414"/>
        <w:gridCol w:w="14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666" w:type="dxa"/>
            <w:gridSpan w:val="3"/>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资源投入</w:t>
            </w:r>
          </w:p>
        </w:tc>
        <w:tc>
          <w:tcPr>
            <w:tcW w:w="3821" w:type="dxa"/>
            <w:gridSpan w:val="3"/>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产出资源</w:t>
            </w:r>
          </w:p>
        </w:tc>
        <w:tc>
          <w:tcPr>
            <w:tcW w:w="1414" w:type="dxa"/>
            <w:vMerge w:val="restart"/>
            <w:vAlign w:val="center"/>
          </w:tcPr>
          <w:p>
            <w:pPr>
              <w:adjustRightInd w:val="0"/>
              <w:snapToGrid w:val="0"/>
              <w:jc w:val="center"/>
              <w:rPr>
                <w:rFonts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snapToGrid w:val="0"/>
                <w:color w:val="0D0D0D" w:themeColor="text1" w:themeTint="F2"/>
                <w:kern w:val="0"/>
                <w:sz w:val="18"/>
                <w:szCs w:val="18"/>
                <w14:textFill>
                  <w14:solidFill>
                    <w14:schemeClr w14:val="tx1">
                      <w14:lumMod w14:val="95000"/>
                      <w14:lumOff w14:val="5000"/>
                    </w14:schemeClr>
                  </w14:solidFill>
                </w14:textFill>
              </w:rPr>
              <w:t>资源利用率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419"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名称</w:t>
            </w:r>
          </w:p>
        </w:tc>
        <w:tc>
          <w:tcPr>
            <w:tcW w:w="1123"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资源类别</w:t>
            </w:r>
          </w:p>
        </w:tc>
        <w:tc>
          <w:tcPr>
            <w:tcW w:w="1124"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数量（t/a）</w:t>
            </w:r>
          </w:p>
        </w:tc>
        <w:tc>
          <w:tcPr>
            <w:tcW w:w="1170"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名称</w:t>
            </w:r>
          </w:p>
        </w:tc>
        <w:tc>
          <w:tcPr>
            <w:tcW w:w="1237"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资源类别</w:t>
            </w:r>
          </w:p>
        </w:tc>
        <w:tc>
          <w:tcPr>
            <w:tcW w:w="1414"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数量（t/a）</w:t>
            </w:r>
          </w:p>
        </w:tc>
        <w:tc>
          <w:tcPr>
            <w:tcW w:w="1414" w:type="dxa"/>
            <w:vMerge w:val="continue"/>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41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废旧轮胎</w:t>
            </w:r>
          </w:p>
        </w:tc>
        <w:tc>
          <w:tcPr>
            <w:tcW w:w="112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废旧资源</w:t>
            </w:r>
          </w:p>
        </w:tc>
        <w:tc>
          <w:tcPr>
            <w:tcW w:w="112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100000</w:t>
            </w:r>
          </w:p>
        </w:tc>
        <w:tc>
          <w:tcPr>
            <w:tcW w:w="1170" w:type="dxa"/>
            <w:vAlign w:val="center"/>
          </w:tcPr>
          <w:p>
            <w:pPr>
              <w:adjustRightInd w:val="0"/>
              <w:snapToGrid w:val="0"/>
              <w:ind w:left="4" w:leftChars="2"/>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粗</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碳黑</w:t>
            </w:r>
          </w:p>
        </w:tc>
        <w:tc>
          <w:tcPr>
            <w:tcW w:w="123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再生资源</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35000</w:t>
            </w:r>
          </w:p>
        </w:tc>
        <w:tc>
          <w:tcPr>
            <w:tcW w:w="1414"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41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2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2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70" w:type="dxa"/>
            <w:vAlign w:val="center"/>
          </w:tcPr>
          <w:p>
            <w:pPr>
              <w:adjustRightInd w:val="0"/>
              <w:snapToGrid w:val="0"/>
              <w:ind w:left="4" w:leftChars="2"/>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裂解油</w:t>
            </w:r>
          </w:p>
        </w:tc>
        <w:tc>
          <w:tcPr>
            <w:tcW w:w="123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再生资源</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45000</w:t>
            </w:r>
          </w:p>
        </w:tc>
        <w:tc>
          <w:tcPr>
            <w:tcW w:w="141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41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2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2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70" w:type="dxa"/>
            <w:vAlign w:val="center"/>
          </w:tcPr>
          <w:p>
            <w:pPr>
              <w:adjustRightInd w:val="0"/>
              <w:snapToGrid w:val="0"/>
              <w:ind w:left="4" w:leftChars="2"/>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废</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钢丝</w:t>
            </w:r>
          </w:p>
        </w:tc>
        <w:tc>
          <w:tcPr>
            <w:tcW w:w="123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废旧资源</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12000</w:t>
            </w:r>
          </w:p>
        </w:tc>
        <w:tc>
          <w:tcPr>
            <w:tcW w:w="141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41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2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2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170" w:type="dxa"/>
            <w:vAlign w:val="center"/>
          </w:tcPr>
          <w:p>
            <w:pPr>
              <w:adjustRightInd w:val="0"/>
              <w:snapToGrid w:val="0"/>
              <w:ind w:left="4" w:leftChars="2"/>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不凝气</w:t>
            </w:r>
          </w:p>
        </w:tc>
        <w:tc>
          <w:tcPr>
            <w:tcW w:w="123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再生资源</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7500</w:t>
            </w:r>
          </w:p>
        </w:tc>
        <w:tc>
          <w:tcPr>
            <w:tcW w:w="141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41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全厂用水</w:t>
            </w:r>
          </w:p>
        </w:tc>
        <w:tc>
          <w:tcPr>
            <w:tcW w:w="112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新鲜水</w:t>
            </w:r>
          </w:p>
        </w:tc>
        <w:tc>
          <w:tcPr>
            <w:tcW w:w="112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23460</w:t>
            </w:r>
          </w:p>
        </w:tc>
        <w:tc>
          <w:tcPr>
            <w:tcW w:w="1170" w:type="dxa"/>
            <w:vAlign w:val="center"/>
          </w:tcPr>
          <w:p>
            <w:pPr>
              <w:adjustRightInd w:val="0"/>
              <w:snapToGrid w:val="0"/>
              <w:ind w:left="4" w:leftChars="2"/>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23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419"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生产用水</w:t>
            </w:r>
          </w:p>
        </w:tc>
        <w:tc>
          <w:tcPr>
            <w:tcW w:w="112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新鲜水</w:t>
            </w:r>
          </w:p>
        </w:tc>
        <w:tc>
          <w:tcPr>
            <w:tcW w:w="112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21324</w:t>
            </w:r>
          </w:p>
        </w:tc>
        <w:tc>
          <w:tcPr>
            <w:tcW w:w="1170" w:type="dxa"/>
            <w:vAlign w:val="center"/>
          </w:tcPr>
          <w:p>
            <w:pPr>
              <w:adjustRightInd w:val="0"/>
              <w:snapToGrid w:val="0"/>
              <w:ind w:left="4" w:leftChars="2"/>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23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414"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重复利用率98.36%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419"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2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回用水</w:t>
            </w:r>
          </w:p>
        </w:tc>
        <w:tc>
          <w:tcPr>
            <w:tcW w:w="112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1274100</w:t>
            </w:r>
          </w:p>
        </w:tc>
        <w:tc>
          <w:tcPr>
            <w:tcW w:w="1170" w:type="dxa"/>
            <w:vAlign w:val="center"/>
          </w:tcPr>
          <w:p>
            <w:pPr>
              <w:adjustRightInd w:val="0"/>
              <w:snapToGrid w:val="0"/>
              <w:ind w:left="4" w:leftChars="2"/>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237"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414"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41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bl>
    <w:p>
      <w:pPr>
        <w:widowControl/>
        <w:adjustRightInd w:val="0"/>
        <w:snapToGrid w:val="0"/>
        <w:spacing w:before="156" w:beforeLines="50"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（2）能源消耗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根据建设单位提供资料，本项目综合能耗折合标准煤为10</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折算处理单位废轮胎综合能耗为1.015kg标煤/t.废轮胎。工程</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能源消耗</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估算</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详见表2.</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 </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-2   </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项目</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综合能耗估算表     </w:t>
      </w:r>
    </w:p>
    <w:tbl>
      <w:tblPr>
        <w:tblStyle w:val="27"/>
        <w:tblW w:w="896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342"/>
        <w:gridCol w:w="2592"/>
        <w:gridCol w:w="1113"/>
        <w:gridCol w:w="1559"/>
        <w:gridCol w:w="16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dxa"/>
            <w:vMerge w:val="restart"/>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序号</w:t>
            </w:r>
          </w:p>
        </w:tc>
        <w:tc>
          <w:tcPr>
            <w:tcW w:w="1342" w:type="dxa"/>
            <w:vMerge w:val="restart"/>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能源名称</w:t>
            </w:r>
          </w:p>
        </w:tc>
        <w:tc>
          <w:tcPr>
            <w:tcW w:w="2592" w:type="dxa"/>
            <w:vMerge w:val="restart"/>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标煤系数</w:t>
            </w:r>
          </w:p>
        </w:tc>
        <w:tc>
          <w:tcPr>
            <w:tcW w:w="4361" w:type="dxa"/>
            <w:gridSpan w:val="3"/>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正常</w:t>
            </w: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达产</w:t>
            </w: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年能耗估算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dxa"/>
            <w:vMerge w:val="continue"/>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1342" w:type="dxa"/>
            <w:vMerge w:val="continue"/>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2592" w:type="dxa"/>
            <w:vMerge w:val="continue"/>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p>
        </w:tc>
        <w:tc>
          <w:tcPr>
            <w:tcW w:w="1113"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单位</w:t>
            </w:r>
          </w:p>
        </w:tc>
        <w:tc>
          <w:tcPr>
            <w:tcW w:w="1559"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消耗量</w:t>
            </w:r>
          </w:p>
        </w:tc>
        <w:tc>
          <w:tcPr>
            <w:tcW w:w="1689" w:type="dxa"/>
            <w:vAlign w:val="center"/>
          </w:tcPr>
          <w:p>
            <w:pPr>
              <w:widowControl/>
              <w:adjustRightInd w:val="0"/>
              <w:snapToGrid w:val="0"/>
              <w:jc w:val="cente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折</w:t>
            </w:r>
            <w:r>
              <w:rPr>
                <w:rFonts w:cs="Times New Roman" w:asciiTheme="minorEastAsia" w:hAnsiTheme="minorEastAsia"/>
                <w:snapToGrid w:val="0"/>
                <w:color w:val="0D0D0D" w:themeColor="text1" w:themeTint="F2"/>
                <w:kern w:val="0"/>
                <w:sz w:val="18"/>
                <w:szCs w:val="18"/>
                <w14:textFill>
                  <w14:solidFill>
                    <w14:schemeClr w14:val="tx1">
                      <w14:lumMod w14:val="95000"/>
                      <w14:lumOff w14:val="5000"/>
                    </w14:schemeClr>
                  </w14:solidFill>
                </w14:textFill>
              </w:rPr>
              <w:t>标煤量（t/a）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342"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电能</w:t>
            </w:r>
          </w:p>
        </w:tc>
        <w:tc>
          <w:tcPr>
            <w:tcW w:w="2592"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0.1229（kg标煤/kW·h）</w:t>
            </w:r>
          </w:p>
        </w:tc>
        <w:tc>
          <w:tcPr>
            <w:tcW w:w="111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kW·h</w:t>
            </w:r>
          </w:p>
        </w:tc>
        <w:tc>
          <w:tcPr>
            <w:tcW w:w="155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64.8</w:t>
            </w:r>
          </w:p>
        </w:tc>
        <w:tc>
          <w:tcPr>
            <w:tcW w:w="168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79.64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0"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342"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轻质柴油</w:t>
            </w:r>
          </w:p>
        </w:tc>
        <w:tc>
          <w:tcPr>
            <w:tcW w:w="2592"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1.4571（kg标煤/kg）</w:t>
            </w:r>
          </w:p>
        </w:tc>
        <w:tc>
          <w:tcPr>
            <w:tcW w:w="1113"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t</w:t>
            </w:r>
          </w:p>
        </w:tc>
        <w:tc>
          <w:tcPr>
            <w:tcW w:w="155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168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76" w:type="dxa"/>
            <w:gridSpan w:val="5"/>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合计</w:t>
            </w:r>
          </w:p>
        </w:tc>
        <w:tc>
          <w:tcPr>
            <w:tcW w:w="168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kern w:val="0"/>
          <w:sz w:val="24"/>
          <w:szCs w:val="24"/>
          <w:lang w:bidi="ar"/>
          <w14:textFill>
            <w14:solidFill>
              <w14:schemeClr w14:val="tx1">
                <w14:lumMod w14:val="95000"/>
                <w14:lumOff w14:val="5000"/>
              </w14:schemeClr>
            </w14:solidFill>
          </w14:textFill>
        </w:rPr>
        <w:t>5、污染物产生指标分析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工程采用的微负压热解技术对废轮胎热裂解处理彻底，再生资源回收率较高，裂解不凝气作为热裂解炉供热燃料利用，含油废水焚烧处理，可减少处理过程中污染物产生量，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有效解决废轮胎处置过程中的</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造成的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黑色污染</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项目营运期主要污染物产生指标分析如下：</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（1）废水</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及水污染物</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产生指标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项目营运期处理废轮胎10万t/a，废水产生总量约8190t/a，COD产生量约4.824t/a。经核算，工程处理单位废轮胎废水产生指标为0.05t/t.废轮胎，COD指标为0.078kg/t.废轮胎。</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大气污染物</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产生指标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工程营运期燃烧废气烟尘产生总量约20.71t/a，SO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产生总量约39.981t/a，NOx产生总量约19.797t/a；经核算，处理单位废轮胎烟尘产生指标为0.207kg/t.废轮胎，SO</w:t>
      </w:r>
      <w:r>
        <w:rPr>
          <w:rFonts w:hint="eastAsia"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产生指标为0.4kg/t.废轮胎，NOx产生指标为0.198kg/t.废轮胎。</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工业</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固体废物产生指标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工程营运期各类工业固废产生总量约157.6t/a，处理单位废轮胎工业固体废物产生指标为0.0016t/t.废轮胎。</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由上</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分析可知，本项目营运期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污染物产生指标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较低</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6、</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生产</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过程控制</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项目生产过程控制采用的清洁生产措施主要有：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（1）微负压操作 </w:t>
      </w:r>
    </w:p>
    <w:p>
      <w:pPr>
        <w:widowControl/>
        <w:adjustRightInd w:val="0"/>
        <w:snapToGrid w:val="0"/>
        <w:spacing w:line="360" w:lineRule="auto"/>
        <w:ind w:firstLine="480" w:firstLineChars="20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合成橡胶是石油中的烯烃在高压下催化聚合而成，裂解是其逆反应，让橡胶返回到油。改革开放初期引进的技术是高压裂解技术，其主要缺点是泄漏严重，外泄物臭味大，严重影响周围的环境，在环境保护上存在问题，而且油的收率低。</w:t>
      </w:r>
    </w:p>
    <w:p>
      <w:pPr>
        <w:widowControl/>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本次工程裂解炉</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采用微负压</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操作工艺，在裂解反应釜裂解气出口处设置减压过滤</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系统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提高了</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设备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密闭性，杜绝了裂解</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气体外泄，提高出油率和碳黑的质量，而且从根本上消除了由于</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裂解气泄漏</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而带来的劳动安全，工业卫生，环境保护，防火等一系列问题。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（2）采用缺氧或无氧技术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本项目选用的</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热裂解炉体密封性能</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较高</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，废橡胶</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轮胎</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 xml:space="preserve">在缺氧或无氧的状态下裂解，减少了热量损失，增加了裂解设备的安全性能。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（3）提高热能回收利用</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效率</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传统热裂解工艺</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过程中产生的裂解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气主要是直接排放或者经燃烧后排放，</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热能利用率较低。本</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项目裂解</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不凝</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气（主要是小于C</w:t>
      </w:r>
      <w:r>
        <w:rPr>
          <w:rFonts w:cs="Times New Roman" w:asciiTheme="minorEastAsia" w:hAnsiTheme="minorEastAsia"/>
          <w:color w:val="0D0D0D" w:themeColor="text1" w:themeTint="F2"/>
          <w:kern w:val="0"/>
          <w:sz w:val="24"/>
          <w:szCs w:val="24"/>
          <w:u w:val="single"/>
          <w:vertAlign w:val="subscript"/>
          <w:lang w:bidi="ar"/>
          <w14:textFill>
            <w14:solidFill>
              <w14:schemeClr w14:val="tx1">
                <w14:lumMod w14:val="95000"/>
                <w14:lumOff w14:val="5000"/>
              </w14:schemeClr>
            </w14:solidFill>
          </w14:textFill>
        </w:rPr>
        <w:t>6</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的烃气）经水封</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罐</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处理后</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进入裂解炉</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燃烧室</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为裂解系统</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提供执量，少量多余裂解气引到</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余气</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装置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燃烧处理，</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并对生产系统产生的含油废水进行焚烧处理，可提高热能利用率，</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减少能源消耗</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，同时，</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降低裂解气</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和含油废水</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排放对</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环境</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的影响。</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（4）应用无剥离技术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上世纪90年代，废轮胎先经过抽钢丝、切块、粉碎、除纤维、磁选等工序，先制成2cm左右胶粒，才能进行热裂解，被称有剥离的热裂解技术。</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项目采用无剥离热裂解技术，轮胎</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无需剥离处理可直接</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进行热裂解，两种技术相比较，电能消耗降低38％以上，</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即可</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降低能耗</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，又能</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提高经济效益。</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末端治理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治理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生产系统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产生的</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含油</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废水全部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焚烧处理；废气处理系统排放废水及厂区初期雨水隔油预处理后，一同生活污水进入一体化污水处理设施处理达标后，进入城市污水厂处理后排放地表水体，对水环境影响较小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废气治理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：项目裂解反应釜燃烧室</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及余气燃烧装置产生烟气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采用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SCR脱硝反应器</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二级雾化喷淋脱硫塔</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+除雾器+袋式除尘器+UV光解一体机+活性炭吸附装置”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主要大气污染物</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烟尘、</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SO</w:t>
      </w:r>
      <w:r>
        <w:rPr>
          <w:rFonts w:cs="Times New Roman"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NO</w:t>
      </w:r>
      <w:r>
        <w:rPr>
          <w:rFonts w:cs="Times New Roman"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x</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排放浓度可满足河南省地方标准</w:t>
      </w:r>
      <w:r>
        <w:rPr>
          <w:rFonts w:cs="Times New Roman" w:asciiTheme="minorEastAsia" w:hAnsiTheme="minorEastAsia"/>
          <w:color w:val="0D0D0D" w:themeColor="text1" w:themeTint="F2"/>
          <w:sz w:val="24"/>
          <w:szCs w:val="32"/>
          <w14:textFill>
            <w14:solidFill>
              <w14:schemeClr w14:val="tx1">
                <w14:lumMod w14:val="95000"/>
                <w14:lumOff w14:val="5000"/>
              </w14:schemeClr>
            </w14:solidFill>
          </w14:textFill>
        </w:rPr>
        <w:t>《燃煤电厂大气污染物排放标准》（DB41/1424-2017）表1排放限值要求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、NH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排放可</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满足</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《恶臭污染物排放标准》（GB14554-93）表1中二级标准要求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；苯并[a]芘排放浓度满足《石油化学工业污染物排放标准》（GB31571-2015）表6标准限值要求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粗碳黑采用密闭收集工艺，收集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碳黑</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粉尘通过袋除尘器处理后，碳黑尘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排放能够满足《大气污染物综合排放标准》（GB16297-1996）中表2二级标准要求。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固废处置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：本项目产生的固体废物均得到综合利用或者合理处置。</w:t>
      </w:r>
    </w:p>
    <w:p>
      <w:pPr>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8、DCS及SIS自动化控制系统设计方案</w:t>
      </w:r>
    </w:p>
    <w:p>
      <w:pPr>
        <w:spacing w:line="360" w:lineRule="auto"/>
        <w:ind w:firstLine="436" w:firstLineChars="182"/>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按照项目生产工艺过程控制方案，项目建立生产系统总控制室，设置DCS及SIS自动化控制系统，主要包括：</w:t>
      </w:r>
    </w:p>
    <w:p>
      <w:pPr>
        <w:spacing w:line="360" w:lineRule="auto"/>
        <w:ind w:firstLine="319" w:firstLineChars="133"/>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1）热裂解炉工作过程采用DCS控制，包括热裂解反应釜温度和压力的报警和联锁系统、可燃气体泄漏检测报警装置等；所有反应釜均设置紧急切断动力系统、紧急冷却系统、紧急出料系统，并配备安全阀、爆破片等安全设施。</w:t>
      </w:r>
    </w:p>
    <w:p>
      <w:pPr>
        <w:spacing w:line="360" w:lineRule="auto"/>
        <w:ind w:firstLine="319" w:firstLineChars="133"/>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（2）热裂解油的输送采用DCS系统远程控制。油品储罐区设置DCS系统，主要储罐的液位和压力，设置压力高低报警和液位高低报警装置。</w:t>
      </w:r>
    </w:p>
    <w:p>
      <w:pPr>
        <w:spacing w:line="360" w:lineRule="auto"/>
        <w:ind w:firstLine="319" w:firstLineChars="133"/>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（3）热裂解气体管道输送及缓冲储存设备、燃烧装置采用DCS控制，包括气体压力的报警和联锁系统、可燃气体泄漏检测报警装置等；燃烧装置设置安全阀、爆破片、紧急切断阀门等安全设施。</w:t>
      </w:r>
    </w:p>
    <w:p>
      <w:pPr>
        <w:spacing w:line="360" w:lineRule="auto"/>
        <w:ind w:firstLine="319" w:firstLineChars="133"/>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（4）设置全厂SIS可视监控控制系统，主要对热裂解车间、裂解油储罐区、废气处理系统等进行监控，监控生产过程、生产设备及废气处理设施运行性能，实现生产实时信息与管理信息的共享。</w:t>
      </w:r>
    </w:p>
    <w:p>
      <w:pPr>
        <w:widowControl/>
        <w:adjustRightInd w:val="0"/>
        <w:snapToGrid w:val="0"/>
        <w:spacing w:line="360" w:lineRule="auto"/>
        <w:ind w:firstLine="482"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9</w:t>
      </w:r>
      <w: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 xml:space="preserve">、环境管理指标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（1）将清洁生产纳入公司正常工作，每年组织一次清洁生产考核。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（2）在企业管理制度中明确规定清洁生产为本企业的基本制度。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（3）定期组织举办清洁生产培训班，以推动清洁生产工作不断深入。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（4）制定物料消耗、能源消耗考核指标，废水、废气排放考核指标，加强管理考核。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（5）奖惩制度考核情况：将清洁生产指标纳入经济责任制管理中。 </w:t>
      </w:r>
    </w:p>
    <w:p>
      <w:pPr>
        <w:widowControl/>
        <w:adjustRightInd w:val="0"/>
        <w:snapToGrid w:val="0"/>
        <w:spacing w:line="360" w:lineRule="auto"/>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2.7.2.2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同行业</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同类型企业对比情况</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本评价收集</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河南伊克斯达再生资源有限公司规划年处理废旧橡胶20万吨项目、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尤溪县胜安再生资源有限公司年产16000吨半补强碳黑项目、明溪王山碳黑厂年产半补强碳黑11000吨建设项目的</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清洁生产指标，参考</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《废轮胎热裂解行业清洁生产审核方法</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研究</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对本次</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清洁生产指标与</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同行业</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同类型企业</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进行</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对比</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，具体各项</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指标</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比对情况</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见</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下</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表</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7</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sectPr>
          <w:pgSz w:w="11906" w:h="16838"/>
          <w:pgMar w:top="1440" w:right="1800" w:bottom="1440" w:left="1800" w:header="851" w:footer="992" w:gutter="0"/>
          <w:cols w:space="425" w:num="1"/>
          <w:docGrid w:type="lines" w:linePitch="312" w:charSpace="0"/>
        </w:sectPr>
      </w:pPr>
    </w:p>
    <w:p>
      <w:pPr>
        <w:widowControl/>
        <w:adjustRightInd w:val="0"/>
        <w:snapToGrid w:val="0"/>
        <w:spacing w:line="360" w:lineRule="auto"/>
        <w:jc w:val="center"/>
        <w:rPr>
          <w:rFonts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24"/>
          <w:szCs w:val="24"/>
          <w:lang w:bidi="ar"/>
          <w14:textFill>
            <w14:solidFill>
              <w14:schemeClr w14:val="tx1">
                <w14:lumMod w14:val="95000"/>
                <w14:lumOff w14:val="5000"/>
              </w14:schemeClr>
            </w14:solidFill>
          </w14:textFill>
        </w:rPr>
        <w:t>表2.7-3   项目与同行业清洁生产指标比对表</w:t>
      </w:r>
    </w:p>
    <w:tbl>
      <w:tblPr>
        <w:tblStyle w:val="28"/>
        <w:tblW w:w="14646"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2410"/>
        <w:gridCol w:w="1417"/>
        <w:gridCol w:w="2552"/>
        <w:gridCol w:w="2410"/>
        <w:gridCol w:w="2409"/>
        <w:gridCol w:w="2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t>指标类别</w:t>
            </w:r>
          </w:p>
        </w:tc>
        <w:tc>
          <w:tcPr>
            <w:tcW w:w="2410" w:type="dxa"/>
            <w:vMerge w:val="restart"/>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t>指标体系</w:t>
            </w:r>
          </w:p>
        </w:tc>
        <w:tc>
          <w:tcPr>
            <w:tcW w:w="1417" w:type="dxa"/>
            <w:vMerge w:val="restart"/>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t>单位</w:t>
            </w:r>
          </w:p>
        </w:tc>
        <w:tc>
          <w:tcPr>
            <w:tcW w:w="7371" w:type="dxa"/>
            <w:gridSpan w:val="3"/>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t>同行业企业情况</w:t>
            </w:r>
          </w:p>
        </w:tc>
        <w:tc>
          <w:tcPr>
            <w:tcW w:w="2455" w:type="dxa"/>
            <w:vMerge w:val="restart"/>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Merge w:val="continue"/>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p>
        </w:tc>
        <w:tc>
          <w:tcPr>
            <w:tcW w:w="1417" w:type="dxa"/>
            <w:vMerge w:val="continue"/>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lang w:bidi="ar"/>
                <w14:textFill>
                  <w14:solidFill>
                    <w14:schemeClr w14:val="tx1">
                      <w14:lumMod w14:val="95000"/>
                      <w14:lumOff w14:val="5000"/>
                    </w14:schemeClr>
                  </w14:solidFill>
                </w14:textFill>
              </w:rPr>
              <w:t>河南伊克斯达公司</w:t>
            </w:r>
          </w:p>
        </w:tc>
        <w:tc>
          <w:tcPr>
            <w:tcW w:w="2410" w:type="dxa"/>
            <w:vAlign w:val="center"/>
          </w:tcPr>
          <w:p>
            <w:pPr>
              <w:jc w:val="center"/>
              <w:rPr>
                <w:rFonts w:cs="Times New Roman" w:asciiTheme="minorEastAsia" w:hAnsiTheme="minorEastAsia" w:eastAsiaTheme="minorEastAsia"/>
                <w:color w:val="0D0D0D" w:themeColor="text1" w:themeTint="F2"/>
                <w:kern w:val="0"/>
                <w:sz w:val="15"/>
                <w:szCs w:val="15"/>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14:textFill>
                  <w14:solidFill>
                    <w14:schemeClr w14:val="tx1">
                      <w14:lumMod w14:val="95000"/>
                      <w14:lumOff w14:val="5000"/>
                    </w14:schemeClr>
                  </w14:solidFill>
                </w14:textFill>
              </w:rPr>
              <w:t>尤溪县胜安公司</w:t>
            </w:r>
          </w:p>
        </w:tc>
        <w:tc>
          <w:tcPr>
            <w:tcW w:w="2409" w:type="dxa"/>
            <w:vAlign w:val="center"/>
          </w:tcPr>
          <w:p>
            <w:pPr>
              <w:jc w:val="center"/>
              <w:rPr>
                <w:rFonts w:cs="Times New Roman" w:asciiTheme="minorEastAsia" w:hAnsiTheme="minorEastAsia" w:eastAsiaTheme="minorEastAsia"/>
                <w:color w:val="0D0D0D" w:themeColor="text1" w:themeTint="F2"/>
                <w:kern w:val="0"/>
                <w:sz w:val="15"/>
                <w:szCs w:val="15"/>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14:textFill>
                  <w14:solidFill>
                    <w14:schemeClr w14:val="tx1">
                      <w14:lumMod w14:val="95000"/>
                      <w14:lumOff w14:val="5000"/>
                    </w14:schemeClr>
                  </w14:solidFill>
                </w14:textFill>
              </w:rPr>
              <w:t>明溪王山碳黑厂</w:t>
            </w:r>
          </w:p>
        </w:tc>
        <w:tc>
          <w:tcPr>
            <w:tcW w:w="2455" w:type="dxa"/>
            <w:vMerge w:val="continue"/>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生产工艺及装备指标</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工艺类型</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有原料剥离，采用微负压、缺氧或无氧热裂解技术</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无原料剥离，采用微负压、缺氧或无氧热裂解技术</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无原料剥离，采用微负压、缺氧或无氧热裂解技术</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无原料剥离，采用微负压、缺氧或无氧热裂解技术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装备设备</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不使用国家禁止或淘汰装备设备</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14:textFill>
                  <w14:solidFill>
                    <w14:schemeClr w14:val="tx1">
                      <w14:lumMod w14:val="95000"/>
                      <w14:lumOff w14:val="5000"/>
                    </w14:schemeClr>
                  </w14:solidFill>
                </w14:textFill>
              </w:rPr>
              <w:t>不使用国家禁止或淘汰装备设备</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14:textFill>
                  <w14:solidFill>
                    <w14:schemeClr w14:val="tx1">
                      <w14:lumMod w14:val="95000"/>
                      <w14:lumOff w14:val="5000"/>
                    </w14:schemeClr>
                  </w14:solidFill>
                </w14:textFill>
              </w:rPr>
              <w:t>不使用国家禁止或淘汰装备设备</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b/>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14:textFill>
                  <w14:solidFill>
                    <w14:schemeClr w14:val="tx1">
                      <w14:lumMod w14:val="95000"/>
                      <w14:lumOff w14:val="5000"/>
                    </w14:schemeClr>
                  </w14:solidFill>
                </w14:textFill>
              </w:rPr>
              <w:t>不使用国家禁止或淘汰装备设备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清洁生产过程控制</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热裂解炉采用集成自动化+连续运行技术，有DCS及SIS自动化控制系统</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热裂解炉采用集成自动化技术，有DCS及SIS自动化控制系统</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热裂解炉采用集成自动化技术，有DCS及SIS自动化控制系统</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热裂解炉采用集成自动化技术，有DCS及SIS自动化控制系统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原料控制</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整胎购进，包括含氯元素橡胶轮胎</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整胎购进，包括含氯元素橡胶轮胎</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整胎购进，包括含氯元素橡胶轮胎</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购进经切割去除钢圈及含氯元素橡胶的废轮胎，原料不含氯元素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裂解不凝气利用</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进入热解炉燃烧室燃烧供热，无余气产生</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进入热解炉燃烧室燃烧供热，无余气产生</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进入热解炉燃烧室燃烧供热，无余气产生</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大部分进入热解炉燃烧室燃烧供热，少量余气燃烧处理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启动燃料</w:t>
            </w:r>
          </w:p>
        </w:tc>
        <w:tc>
          <w:tcPr>
            <w:tcW w:w="1417"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天然气</w:t>
            </w:r>
          </w:p>
        </w:tc>
        <w:tc>
          <w:tcPr>
            <w:tcW w:w="241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轻质柴油</w:t>
            </w:r>
          </w:p>
        </w:tc>
        <w:tc>
          <w:tcPr>
            <w:tcW w:w="2409"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轻质柴油</w:t>
            </w:r>
          </w:p>
        </w:tc>
        <w:tc>
          <w:tcPr>
            <w:tcW w:w="2455"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轻质柴油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助燃燃料</w:t>
            </w:r>
          </w:p>
        </w:tc>
        <w:tc>
          <w:tcPr>
            <w:tcW w:w="1417"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55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天然气</w:t>
            </w:r>
          </w:p>
        </w:tc>
        <w:tc>
          <w:tcPr>
            <w:tcW w:w="241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轻质柴油</w:t>
            </w:r>
          </w:p>
        </w:tc>
        <w:tc>
          <w:tcPr>
            <w:tcW w:w="2409"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轻质柴油</w:t>
            </w:r>
          </w:p>
        </w:tc>
        <w:tc>
          <w:tcPr>
            <w:tcW w:w="2455"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无需助燃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含油废水处置</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进污水站</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进污水站</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进污水站</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进入余气燃烧装置焚烧处理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资源消耗指标</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处理单位废轮胎综合能耗</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kg标煤/t.废轮胎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1.2</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1.25</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1.22</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处理单位废轮胎新鲜水耗</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t/t.废轮胎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2.35</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2.1</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1.25</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restart"/>
            <w:vAlign w:val="center"/>
          </w:tcPr>
          <w:p>
            <w:pPr>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资源综合利用指标</w:t>
            </w:r>
          </w:p>
        </w:tc>
        <w:tc>
          <w:tcPr>
            <w:tcW w:w="241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原料利用率</w:t>
            </w:r>
          </w:p>
        </w:tc>
        <w:tc>
          <w:tcPr>
            <w:tcW w:w="1417"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99.2</w:t>
            </w:r>
          </w:p>
        </w:tc>
        <w:tc>
          <w:tcPr>
            <w:tcW w:w="2410"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99</w:t>
            </w:r>
          </w:p>
        </w:tc>
        <w:tc>
          <w:tcPr>
            <w:tcW w:w="2409"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99.1</w:t>
            </w:r>
          </w:p>
        </w:tc>
        <w:tc>
          <w:tcPr>
            <w:tcW w:w="2455"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5"/>
                <w:szCs w:val="15"/>
                <w:u w:val="single"/>
                <w:lang w:bidi="ar"/>
                <w14:textFill>
                  <w14:solidFill>
                    <w14:schemeClr w14:val="tx1">
                      <w14:lumMod w14:val="95000"/>
                      <w14:lumOff w14:val="5000"/>
                    </w14:schemeClr>
                  </w14:solidFill>
                </w14:textFill>
              </w:rPr>
              <w:t>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热裂解不凝气利用率</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100</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100</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100</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生产用水重复利用率</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88</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85</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84.2</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98.36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9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污染物产生指标</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处理单位废轮胎废水产生量</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t/t.废轮胎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0.08</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0.1</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0.12</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处理单位废轮胎COD产生量</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kg/t.废轮胎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0.085</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0.075</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0.092</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处理单位废轮胎烟尘产生量</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kg/t.废轮胎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0.2</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0.22</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0.23</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处理单位废轮胎SO</w:t>
            </w:r>
            <w:r>
              <w:rPr>
                <w:rFonts w:hint="eastAsia" w:cs="Times New Roman" w:asciiTheme="minorEastAsia" w:hAnsiTheme="minorEastAsia" w:eastAsiaTheme="minorEastAsia"/>
                <w:color w:val="0D0D0D" w:themeColor="text1" w:themeTint="F2"/>
                <w:kern w:val="0"/>
                <w:sz w:val="15"/>
                <w:szCs w:val="15"/>
                <w:u w:val="single"/>
                <w:vertAlign w:val="subscript"/>
                <w:lang w:bidi="ar"/>
                <w14:textFill>
                  <w14:solidFill>
                    <w14:schemeClr w14:val="tx1">
                      <w14:lumMod w14:val="95000"/>
                      <w14:lumOff w14:val="5000"/>
                    </w14:schemeClr>
                  </w14:solidFill>
                </w14:textFill>
              </w:rPr>
              <w:t>2</w:t>
            </w: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产生量</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kg/t.废轮胎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0.38</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0.42</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0.41</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处理单位废轮胎NO</w:t>
            </w:r>
            <w:r>
              <w:rPr>
                <w:rFonts w:hint="eastAsia" w:cs="Times New Roman" w:asciiTheme="minorEastAsia" w:hAnsiTheme="minorEastAsia" w:eastAsiaTheme="minorEastAsia"/>
                <w:color w:val="0D0D0D" w:themeColor="text1" w:themeTint="F2"/>
                <w:kern w:val="0"/>
                <w:sz w:val="15"/>
                <w:szCs w:val="15"/>
                <w:u w:val="single"/>
                <w:vertAlign w:val="subscript"/>
                <w:lang w:bidi="ar"/>
                <w14:textFill>
                  <w14:solidFill>
                    <w14:schemeClr w14:val="tx1">
                      <w14:lumMod w14:val="95000"/>
                      <w14:lumOff w14:val="5000"/>
                    </w14:schemeClr>
                  </w14:solidFill>
                </w14:textFill>
              </w:rPr>
              <w:t>x</w:t>
            </w: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产生量</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kg/t.废轮胎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0.18</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0.2</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0.21</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9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处理单位废轮胎工业固废产生量</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t/t.废轮胎</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0.0025</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0.0018</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0.002</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0.0016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993"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产品特征指标</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有毒有害物质限量</w:t>
            </w:r>
          </w:p>
        </w:tc>
        <w:tc>
          <w:tcPr>
            <w:tcW w:w="1417"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w:t>
            </w:r>
          </w:p>
        </w:tc>
        <w:tc>
          <w:tcPr>
            <w:tcW w:w="2552"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不含有毒物质</w:t>
            </w:r>
          </w:p>
        </w:tc>
        <w:tc>
          <w:tcPr>
            <w:tcW w:w="2410"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不含有毒物质</w:t>
            </w:r>
          </w:p>
        </w:tc>
        <w:tc>
          <w:tcPr>
            <w:tcW w:w="2409"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不含有毒物质</w:t>
            </w:r>
          </w:p>
        </w:tc>
        <w:tc>
          <w:tcPr>
            <w:tcW w:w="2455"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15"/>
                <w:szCs w:val="15"/>
                <w:u w:val="single"/>
                <w:lang w:bidi="ar"/>
                <w14:textFill>
                  <w14:solidFill>
                    <w14:schemeClr w14:val="tx1">
                      <w14:lumMod w14:val="95000"/>
                      <w14:lumOff w14:val="5000"/>
                    </w14:schemeClr>
                  </w14:solidFill>
                </w14:textFill>
              </w:rPr>
              <w:t>不含有毒物质</w:t>
            </w:r>
          </w:p>
        </w:tc>
      </w:tr>
    </w:tbl>
    <w:p>
      <w:pPr>
        <w:widowControl/>
        <w:adjustRightInd w:val="0"/>
        <w:snapToGrid w:val="0"/>
        <w:spacing w:line="240" w:lineRule="atLeast"/>
        <w:rPr>
          <w:rFonts w:cs="Times New Roman" w:asciiTheme="minorEastAsia" w:hAnsiTheme="minorEastAsia"/>
          <w:b/>
          <w:color w:val="0D0D0D" w:themeColor="text1" w:themeTint="F2"/>
          <w:kern w:val="0"/>
          <w:sz w:val="24"/>
          <w:szCs w:val="24"/>
          <w:u w:val="single"/>
          <w:lang w:bidi="ar"/>
          <w14:textFill>
            <w14:solidFill>
              <w14:schemeClr w14:val="tx1">
                <w14:lumMod w14:val="95000"/>
                <w14:lumOff w14:val="5000"/>
              </w14:schemeClr>
            </w14:solidFill>
          </w14:textFill>
        </w:rPr>
      </w:pPr>
    </w:p>
    <w:p>
      <w:pPr>
        <w:widowControl/>
        <w:adjustRightInd w:val="0"/>
        <w:snapToGrid w:val="0"/>
        <w:spacing w:line="240" w:lineRule="atLeast"/>
        <w:rPr>
          <w:rFonts w:cs="Times New Roman" w:asciiTheme="minorEastAsia" w:hAnsiTheme="minorEastAsia"/>
          <w:b/>
          <w:color w:val="0D0D0D" w:themeColor="text1" w:themeTint="F2"/>
          <w:kern w:val="0"/>
          <w:sz w:val="24"/>
          <w:szCs w:val="24"/>
          <w:u w:val="single"/>
          <w:lang w:bidi="ar"/>
          <w14:textFill>
            <w14:solidFill>
              <w14:schemeClr w14:val="tx1">
                <w14:lumMod w14:val="95000"/>
                <w14:lumOff w14:val="5000"/>
              </w14:schemeClr>
            </w14:solidFill>
          </w14:textFill>
        </w:rPr>
      </w:pPr>
    </w:p>
    <w:p>
      <w:pPr>
        <w:widowControl/>
        <w:adjustRightInd w:val="0"/>
        <w:snapToGrid w:val="0"/>
        <w:spacing w:line="360" w:lineRule="auto"/>
        <w:rPr>
          <w:rFonts w:cs="Times New Roman" w:asciiTheme="minorEastAsia" w:hAnsiTheme="minorEastAsia"/>
          <w:b/>
          <w:color w:val="0D0D0D" w:themeColor="text1" w:themeTint="F2"/>
          <w:kern w:val="0"/>
          <w:sz w:val="24"/>
          <w:szCs w:val="24"/>
          <w:u w:val="single"/>
          <w:lang w:bidi="ar"/>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从表2.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 可以看出，本项目各指标均与同行业相近，且部分指标优于同行业。</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因此，本项目清洁生产处于同行业先进水平之列。</w:t>
      </w:r>
    </w:p>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kern w:val="0"/>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清洁生产分析结论</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本项目选用成熟简单、先进可靠的技术工艺及生产设备，经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与同行业</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清洁生产指标对比分析，在原辅材料及成品、生产设备及技术工艺、物耗能耗、过程控制及管理、污染物产生、废弃物利用等方面，</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均达到同行业</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清洁生产</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先进水平；能够满足清洁生产要求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2.7.4 持续提高清洁生产水平建议</w:t>
      </w:r>
    </w:p>
    <w:p>
      <w:pPr>
        <w:spacing w:line="360" w:lineRule="auto"/>
        <w:ind w:firstLine="480"/>
        <w:jc w:val="left"/>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为进一步提高项目清洁生产水平，评价建议建设单位在落实项目清洁生产建设方案的基础上，应采取以下措施，持续提高项目清洁生产水平。</w:t>
      </w:r>
    </w:p>
    <w:p>
      <w:pPr>
        <w:spacing w:line="360" w:lineRule="auto"/>
        <w:ind w:firstLine="480"/>
        <w:jc w:val="left"/>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（1）运行期加强热裂解设备、废气处理设施、输气输油管道、阀门、储罐、水池的检修维护，消除油品、废气、废水的跑冒滴漏；</w:t>
      </w:r>
    </w:p>
    <w:p>
      <w:pPr>
        <w:spacing w:line="360" w:lineRule="auto"/>
        <w:ind w:firstLine="480"/>
        <w:jc w:val="left"/>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（2）优化热裂解气冷凝工艺，提高热裂解油回收率，减少废气产生量；</w:t>
      </w:r>
    </w:p>
    <w:p>
      <w:pPr>
        <w:spacing w:line="360" w:lineRule="auto"/>
        <w:ind w:firstLine="480"/>
        <w:jc w:val="left"/>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（3）优化粗碳黑出料、包装工艺，降低炭黑尘无组织排放；</w:t>
      </w:r>
    </w:p>
    <w:p>
      <w:pPr>
        <w:spacing w:line="360" w:lineRule="auto"/>
        <w:ind w:firstLine="480"/>
        <w:jc w:val="left"/>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（4）优化热裂解炉启动燃料，使用更清洁的能源。</w:t>
      </w:r>
    </w:p>
    <w:p>
      <w:pPr>
        <w:adjustRightInd w:val="0"/>
        <w:snapToGrid w:val="0"/>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keepNext/>
        <w:keepLines/>
        <w:adjustRightInd w:val="0"/>
        <w:snapToGrid w:val="0"/>
        <w:spacing w:before="335" w:beforeLines="100" w:after="335" w:afterLines="100" w:line="360" w:lineRule="auto"/>
        <w:jc w:val="center"/>
        <w:outlineLvl w:val="0"/>
        <w:rPr>
          <w:rFonts w:cs="Times New Roman" w:asciiTheme="minorEastAsia" w:hAnsiTheme="minorEastAsia"/>
          <w:b/>
          <w:kern w:val="44"/>
          <w:sz w:val="36"/>
          <w:szCs w:val="24"/>
        </w:rPr>
      </w:pPr>
      <w:bookmarkStart w:id="46" w:name="_Toc3352"/>
      <w:r>
        <w:rPr>
          <w:rFonts w:cs="Times New Roman" w:asciiTheme="minorEastAsia" w:hAnsiTheme="minorEastAsia"/>
          <w:b/>
          <w:kern w:val="44"/>
          <w:sz w:val="36"/>
          <w:szCs w:val="24"/>
        </w:rPr>
        <w:t xml:space="preserve">第三章  </w:t>
      </w:r>
      <w:r>
        <w:rPr>
          <w:rFonts w:hint="eastAsia" w:cs="Times New Roman" w:asciiTheme="minorEastAsia" w:hAnsiTheme="minorEastAsia"/>
          <w:b/>
          <w:kern w:val="44"/>
          <w:sz w:val="36"/>
          <w:szCs w:val="24"/>
        </w:rPr>
        <w:t>区域</w:t>
      </w:r>
      <w:r>
        <w:rPr>
          <w:rFonts w:cs="Times New Roman" w:asciiTheme="minorEastAsia" w:hAnsiTheme="minorEastAsia"/>
          <w:b/>
          <w:kern w:val="44"/>
          <w:sz w:val="36"/>
          <w:szCs w:val="24"/>
        </w:rPr>
        <w:t>环境</w:t>
      </w:r>
      <w:bookmarkEnd w:id="46"/>
      <w:r>
        <w:rPr>
          <w:rFonts w:hint="eastAsia" w:cs="Times New Roman" w:asciiTheme="minorEastAsia" w:hAnsiTheme="minorEastAsia"/>
          <w:b/>
          <w:kern w:val="44"/>
          <w:sz w:val="36"/>
          <w:szCs w:val="24"/>
        </w:rPr>
        <w:t>概况</w:t>
      </w:r>
    </w:p>
    <w:p>
      <w:pPr>
        <w:keepNext/>
        <w:keepLines/>
        <w:adjustRightInd w:val="0"/>
        <w:snapToGrid w:val="0"/>
        <w:spacing w:before="167" w:beforeLines="50" w:line="360" w:lineRule="auto"/>
        <w:outlineLvl w:val="1"/>
        <w:rPr>
          <w:rFonts w:cs="Times New Roman" w:asciiTheme="minorEastAsia" w:hAnsiTheme="minorEastAsia"/>
          <w:b/>
          <w:sz w:val="28"/>
          <w:szCs w:val="24"/>
        </w:rPr>
      </w:pPr>
      <w:bookmarkStart w:id="47" w:name="_Toc16904"/>
      <w:bookmarkStart w:id="48" w:name="_Toc432060772"/>
      <w:r>
        <w:rPr>
          <w:rFonts w:cs="Times New Roman" w:asciiTheme="minorEastAsia" w:hAnsiTheme="minorEastAsia"/>
          <w:b/>
          <w:sz w:val="28"/>
          <w:szCs w:val="24"/>
        </w:rPr>
        <w:t>3.1 自然环境概况</w:t>
      </w:r>
      <w:bookmarkEnd w:id="47"/>
      <w:bookmarkEnd w:id="48"/>
    </w:p>
    <w:p>
      <w:pPr>
        <w:keepNext/>
        <w:keepLines/>
        <w:adjustRightInd w:val="0"/>
        <w:snapToGrid w:val="0"/>
        <w:spacing w:before="167" w:beforeLines="50" w:line="360" w:lineRule="auto"/>
        <w:outlineLvl w:val="2"/>
        <w:rPr>
          <w:rFonts w:cs="Times New Roman" w:asciiTheme="minorEastAsia" w:hAnsiTheme="minorEastAsia"/>
          <w:b/>
          <w:sz w:val="24"/>
          <w:szCs w:val="24"/>
        </w:rPr>
      </w:pPr>
      <w:bookmarkStart w:id="49" w:name="_Toc432060773"/>
      <w:r>
        <w:rPr>
          <w:rFonts w:cs="Times New Roman" w:asciiTheme="minorEastAsia" w:hAnsiTheme="minorEastAsia"/>
          <w:b/>
          <w:sz w:val="24"/>
          <w:szCs w:val="24"/>
        </w:rPr>
        <w:t>3.1.1 地理位置</w:t>
      </w:r>
      <w:bookmarkEnd w:id="49"/>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位于河南省中南部，隶属驻马店市，居驻马店地区的最北端。东邻上蔡县，西接舞钢市、舞阳县，南依遂平县，北连漯河市。地处北纬33°10′至33°32′，东经113°36′至114°13′之间。县境东西长60km，南北宽32km，全县总面积1089.77km</w:t>
      </w:r>
      <w:r>
        <w:rPr>
          <w:rFonts w:cs="Times New Roman" w:asciiTheme="minorEastAsia" w:hAnsiTheme="minorEastAsia"/>
          <w:sz w:val="24"/>
          <w:szCs w:val="24"/>
          <w:vertAlign w:val="superscript"/>
        </w:rPr>
        <w:t>2</w:t>
      </w:r>
      <w:r>
        <w:rPr>
          <w:rFonts w:cs="Times New Roman" w:asciiTheme="minorEastAsia" w:hAnsiTheme="minorEastAsia"/>
          <w:sz w:val="24"/>
          <w:szCs w:val="24"/>
        </w:rPr>
        <w:t>。</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本项目位于</w:t>
      </w:r>
      <w:r>
        <w:rPr>
          <w:rFonts w:cs="Times New Roman" w:asciiTheme="minorEastAsia" w:hAnsiTheme="minorEastAsia"/>
          <w:color w:val="000000"/>
          <w:kern w:val="0"/>
          <w:sz w:val="24"/>
          <w:szCs w:val="24"/>
          <w:lang w:bidi="ar"/>
        </w:rPr>
        <w:t>西平县产业集聚区静脉产业园</w:t>
      </w:r>
      <w:r>
        <w:rPr>
          <w:rFonts w:cs="Times New Roman" w:asciiTheme="minorEastAsia" w:hAnsiTheme="minorEastAsia"/>
          <w:sz w:val="24"/>
          <w:szCs w:val="24"/>
        </w:rPr>
        <w:t>，位置图见</w:t>
      </w:r>
      <w:r>
        <w:rPr>
          <w:rFonts w:hint="eastAsia" w:cs="Times New Roman" w:asciiTheme="minorEastAsia" w:hAnsiTheme="minorEastAsia"/>
          <w:sz w:val="24"/>
          <w:szCs w:val="24"/>
        </w:rPr>
        <w:t>下</w:t>
      </w:r>
      <w:r>
        <w:rPr>
          <w:rFonts w:cs="Times New Roman" w:asciiTheme="minorEastAsia" w:hAnsiTheme="minorEastAsia"/>
          <w:sz w:val="24"/>
          <w:szCs w:val="24"/>
        </w:rPr>
        <w:t>图</w:t>
      </w:r>
      <w:r>
        <w:rPr>
          <w:rFonts w:hint="eastAsia" w:cs="Times New Roman" w:asciiTheme="minorEastAsia" w:hAnsiTheme="minorEastAsia"/>
          <w:sz w:val="24"/>
          <w:szCs w:val="24"/>
        </w:rPr>
        <w:t>3.1-1</w:t>
      </w:r>
      <w:r>
        <w:rPr>
          <w:rFonts w:cs="Times New Roman" w:asciiTheme="minorEastAsia" w:hAnsiTheme="minorEastAsia"/>
          <w:sz w:val="24"/>
          <w:szCs w:val="24"/>
        </w:rPr>
        <w:t>。</w:t>
      </w:r>
    </w:p>
    <w:p>
      <w:pPr>
        <w:adjustRightInd w:val="0"/>
        <w:snapToGrid w:val="0"/>
        <w:spacing w:line="360" w:lineRule="auto"/>
        <w:ind w:firstLine="420" w:firstLineChars="200"/>
        <w:rPr>
          <w:rFonts w:cs="Times New Roman" w:asciiTheme="minorEastAsia" w:hAnsiTheme="minorEastAsia"/>
          <w:sz w:val="24"/>
          <w:szCs w:val="24"/>
        </w:rPr>
      </w:pPr>
      <w:r>
        <w:rPr>
          <w:rFonts w:hint="eastAsia"/>
        </w:rPr>
        <w:drawing>
          <wp:anchor distT="0" distB="0" distL="114300" distR="114300" simplePos="0" relativeHeight="252056576" behindDoc="0" locked="0" layoutInCell="1" allowOverlap="1">
            <wp:simplePos x="0" y="0"/>
            <wp:positionH relativeFrom="column">
              <wp:posOffset>-93345</wp:posOffset>
            </wp:positionH>
            <wp:positionV relativeFrom="paragraph">
              <wp:posOffset>64135</wp:posOffset>
            </wp:positionV>
            <wp:extent cx="5786120" cy="4444365"/>
            <wp:effectExtent l="0" t="0" r="5080" b="1333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2" cstate="print">
                      <a:extLst>
                        <a:ext uri="{28A0092B-C50C-407E-A947-70E740481C1C}">
                          <a14:useLocalDpi xmlns:a14="http://schemas.microsoft.com/office/drawing/2010/main" val="0"/>
                        </a:ext>
                      </a:extLst>
                    </a:blip>
                    <a:srcRect l="1866" r="20085"/>
                    <a:stretch>
                      <a:fillRect/>
                    </a:stretch>
                  </pic:blipFill>
                  <pic:spPr>
                    <a:xfrm>
                      <a:off x="0" y="0"/>
                      <a:ext cx="5786120" cy="4444365"/>
                    </a:xfrm>
                    <a:prstGeom prst="rect">
                      <a:avLst/>
                    </a:prstGeom>
                    <a:noFill/>
                    <a:ln>
                      <a:noFill/>
                    </a:ln>
                  </pic:spPr>
                </pic:pic>
              </a:graphicData>
            </a:graphic>
          </wp:anchor>
        </w:drawing>
      </w: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2" w:firstLineChars="200"/>
        <w:jc w:val="center"/>
        <w:rPr>
          <w:rFonts w:cs="Times New Roman" w:asciiTheme="minorEastAsia" w:hAnsiTheme="minorEastAsia"/>
          <w:b/>
          <w:sz w:val="24"/>
          <w:szCs w:val="24"/>
        </w:rPr>
      </w:pPr>
    </w:p>
    <w:p>
      <w:pPr>
        <w:adjustRightInd w:val="0"/>
        <w:snapToGrid w:val="0"/>
        <w:spacing w:line="360" w:lineRule="auto"/>
        <w:ind w:firstLine="482" w:firstLineChars="200"/>
        <w:jc w:val="center"/>
        <w:rPr>
          <w:rFonts w:cs="Times New Roman" w:asciiTheme="minorEastAsia" w:hAnsiTheme="minorEastAsia"/>
          <w:b/>
          <w:sz w:val="24"/>
          <w:szCs w:val="24"/>
        </w:rPr>
      </w:pPr>
    </w:p>
    <w:p>
      <w:pPr>
        <w:adjustRightInd w:val="0"/>
        <w:snapToGrid w:val="0"/>
        <w:spacing w:line="360" w:lineRule="auto"/>
        <w:ind w:firstLine="482" w:firstLineChars="200"/>
        <w:jc w:val="center"/>
        <w:rPr>
          <w:rFonts w:cs="Times New Roman" w:asciiTheme="minorEastAsia" w:hAnsiTheme="minorEastAsia"/>
          <w:b/>
          <w:sz w:val="24"/>
          <w:szCs w:val="24"/>
        </w:rPr>
      </w:pPr>
    </w:p>
    <w:p>
      <w:pPr>
        <w:adjustRightInd w:val="0"/>
        <w:snapToGrid w:val="0"/>
        <w:spacing w:line="360" w:lineRule="auto"/>
        <w:ind w:firstLine="482" w:firstLineChars="200"/>
        <w:jc w:val="center"/>
        <w:rPr>
          <w:rFonts w:cs="Times New Roman" w:asciiTheme="minorEastAsia" w:hAnsiTheme="minorEastAsia"/>
          <w:b/>
          <w:sz w:val="24"/>
          <w:szCs w:val="24"/>
        </w:rPr>
      </w:pPr>
      <w:r>
        <w:rPr>
          <w:rFonts w:hint="eastAsia" w:cs="Times New Roman" w:asciiTheme="minorEastAsia" w:hAnsiTheme="minorEastAsia"/>
          <w:b/>
          <w:sz w:val="24"/>
          <w:szCs w:val="24"/>
        </w:rPr>
        <w:t>图3.1-1   项目地理位置图</w:t>
      </w: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3.1.2 地形地貌</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西平县地势西高东低，伏牛山余脉自县境西南绵延入境，形成山区向平原过渡地带。海拔最高550m，最低53m，平均59.9m。西部为浅山丘陵区，有大小山峰10余座，面积96.4km</w:t>
      </w:r>
      <w:r>
        <w:rPr>
          <w:rFonts w:cs="Times New Roman" w:asciiTheme="minorEastAsia" w:hAnsiTheme="minorEastAsia"/>
          <w:sz w:val="24"/>
          <w:szCs w:val="24"/>
          <w:vertAlign w:val="superscript"/>
        </w:rPr>
        <w:t>2</w:t>
      </w:r>
      <w:r>
        <w:rPr>
          <w:rFonts w:cs="Times New Roman" w:asciiTheme="minorEastAsia" w:hAnsiTheme="minorEastAsia"/>
          <w:sz w:val="24"/>
          <w:szCs w:val="24"/>
        </w:rPr>
        <w:t>，占全县总面积的8.85%。中部、南部有缓岗，有师灵岗、蔡寨岗、金刚寺岗，总面积60km</w:t>
      </w:r>
      <w:r>
        <w:rPr>
          <w:rFonts w:cs="Times New Roman" w:asciiTheme="minorEastAsia" w:hAnsiTheme="minorEastAsia"/>
          <w:sz w:val="24"/>
          <w:szCs w:val="24"/>
          <w:vertAlign w:val="superscript"/>
        </w:rPr>
        <w:t>2</w:t>
      </w:r>
      <w:r>
        <w:rPr>
          <w:rFonts w:cs="Times New Roman" w:asciiTheme="minorEastAsia" w:hAnsiTheme="minorEastAsia"/>
          <w:sz w:val="24"/>
          <w:szCs w:val="24"/>
        </w:rPr>
        <w:t>，占全县总面积的5.5%。东部平原面积933.37km</w:t>
      </w:r>
      <w:r>
        <w:rPr>
          <w:rFonts w:cs="Times New Roman" w:asciiTheme="minorEastAsia" w:hAnsiTheme="minorEastAsia"/>
          <w:sz w:val="24"/>
          <w:szCs w:val="24"/>
          <w:vertAlign w:val="superscript"/>
        </w:rPr>
        <w:t>2</w:t>
      </w:r>
      <w:r>
        <w:rPr>
          <w:rFonts w:cs="Times New Roman" w:asciiTheme="minorEastAsia" w:hAnsiTheme="minorEastAsia"/>
          <w:sz w:val="24"/>
          <w:szCs w:val="24"/>
        </w:rPr>
        <w:t>，占全县面积的85.65%。</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本项目位于西平县城区东北部，区域地貌为淮河冲湖积平原区，主要是淮河泛滥冲洪积及湖积而成的低缓平原，地势低下而平缓，地势相对简单，且较为平坦，适宜建设。</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3.1.3 地质</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境内地层属于上太古界太华群、元古界汝阳群、上元古界洛峪群、新生界下第三系、新生界上第三系、新生第四系。地质构造表现为：西部为逆冲断褶构造带、东部为隐伏断陷盆地，两者之间为断裂—火山活动过渡带。主要有：窑洞—黄土岗断层、罗岗—瓦岗寨逆断层、油坊沟—芦庙逆断层、两半庄—铁毛沟正断层、长寺—仪封断裂、张堂—专探—肖洼断裂。</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本项目所在区域属第四系全新统，地面以下0.8～1.0m左右为表层耕土，呈棕灰色，中塑性；以下2.0m左右为粉质壤土层，浅黄色粉土质重亚砂土及灰黑色粘土。是近代河床及河滩冲积砂、砾石层及亚砂土层，厚1～15m。地质承载力为6～20t/m</w:t>
      </w:r>
      <w:r>
        <w:rPr>
          <w:rFonts w:cs="Times New Roman" w:asciiTheme="minorEastAsia" w:hAnsiTheme="minorEastAsia"/>
          <w:sz w:val="24"/>
          <w:szCs w:val="24"/>
          <w:vertAlign w:val="superscript"/>
        </w:rPr>
        <w:t>2</w:t>
      </w:r>
      <w:r>
        <w:rPr>
          <w:rFonts w:cs="Times New Roman" w:asciiTheme="minorEastAsia" w:hAnsiTheme="minorEastAsia"/>
          <w:sz w:val="24"/>
          <w:szCs w:val="24"/>
        </w:rPr>
        <w:t>。</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西平县不在现代已知的地震活动带上，未发现现代活动性断层构造。</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根据《建筑抗震设计规范》（GB50011－2001），西平县地震烈度为</w:t>
      </w:r>
      <w:r>
        <w:rPr>
          <w:rFonts w:hint="eastAsia" w:cs="宋体" w:asciiTheme="minorEastAsia" w:hAnsiTheme="minorEastAsia"/>
          <w:sz w:val="24"/>
          <w:szCs w:val="24"/>
        </w:rPr>
        <w:t>Ⅵ</w:t>
      </w:r>
      <w:r>
        <w:rPr>
          <w:rFonts w:cs="Times New Roman" w:asciiTheme="minorEastAsia" w:hAnsiTheme="minorEastAsia"/>
          <w:sz w:val="24"/>
          <w:szCs w:val="24"/>
        </w:rPr>
        <w:t>度，项目设计时按</w:t>
      </w:r>
      <w:r>
        <w:rPr>
          <w:rFonts w:hint="eastAsia" w:cs="宋体" w:asciiTheme="minorEastAsia" w:hAnsiTheme="minorEastAsia"/>
          <w:sz w:val="24"/>
          <w:szCs w:val="24"/>
        </w:rPr>
        <w:t>Ⅵ</w:t>
      </w:r>
      <w:r>
        <w:rPr>
          <w:rFonts w:cs="Times New Roman" w:asciiTheme="minorEastAsia" w:hAnsiTheme="minorEastAsia"/>
          <w:sz w:val="24"/>
          <w:szCs w:val="24"/>
        </w:rPr>
        <w:t>度进行抗震设防。</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3.1.4 水文</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（1）地表水：</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西平县境内的河流属于淮河流域的洪、汝河水系，洪河、柳堰河和淤泥河为3条主要河道。流域面积在5km</w:t>
      </w:r>
      <w:r>
        <w:rPr>
          <w:rFonts w:cs="Times New Roman" w:asciiTheme="minorEastAsia" w:hAnsiTheme="minorEastAsia"/>
          <w:sz w:val="24"/>
          <w:szCs w:val="24"/>
          <w:vertAlign w:val="superscript"/>
        </w:rPr>
        <w:t>2</w:t>
      </w:r>
      <w:r>
        <w:rPr>
          <w:rFonts w:cs="Times New Roman" w:asciiTheme="minorEastAsia" w:hAnsiTheme="minorEastAsia"/>
          <w:sz w:val="24"/>
          <w:szCs w:val="24"/>
        </w:rPr>
        <w:t>以上的河流共69条。属洪河水系的流域面积717km</w:t>
      </w:r>
      <w:r>
        <w:rPr>
          <w:rFonts w:cs="Times New Roman" w:asciiTheme="minorEastAsia" w:hAnsiTheme="minorEastAsia"/>
          <w:sz w:val="24"/>
          <w:szCs w:val="24"/>
          <w:vertAlign w:val="superscript"/>
        </w:rPr>
        <w:t>2</w:t>
      </w:r>
      <w:r>
        <w:rPr>
          <w:rFonts w:cs="Times New Roman" w:asciiTheme="minorEastAsia" w:hAnsiTheme="minorEastAsia"/>
          <w:sz w:val="24"/>
          <w:szCs w:val="24"/>
        </w:rPr>
        <w:t>，属汝河水系的流域面积323km</w:t>
      </w:r>
      <w:r>
        <w:rPr>
          <w:rFonts w:cs="Times New Roman" w:asciiTheme="minorEastAsia" w:hAnsiTheme="minorEastAsia"/>
          <w:sz w:val="24"/>
          <w:szCs w:val="24"/>
          <w:vertAlign w:val="superscript"/>
        </w:rPr>
        <w:t>2</w:t>
      </w:r>
      <w:r>
        <w:rPr>
          <w:rFonts w:cs="Times New Roman" w:asciiTheme="minorEastAsia" w:hAnsiTheme="minorEastAsia"/>
          <w:sz w:val="24"/>
          <w:szCs w:val="24"/>
        </w:rPr>
        <w:t>。</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洪河古称沅水，源于舞阳县三里河，自吕店乡常寺入境，东行36km到西平县城，绕城西北穿过京广铁路，向东经上蔡、平舆到新蔡县城东南班台与汝河汇合，再向东南，在安徽省王家坝附近汇入淮河干流。洪河在西平县境内河段长75km，流域面积717km</w:t>
      </w:r>
      <w:r>
        <w:rPr>
          <w:rFonts w:cs="Times New Roman" w:asciiTheme="minorEastAsia" w:hAnsiTheme="minorEastAsia"/>
          <w:sz w:val="24"/>
          <w:szCs w:val="24"/>
          <w:vertAlign w:val="superscript"/>
        </w:rPr>
        <w:t>2</w:t>
      </w:r>
      <w:r>
        <w:rPr>
          <w:rFonts w:cs="Times New Roman" w:asciiTheme="minorEastAsia" w:hAnsiTheme="minorEastAsia"/>
          <w:sz w:val="24"/>
          <w:szCs w:val="24"/>
        </w:rPr>
        <w:t>。历年平均水位内55.41m，历年平均流量11.0m</w:t>
      </w:r>
      <w:r>
        <w:rPr>
          <w:rFonts w:cs="Times New Roman" w:asciiTheme="minorEastAsia" w:hAnsiTheme="minorEastAsia"/>
          <w:sz w:val="24"/>
          <w:szCs w:val="24"/>
          <w:vertAlign w:val="superscript"/>
        </w:rPr>
        <w:t>3</w:t>
      </w:r>
      <w:r>
        <w:rPr>
          <w:rFonts w:cs="Times New Roman" w:asciiTheme="minorEastAsia" w:hAnsiTheme="minorEastAsia"/>
          <w:sz w:val="24"/>
          <w:szCs w:val="24"/>
        </w:rPr>
        <w:t>/s，是西平县城西、城北区域的主要纳污河流。</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北柳堰河发源于西平县西北神沟庙和魏老坟，由姜龙池入西平境，流经谷河、专探，向东至陈茨园入二郎乡境，从韩桥过京广铁路，流入重渠乡，到王湾后沿西平—上蔡东南行汇入汝河。全长55km，流域面积234km</w:t>
      </w:r>
      <w:r>
        <w:rPr>
          <w:rFonts w:cs="Times New Roman" w:asciiTheme="minorEastAsia" w:hAnsiTheme="minorEastAsia"/>
          <w:sz w:val="24"/>
          <w:szCs w:val="24"/>
          <w:vertAlign w:val="superscript"/>
        </w:rPr>
        <w:t>2</w:t>
      </w:r>
      <w:r>
        <w:rPr>
          <w:rFonts w:cs="Times New Roman" w:asciiTheme="minorEastAsia" w:hAnsiTheme="minorEastAsia"/>
          <w:sz w:val="24"/>
          <w:szCs w:val="24"/>
        </w:rPr>
        <w:t>。</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淤泥河是洪河的支流，源于舞阳县吴城，自权寨乡马庄入境，往东经小刘店、张湾，过京广铁路，穿过老王坡腹地至五沟营北丁桥入洪河。全长36km，流域面积533km</w:t>
      </w:r>
      <w:r>
        <w:rPr>
          <w:rFonts w:cs="Times New Roman" w:asciiTheme="minorEastAsia" w:hAnsiTheme="minorEastAsia"/>
          <w:sz w:val="24"/>
          <w:szCs w:val="24"/>
          <w:vertAlign w:val="superscript"/>
        </w:rPr>
        <w:t>2</w:t>
      </w:r>
      <w:r>
        <w:rPr>
          <w:rFonts w:cs="Times New Roman" w:asciiTheme="minorEastAsia" w:hAnsiTheme="minorEastAsia"/>
          <w:sz w:val="24"/>
          <w:szCs w:val="24"/>
        </w:rPr>
        <w:t>。境内河段长30km，流域面积401km</w:t>
      </w:r>
      <w:r>
        <w:rPr>
          <w:rFonts w:cs="Times New Roman" w:asciiTheme="minorEastAsia" w:hAnsiTheme="minorEastAsia"/>
          <w:sz w:val="24"/>
          <w:szCs w:val="24"/>
          <w:vertAlign w:val="superscript"/>
        </w:rPr>
        <w:t>2</w:t>
      </w:r>
      <w:r>
        <w:rPr>
          <w:rFonts w:cs="Times New Roman" w:asciiTheme="minorEastAsia" w:hAnsiTheme="minorEastAsia"/>
          <w:sz w:val="24"/>
          <w:szCs w:val="24"/>
        </w:rPr>
        <w:t>。本项目区域受纳水体为淤泥河。</w:t>
      </w:r>
    </w:p>
    <w:p>
      <w:pPr>
        <w:adjustRightInd w:val="0"/>
        <w:snapToGrid w:val="0"/>
        <w:spacing w:line="360" w:lineRule="auto"/>
        <w:ind w:firstLine="480" w:firstLineChars="200"/>
        <w:rPr>
          <w:rFonts w:cs="Times New Roman" w:asciiTheme="minorEastAsia" w:hAnsiTheme="minorEastAsia"/>
          <w:spacing w:val="8"/>
          <w:sz w:val="24"/>
          <w:szCs w:val="28"/>
        </w:rPr>
      </w:pPr>
      <w:r>
        <w:rPr>
          <w:rFonts w:cs="Times New Roman" w:asciiTheme="minorEastAsia" w:hAnsiTheme="minorEastAsia"/>
          <w:sz w:val="24"/>
          <w:szCs w:val="24"/>
        </w:rPr>
        <w:t>红澍河是北汝河的一条支流，为人工开凿河道。1965年冬开挖，西起专探乡于庄东，自县城南部向东流去，至上蔡县境内与北柳堰河汇合后为北汝河，在汝南县境内汇入汝河。红澍河全长32km，流域面积115km</w:t>
      </w:r>
      <w:r>
        <w:rPr>
          <w:rFonts w:cs="Times New Roman" w:asciiTheme="minorEastAsia" w:hAnsiTheme="minorEastAsia"/>
          <w:sz w:val="24"/>
          <w:szCs w:val="24"/>
          <w:vertAlign w:val="superscript"/>
        </w:rPr>
        <w:t>2</w:t>
      </w:r>
      <w:r>
        <w:rPr>
          <w:rFonts w:cs="Times New Roman" w:asciiTheme="minorEastAsia" w:hAnsiTheme="minorEastAsia"/>
          <w:sz w:val="24"/>
          <w:szCs w:val="24"/>
        </w:rPr>
        <w:t>，是西平县城东、城南区域的主要纳污河流，自西向东穿越西平县产业集聚区。根据《驻马店地区地面水环境功能区划分报告》</w:t>
      </w:r>
      <w:r>
        <w:rPr>
          <w:rFonts w:hint="eastAsia" w:cs="Times New Roman" w:asciiTheme="minorEastAsia" w:hAnsiTheme="minorEastAsia"/>
          <w:sz w:val="24"/>
          <w:szCs w:val="24"/>
        </w:rPr>
        <w:t>，</w:t>
      </w:r>
      <w:r>
        <w:rPr>
          <w:rFonts w:cs="Times New Roman" w:asciiTheme="minorEastAsia" w:hAnsiTheme="minorEastAsia"/>
          <w:sz w:val="24"/>
          <w:szCs w:val="24"/>
        </w:rPr>
        <w:t>红澍河水体功能规划为水质目标为</w:t>
      </w:r>
      <w:r>
        <w:rPr>
          <w:rFonts w:hint="eastAsia" w:cs="宋体" w:asciiTheme="minorEastAsia" w:hAnsiTheme="minorEastAsia"/>
          <w:sz w:val="24"/>
          <w:szCs w:val="24"/>
        </w:rPr>
        <w:t>Ⅲ</w:t>
      </w:r>
      <w:r>
        <w:rPr>
          <w:rFonts w:cs="Times New Roman" w:asciiTheme="minorEastAsia" w:hAnsiTheme="minorEastAsia"/>
          <w:sz w:val="24"/>
          <w:szCs w:val="24"/>
        </w:rPr>
        <w:t>类。</w:t>
      </w:r>
      <w:r>
        <w:rPr>
          <w:rFonts w:cs="Times New Roman" w:asciiTheme="minorEastAsia" w:hAnsiTheme="minorEastAsia"/>
          <w:spacing w:val="8"/>
          <w:sz w:val="24"/>
          <w:szCs w:val="28"/>
        </w:rPr>
        <w:t xml:space="preserve"> </w:t>
      </w:r>
    </w:p>
    <w:p>
      <w:pPr>
        <w:adjustRightInd w:val="0"/>
        <w:snapToGrid w:val="0"/>
        <w:spacing w:line="360" w:lineRule="auto"/>
        <w:ind w:firstLine="420" w:firstLineChars="200"/>
        <w:rPr>
          <w:rFonts w:cs="Times New Roman" w:asciiTheme="minorEastAsia" w:hAnsiTheme="minorEastAsia"/>
          <w:sz w:val="24"/>
          <w:szCs w:val="24"/>
        </w:rPr>
      </w:pPr>
      <w:r>
        <w:rPr>
          <w:rFonts w:hint="eastAsia"/>
        </w:rPr>
        <w:drawing>
          <wp:anchor distT="0" distB="0" distL="114300" distR="114300" simplePos="0" relativeHeight="252055552" behindDoc="0" locked="0" layoutInCell="1" allowOverlap="1">
            <wp:simplePos x="0" y="0"/>
            <wp:positionH relativeFrom="column">
              <wp:posOffset>33655</wp:posOffset>
            </wp:positionH>
            <wp:positionV relativeFrom="paragraph">
              <wp:posOffset>62230</wp:posOffset>
            </wp:positionV>
            <wp:extent cx="5645150" cy="4039235"/>
            <wp:effectExtent l="0" t="0" r="1270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3" cstate="print">
                      <a:extLst>
                        <a:ext uri="{28A0092B-C50C-407E-A947-70E740481C1C}">
                          <a14:useLocalDpi xmlns:a14="http://schemas.microsoft.com/office/drawing/2010/main" val="0"/>
                        </a:ext>
                      </a:extLst>
                    </a:blip>
                    <a:srcRect t="4698" r="555"/>
                    <a:stretch>
                      <a:fillRect/>
                    </a:stretch>
                  </pic:blipFill>
                  <pic:spPr>
                    <a:xfrm>
                      <a:off x="0" y="0"/>
                      <a:ext cx="5645150" cy="4039235"/>
                    </a:xfrm>
                    <a:prstGeom prst="rect">
                      <a:avLst/>
                    </a:prstGeom>
                    <a:noFill/>
                    <a:ln>
                      <a:noFill/>
                    </a:ln>
                  </pic:spPr>
                </pic:pic>
              </a:graphicData>
            </a:graphic>
          </wp:anchor>
        </w:drawing>
      </w: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2" w:firstLineChars="200"/>
        <w:jc w:val="center"/>
        <w:rPr>
          <w:rFonts w:cs="Times New Roman" w:asciiTheme="minorEastAsia" w:hAnsiTheme="minorEastAsia"/>
          <w:b/>
          <w:sz w:val="24"/>
          <w:szCs w:val="24"/>
        </w:rPr>
      </w:pPr>
      <w:r>
        <w:rPr>
          <w:rFonts w:hint="eastAsia" w:cs="Times New Roman" w:asciiTheme="minorEastAsia" w:hAnsiTheme="minorEastAsia"/>
          <w:b/>
          <w:sz w:val="24"/>
          <w:szCs w:val="24"/>
        </w:rPr>
        <w:t>图3.1-2  项目区域地表水系图</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（2）地下水：</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西平县境内地下上层滞水总量为2.256亿m</w:t>
      </w:r>
      <w:r>
        <w:rPr>
          <w:rFonts w:cs="Times New Roman" w:asciiTheme="minorEastAsia" w:hAnsiTheme="minorEastAsia"/>
          <w:sz w:val="24"/>
          <w:szCs w:val="24"/>
          <w:vertAlign w:val="superscript"/>
        </w:rPr>
        <w:t>3</w:t>
      </w:r>
      <w:r>
        <w:rPr>
          <w:rFonts w:cs="Times New Roman" w:asciiTheme="minorEastAsia" w:hAnsiTheme="minorEastAsia"/>
          <w:sz w:val="24"/>
          <w:szCs w:val="24"/>
        </w:rPr>
        <w:t>，水质良好，可作为居民生活用水和工农业用水。按埋藏条件，全县划分为5个水文地质区，即富水亚砂区、中等富水粘砂区、弱富水亚粘土区、品水亚粘土区、贫水区。由于部分地下水开发难度较大，各区之间水资源利用很不平衡，全县实际利用量只占地下水资源总量的14%。进入80年代后期，由于降水量偏少，河道治理后径流下泄快，地下水得不到应有补充，加之工农业用水井大量抽用，致使一些区水位下降。如环城乡王店村周围地下水埋深由原来的3～4m下降到7～8m；富水亚砂区（人和、宋集、五沟营、盆尧4乡及谭店北半部）地下水埋深原为2.06m，单井出水量70m</w:t>
      </w:r>
      <w:r>
        <w:rPr>
          <w:rFonts w:cs="Times New Roman" w:asciiTheme="minorEastAsia" w:hAnsiTheme="minorEastAsia"/>
          <w:sz w:val="24"/>
          <w:szCs w:val="24"/>
          <w:vertAlign w:val="superscript"/>
        </w:rPr>
        <w:t>3</w:t>
      </w:r>
      <w:r>
        <w:rPr>
          <w:rFonts w:cs="Times New Roman" w:asciiTheme="minorEastAsia" w:hAnsiTheme="minorEastAsia"/>
          <w:sz w:val="24"/>
          <w:szCs w:val="24"/>
        </w:rPr>
        <w:t>/h，1993年地下水埋深降到6.4m，单井出水量减少为50m</w:t>
      </w:r>
      <w:r>
        <w:rPr>
          <w:rFonts w:cs="Times New Roman" w:asciiTheme="minorEastAsia" w:hAnsiTheme="minorEastAsia"/>
          <w:sz w:val="24"/>
          <w:szCs w:val="24"/>
          <w:vertAlign w:val="superscript"/>
        </w:rPr>
        <w:t>3</w:t>
      </w:r>
      <w:r>
        <w:rPr>
          <w:rFonts w:cs="Times New Roman" w:asciiTheme="minorEastAsia" w:hAnsiTheme="minorEastAsia"/>
          <w:sz w:val="24"/>
          <w:szCs w:val="24"/>
        </w:rPr>
        <w:t>/h。</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地下水流向呈西北至东南，项目所在区域属富水亚砂土区，含水层岩性为粉细砂，砾石亚砂土，厚度达47m。地下水储存条件较好，埋藏较浅，水量丰富。浅层地下水平均埋深3～5m，单井出水量一般为50～70m</w:t>
      </w:r>
      <w:r>
        <w:rPr>
          <w:rFonts w:cs="Times New Roman" w:asciiTheme="minorEastAsia" w:hAnsiTheme="minorEastAsia"/>
          <w:sz w:val="24"/>
          <w:szCs w:val="24"/>
          <w:vertAlign w:val="superscript"/>
        </w:rPr>
        <w:t>3</w:t>
      </w:r>
      <w:r>
        <w:rPr>
          <w:rFonts w:cs="Times New Roman" w:asciiTheme="minorEastAsia" w:hAnsiTheme="minorEastAsia"/>
          <w:sz w:val="24"/>
          <w:szCs w:val="24"/>
        </w:rPr>
        <w:t>/h。深层地下水平均埋深55～220m，单井出水量一般为80～100m</w:t>
      </w:r>
      <w:r>
        <w:rPr>
          <w:rFonts w:cs="Times New Roman" w:asciiTheme="minorEastAsia" w:hAnsiTheme="minorEastAsia"/>
          <w:sz w:val="24"/>
          <w:szCs w:val="24"/>
          <w:vertAlign w:val="superscript"/>
        </w:rPr>
        <w:t>3</w:t>
      </w:r>
      <w:r>
        <w:rPr>
          <w:rFonts w:cs="Times New Roman" w:asciiTheme="minorEastAsia" w:hAnsiTheme="minorEastAsia"/>
          <w:sz w:val="24"/>
          <w:szCs w:val="24"/>
        </w:rPr>
        <w:t>/h。</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3.1.5 土壤与植被</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土壤可分为黄棕壤土、潮土、砂姜黑土三种土类型，五个亚类（砂姜黑土、黄潮土、灰潮土、黄褐土和粗骨性黄褐土），十二个土属，三十三个土种。黄棕壤土主要分布于县境西部低山丘陵区、冈丘区及部分高地，面积29333ha，占全县总土地面积的35.5%，大部分土层较厚，适宜耕作。潮土主要分布在洪河、柳堰河及其支流两侧，面积17233ha，占全县总土地面积的20.7%，适宜耕作。砂姜黑土主要分布在淤泥河两岸及白坡寺、胡坡等低洼地带，面积36333ha，占全县总土地面积的43.8%，土层深厚，较易耕作。</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植物地理分布上属于温带夏绿林与暖温带混交林的过渡地带，温度、雨量等条件均适合温带森林的生长。但目前自然森林已很少，多为人工栽培的林木和灌木，其中大部分地区为草木植被和人工栽培的农作物。</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3.1.6 矿产资源</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西平县矿产资源较为贫瘠，且大多不具有开采价值。西平县境内1986年前探明的矿藏有9种。1989年省地矿厅第二地质队初步普查，酒店乡朱仓庄至蜘蛛山一带有黑花岗岩、陶土、玄武岩等矿藏，储量约为2100万t。</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3.1.7 生物资源</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项目所在区域为平原农业地区，植被以农作物为主，兼有少量的道路林。野生动物种类主要有麻雀、喜鹊、斑鸠、鹌鹑、黄鼠狼、野兔、稚鸡、鹰、蛇、鼠类、青蛙、刺猬等，生物多样性程度相对较低。项目所在区域为工业园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根据驻马店市生态保护区划，项目所在区域属于农业生态区。驻马店市生态保护区划见图3.1-</w:t>
      </w:r>
      <w:r>
        <w:rPr>
          <w:rFonts w:hint="eastAsia" w:cs="Times New Roman" w:asciiTheme="minorEastAsia" w:hAnsiTheme="minorEastAsia"/>
          <w:sz w:val="24"/>
          <w:szCs w:val="24"/>
        </w:rPr>
        <w:t>3</w:t>
      </w:r>
      <w:r>
        <w:rPr>
          <w:rFonts w:cs="Times New Roman" w:asciiTheme="minorEastAsia" w:hAnsiTheme="minorEastAsia"/>
          <w:sz w:val="24"/>
          <w:szCs w:val="24"/>
        </w:rPr>
        <w:t>。</w:t>
      </w:r>
    </w:p>
    <w:p>
      <w:pPr>
        <w:adjustRightInd w:val="0"/>
        <w:snapToGrid w:val="0"/>
        <w:spacing w:line="360" w:lineRule="auto"/>
        <w:ind w:firstLine="420" w:firstLineChars="200"/>
        <w:rPr>
          <w:rFonts w:cs="Times New Roman" w:asciiTheme="minorEastAsia" w:hAnsiTheme="minorEastAsia"/>
          <w:sz w:val="24"/>
          <w:szCs w:val="24"/>
        </w:rPr>
      </w:pPr>
      <w:r>
        <w:rPr>
          <w:rFonts w:hint="eastAsia"/>
        </w:rPr>
        <w:drawing>
          <wp:anchor distT="0" distB="0" distL="114300" distR="114300" simplePos="0" relativeHeight="252053504" behindDoc="1" locked="0" layoutInCell="1" allowOverlap="1">
            <wp:simplePos x="0" y="0"/>
            <wp:positionH relativeFrom="column">
              <wp:posOffset>-5715</wp:posOffset>
            </wp:positionH>
            <wp:positionV relativeFrom="paragraph">
              <wp:posOffset>54610</wp:posOffset>
            </wp:positionV>
            <wp:extent cx="5819140" cy="4039235"/>
            <wp:effectExtent l="9525" t="9525" r="19685" b="2794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4" cstate="print">
                      <a:extLst>
                        <a:ext uri="{28A0092B-C50C-407E-A947-70E740481C1C}">
                          <a14:useLocalDpi xmlns:a14="http://schemas.microsoft.com/office/drawing/2010/main" val="0"/>
                        </a:ext>
                      </a:extLst>
                    </a:blip>
                    <a:srcRect t="5503" r="935" b="9414"/>
                    <a:stretch>
                      <a:fillRect/>
                    </a:stretch>
                  </pic:blipFill>
                  <pic:spPr>
                    <a:xfrm>
                      <a:off x="0" y="0"/>
                      <a:ext cx="5819140" cy="4039235"/>
                    </a:xfrm>
                    <a:prstGeom prst="rect">
                      <a:avLst/>
                    </a:prstGeom>
                    <a:noFill/>
                    <a:ln>
                      <a:solidFill>
                        <a:schemeClr val="tx1">
                          <a:lumMod val="95000"/>
                          <a:lumOff val="5000"/>
                        </a:schemeClr>
                      </a:solidFill>
                    </a:ln>
                  </pic:spPr>
                </pic:pic>
              </a:graphicData>
            </a:graphic>
          </wp:anchor>
        </w:drawing>
      </w: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bCs/>
          <w:spacing w:val="8"/>
          <w:sz w:val="24"/>
          <w:szCs w:val="28"/>
        </w:rPr>
      </w:pPr>
    </w:p>
    <w:p>
      <w:pPr>
        <w:adjustRightInd w:val="0"/>
        <w:snapToGrid w:val="0"/>
        <w:spacing w:line="360" w:lineRule="auto"/>
        <w:ind w:right="34" w:firstLine="514" w:firstLineChars="200"/>
        <w:jc w:val="center"/>
        <w:rPr>
          <w:rFonts w:cs="Times New Roman" w:asciiTheme="minorEastAsia" w:hAnsiTheme="minorEastAsia"/>
          <w:b/>
          <w:sz w:val="24"/>
          <w:szCs w:val="24"/>
        </w:rPr>
      </w:pPr>
      <w:r>
        <w:rPr>
          <w:rFonts w:cs="Times New Roman" w:asciiTheme="minorEastAsia" w:hAnsiTheme="minorEastAsia"/>
          <w:b/>
          <w:bCs/>
          <w:spacing w:val="8"/>
          <w:sz w:val="24"/>
          <w:szCs w:val="28"/>
        </w:rPr>
        <w:t>图3.1-</w:t>
      </w:r>
      <w:r>
        <w:rPr>
          <w:rFonts w:hint="eastAsia" w:cs="Times New Roman" w:asciiTheme="minorEastAsia" w:hAnsiTheme="minorEastAsia"/>
          <w:b/>
          <w:bCs/>
          <w:spacing w:val="8"/>
          <w:sz w:val="24"/>
          <w:szCs w:val="28"/>
        </w:rPr>
        <w:t>3</w:t>
      </w:r>
      <w:r>
        <w:rPr>
          <w:rFonts w:cs="Times New Roman" w:asciiTheme="minorEastAsia" w:hAnsiTheme="minorEastAsia"/>
          <w:b/>
          <w:bCs/>
          <w:spacing w:val="8"/>
          <w:sz w:val="24"/>
          <w:szCs w:val="28"/>
        </w:rPr>
        <w:t xml:space="preserve">  </w:t>
      </w:r>
      <w:r>
        <w:rPr>
          <w:rFonts w:cs="Times New Roman" w:asciiTheme="minorEastAsia" w:hAnsiTheme="minorEastAsia"/>
          <w:b/>
          <w:sz w:val="24"/>
          <w:szCs w:val="24"/>
        </w:rPr>
        <w:t>区域生态功能区划图</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3.1.8 气候</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西平县处于北亚热带向暖温带过渡地带，属大陆性亚湿润气候，四季分明，气候温和，雨量充沛而相对集中。据西平县气象台多年气象资料统计，年平均气温15</w:t>
      </w:r>
      <w:r>
        <w:rPr>
          <w:rFonts w:hint="eastAsia" w:cs="宋体" w:asciiTheme="minorEastAsia" w:hAnsiTheme="minorEastAsia"/>
          <w:sz w:val="24"/>
          <w:szCs w:val="24"/>
        </w:rPr>
        <w:t>℃</w:t>
      </w:r>
      <w:r>
        <w:rPr>
          <w:rFonts w:cs="Times New Roman" w:asciiTheme="minorEastAsia" w:hAnsiTheme="minorEastAsia"/>
          <w:sz w:val="24"/>
          <w:szCs w:val="24"/>
        </w:rPr>
        <w:t>，年平均气压1006.9hPa，年平均相对湿度75%，年平均日照时间2186.5h，年平均无霜期228天，年平均降水量938.8mm，年平均蒸发量1509.0mm，最大冻土深度160mm。最大风力35kg/m</w:t>
      </w:r>
      <w:r>
        <w:rPr>
          <w:rFonts w:cs="Times New Roman" w:asciiTheme="minorEastAsia" w:hAnsiTheme="minorEastAsia"/>
          <w:sz w:val="24"/>
          <w:szCs w:val="24"/>
          <w:vertAlign w:val="superscript"/>
        </w:rPr>
        <w:t>2</w:t>
      </w:r>
      <w:r>
        <w:rPr>
          <w:rFonts w:cs="Times New Roman" w:asciiTheme="minorEastAsia" w:hAnsiTheme="minorEastAsia"/>
          <w:sz w:val="24"/>
          <w:szCs w:val="24"/>
        </w:rPr>
        <w:t>，最大风速25m/s，全年平均风速1.55m/s；静风频率也较高，全年平均约6.02％。平均风向频率玫瑰图见图3.1-</w:t>
      </w:r>
      <w:r>
        <w:rPr>
          <w:rFonts w:hint="eastAsia" w:cs="Times New Roman" w:asciiTheme="minorEastAsia" w:hAnsiTheme="minorEastAsia"/>
          <w:sz w:val="24"/>
          <w:szCs w:val="24"/>
        </w:rPr>
        <w:t>4</w:t>
      </w:r>
      <w:r>
        <w:rPr>
          <w:rFonts w:cs="Times New Roman" w:asciiTheme="minorEastAsia" w:hAnsiTheme="minorEastAsia"/>
          <w:sz w:val="24"/>
          <w:szCs w:val="24"/>
        </w:rPr>
        <w:t>。</w:t>
      </w:r>
    </w:p>
    <w:p>
      <w:pPr>
        <w:adjustRightInd w:val="0"/>
        <w:snapToGrid w:val="0"/>
        <w:spacing w:line="360" w:lineRule="auto"/>
        <w:ind w:right="34" w:firstLine="480" w:firstLineChars="200"/>
        <w:jc w:val="center"/>
        <w:rPr>
          <w:rFonts w:cs="Times New Roman" w:asciiTheme="minorEastAsia" w:hAnsiTheme="minorEastAsia"/>
          <w:spacing w:val="8"/>
          <w:sz w:val="24"/>
          <w:szCs w:val="24"/>
        </w:rPr>
      </w:pPr>
      <w:r>
        <w:rPr>
          <w:rFonts w:cs="Times New Roman" w:asciiTheme="minorEastAsia" w:hAnsiTheme="minorEastAsia"/>
          <w:sz w:val="24"/>
          <w:szCs w:val="24"/>
        </w:rPr>
        <w:drawing>
          <wp:inline distT="0" distB="0" distL="0" distR="0">
            <wp:extent cx="1905000" cy="1905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905000" cy="1905000"/>
                    </a:xfrm>
                    <a:prstGeom prst="rect">
                      <a:avLst/>
                    </a:prstGeom>
                    <a:noFill/>
                    <a:ln>
                      <a:noFill/>
                    </a:ln>
                    <a:effectLst/>
                  </pic:spPr>
                </pic:pic>
              </a:graphicData>
            </a:graphic>
          </wp:inline>
        </w:drawing>
      </w:r>
    </w:p>
    <w:p>
      <w:pPr>
        <w:adjustRightInd w:val="0"/>
        <w:snapToGrid w:val="0"/>
        <w:spacing w:line="360" w:lineRule="auto"/>
        <w:ind w:right="34" w:firstLine="514" w:firstLineChars="200"/>
        <w:jc w:val="center"/>
        <w:rPr>
          <w:rFonts w:cs="Times New Roman" w:asciiTheme="minorEastAsia" w:hAnsiTheme="minorEastAsia"/>
          <w:b/>
          <w:spacing w:val="8"/>
          <w:sz w:val="24"/>
          <w:szCs w:val="24"/>
        </w:rPr>
      </w:pPr>
      <w:r>
        <w:rPr>
          <w:rFonts w:cs="Times New Roman" w:asciiTheme="minorEastAsia" w:hAnsiTheme="minorEastAsia"/>
          <w:b/>
          <w:bCs/>
          <w:spacing w:val="8"/>
          <w:sz w:val="24"/>
          <w:szCs w:val="28"/>
        </w:rPr>
        <w:t>图3.1-</w:t>
      </w:r>
      <w:r>
        <w:rPr>
          <w:rFonts w:hint="eastAsia" w:cs="Times New Roman" w:asciiTheme="minorEastAsia" w:hAnsiTheme="minorEastAsia"/>
          <w:b/>
          <w:bCs/>
          <w:spacing w:val="8"/>
          <w:sz w:val="24"/>
          <w:szCs w:val="28"/>
        </w:rPr>
        <w:t>4</w:t>
      </w:r>
      <w:r>
        <w:rPr>
          <w:rFonts w:cs="Times New Roman" w:asciiTheme="minorEastAsia" w:hAnsiTheme="minorEastAsia"/>
          <w:b/>
          <w:bCs/>
          <w:spacing w:val="8"/>
          <w:sz w:val="24"/>
          <w:szCs w:val="28"/>
        </w:rPr>
        <w:t xml:space="preserve">  </w:t>
      </w:r>
      <w:r>
        <w:rPr>
          <w:rFonts w:cs="Times New Roman" w:asciiTheme="minorEastAsia" w:hAnsiTheme="minorEastAsia"/>
          <w:b/>
          <w:sz w:val="24"/>
          <w:szCs w:val="24"/>
        </w:rPr>
        <w:t>风向频率玫瑰图</w:t>
      </w:r>
    </w:p>
    <w:p>
      <w:pPr>
        <w:keepNext/>
        <w:keepLines/>
        <w:adjustRightInd w:val="0"/>
        <w:snapToGrid w:val="0"/>
        <w:spacing w:before="167" w:beforeLines="50" w:line="360" w:lineRule="auto"/>
        <w:outlineLvl w:val="1"/>
        <w:rPr>
          <w:rFonts w:cs="Times New Roman" w:asciiTheme="minorEastAsia" w:hAnsiTheme="minorEastAsia"/>
          <w:b/>
          <w:sz w:val="28"/>
          <w:szCs w:val="24"/>
        </w:rPr>
      </w:pPr>
      <w:bookmarkStart w:id="50" w:name="_Toc489812804"/>
      <w:bookmarkStart w:id="51" w:name="_Toc3635"/>
      <w:r>
        <w:rPr>
          <w:rFonts w:cs="Times New Roman" w:asciiTheme="minorEastAsia" w:hAnsiTheme="minorEastAsia"/>
          <w:b/>
          <w:sz w:val="28"/>
          <w:szCs w:val="24"/>
        </w:rPr>
        <w:t>3.2社会环境概况</w:t>
      </w:r>
      <w:bookmarkEnd w:id="50"/>
      <w:bookmarkEnd w:id="51"/>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3.2.1 行政区划与人口</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驻马店年鉴（2013）》，西平县辖师灵、权寨、出山、五沟营、盆尧5镇及柏城、柏亭2个街道，环城、芦庙、吕店、谭店、宋集、人和、重渠、焦庄、专探、二郎、蔡寨、杨庄12个乡和老王坡管理委员会、产业集聚区，264个行政村，20个居委会，2918个村民小组，138个居民小组（小区），1230个自然村。2012年末总人口870124人，其中非农业人口102629人，占全县总人口的11.8%。</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3.2.2 社会经济状况</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区域气候日照充足，自然环境优越，适宜种植小麦、玉米、红薯等粮食作物及芝麻、棉花、油菜等经济作物，是全省主要产粮油县之一。全县土地总面积10.9万公顷，其中耕地6.707万公顷，农民人均耕地934m2；全县林地面积62.4公顷，其中经济林0.16万公顷；林网地面积5.5万公顷，水产养殖水面0.09万公顷，农林副总土地利用面积7.42万公顷，占土地总面积的68.05％。</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工业现已形成建材、化工、纺织、造纸、机械、食品等支柱产业，2015年实现生产总值187.9亿元，城镇居民人均可支配收入达到21272元，农民人均纯收入达到9810元。</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3.2.3 交通运输</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地理位居中原。北距新郑国际机场130公里，南距武汉300公里，位于郑州及武汉两大都市“半日经济圈”内。京广铁路、京港澳高速公路、107国道、京广高速铁路纵贯全境，省道高兰公路横穿东西，交通运输十分便利。</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全县公路总长度1519.115公里。新建了西酒公路、东西环公路等一批县乡公路，全县80%的行政村实现了村村通。县乡公交、城镇出租车业发展迅速，建成农村客运站11个，居民出行条件明显改善。</w:t>
      </w:r>
    </w:p>
    <w:p>
      <w:pPr>
        <w:keepNext/>
        <w:keepLines/>
        <w:adjustRightInd w:val="0"/>
        <w:snapToGrid w:val="0"/>
        <w:spacing w:before="167"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3.2.4 文物古迹</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历史文化悠久，全县有省级文物保护单位1处，县级文物保护单位13处。酒店冶铁遗址位于县城西南36km酒店村西南，北依棠溪河，南北长2500m，东西宽1500m，文化层厚1.5m左右，属战国韩冶铁处，是河南省1963年公布的第一批重点文物保护单位之一，对研究中国兵器史和冶金史具有重要价值。</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耿庄遗址位于县城西南10.5km耿庄东，紧临村落，东西长250m，南北宽190m，东南部断壁暴露出文化层在2m以上，属新石器时期龙山文化遗址，1985年公布为县第二批重点文物保护单位。</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宝岩寺塔俗称“东关塔”，位于县城东关，1982年公布为县第一批重点文物保护单位。</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根据现场调查本项目区内没有发现需要特殊保护的自然保护区、地面文物古迹和地下文物古迹等。</w:t>
      </w:r>
    </w:p>
    <w:p>
      <w:pPr>
        <w:adjustRightInd w:val="0"/>
        <w:snapToGrid w:val="0"/>
        <w:spacing w:line="360" w:lineRule="auto"/>
        <w:rPr>
          <w:rFonts w:cs="Times New Roman" w:asciiTheme="minorEastAsia" w:hAnsiTheme="minorEastAsia"/>
          <w:b/>
          <w:sz w:val="24"/>
          <w:szCs w:val="24"/>
        </w:rPr>
      </w:pPr>
      <w:bookmarkStart w:id="52" w:name="_Toc20018"/>
      <w:r>
        <w:rPr>
          <w:rFonts w:cs="Times New Roman" w:asciiTheme="minorEastAsia" w:hAnsiTheme="minorEastAsia"/>
          <w:b/>
          <w:sz w:val="28"/>
          <w:szCs w:val="24"/>
        </w:rPr>
        <w:t>3.3 规划相符性分析</w:t>
      </w:r>
      <w:bookmarkEnd w:id="52"/>
    </w:p>
    <w:p>
      <w:pPr>
        <w:adjustRightInd w:val="0"/>
        <w:snapToGrid w:val="0"/>
        <w:spacing w:line="360" w:lineRule="auto"/>
        <w:rPr>
          <w:rFonts w:cs="Times New Roman" w:asciiTheme="minorEastAsia" w:hAnsiTheme="minorEastAsia"/>
          <w:b/>
          <w:bCs/>
          <w:sz w:val="24"/>
          <w:szCs w:val="24"/>
        </w:rPr>
      </w:pPr>
      <w:bookmarkStart w:id="53" w:name="_Toc403047793"/>
      <w:r>
        <w:rPr>
          <w:rFonts w:cs="Times New Roman" w:asciiTheme="minorEastAsia" w:hAnsiTheme="minorEastAsia"/>
          <w:b/>
          <w:bCs/>
          <w:sz w:val="24"/>
          <w:szCs w:val="24"/>
        </w:rPr>
        <w:t>3.3.1 西平县2002~2020年城市总体规划概况</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西平县2002~2020年城市总体规划于2003年5月29日，由驻马店市人民政府以驻政文[2003]92号予以批复。</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1、城市性质</w:t>
      </w:r>
    </w:p>
    <w:p>
      <w:pPr>
        <w:adjustRightInd w:val="0"/>
        <w:snapToGrid w:val="0"/>
        <w:spacing w:line="360" w:lineRule="auto"/>
        <w:ind w:firstLine="488" w:firstLineChars="200"/>
        <w:rPr>
          <w:rFonts w:cs="Times New Roman" w:asciiTheme="minorEastAsia" w:hAnsiTheme="minorEastAsia"/>
          <w:sz w:val="24"/>
          <w:szCs w:val="24"/>
        </w:rPr>
      </w:pPr>
      <w:r>
        <w:rPr>
          <w:rFonts w:cs="Times New Roman" w:asciiTheme="minorEastAsia" w:hAnsiTheme="minorEastAsia"/>
          <w:spacing w:val="2"/>
          <w:sz w:val="24"/>
          <w:szCs w:val="24"/>
        </w:rPr>
        <w:t>西平城区是驻马店市域经济发展的中心之一，是西平县政治、经济、</w:t>
      </w:r>
      <w:r>
        <w:rPr>
          <w:rFonts w:cs="Times New Roman" w:asciiTheme="minorEastAsia" w:hAnsiTheme="minorEastAsia"/>
          <w:spacing w:val="4"/>
          <w:sz w:val="24"/>
          <w:szCs w:val="24"/>
        </w:rPr>
        <w:t>文化、科技、信息中心。</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2、城市功能规划</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城市功能规划可归结为“三心八区”，其中“三心”，即绿心——城区中心公园、老城中心和新城中心；“八区”分别为城西居住区、城南居住区、城北居住区、老城居住区、城西南工业区、城南工业园区、城东工业区和城东南工业小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3、城市环境保护规划</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城区环境规划分为三类功能区。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一类：公园绿地、宾馆、一类居住用地、绿色空间控制区。大气环境执行一级标准，声环境标准为昼间55dB(A)、夜间45dB(A)。</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二类：居民文教区、科研区、机关区、居住商业混合区、居住工业混合区、商业中心区。大气环境执行二级标准，声环境标准为昼间60dB(A)、夜间50dB(A)。</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三类：工业区、仓库区，大气环境质量执行三级标准，声环境标准为昼间65dB(A)、夜间55dB(A)；交通干线两侧和铁路两侧区域声环境标准为昼间70dB(A)、夜间55dB(A)。</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4、城市规划范围</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北至淤泥河，东至京珠高速公路，南至仙女池河，西至专探衡坡——遂平沈寨公路。</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5、城市规模</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近期（2005年）城区人口规模为15万人，用地规模为15.61km</w:t>
      </w:r>
      <w:r>
        <w:rPr>
          <w:rFonts w:cs="Times New Roman" w:asciiTheme="minorEastAsia" w:hAnsiTheme="minorEastAsia"/>
          <w:sz w:val="24"/>
          <w:szCs w:val="24"/>
          <w:vertAlign w:val="superscript"/>
        </w:rPr>
        <w:t>2</w:t>
      </w:r>
      <w:r>
        <w:rPr>
          <w:rFonts w:cs="Times New Roman" w:asciiTheme="minorEastAsia" w:hAnsiTheme="minorEastAsia"/>
          <w:sz w:val="24"/>
          <w:szCs w:val="24"/>
        </w:rPr>
        <w:t>、人均建设用地指标104.07m</w:t>
      </w:r>
      <w:r>
        <w:rPr>
          <w:rFonts w:cs="Times New Roman" w:asciiTheme="minorEastAsia" w:hAnsiTheme="minorEastAsia"/>
          <w:sz w:val="24"/>
          <w:szCs w:val="24"/>
          <w:vertAlign w:val="superscript"/>
        </w:rPr>
        <w:t>2</w:t>
      </w:r>
      <w:r>
        <w:rPr>
          <w:rFonts w:cs="Times New Roman" w:asciiTheme="minorEastAsia" w:hAnsiTheme="minorEastAsia"/>
          <w:sz w:val="24"/>
          <w:szCs w:val="24"/>
        </w:rPr>
        <w:t>/人；远期（2020年）城区人口规模为25万人，用地规模为26.19km</w:t>
      </w:r>
      <w:r>
        <w:rPr>
          <w:rFonts w:cs="Times New Roman" w:asciiTheme="minorEastAsia" w:hAnsiTheme="minorEastAsia"/>
          <w:sz w:val="24"/>
          <w:szCs w:val="24"/>
          <w:vertAlign w:val="superscript"/>
        </w:rPr>
        <w:t>2</w:t>
      </w:r>
      <w:r>
        <w:rPr>
          <w:rFonts w:cs="Times New Roman" w:asciiTheme="minorEastAsia" w:hAnsiTheme="minorEastAsia"/>
          <w:sz w:val="24"/>
          <w:szCs w:val="24"/>
        </w:rPr>
        <w:t>、人均建设用地指标104.76m</w:t>
      </w:r>
      <w:r>
        <w:rPr>
          <w:rFonts w:cs="Times New Roman" w:asciiTheme="minorEastAsia" w:hAnsiTheme="minorEastAsia"/>
          <w:sz w:val="24"/>
          <w:szCs w:val="24"/>
          <w:vertAlign w:val="superscript"/>
        </w:rPr>
        <w:t>2</w:t>
      </w:r>
      <w:r>
        <w:rPr>
          <w:rFonts w:cs="Times New Roman" w:asciiTheme="minorEastAsia" w:hAnsiTheme="minorEastAsia"/>
          <w:sz w:val="24"/>
          <w:szCs w:val="24"/>
        </w:rPr>
        <w:t>/人。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6、城市水源地</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根据西平县城市规划，城市水源地位于县城西田庄一带，在西平县城市区域地表水和地下水径流的上游。</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7、垃圾处理场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西平县垃圾处理场位于城区东南西</w:t>
      </w:r>
      <w:r>
        <w:rPr>
          <w:rFonts w:hint="eastAsia" w:cs="Times New Roman" w:asciiTheme="minorEastAsia" w:hAnsiTheme="minorEastAsia"/>
          <w:sz w:val="24"/>
          <w:szCs w:val="24"/>
        </w:rPr>
        <w:t>平</w:t>
      </w:r>
      <w:r>
        <w:rPr>
          <w:rFonts w:cs="Times New Roman" w:asciiTheme="minorEastAsia" w:hAnsiTheme="minorEastAsia"/>
          <w:sz w:val="24"/>
          <w:szCs w:val="24"/>
        </w:rPr>
        <w:t>县乡公路西、三孔桥南、红澍河南岸，设计处理规模为200t/d</w:t>
      </w:r>
      <w:r>
        <w:rPr>
          <w:rFonts w:hint="eastAsia" w:cs="Times New Roman" w:asciiTheme="minorEastAsia" w:hAnsiTheme="minorEastAsia"/>
          <w:sz w:val="24"/>
          <w:szCs w:val="24"/>
        </w:rPr>
        <w:t>；目前尚在正常运行期。</w:t>
      </w:r>
    </w:p>
    <w:p>
      <w:pPr>
        <w:adjustRightInd w:val="0"/>
        <w:snapToGrid w:val="0"/>
        <w:spacing w:line="360" w:lineRule="auto"/>
        <w:ind w:firstLine="480" w:firstLineChars="200"/>
        <w:rPr>
          <w:rFonts w:cs="Times New Roman" w:asciiTheme="minorEastAsia" w:hAnsiTheme="minorEastAsia"/>
          <w:bCs/>
          <w:sz w:val="24"/>
          <w:szCs w:val="24"/>
        </w:rPr>
      </w:pPr>
      <w:r>
        <w:rPr>
          <w:rFonts w:hint="eastAsia" w:cs="Times New Roman" w:asciiTheme="minorEastAsia" w:hAnsiTheme="minorEastAsia"/>
          <w:sz w:val="24"/>
          <w:szCs w:val="24"/>
        </w:rPr>
        <w:t>本项目位于该垃圾填埋场南侧200m，生活垃圾可收集进入垃圾填埋场处置。</w:t>
      </w:r>
    </w:p>
    <w:p>
      <w:pPr>
        <w:adjustRightInd w:val="0"/>
        <w:snapToGrid w:val="0"/>
        <w:spacing w:line="360" w:lineRule="auto"/>
        <w:rPr>
          <w:rFonts w:cs="Times New Roman" w:asciiTheme="minorEastAsia" w:hAnsiTheme="minorEastAsia"/>
          <w:b/>
          <w:bCs/>
          <w:sz w:val="24"/>
          <w:szCs w:val="24"/>
        </w:rPr>
      </w:pPr>
      <w:r>
        <w:rPr>
          <w:rFonts w:cs="Times New Roman" w:asciiTheme="minorEastAsia" w:hAnsiTheme="minorEastAsia"/>
          <w:b/>
          <w:bCs/>
          <w:sz w:val="24"/>
          <w:szCs w:val="24"/>
        </w:rPr>
        <w:t>3.3.2 西平县产业集聚区发展规划（2009-2020）</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1、规划范围</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豫发改工业[2012]2373号文《河南省发展和改革委员会关于西平县产业集聚区发展规划调整方案的批复》，西平县产业集聚区规划范围调整为:东至东环路、西至规划的创业大道、南至南环路、北至启明路，规划面积14平方公里。</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2、发展定位及目标</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发展定位——西平产业集聚区是豫南地区乃至河南省的重要产业基地；以农副产品精深加工、机械装备制造等为主导，积极发展高新技术产业，带动相关产业发展的循环经济示范区；集生产科研、物流商贸、文化展示于一体，功能齐全的现代化综合性城市新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总体发展目标——西平县城市和产业融合发展，产业结构优化升级，工业化与城镇化的主要载体；基础设施及配套设施完善、生态环境优美的“宜业、宜居”的产城结合体；西平县乃至周边地区产业集聚区建设的示范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3、用地布局结构和功能分区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规划西平县产业集聚区的总体空间结构概括为“四轴四区多中心”。</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四轴”按主要功能可分为一条东西向的产业发展主轴和三条城市功能发展次轴，其中东西发展的产业联系轴线是指以迎宾大道为依托，贯穿产业集聚区西、中、东三个片区的联系轴线，既是产业景观大道，也是交通联系的主要东西通道，同时迎宾大道现状是省道331线的一部分和京港澳高速公路西平连接线；三条城市发展功能发展次轴指现状的107国道、护城河路及铁东主干道所形成的南北向发展轴线，由北至南贯通连结城市生活、产业等功能区，远期规划为城市主干道和景观大道，同时也是产业集聚区主要交通干线，是一条带动南部城镇进一步发展的区域性发展轴线，是影响产业集聚区的发展及其空间布局结构的最重要因素之一。</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“四区”主要指由G107和京广铁路自然分割的几部分，包括西部产业区、东部产业区、中部产业区和一个集中生活配套区。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多中心”指产业集聚区配套服务中心，位于红澍河北侧，工业大道南侧、临建设路和解放路的核心区域，布置产业集聚区主要公共设施用地，为集聚区提供行政管理、科技研发、商业金融、文化娱乐、绿化休憩等中心区综合服务配套功能。另外在迎宾大道以北形成一个生活配套服务中心，不但方便居民生活服务，同时也是产业的配套服务区域。在其他产业片区内也布局了多个次中心，提供便捷的服务。</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4、产业选择与布局</w:t>
      </w:r>
    </w:p>
    <w:p>
      <w:pPr>
        <w:adjustRightInd w:val="0"/>
        <w:snapToGrid w:val="0"/>
        <w:spacing w:line="360" w:lineRule="auto"/>
        <w:ind w:firstLine="480" w:firstLineChars="200"/>
        <w:rPr>
          <w:rFonts w:cs="Times New Roman" w:asciiTheme="minorEastAsia" w:hAnsiTheme="minorEastAsia"/>
          <w:bCs/>
          <w:sz w:val="24"/>
          <w:szCs w:val="24"/>
        </w:rPr>
      </w:pPr>
      <w:r>
        <w:rPr>
          <w:rFonts w:cs="Times New Roman" w:asciiTheme="minorEastAsia" w:hAnsiTheme="minorEastAsia"/>
          <w:sz w:val="24"/>
          <w:szCs w:val="24"/>
        </w:rPr>
        <w:t>根据豫发改工业[2012]2373号文《河南省发展和改革委员会关于西平县产业集聚区发展规划调整方案的批复》，西平县产业</w:t>
      </w:r>
      <w:r>
        <w:rPr>
          <w:rFonts w:cs="Times New Roman" w:asciiTheme="minorEastAsia" w:hAnsiTheme="minorEastAsia"/>
          <w:bCs/>
          <w:sz w:val="24"/>
          <w:szCs w:val="24"/>
        </w:rPr>
        <w:t>集聚区产业集聚区主导产业为：机械制造业和农副产品加工业。其中机械设备制造主要包括电力机械、液压机械和食品机械；农副产品精深加工主要包括小麦精深加工、玉米精深加工、秸秆加工和肉类精深加工。</w:t>
      </w:r>
    </w:p>
    <w:p>
      <w:pPr>
        <w:adjustRightInd w:val="0"/>
        <w:snapToGrid w:val="0"/>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在大力发展主导产业的同时，集聚区也可继续适当吸收主导产业以外的相关产业，进一步推进集聚区的各项建设，为远期的产业结构升级奠定基础。</w:t>
      </w:r>
    </w:p>
    <w:p>
      <w:pPr>
        <w:adjustRightInd w:val="0"/>
        <w:snapToGrid w:val="0"/>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产业布局——按照产业发展研究，整个产业集聚区按功能划分为五个产业功能区，分别为：以农副产品精深加工为主的产业集群区、以机械装备制造为主的产业集群区、以塑胶制品、塑胶模具为主的产业集群区、物流仓储和专业市场区、高新技术和第三产业集中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本项目位于西平县产业集聚区静脉产业园启航路与工业大道交叉口，根据西平县产业集聚区工功能区划分，本项目位于静脉产业园，经西平县产业聚集区管理委员会核实，项目建设符合西平县产业聚集区总体发展规划。</w:t>
      </w:r>
    </w:p>
    <w:p>
      <w:pPr>
        <w:keepNext/>
        <w:keepLines/>
        <w:adjustRightInd w:val="0"/>
        <w:snapToGrid w:val="0"/>
        <w:spacing w:before="167" w:beforeLines="50" w:line="360" w:lineRule="auto"/>
        <w:outlineLvl w:val="2"/>
        <w:rPr>
          <w:rFonts w:cs="Times New Roman" w:asciiTheme="minorEastAsia" w:hAnsiTheme="minorEastAsia"/>
          <w:b/>
          <w:spacing w:val="8"/>
          <w:sz w:val="24"/>
          <w:szCs w:val="28"/>
        </w:rPr>
      </w:pPr>
      <w:r>
        <w:rPr>
          <w:rFonts w:cs="Times New Roman" w:asciiTheme="minorEastAsia" w:hAnsiTheme="minorEastAsia"/>
          <w:b/>
          <w:bCs/>
          <w:sz w:val="24"/>
          <w:szCs w:val="24"/>
        </w:rPr>
        <w:t>3.3.3 西平县第三污水处理厂简介</w:t>
      </w:r>
    </w:p>
    <w:p>
      <w:pPr>
        <w:adjustRightInd w:val="0"/>
        <w:snapToGrid w:val="0"/>
        <w:spacing w:line="360" w:lineRule="auto"/>
        <w:ind w:firstLine="470" w:firstLineChars="196"/>
        <w:rPr>
          <w:rFonts w:cs="Times New Roman" w:asciiTheme="minorEastAsia" w:hAnsiTheme="minorEastAsia"/>
          <w:color w:val="000000"/>
          <w:sz w:val="24"/>
          <w:szCs w:val="20"/>
        </w:rPr>
      </w:pPr>
      <w:r>
        <w:rPr>
          <w:rFonts w:cs="Times New Roman" w:asciiTheme="minorEastAsia" w:hAnsiTheme="minorEastAsia"/>
          <w:color w:val="000000"/>
          <w:sz w:val="24"/>
          <w:szCs w:val="20"/>
        </w:rPr>
        <w:t>西平县第三污水处理厂建设在县城东南郊，在红澍河北岸、原油粘厂北侧、紧靠西平――重渠公路东侧的区域，设计建设规模为5万m</w:t>
      </w:r>
      <w:r>
        <w:rPr>
          <w:rFonts w:cs="Times New Roman" w:asciiTheme="minorEastAsia" w:hAnsiTheme="minorEastAsia"/>
          <w:color w:val="000000"/>
          <w:sz w:val="24"/>
          <w:szCs w:val="20"/>
          <w:vertAlign w:val="superscript"/>
        </w:rPr>
        <w:t>3</w:t>
      </w:r>
      <w:r>
        <w:rPr>
          <w:rFonts w:cs="Times New Roman" w:asciiTheme="minorEastAsia" w:hAnsiTheme="minorEastAsia"/>
          <w:color w:val="000000"/>
          <w:sz w:val="24"/>
          <w:szCs w:val="20"/>
        </w:rPr>
        <w:t>/d（2009年10月底第一期2.5万m</w:t>
      </w:r>
      <w:r>
        <w:rPr>
          <w:rFonts w:cs="Times New Roman" w:asciiTheme="minorEastAsia" w:hAnsiTheme="minorEastAsia"/>
          <w:color w:val="000000"/>
          <w:sz w:val="24"/>
          <w:szCs w:val="20"/>
          <w:vertAlign w:val="superscript"/>
        </w:rPr>
        <w:t>3</w:t>
      </w:r>
      <w:r>
        <w:rPr>
          <w:rFonts w:cs="Times New Roman" w:asciiTheme="minorEastAsia" w:hAnsiTheme="minorEastAsia"/>
          <w:color w:val="000000"/>
          <w:sz w:val="24"/>
          <w:szCs w:val="20"/>
        </w:rPr>
        <w:t>/d通过了市环保局组织的环保验收</w:t>
      </w:r>
      <w:r>
        <w:rPr>
          <w:rFonts w:hint="eastAsia" w:cs="Times New Roman" w:asciiTheme="minorEastAsia" w:hAnsiTheme="minorEastAsia"/>
          <w:color w:val="000000"/>
          <w:sz w:val="24"/>
          <w:szCs w:val="20"/>
        </w:rPr>
        <w:t>；现有</w:t>
      </w:r>
      <w:r>
        <w:rPr>
          <w:rFonts w:cs="Times New Roman" w:asciiTheme="minorEastAsia" w:hAnsiTheme="minorEastAsia"/>
          <w:color w:val="000000"/>
          <w:sz w:val="24"/>
          <w:szCs w:val="20"/>
        </w:rPr>
        <w:t>收水规模为2.3万m</w:t>
      </w:r>
      <w:r>
        <w:rPr>
          <w:rFonts w:cs="Times New Roman" w:asciiTheme="minorEastAsia" w:hAnsiTheme="minorEastAsia"/>
          <w:color w:val="000000"/>
          <w:sz w:val="24"/>
          <w:szCs w:val="20"/>
          <w:vertAlign w:val="superscript"/>
        </w:rPr>
        <w:t>3</w:t>
      </w:r>
      <w:r>
        <w:rPr>
          <w:rFonts w:cs="Times New Roman" w:asciiTheme="minorEastAsia" w:hAnsiTheme="minorEastAsia"/>
          <w:color w:val="000000"/>
          <w:sz w:val="24"/>
          <w:szCs w:val="20"/>
        </w:rPr>
        <w:t>/d），服务范围为洪河以东的东城区全部的工业废水和生活污水，即东至东环路、南到红澍河以南延伸500m、西到107国道、北面以洪河为界。西平县污水处理厂服务区面积约16km</w:t>
      </w:r>
      <w:r>
        <w:rPr>
          <w:rFonts w:cs="Times New Roman" w:asciiTheme="minorEastAsia" w:hAnsiTheme="minorEastAsia"/>
          <w:color w:val="000000"/>
          <w:sz w:val="24"/>
          <w:szCs w:val="20"/>
          <w:vertAlign w:val="superscript"/>
        </w:rPr>
        <w:t>2</w:t>
      </w:r>
      <w:r>
        <w:rPr>
          <w:rFonts w:cs="Times New Roman" w:asciiTheme="minorEastAsia" w:hAnsiTheme="minorEastAsia"/>
          <w:color w:val="000000"/>
          <w:sz w:val="24"/>
          <w:szCs w:val="20"/>
        </w:rPr>
        <w:t>，人口近15万人。本项目位于污水处理厂的收水范围内。</w:t>
      </w:r>
    </w:p>
    <w:p>
      <w:pPr>
        <w:adjustRightInd w:val="0"/>
        <w:snapToGrid w:val="0"/>
        <w:spacing w:line="360" w:lineRule="auto"/>
        <w:ind w:firstLine="480" w:firstLineChars="200"/>
        <w:rPr>
          <w:rFonts w:cs="Times New Roman" w:asciiTheme="minorEastAsia" w:hAnsiTheme="minorEastAsia"/>
          <w:color w:val="000000"/>
          <w:sz w:val="24"/>
          <w:szCs w:val="28"/>
        </w:rPr>
      </w:pPr>
      <w:r>
        <w:rPr>
          <w:rFonts w:cs="Times New Roman" w:asciiTheme="minorEastAsia" w:hAnsiTheme="minorEastAsia"/>
          <w:color w:val="000000"/>
          <w:sz w:val="24"/>
          <w:szCs w:val="20"/>
        </w:rPr>
        <w:t>西平县第三污水处理厂废水处理</w:t>
      </w:r>
      <w:r>
        <w:rPr>
          <w:rFonts w:cs="Times New Roman" w:asciiTheme="minorEastAsia" w:hAnsiTheme="minorEastAsia"/>
          <w:color w:val="000000"/>
          <w:sz w:val="24"/>
          <w:szCs w:val="28"/>
        </w:rPr>
        <w:t>工艺流程设计采用氧化沟工艺，设计进水水质为COD350mg/L、BOD</w:t>
      </w:r>
      <w:r>
        <w:rPr>
          <w:rFonts w:cs="Times New Roman" w:asciiTheme="minorEastAsia" w:hAnsiTheme="minorEastAsia"/>
          <w:color w:val="000000"/>
          <w:sz w:val="24"/>
          <w:szCs w:val="28"/>
          <w:vertAlign w:val="subscript"/>
        </w:rPr>
        <w:t>5</w:t>
      </w:r>
      <w:r>
        <w:rPr>
          <w:rFonts w:cs="Times New Roman" w:asciiTheme="minorEastAsia" w:hAnsiTheme="minorEastAsia"/>
          <w:color w:val="000000"/>
          <w:sz w:val="24"/>
          <w:szCs w:val="28"/>
        </w:rPr>
        <w:t>150mg/L、氨氮35mg/L、SS210mg/L，出水按《城镇污水处理厂污染物排放标准》(GB18918－2002)水污染物一级A标准执行，即COD50mg/L、BOD</w:t>
      </w:r>
      <w:r>
        <w:rPr>
          <w:rFonts w:cs="Times New Roman" w:asciiTheme="minorEastAsia" w:hAnsiTheme="minorEastAsia"/>
          <w:color w:val="000000"/>
          <w:sz w:val="24"/>
          <w:szCs w:val="28"/>
          <w:vertAlign w:val="subscript"/>
        </w:rPr>
        <w:t>5</w:t>
      </w:r>
      <w:r>
        <w:rPr>
          <w:rFonts w:cs="Times New Roman" w:asciiTheme="minorEastAsia" w:hAnsiTheme="minorEastAsia"/>
          <w:color w:val="000000"/>
          <w:sz w:val="24"/>
          <w:szCs w:val="28"/>
        </w:rPr>
        <w:t>10mg/L、氨氮5（8）mg/L、SS10mg/L。尾水排入红澍河，污泥采用浓缩脱水后卫生填埋。根据2016年3月常规监测表明，西平县第三污水处理厂运行状况良好，处理出水水质满足设计指标和国家排放标准的要求。</w:t>
      </w:r>
      <w:bookmarkStart w:id="54" w:name="_Toc186269508"/>
    </w:p>
    <w:p>
      <w:pPr>
        <w:autoSpaceDE w:val="0"/>
        <w:autoSpaceDN w:val="0"/>
        <w:adjustRightInd w:val="0"/>
        <w:snapToGrid w:val="0"/>
        <w:ind w:firstLine="482" w:firstLineChars="20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表3.3-1  西平县第三污水处理厂设计进出水水质</w:t>
      </w:r>
      <w:bookmarkEnd w:id="54"/>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4"/>
        <w:gridCol w:w="1673"/>
        <w:gridCol w:w="1673"/>
        <w:gridCol w:w="1673"/>
        <w:gridCol w:w="1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2434"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污染因子</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COD</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BOD</w:t>
            </w:r>
            <w:r>
              <w:rPr>
                <w:rFonts w:cs="Times New Roman" w:asciiTheme="minorEastAsia" w:hAnsiTheme="minorEastAsia"/>
                <w:color w:val="000000"/>
                <w:szCs w:val="21"/>
                <w:vertAlign w:val="subscript"/>
              </w:rPr>
              <w:t>5</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SS</w:t>
            </w:r>
          </w:p>
        </w:tc>
        <w:tc>
          <w:tcPr>
            <w:tcW w:w="1675"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NH</w:t>
            </w:r>
            <w:r>
              <w:rPr>
                <w:rFonts w:cs="Times New Roman" w:asciiTheme="minorEastAsia" w:hAnsiTheme="minorEastAsia"/>
                <w:color w:val="000000"/>
                <w:szCs w:val="21"/>
                <w:vertAlign w:val="subscript"/>
              </w:rPr>
              <w:t>3</w:t>
            </w:r>
            <w:r>
              <w:rPr>
                <w:rFonts w:cs="Times New Roman" w:asciiTheme="minorEastAsia" w:hAnsiTheme="minorEastAsia"/>
                <w:color w:val="000000"/>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2434"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进水水质(mg/L)</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350</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150</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210</w:t>
            </w:r>
          </w:p>
        </w:tc>
        <w:tc>
          <w:tcPr>
            <w:tcW w:w="1675"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2434"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出水水质(mg/L)</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50</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w:t>
            </w:r>
          </w:p>
        </w:tc>
        <w:tc>
          <w:tcPr>
            <w:tcW w:w="1673"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w:t>
            </w:r>
          </w:p>
        </w:tc>
        <w:tc>
          <w:tcPr>
            <w:tcW w:w="1675" w:type="dxa"/>
            <w:vAlign w:val="center"/>
          </w:tcPr>
          <w:p>
            <w:pPr>
              <w:autoSpaceDE w:val="0"/>
              <w:autoSpaceDN w:val="0"/>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5</w:t>
            </w:r>
          </w:p>
        </w:tc>
      </w:tr>
    </w:tbl>
    <w:p>
      <w:pPr>
        <w:adjustRightInd w:val="0"/>
        <w:snapToGrid w:val="0"/>
        <w:spacing w:before="167" w:beforeLines="50" w:line="360" w:lineRule="auto"/>
        <w:ind w:firstLine="480" w:firstLineChars="200"/>
        <w:rPr>
          <w:rFonts w:cs="Times New Roman" w:asciiTheme="minorEastAsia" w:hAnsiTheme="minorEastAsia"/>
          <w:color w:val="000000"/>
          <w:sz w:val="24"/>
          <w:szCs w:val="28"/>
        </w:rPr>
      </w:pPr>
      <w:r>
        <w:rPr>
          <w:rFonts w:cs="Times New Roman" w:asciiTheme="minorEastAsia" w:hAnsiTheme="minorEastAsia"/>
          <w:color w:val="000000"/>
          <w:sz w:val="24"/>
          <w:szCs w:val="28"/>
        </w:rPr>
        <w:t>项目</w:t>
      </w:r>
      <w:r>
        <w:rPr>
          <w:rFonts w:cs="Times New Roman" w:asciiTheme="minorEastAsia" w:hAnsiTheme="minorEastAsia"/>
          <w:bCs/>
          <w:sz w:val="24"/>
          <w:szCs w:val="24"/>
        </w:rPr>
        <w:t>位于</w:t>
      </w:r>
      <w:r>
        <w:rPr>
          <w:rFonts w:cs="Times New Roman" w:asciiTheme="minorEastAsia" w:hAnsiTheme="minorEastAsia"/>
          <w:color w:val="000000"/>
          <w:kern w:val="0"/>
          <w:sz w:val="24"/>
          <w:szCs w:val="24"/>
          <w:lang w:bidi="ar"/>
        </w:rPr>
        <w:t>西平县产业集聚区静脉产业园启航路与工业大道交叉口</w:t>
      </w:r>
      <w:r>
        <w:rPr>
          <w:rFonts w:cs="Times New Roman" w:asciiTheme="minorEastAsia" w:hAnsiTheme="minorEastAsia"/>
          <w:bCs/>
          <w:sz w:val="24"/>
          <w:szCs w:val="24"/>
        </w:rPr>
        <w:t>，</w:t>
      </w:r>
      <w:r>
        <w:rPr>
          <w:rFonts w:hint="eastAsia" w:cs="Times New Roman" w:asciiTheme="minorEastAsia" w:hAnsiTheme="minorEastAsia"/>
          <w:bCs/>
          <w:sz w:val="24"/>
          <w:szCs w:val="24"/>
        </w:rPr>
        <w:t>北距西平县第三污水处理厂约850m，</w:t>
      </w:r>
      <w:r>
        <w:rPr>
          <w:rFonts w:cs="Times New Roman" w:asciiTheme="minorEastAsia" w:hAnsiTheme="minorEastAsia"/>
          <w:color w:val="000000"/>
          <w:sz w:val="24"/>
          <w:szCs w:val="28"/>
        </w:rPr>
        <w:t>处于</w:t>
      </w:r>
      <w:r>
        <w:rPr>
          <w:rFonts w:hint="eastAsia" w:cs="Times New Roman" w:asciiTheme="minorEastAsia" w:hAnsiTheme="minorEastAsia"/>
          <w:color w:val="000000"/>
          <w:sz w:val="24"/>
          <w:szCs w:val="20"/>
        </w:rPr>
        <w:t>该</w:t>
      </w:r>
      <w:r>
        <w:rPr>
          <w:rFonts w:cs="Times New Roman" w:asciiTheme="minorEastAsia" w:hAnsiTheme="minorEastAsia"/>
          <w:color w:val="000000"/>
          <w:sz w:val="24"/>
          <w:szCs w:val="20"/>
        </w:rPr>
        <w:t>污水处理厂</w:t>
      </w:r>
      <w:r>
        <w:rPr>
          <w:rFonts w:cs="Times New Roman" w:asciiTheme="minorEastAsia" w:hAnsiTheme="minorEastAsia"/>
          <w:color w:val="000000"/>
          <w:sz w:val="24"/>
          <w:szCs w:val="28"/>
        </w:rPr>
        <w:t>的服务范围之内，</w:t>
      </w:r>
      <w:r>
        <w:rPr>
          <w:rFonts w:cs="Times New Roman" w:asciiTheme="minorEastAsia" w:hAnsiTheme="minorEastAsia"/>
          <w:sz w:val="24"/>
          <w:szCs w:val="28"/>
        </w:rPr>
        <w:t>且该区域污水管网已经建设完整、投入使用，</w:t>
      </w:r>
      <w:r>
        <w:rPr>
          <w:rFonts w:cs="Times New Roman" w:asciiTheme="minorEastAsia" w:hAnsiTheme="minorEastAsia"/>
          <w:color w:val="000000"/>
          <w:sz w:val="24"/>
          <w:szCs w:val="28"/>
        </w:rPr>
        <w:t>本项目产生的</w:t>
      </w:r>
      <w:r>
        <w:rPr>
          <w:rFonts w:hint="eastAsia" w:cs="Times New Roman" w:asciiTheme="minorEastAsia" w:hAnsiTheme="minorEastAsia"/>
          <w:color w:val="000000"/>
          <w:sz w:val="24"/>
          <w:szCs w:val="28"/>
        </w:rPr>
        <w:t>生产、</w:t>
      </w:r>
      <w:r>
        <w:rPr>
          <w:rFonts w:cs="Times New Roman" w:asciiTheme="minorEastAsia" w:hAnsiTheme="minorEastAsia"/>
          <w:color w:val="000000"/>
          <w:sz w:val="24"/>
          <w:szCs w:val="28"/>
        </w:rPr>
        <w:t>生活污水经厂区内</w:t>
      </w:r>
      <w:r>
        <w:rPr>
          <w:rFonts w:hint="eastAsia" w:cs="Times New Roman" w:asciiTheme="minorEastAsia" w:hAnsiTheme="minorEastAsia"/>
          <w:color w:val="000000"/>
          <w:sz w:val="24"/>
          <w:szCs w:val="28"/>
        </w:rPr>
        <w:t>污水处理设施</w:t>
      </w:r>
      <w:r>
        <w:rPr>
          <w:rFonts w:cs="Times New Roman" w:asciiTheme="minorEastAsia" w:hAnsiTheme="minorEastAsia"/>
          <w:color w:val="000000"/>
          <w:sz w:val="24"/>
          <w:szCs w:val="28"/>
        </w:rPr>
        <w:t>处理后</w:t>
      </w:r>
      <w:r>
        <w:rPr>
          <w:rFonts w:hint="eastAsia" w:cs="Times New Roman" w:asciiTheme="minorEastAsia" w:hAnsiTheme="minorEastAsia"/>
          <w:color w:val="000000"/>
          <w:sz w:val="24"/>
          <w:szCs w:val="28"/>
        </w:rPr>
        <w:t>，</w:t>
      </w:r>
      <w:r>
        <w:rPr>
          <w:rFonts w:cs="Times New Roman" w:asciiTheme="minorEastAsia" w:hAnsiTheme="minorEastAsia"/>
          <w:color w:val="000000"/>
          <w:sz w:val="24"/>
          <w:szCs w:val="28"/>
        </w:rPr>
        <w:t>能够通过污水管网进入西平县第三污水处理厂进行深度处理</w:t>
      </w:r>
      <w:bookmarkEnd w:id="53"/>
      <w:r>
        <w:rPr>
          <w:rFonts w:cs="Times New Roman" w:asciiTheme="minorEastAsia" w:hAnsiTheme="minorEastAsia"/>
          <w:color w:val="000000"/>
          <w:sz w:val="24"/>
          <w:szCs w:val="28"/>
        </w:rPr>
        <w:t>。</w:t>
      </w:r>
    </w:p>
    <w:p>
      <w:pPr>
        <w:adjustRightInd w:val="0"/>
        <w:snapToGrid w:val="0"/>
        <w:spacing w:before="167" w:beforeLines="50" w:line="360" w:lineRule="auto"/>
        <w:rPr>
          <w:rFonts w:cs="Times New Roman" w:asciiTheme="minorEastAsia" w:hAnsiTheme="minorEastAsia"/>
          <w:b/>
          <w:color w:val="000000"/>
          <w:sz w:val="24"/>
          <w:szCs w:val="28"/>
        </w:rPr>
      </w:pPr>
      <w:r>
        <w:rPr>
          <w:rFonts w:hint="eastAsia" w:cs="Times New Roman" w:asciiTheme="minorEastAsia" w:hAnsiTheme="minorEastAsia"/>
          <w:b/>
          <w:color w:val="000000"/>
          <w:sz w:val="24"/>
          <w:szCs w:val="28"/>
        </w:rPr>
        <w:t>3.3.4 西平县城市饮用水源保护区</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西平县城市饮用水源地位于县城西周范村东侧，共13眼深水井，分布于小洪河以北、引洪道两侧,根据《河南省县级集中式饮用水水源保护区划》，西平县城市饮用水源保护区划分为：</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西平县自来水厂周范地下水井群(小洪河以北、引洪道两侧,共13眼井)</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一级保护区范围:取水井外围55米的区域。</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二级保护区范围:一级保护区外,小洪河以北,引洪道以西1～10号、引洪道以东11～13号各组取水井外围600米外公切线所包含区域。</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本项目西北距离该水源二级保护区最近边界约6.8km，不在保护区范围内，项目建设对水源保护区不会造成不灵影响。</w:t>
      </w:r>
    </w:p>
    <w:p>
      <w:pPr>
        <w:adjustRightInd w:val="0"/>
        <w:snapToGrid w:val="0"/>
        <w:spacing w:line="360" w:lineRule="auto"/>
        <w:rPr>
          <w:rFonts w:cs="Times New Roman" w:asciiTheme="minorEastAsia" w:hAnsiTheme="minorEastAsia"/>
          <w:b/>
          <w:sz w:val="28"/>
          <w:szCs w:val="28"/>
        </w:rPr>
      </w:pPr>
      <w:r>
        <w:rPr>
          <w:rFonts w:hint="eastAsia" w:cs="Times New Roman" w:asciiTheme="minorEastAsia" w:hAnsiTheme="minorEastAsia"/>
          <w:b/>
          <w:sz w:val="28"/>
          <w:szCs w:val="28"/>
        </w:rPr>
        <w:t>3.4项目建设与当前环境污染防治政策相符性分析</w:t>
      </w:r>
    </w:p>
    <w:p>
      <w:pPr>
        <w:adjustRightInd w:val="0"/>
        <w:snapToGrid w:val="0"/>
        <w:spacing w:line="360" w:lineRule="auto"/>
        <w:rPr>
          <w:rFonts w:cs="Times New Roman" w:asciiTheme="minorEastAsia" w:hAnsiTheme="minorEastAsia"/>
          <w:b/>
          <w:sz w:val="24"/>
          <w:szCs w:val="24"/>
        </w:rPr>
      </w:pPr>
      <w:r>
        <w:rPr>
          <w:rFonts w:hint="eastAsia" w:cs="Times New Roman" w:asciiTheme="minorEastAsia" w:hAnsiTheme="minorEastAsia"/>
          <w:b/>
          <w:sz w:val="24"/>
          <w:szCs w:val="24"/>
        </w:rPr>
        <w:t>3.4.1国务院《打赢蓝天保卫战三年行动计划》</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（1）目标指标</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经过3年努力，大幅减少主要大气污染物排放总量，协同减少温室气体排放，进一步明显降低细颗粒物（PM2.5）浓度，明显减少重污染天数，明显改善环境空气质量，明显增强人民的蓝天幸福感。</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（2）调整优化产业结构，推进产业绿色发展</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优化产业布局。各地完成生态保护红线、环境质量底线、资源利用上线、环境准入清单编制工作，明确禁止和限制发展的行业、生产工艺和产业目录。修订完善高耗能、高污染和资源型行业准入条件，环境空气质量未达标城市应制订更严格的产业准入门槛。积极推行区域、规划环境影响评价，新、改、扩建钢铁、石化、化工、焦化、建材、有色等项目的环境影响评价，应满足区域、规划环评要求。</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推进重点行业污染治理升级改造。重点区域二氧化硫、氮氧化物、颗粒物、挥发性有机物(VOCs)全面执行大气污染物特别排放限值。推动实施钢铁等行业超低排放改造，重点区域城市建成区内焦炉实施炉体加罩封闭，并对废气进行收集处理。强化工业企业无组织排放管控。</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大力培育绿色环保产业。壮大绿色产业规模，发展节能环保产业、清洁生产产业、清洁能源产业，培育发展新动能。</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（3）加快调整能源结构，构建清洁低碳高效能源体系</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提高能源利用效率。继续实施能源消耗总量和强度双控行动。健全节能标准体系，大力开发、推广节能高效技术和产品，实现重点用能行业、设备节能标准全覆盖。加快发展清洁能源和新能源。加大可再生能源消纳力度，基本解决弃水、弃风、弃光问题。</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（4）优化调整用地结构，推进面源污染治理</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加强扬尘综合治理。严格施工扬尘监管。重点区域建筑施工工地要做到工地周边围挡、物料堆放覆盖、土方开挖湿法作业、路面硬化、出入车辆清洗、渣土车辆密闭运输“六个百分之百”，安装在线监测和视频监控设备，并与当地有关主管部门联网。严格渣土运输车辆规范化管理，渣土运输车要密闭。</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（5）实施重大专项行动，大幅降低污染物排放</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开展工业炉窑治理专项行动。鼓励工业炉窑使用电、天然气等清洁能源或由周边热电厂供热。</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实施VOCs专项整治方案。重点区域禁止建设生产和使用高VOCs含量的溶剂型涂料、油墨、胶粘剂等项目，加大餐饮油烟治理力度。开展VOCs整治专项执法行动，严厉打击违法排污行为，对治理效果差、技术服务能力弱、运营管理水平低的治理单位，公布名单，实行联合惩戒，扶持培育VOCs治理和服务专业化规模化龙头企业。</w:t>
      </w:r>
    </w:p>
    <w:p>
      <w:pPr>
        <w:adjustRightInd w:val="0"/>
        <w:snapToGrid w:val="0"/>
        <w:spacing w:line="360" w:lineRule="auto"/>
        <w:ind w:firstLine="480"/>
        <w:rPr>
          <w:rFonts w:cs="Times New Roman" w:asciiTheme="minorEastAsia" w:hAnsiTheme="minorEastAsia"/>
          <w:sz w:val="24"/>
          <w:szCs w:val="24"/>
        </w:rPr>
      </w:pPr>
      <w:r>
        <w:rPr>
          <w:rFonts w:hint="eastAsia" w:cs="Times New Roman" w:asciiTheme="minorEastAsia" w:hAnsiTheme="minorEastAsia"/>
          <w:sz w:val="24"/>
          <w:szCs w:val="24"/>
        </w:rPr>
        <w:t>本项目建设符合区域“三线一单”管控约束要求；不属于</w:t>
      </w:r>
      <w:bookmarkStart w:id="55" w:name="_Toc12387"/>
      <w:bookmarkStart w:id="56" w:name="_Toc6206"/>
      <w:r>
        <w:rPr>
          <w:rFonts w:hint="eastAsia" w:cs="Times New Roman" w:asciiTheme="minorEastAsia" w:hAnsiTheme="minorEastAsia"/>
          <w:sz w:val="24"/>
          <w:szCs w:val="24"/>
        </w:rPr>
        <w:t>禁止和限制发展的行业、生产工艺和产业。项目施工期严格落实“六个百分之百”要求。营运期热裂解炉使用与天然气类似的轮胎热裂解不凝气作为能源，属于再生能源利用；燃烧废气处理后，二氧化硫、氮氧化物、颗粒物等执行大气污染物特别排放限值；对产生的VOCs废气采用燃烧、UV光氧催化+活性炭吸附等治理措施，降低污染物排放。因此，项目建设与国务院《打赢蓝天保卫战三年行动计划》的目标、要求基本一致。</w:t>
      </w:r>
    </w:p>
    <w:p>
      <w:pPr>
        <w:adjustRightInd w:val="0"/>
        <w:snapToGrid w:val="0"/>
        <w:spacing w:line="360" w:lineRule="auto"/>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cs="Times New Roman" w:asciiTheme="minorEastAsia" w:hAnsiTheme="minorEastAsia"/>
          <w:b/>
          <w:sz w:val="24"/>
          <w:szCs w:val="24"/>
        </w:rPr>
        <w:t xml:space="preserve">3.4.2 </w:t>
      </w:r>
      <w:r>
        <w:rPr>
          <w:rFonts w:hint="eastAsia" w:ascii="宋体" w:hAnsi="宋体" w:eastAsia="宋体" w:cs="Times New Roman"/>
          <w:b/>
          <w:color w:val="0D0D0D" w:themeColor="text1" w:themeTint="F2"/>
          <w:sz w:val="24"/>
          <w:szCs w:val="28"/>
          <w14:textFill>
            <w14:solidFill>
              <w14:schemeClr w14:val="tx1">
                <w14:lumMod w14:val="95000"/>
                <w14:lumOff w14:val="5000"/>
              </w14:schemeClr>
            </w14:solidFill>
          </w14:textFill>
        </w:rPr>
        <w:t>《河南省污染防治攻坚战三年行动计划 (2018—2020年)》</w:t>
      </w:r>
    </w:p>
    <w:p>
      <w:pPr>
        <w:adjustRightInd w:val="0"/>
        <w:snapToGrid w:val="0"/>
        <w:spacing w:line="360" w:lineRule="auto"/>
        <w:ind w:firstLine="480" w:firstLineChars="20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1）严格环境准入。各地要加强区域、规划环境影响评价,按要求完成生态保护红线、环境质量底线、资源利用上线和环境准入清单“三线一单”编制工作,明确禁止和限制发展的行业、生产工艺和产业目录。新改扩建钢铁、石化、化工、焦化、建材、有色等涉气项目的环境影响评价,应满足区域、规划环评要求。</w:t>
      </w:r>
    </w:p>
    <w:p>
      <w:pPr>
        <w:adjustRightInd w:val="0"/>
        <w:snapToGrid w:val="0"/>
        <w:spacing w:line="360" w:lineRule="auto"/>
        <w:ind w:firstLine="480" w:firstLineChars="20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2）实施挥发性有机物(VOCs)专项整治方案。推进挥发性有机物排放综合整治,到2020年,VOCs排放总量比2015年下降10%以上。新建涉VOCs排放的工业企业要入园区,实行区域内VOCs排放等量或倍量削减替代。新建、改建、扩建涉VOCs排放项目,应加强废气收集,安装高效治理设施。禁止建设生产和使用高VOCs含量的溶剂型涂料、油墨、胶粘剂等项目。</w:t>
      </w:r>
    </w:p>
    <w:p>
      <w:pPr>
        <w:adjustRightInd w:val="0"/>
        <w:snapToGrid w:val="0"/>
        <w:spacing w:line="360" w:lineRule="auto"/>
        <w:ind w:firstLine="480" w:firstLineChars="20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（3）大力开展重点行业清洁生产。依据《清洁生产审核办法》(国家发展和改革委员会、环境保护部令第38号),实现钢铁、有色、建材、化工等行业重点企业强制性清洁生产审核全覆盖。</w:t>
      </w:r>
    </w:p>
    <w:p>
      <w:pPr>
        <w:adjustRightInd w:val="0"/>
        <w:snapToGrid w:val="0"/>
        <w:spacing w:line="360" w:lineRule="auto"/>
        <w:ind w:firstLine="480" w:firstLineChars="20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4）严格施工扬尘污染管控。强化施工扬尘污染防治,将建筑、市政、拆除、公路、水利等各类施工工地扬尘污染防治纳入建筑施工安全生产文明施工管理范畴,严格执行开复工验收、“三员”(监督员、网络员、管理员)管理、城市建筑垃圾处置核准、扬尘防治预算管理等制度,做到工地周边围挡、物料堆放覆盖、土方开挖湿法作业、路面硬化、出入车辆清洗、渣土车辆密闭运输“六个百分之百”,禁止施工工地现场搅拌混凝土、现场配置砂浆,将扬尘管理工作不到位的不良信息纳入建筑市场信用管理体系,情节严重的,列入建筑市场主体“黑名单”。</w:t>
      </w:r>
    </w:p>
    <w:p>
      <w:pPr>
        <w:adjustRightInd w:val="0"/>
        <w:snapToGrid w:val="0"/>
        <w:spacing w:line="360" w:lineRule="auto"/>
        <w:ind w:firstLine="480" w:firstLineChars="20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5）调整结构、优化布局。加快淘汰落后产能,制定并实施分年度的落后产能淘汰方案。加快城市建成区、重点流域等的重污染企业搬迁改造,2018年年底前,相关城市政府就此制定专项计划并向社会公开。城市建成区内现有的钢铁、有色金属、造纸、印染、原料药制造、化工等污染较重的企业,应有序搬迁改造或依法关闭。</w:t>
      </w:r>
    </w:p>
    <w:p>
      <w:pPr>
        <w:adjustRightInd w:val="0"/>
        <w:snapToGrid w:val="0"/>
        <w:spacing w:line="360" w:lineRule="auto"/>
        <w:ind w:firstLine="480" w:firstLineChars="20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（6）加强土壤污染的源头管控。深化重金属污染防治监管和重点区域综合整治。在矿产资源开发活动集中区域,执行重点重金属污染物特别排放限值。</w:t>
      </w:r>
    </w:p>
    <w:p>
      <w:pPr>
        <w:adjustRightInd w:val="0"/>
        <w:snapToGrid w:val="0"/>
        <w:spacing w:line="360" w:lineRule="auto"/>
        <w:ind w:firstLine="480" w:firstLineChars="20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本项目位于西平县产业集聚区静脉产业园，满足园区规划及“三线一单”要求；项目不在集聚区产业准入负面清单（试行）确定的限制和禁止类产业之列。项目施工期严格落实施工扬尘污染管控措施。项目采取的生产工艺及设备符合国家产业政策要求，清洁生产水平较高；运行期燃烧废气采取高效治理措施，主要污染物满足特别排放限值要求。项目生产过程中不涉及重金属污染物排放，生产、生活废水经厂区污水处理系统处理后，排入城市污水处理厂进一步处理后排放，对地表水环境影响较小；各类固废均可得到妥善有效处置，不对环境造成二次污染。施工期严格落实施工工地扬尘污染防治“六个百分之百”和“两个禁止”的规定。因此，本项目建设河南省污染防治攻坚战三年行动计划的要求一致。</w:t>
      </w:r>
    </w:p>
    <w:p>
      <w:pPr>
        <w:adjustRightInd w:val="0"/>
        <w:snapToGrid w:val="0"/>
        <w:spacing w:line="360" w:lineRule="auto"/>
        <w:rPr>
          <w:rFonts w:ascii="宋体" w:hAnsi="宋体" w:eastAsia="宋体" w:cs="Times New Roman"/>
          <w:b/>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b/>
          <w:color w:val="0D0D0D" w:themeColor="text1" w:themeTint="F2"/>
          <w:sz w:val="24"/>
          <w:szCs w:val="28"/>
          <w14:textFill>
            <w14:solidFill>
              <w14:schemeClr w14:val="tx1">
                <w14:lumMod w14:val="95000"/>
                <w14:lumOff w14:val="5000"/>
              </w14:schemeClr>
            </w14:solidFill>
          </w14:textFill>
        </w:rPr>
        <w:t>3.4.3 《河南省工业大气污染防治6个专项方案》</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（1）《河南省2019年工业企业无组织排放治理方案》</w:t>
      </w:r>
    </w:p>
    <w:p>
      <w:pPr>
        <w:spacing w:line="360" w:lineRule="auto"/>
        <w:ind w:firstLine="48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对原料运输、贮存、装卸、混合、转运、加装、工艺过程、产品出料、包装等各个生产环节存在的无组织排放污染问题，进行全流程控制、收集、净化处理，同步安装视频监控和相应的污染物排放监测设备，2019年10月底前，全省工业企业完成物料运输、生产工艺、堆场环节的无组织排放深度治理，全面实现“五到位、一密闭”（生产过程收尘到位，物料运输抑尘到位，厂区道路除尘到位，裸露土地绿化到位，无组织排放监控到位；厂区内贮存的各类易产生粉尘的物料及燃料全部密闭）。</w:t>
      </w:r>
    </w:p>
    <w:p>
      <w:pPr>
        <w:spacing w:line="360" w:lineRule="auto"/>
        <w:ind w:firstLine="48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（2）《河南省2019年挥发性有机物治理方案》相关内容</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强化源头控制，严格过程管理，推广采用先进的干燥、固液分离及真空设备，以连续、自动、密闭生产工艺替代间歇式、敞开式生产工艺，并采取停工退料等措施，加强非正常工况的过程控制。反应尾气、蒸馏装置不凝尾气等工艺排气，工艺容器的置换气、吹扫气、抽真空排气等应进行收集治理，低浓度有机废气或恶臭气体采用低温等离子体技术、UV光催化氧化技术、活性炭吸附技术等两种或两种以上组合工艺，禁止使用单一吸附、催化氧化等处理技术。</w:t>
      </w:r>
    </w:p>
    <w:p>
      <w:pPr>
        <w:spacing w:line="360" w:lineRule="auto"/>
        <w:ind w:firstLine="48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（3）其他行业无组织排放治理标准的相关要求</w:t>
      </w:r>
    </w:p>
    <w:p>
      <w:pPr>
        <w:spacing w:line="360" w:lineRule="auto"/>
        <w:ind w:firstLine="48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所有物料（包括原辅料、半成品、成品）进库存放，厂界内无露天堆放物料，料场安装喷干雾抑尘设施；散装物料采用密闭式输送方式，禁止厂区露天转运散装物料；禁止生产车间内散放物料；厂区道路硬化，平整无破埙，无积尘，厂区无裸露空地，闲置裸露空地绿化；对厂区道路定期洒水清扫。</w:t>
      </w:r>
    </w:p>
    <w:p>
      <w:pPr>
        <w:adjustRightInd w:val="0"/>
        <w:snapToGrid w:val="0"/>
        <w:spacing w:line="360" w:lineRule="auto"/>
        <w:ind w:firstLine="480"/>
        <w:rPr>
          <w:rFonts w:ascii="宋体" w:hAnsi="宋体" w:eastAsia="宋体" w:cs="Times New Roman"/>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8"/>
          <w14:textFill>
            <w14:solidFill>
              <w14:schemeClr w14:val="tx1">
                <w14:lumMod w14:val="95000"/>
                <w14:lumOff w14:val="5000"/>
              </w14:schemeClr>
            </w14:solidFill>
          </w14:textFill>
        </w:rPr>
        <w:t>本项目营运期所有固体物料（包括原辅料、半成品、成品）进库存放，厂区内各类易产生粉尘的物料全部密闭储存，厂界内无露天堆放物料。运营期热裂解气冷凝回收燃料油，不凝气燃烧废气采取“SCR脱硝反应器+两级喷雾脱硫塔+UV光氧催化+活性炭吸附”处理工艺，车间炭黑尘收集并经袋式除尘器处理；各类大气污染物可实现稳定达标排放。项目所在厂区道路全部水泥硬化，定期洒水清扫；厂区其他闲置裸露土地全部绿化。综上分析，项目建设符合河南省工业大气污染防治6个专项方案的相关要求。</w:t>
      </w:r>
    </w:p>
    <w:p>
      <w:pPr>
        <w:adjustRightInd w:val="0"/>
        <w:snapToGrid w:val="0"/>
        <w:spacing w:line="360" w:lineRule="auto"/>
        <w:rPr>
          <w:rFonts w:ascii="宋体" w:hAnsi="宋体" w:eastAsia="宋体" w:cs="Times New Roman"/>
          <w:b/>
          <w:color w:val="0D0D0D" w:themeColor="text1" w:themeTint="F2"/>
          <w:sz w:val="24"/>
          <w:szCs w:val="28"/>
          <w14:textFill>
            <w14:solidFill>
              <w14:schemeClr w14:val="tx1">
                <w14:lumMod w14:val="95000"/>
                <w14:lumOff w14:val="5000"/>
              </w14:schemeClr>
            </w14:solidFill>
          </w14:textFill>
        </w:rPr>
      </w:pPr>
      <w:r>
        <w:rPr>
          <w:rFonts w:hint="eastAsia" w:ascii="宋体" w:hAnsi="宋体" w:eastAsia="宋体" w:cs="Times New Roman"/>
          <w:b/>
          <w:color w:val="0D0D0D" w:themeColor="text1" w:themeTint="F2"/>
          <w:sz w:val="24"/>
          <w:szCs w:val="28"/>
          <w14:textFill>
            <w14:solidFill>
              <w14:schemeClr w14:val="tx1">
                <w14:lumMod w14:val="95000"/>
                <w14:lumOff w14:val="5000"/>
              </w14:schemeClr>
            </w14:solidFill>
          </w14:textFill>
        </w:rPr>
        <w:t>3.4.4 《驻马店市污染防治攻坚战三年行动方案（2018-2020年）》</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（1）新改扩建钢铁、石化、化工、建材等涉气项目的环境影响评价，应满足区域、规划环评要求。</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2）加快推进化工行业VOCs治理。化工行业要参照石化行业VOCs治理要求,全面推进设备动静密封点、储存、装卸、废水系统、有组织工艺废气和非正常工况等工序治理,逐步推广泄漏检测与修复(LDAR)工作;加强无组织废气排放控制,含VOCs物料的储存、输送、投料、卸料,涉及VOCs物料的生产及含VOCs产品分装等过程应密闭操作；反应尾气、蒸馏装置不凝尾气等工艺排气,工艺容器的置换气、吹扫气、抽真空排气等应进行收集治理。</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（3）2019年底前，全市钢铁、水泥、玻璃、电解铝行业力争完成超低排放；化工、钢铁等重点行业颗粒物、二氧化硫、氮氧化物、VOCs全面执行大气污染物特别排放限值。</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4）强化施工扬尘污染防治，将建筑、市政、拆迁、公路、水利等各类施工工地扬尘污染防治纳入文明施工管理，严格执行开复工验收、“三员”管理、城市建筑垃圾处置核准、扬尘防治预算管理等制度，做到工地周边围挡、物料堆放覆盖、土方开挖湿法作业、路面硬化、出入车辆清洗、渣土车辆密闭运输“六个百分之百”，禁止施工工地现场搅拌混凝土、现场配制砂浆。</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5）深入实施水污染防治行动计划，扎实推进河长制、湖长制，强化河长职责，加强组织领导，建立长效机制。坚持污染减排和生态扩容两手发力，重点打好城市黑臭水体治理、饮用水源地保护、全域清洁河流、农业农村污染治理四个标志性攻坚战役，统筹推进各项水污染防治工作。</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6）对重点区域、重点流域、重点行业和产业布局开展规划环评，严格项目环境准入，严格控制重点流域、重点区域环境风险项目。围绕生态保护红线,建立严格的环境准入制度,对不符合生态功能区划、涉及环境敏感区和生态红线、高污染高耗能的建设项目原则上一律不予批准。</w:t>
      </w:r>
    </w:p>
    <w:p>
      <w:pPr>
        <w:spacing w:line="360" w:lineRule="auto"/>
        <w:ind w:firstLine="480" w:firstLineChars="20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（7）采用国内外先进技术，以电力、有色金属冶炼、化工等行业为重点，鼓励相关专业园区及企业建设大宗固体废物资源化利用设施，力争实现“区内利用、自产自销”。</w:t>
      </w:r>
    </w:p>
    <w:p>
      <w:pPr>
        <w:adjustRightInd w:val="0"/>
        <w:snapToGrid w:val="0"/>
        <w:spacing w:line="360" w:lineRule="auto"/>
        <w:rPr>
          <w:rFonts w:cs="Times New Roman" w:asciiTheme="minorEastAsia" w:hAnsiTheme="minorEastAsia"/>
          <w:sz w:val="24"/>
          <w:szCs w:val="24"/>
        </w:rPr>
      </w:pPr>
      <w:r>
        <w:rPr>
          <w:rFonts w:hint="eastAsia" w:cs="Times New Roman" w:asciiTheme="minorEastAsia" w:hAnsiTheme="minorEastAsia"/>
          <w:sz w:val="24"/>
          <w:szCs w:val="24"/>
        </w:rPr>
        <w:t xml:space="preserve">    本次项目位于西平县产业集聚区，属于</w:t>
      </w: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固体废物资源化利用处置项目，选址</w:t>
      </w:r>
      <w:r>
        <w:rPr>
          <w:rFonts w:hint="eastAsia" w:cs="Times New Roman" w:asciiTheme="minorEastAsia" w:hAnsiTheme="minorEastAsia"/>
          <w:sz w:val="24"/>
          <w:szCs w:val="24"/>
        </w:rPr>
        <w:t>满足区域、规划环评要求，符合区域“三线一单”及生态功能区划要求。项目施工期严格落实施工工地“六个百分之百”及“两个禁止”的扬尘污染管控措施。项目运行期对各类废气进行收集治理，可实现达标排放，预计对周边环境影响不大。项目生产、生活污水经厂区污水处理设施处理后，排入集聚区污水处理厂进一步处理后排放，对地表水环境影响较小；项目区相关涉水设施采取水泥硬化地面及防渗措施，不会对地下水环境造成不良影响。项目一般固废做到资源化利用；危险废物交有资质单位处置。项目建设符合驻马店市污染防治攻坚战三年行动方案（2018-2020年）的相关要求。</w:t>
      </w:r>
    </w:p>
    <w:p>
      <w:pPr>
        <w:adjustRightInd w:val="0"/>
        <w:snapToGrid w:val="0"/>
        <w:spacing w:line="360" w:lineRule="auto"/>
        <w:rPr>
          <w:rFonts w:cs="Times New Roman" w:asciiTheme="minorEastAsia" w:hAnsiTheme="minorEastAsia"/>
          <w:b/>
          <w:sz w:val="24"/>
          <w:szCs w:val="24"/>
        </w:rPr>
      </w:pPr>
      <w:r>
        <w:rPr>
          <w:rFonts w:hint="eastAsia" w:cs="Times New Roman" w:asciiTheme="minorEastAsia" w:hAnsiTheme="minorEastAsia"/>
          <w:b/>
          <w:sz w:val="24"/>
          <w:szCs w:val="24"/>
        </w:rPr>
        <w:t>3.4.5项目建设与《重点行业挥发性有机物综合治理方案》、《挥发性有机物无组织排放控制标准》的相符性</w:t>
      </w:r>
    </w:p>
    <w:p>
      <w:pPr>
        <w:spacing w:line="360" w:lineRule="auto"/>
        <w:ind w:firstLine="480"/>
        <w:rPr>
          <w:rFonts w:ascii="宋体" w:hAnsi="宋体" w:eastAsia="宋体" w:cs="Times New Roman"/>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 w:val="24"/>
          <w:szCs w:val="24"/>
          <w14:textFill>
            <w14:solidFill>
              <w14:schemeClr w14:val="tx1">
                <w14:lumMod w14:val="95000"/>
                <w14:lumOff w14:val="5000"/>
              </w14:schemeClr>
            </w14:solidFill>
          </w14:textFill>
        </w:rPr>
        <w:t>项目建设与</w:t>
      </w:r>
      <w:r>
        <w:rPr>
          <w:rFonts w:hint="eastAsia" w:ascii="宋体" w:hAnsi="宋体" w:eastAsia="宋体" w:cs="Times New Roman"/>
          <w:color w:val="000000" w:themeColor="text1"/>
          <w:sz w:val="24"/>
          <w:szCs w:val="24"/>
          <w14:textFill>
            <w14:solidFill>
              <w14:schemeClr w14:val="tx1"/>
            </w14:solidFill>
          </w14:textFill>
        </w:rPr>
        <w:t>《重点行业挥发性有机物综合治理方案》、《挥发性有机物无组织排放控制标准》相关要求的相符性分别见下表3.4-1、表3.4-2。</w:t>
      </w:r>
    </w:p>
    <w:p>
      <w:pPr>
        <w:spacing w:line="360" w:lineRule="auto"/>
        <w:ind w:firstLine="480"/>
        <w:rPr>
          <w:rFonts w:ascii="宋体" w:hAnsi="宋体" w:eastAsia="宋体" w:cs="Times New Roman"/>
          <w:b/>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b/>
          <w:color w:val="0D0D0D" w:themeColor="text1" w:themeTint="F2"/>
          <w:sz w:val="24"/>
          <w:szCs w:val="24"/>
          <w14:textFill>
            <w14:solidFill>
              <w14:schemeClr w14:val="tx1">
                <w14:lumMod w14:val="95000"/>
                <w14:lumOff w14:val="5000"/>
              </w14:schemeClr>
            </w14:solidFill>
          </w14:textFill>
        </w:rPr>
        <w:t>表3.4-1  项目与</w:t>
      </w:r>
      <w:r>
        <w:rPr>
          <w:rFonts w:hint="eastAsia" w:ascii="宋体" w:hAnsi="宋体" w:eastAsia="宋体" w:cs="Times New Roman"/>
          <w:b/>
          <w:color w:val="000000" w:themeColor="text1"/>
          <w:sz w:val="24"/>
          <w:szCs w:val="24"/>
          <w14:textFill>
            <w14:solidFill>
              <w14:schemeClr w14:val="tx1"/>
            </w14:solidFill>
          </w14:textFill>
        </w:rPr>
        <w:t>《重点行业挥发性有机物综合治理方案》对照表</w:t>
      </w:r>
    </w:p>
    <w:tbl>
      <w:tblPr>
        <w:tblStyle w:val="9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8"/>
        <w:gridCol w:w="3933"/>
        <w:gridCol w:w="2552"/>
        <w:gridCol w:w="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1278"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类别</w:t>
            </w:r>
          </w:p>
        </w:tc>
        <w:tc>
          <w:tcPr>
            <w:tcW w:w="393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方案内容</w:t>
            </w:r>
          </w:p>
        </w:tc>
        <w:tc>
          <w:tcPr>
            <w:tcW w:w="255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本项目建设情况</w:t>
            </w:r>
          </w:p>
        </w:tc>
        <w:tc>
          <w:tcPr>
            <w:tcW w:w="759"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trPr>
        <w:tc>
          <w:tcPr>
            <w:tcW w:w="1278"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全面加强无组织排放控制。</w:t>
            </w:r>
          </w:p>
        </w:tc>
        <w:tc>
          <w:tcPr>
            <w:tcW w:w="3933" w:type="dxa"/>
            <w:vAlign w:val="center"/>
          </w:tcPr>
          <w:p>
            <w:pPr>
              <w:spacing w:line="240" w:lineRule="atLeast"/>
              <w:jc w:val="left"/>
              <w:rPr>
                <w:rFonts w:asciiTheme="minorEastAsia" w:hAnsiTheme="minorEastAsia"/>
                <w:sz w:val="18"/>
                <w:szCs w:val="18"/>
              </w:rPr>
            </w:pPr>
            <w:r>
              <w:rPr>
                <w:rFonts w:hint="eastAsia" w:asciiTheme="minorEastAsia" w:hAnsiTheme="minorEastAsia"/>
                <w:sz w:val="18"/>
                <w:szCs w:val="18"/>
              </w:rPr>
              <w:t>加强设备与场所密闭管理。含VOCs物料应储存于密闭容器、包装袋，高效密封储罐，封闭式储库、料仓等。含VOCs物料转移和输送，应采用密闭管道或密闭容器、罐车等。含VOCs物料生产和使用过程，应采取有效收集措施或在密闭空间中操作。</w:t>
            </w:r>
          </w:p>
        </w:tc>
        <w:tc>
          <w:tcPr>
            <w:tcW w:w="255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项目含VOCs物料主要为裂解油，利用密闭储罐储存、罐车转移。</w:t>
            </w:r>
          </w:p>
        </w:tc>
        <w:tc>
          <w:tcPr>
            <w:tcW w:w="759"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1278" w:type="dxa"/>
            <w:vMerge w:val="continue"/>
            <w:vAlign w:val="center"/>
          </w:tcPr>
          <w:p>
            <w:pPr>
              <w:spacing w:line="240" w:lineRule="atLeast"/>
              <w:jc w:val="center"/>
              <w:rPr>
                <w:rFonts w:asciiTheme="minorEastAsia" w:hAnsiTheme="minorEastAsia"/>
                <w:sz w:val="18"/>
                <w:szCs w:val="18"/>
              </w:rPr>
            </w:pPr>
          </w:p>
        </w:tc>
        <w:tc>
          <w:tcPr>
            <w:tcW w:w="3933" w:type="dxa"/>
            <w:vAlign w:val="center"/>
          </w:tcPr>
          <w:p>
            <w:pPr>
              <w:spacing w:line="240" w:lineRule="atLeast"/>
              <w:jc w:val="left"/>
              <w:rPr>
                <w:rFonts w:asciiTheme="minorEastAsia" w:hAnsiTheme="minorEastAsia"/>
                <w:sz w:val="18"/>
                <w:szCs w:val="18"/>
              </w:rPr>
            </w:pPr>
            <w:r>
              <w:rPr>
                <w:rFonts w:hint="eastAsia" w:asciiTheme="minorEastAsia" w:hAnsiTheme="minorEastAsia"/>
                <w:sz w:val="18"/>
                <w:szCs w:val="18"/>
              </w:rPr>
              <w:t>推进使用先进生产工艺。通过采用全密闭、连续化、自动化等生产技术，以及高效工艺与设备等，减少工艺过程无组织排放。</w:t>
            </w:r>
          </w:p>
        </w:tc>
        <w:tc>
          <w:tcPr>
            <w:tcW w:w="255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项目废轮胎热裂解处理工序全密闭、自动化作业。</w:t>
            </w:r>
          </w:p>
        </w:tc>
        <w:tc>
          <w:tcPr>
            <w:tcW w:w="759" w:type="dxa"/>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1278" w:type="dxa"/>
            <w:vMerge w:val="continue"/>
            <w:vAlign w:val="center"/>
          </w:tcPr>
          <w:p>
            <w:pPr>
              <w:spacing w:line="240" w:lineRule="atLeast"/>
              <w:jc w:val="center"/>
              <w:rPr>
                <w:rFonts w:asciiTheme="minorEastAsia" w:hAnsiTheme="minorEastAsia"/>
                <w:sz w:val="18"/>
                <w:szCs w:val="18"/>
              </w:rPr>
            </w:pPr>
          </w:p>
        </w:tc>
        <w:tc>
          <w:tcPr>
            <w:tcW w:w="3933" w:type="dxa"/>
            <w:vAlign w:val="center"/>
          </w:tcPr>
          <w:p>
            <w:pPr>
              <w:spacing w:line="240" w:lineRule="atLeast"/>
              <w:jc w:val="left"/>
              <w:rPr>
                <w:rFonts w:asciiTheme="minorEastAsia" w:hAnsiTheme="minorEastAsia"/>
                <w:sz w:val="18"/>
                <w:szCs w:val="18"/>
              </w:rPr>
            </w:pPr>
            <w:r>
              <w:rPr>
                <w:rFonts w:hint="eastAsia" w:asciiTheme="minorEastAsia" w:hAnsiTheme="minorEastAsia"/>
                <w:sz w:val="18"/>
                <w:szCs w:val="18"/>
              </w:rPr>
              <w:t>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255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项目热裂解气通过密闭设备冷凝后直接进入燃烧器燃烧处理；热裂解炉出料口、粗碳黑包装设备等安装集气罩，负压集气，收集废气通过袋式除尘器处理后排放，。</w:t>
            </w:r>
          </w:p>
        </w:tc>
        <w:tc>
          <w:tcPr>
            <w:tcW w:w="759"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1278"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推进建设适宜高效的治污设施。</w:t>
            </w:r>
          </w:p>
        </w:tc>
        <w:tc>
          <w:tcPr>
            <w:tcW w:w="3933" w:type="dxa"/>
            <w:vAlign w:val="center"/>
          </w:tcPr>
          <w:p>
            <w:pPr>
              <w:spacing w:line="240" w:lineRule="atLeast"/>
              <w:jc w:val="left"/>
              <w:rPr>
                <w:rFonts w:asciiTheme="minorEastAsia" w:hAnsiTheme="minorEastAsia"/>
                <w:sz w:val="18"/>
                <w:szCs w:val="18"/>
              </w:rPr>
            </w:pPr>
            <w:r>
              <w:rPr>
                <w:rFonts w:hint="eastAsia" w:asciiTheme="minorEastAsia" w:hAnsiTheme="minorEastAsia"/>
                <w:sz w:val="18"/>
                <w:szCs w:val="18"/>
              </w:rPr>
              <w:t xml:space="preserve">实行重点排放源排放浓度与去除效率双重控制。车间或生产设施收集排放的废气，VOCs初始排放速率大于等于3千克/小时、重点区域大于等于2千克/小时的，应加大控制力度，除确保排放浓度稳定达标外，还应实行去除效率控制，去除效率不低于80%。 </w:t>
            </w:r>
          </w:p>
        </w:tc>
        <w:tc>
          <w:tcPr>
            <w:tcW w:w="255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项目VOCs去除效率达到90%以上；排放速率低于2千克/小时。</w:t>
            </w:r>
          </w:p>
        </w:tc>
        <w:tc>
          <w:tcPr>
            <w:tcW w:w="759"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 w:hRule="atLeast"/>
        </w:trPr>
        <w:tc>
          <w:tcPr>
            <w:tcW w:w="1278"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化工行业VOCs综合治理。</w:t>
            </w:r>
          </w:p>
        </w:tc>
        <w:tc>
          <w:tcPr>
            <w:tcW w:w="3933" w:type="dxa"/>
            <w:vAlign w:val="center"/>
          </w:tcPr>
          <w:p>
            <w:pPr>
              <w:spacing w:line="240" w:lineRule="atLeast"/>
              <w:jc w:val="left"/>
              <w:rPr>
                <w:rFonts w:asciiTheme="minorEastAsia" w:hAnsiTheme="minorEastAsia"/>
                <w:sz w:val="18"/>
                <w:szCs w:val="18"/>
              </w:rPr>
            </w:pPr>
            <w:r>
              <w:rPr>
                <w:rFonts w:hint="eastAsia" w:asciiTheme="minorEastAsia" w:hAnsiTheme="minorEastAsia"/>
                <w:sz w:val="18"/>
                <w:szCs w:val="18"/>
              </w:rPr>
              <w:t>加快生产设备密闭化改造。对进出料、物料输送、搅拌、固液分离、干燥、灌装等过程，采取密闭化措施，提升工艺装备水平。固体物料投加逐步推进采用密闭式投料装置。</w:t>
            </w:r>
          </w:p>
        </w:tc>
        <w:tc>
          <w:tcPr>
            <w:tcW w:w="255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项目裂解气通过密闭设备冷凝后直接进入燃烧系统燃烧处理。</w:t>
            </w:r>
          </w:p>
        </w:tc>
        <w:tc>
          <w:tcPr>
            <w:tcW w:w="759"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1278" w:type="dxa"/>
            <w:vMerge w:val="continue"/>
            <w:vAlign w:val="center"/>
          </w:tcPr>
          <w:p>
            <w:pPr>
              <w:spacing w:line="240" w:lineRule="atLeast"/>
              <w:jc w:val="center"/>
              <w:rPr>
                <w:rFonts w:asciiTheme="minorEastAsia" w:hAnsiTheme="minorEastAsia"/>
                <w:sz w:val="18"/>
                <w:szCs w:val="18"/>
              </w:rPr>
            </w:pPr>
          </w:p>
        </w:tc>
        <w:tc>
          <w:tcPr>
            <w:tcW w:w="3933" w:type="dxa"/>
            <w:vAlign w:val="center"/>
          </w:tcPr>
          <w:p>
            <w:pPr>
              <w:spacing w:line="240" w:lineRule="atLeast"/>
              <w:jc w:val="left"/>
              <w:rPr>
                <w:rFonts w:asciiTheme="minorEastAsia" w:hAnsiTheme="minorEastAsia"/>
                <w:sz w:val="18"/>
                <w:szCs w:val="18"/>
              </w:rPr>
            </w:pPr>
            <w:r>
              <w:rPr>
                <w:rFonts w:hint="eastAsia" w:asciiTheme="minorEastAsia" w:hAnsiTheme="minorEastAsia"/>
                <w:sz w:val="18"/>
                <w:szCs w:val="18"/>
              </w:rPr>
              <w:t xml:space="preserve">实施废气分类收集处理。优先选用冷凝、吸附再生等回收技术。 </w:t>
            </w:r>
          </w:p>
        </w:tc>
        <w:tc>
          <w:tcPr>
            <w:tcW w:w="255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项目裂解气采用冷凝回收裂解油，不凝气燃烧处理。</w:t>
            </w:r>
          </w:p>
        </w:tc>
        <w:tc>
          <w:tcPr>
            <w:tcW w:w="759"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相符</w:t>
            </w:r>
          </w:p>
        </w:tc>
      </w:tr>
    </w:tbl>
    <w:p>
      <w:pPr>
        <w:spacing w:line="360" w:lineRule="auto"/>
        <w:ind w:firstLine="480"/>
        <w:rPr>
          <w:rFonts w:ascii="宋体" w:hAnsi="宋体" w:eastAsia="宋体" w:cs="Times New Roman"/>
          <w:b/>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Times New Roman"/>
          <w:b/>
          <w:color w:val="0D0D0D" w:themeColor="text1" w:themeTint="F2"/>
          <w:sz w:val="24"/>
          <w:szCs w:val="24"/>
          <w14:textFill>
            <w14:solidFill>
              <w14:schemeClr w14:val="tx1">
                <w14:lumMod w14:val="95000"/>
                <w14:lumOff w14:val="5000"/>
              </w14:schemeClr>
            </w14:solidFill>
          </w14:textFill>
        </w:rPr>
        <w:t>表3.4-2  项目与《挥发性有机物无组织排放控制标准》对照表</w:t>
      </w:r>
    </w:p>
    <w:tbl>
      <w:tblPr>
        <w:tblStyle w:val="27"/>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943"/>
        <w:gridCol w:w="3827"/>
        <w:gridCol w:w="1843"/>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5920" w:type="dxa"/>
            <w:gridSpan w:val="3"/>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控制要求</w:t>
            </w:r>
          </w:p>
        </w:tc>
        <w:tc>
          <w:tcPr>
            <w:tcW w:w="1843"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本次工程</w:t>
            </w:r>
          </w:p>
        </w:tc>
        <w:tc>
          <w:tcPr>
            <w:tcW w:w="850"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150" w:type="dxa"/>
            <w:vMerge w:val="restart"/>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VOC</w:t>
            </w:r>
            <w:r>
              <w:rPr>
                <w:rFonts w:hint="eastAsia" w:cs="Times New Roman" w:asciiTheme="minorEastAsia" w:hAnsiTheme="minorEastAsia"/>
                <w:sz w:val="18"/>
                <w:szCs w:val="18"/>
                <w:vertAlign w:val="subscript"/>
              </w:rPr>
              <w:t>S</w:t>
            </w:r>
            <w:r>
              <w:rPr>
                <w:rFonts w:hint="eastAsia" w:cs="Times New Roman" w:asciiTheme="minorEastAsia" w:hAnsiTheme="minorEastAsia"/>
                <w:sz w:val="18"/>
                <w:szCs w:val="18"/>
              </w:rPr>
              <w:t>物料储存无组织排放控制要求</w:t>
            </w:r>
          </w:p>
        </w:tc>
        <w:tc>
          <w:tcPr>
            <w:tcW w:w="943" w:type="dxa"/>
            <w:vMerge w:val="restart"/>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基本要求</w:t>
            </w:r>
          </w:p>
        </w:tc>
        <w:tc>
          <w:tcPr>
            <w:tcW w:w="3827" w:type="dxa"/>
            <w:shd w:val="clear" w:color="auto" w:fill="auto"/>
            <w:vAlign w:val="center"/>
          </w:tcPr>
          <w:p>
            <w:pPr>
              <w:jc w:val="left"/>
              <w:outlineLvl w:val="0"/>
              <w:rPr>
                <w:rFonts w:cs="Times New Roman" w:asciiTheme="minorEastAsia" w:hAnsiTheme="minorEastAsia"/>
                <w:sz w:val="18"/>
                <w:szCs w:val="18"/>
              </w:rPr>
            </w:pPr>
            <w:r>
              <w:rPr>
                <w:rFonts w:hint="eastAsia" w:cs="Times New Roman" w:asciiTheme="minorEastAsia" w:hAnsiTheme="minorEastAsia"/>
                <w:sz w:val="18"/>
                <w:szCs w:val="18"/>
              </w:rPr>
              <w:t>VOC</w:t>
            </w:r>
            <w:r>
              <w:rPr>
                <w:rFonts w:hint="eastAsia" w:cs="Times New Roman" w:asciiTheme="minorEastAsia" w:hAnsiTheme="minorEastAsia"/>
                <w:sz w:val="18"/>
                <w:szCs w:val="18"/>
                <w:vertAlign w:val="subscript"/>
              </w:rPr>
              <w:t>S</w:t>
            </w:r>
            <w:r>
              <w:rPr>
                <w:rFonts w:hint="eastAsia" w:cs="Times New Roman" w:asciiTheme="minorEastAsia" w:hAnsiTheme="minorEastAsia"/>
                <w:sz w:val="18"/>
                <w:szCs w:val="18"/>
              </w:rPr>
              <w:t>物料应储存于密闭的容器、包装袋、储罐、储库、料仓中。</w:t>
            </w:r>
          </w:p>
        </w:tc>
        <w:tc>
          <w:tcPr>
            <w:tcW w:w="1843" w:type="dxa"/>
            <w:vMerge w:val="restart"/>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裂解油采用密闭储罐储存。</w:t>
            </w:r>
          </w:p>
        </w:tc>
        <w:tc>
          <w:tcPr>
            <w:tcW w:w="850" w:type="dxa"/>
            <w:vMerge w:val="restart"/>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150" w:type="dxa"/>
            <w:vMerge w:val="continue"/>
            <w:shd w:val="clear" w:color="auto" w:fill="auto"/>
            <w:vAlign w:val="center"/>
          </w:tcPr>
          <w:p>
            <w:pPr>
              <w:jc w:val="center"/>
              <w:outlineLvl w:val="0"/>
              <w:rPr>
                <w:rFonts w:cs="Times New Roman" w:asciiTheme="minorEastAsia" w:hAnsiTheme="minorEastAsia"/>
                <w:sz w:val="18"/>
                <w:szCs w:val="18"/>
              </w:rPr>
            </w:pPr>
          </w:p>
        </w:tc>
        <w:tc>
          <w:tcPr>
            <w:tcW w:w="943" w:type="dxa"/>
            <w:vMerge w:val="continue"/>
            <w:shd w:val="clear" w:color="auto" w:fill="auto"/>
            <w:vAlign w:val="center"/>
          </w:tcPr>
          <w:p>
            <w:pPr>
              <w:jc w:val="center"/>
              <w:outlineLvl w:val="0"/>
              <w:rPr>
                <w:rFonts w:cs="Times New Roman" w:asciiTheme="minorEastAsia" w:hAnsiTheme="minorEastAsia"/>
                <w:sz w:val="18"/>
                <w:szCs w:val="18"/>
              </w:rPr>
            </w:pPr>
          </w:p>
        </w:tc>
        <w:tc>
          <w:tcPr>
            <w:tcW w:w="3827" w:type="dxa"/>
            <w:shd w:val="clear" w:color="auto" w:fill="auto"/>
            <w:vAlign w:val="center"/>
          </w:tcPr>
          <w:p>
            <w:pPr>
              <w:jc w:val="left"/>
              <w:outlineLvl w:val="0"/>
              <w:rPr>
                <w:rFonts w:cs="Times New Roman" w:asciiTheme="minorEastAsia" w:hAnsiTheme="minorEastAsia"/>
                <w:sz w:val="18"/>
                <w:szCs w:val="18"/>
              </w:rPr>
            </w:pPr>
            <w:r>
              <w:rPr>
                <w:rFonts w:hint="eastAsia" w:cs="Times New Roman" w:asciiTheme="minorEastAsia" w:hAnsiTheme="minorEastAsia"/>
                <w:sz w:val="18"/>
                <w:szCs w:val="18"/>
              </w:rPr>
              <w:t>盛装VOC</w:t>
            </w:r>
            <w:r>
              <w:rPr>
                <w:rFonts w:hint="eastAsia" w:cs="Times New Roman" w:asciiTheme="minorEastAsia" w:hAnsiTheme="minorEastAsia"/>
                <w:sz w:val="18"/>
                <w:szCs w:val="18"/>
                <w:vertAlign w:val="subscript"/>
              </w:rPr>
              <w:t>S</w:t>
            </w:r>
            <w:r>
              <w:rPr>
                <w:rFonts w:hint="eastAsia" w:cs="Times New Roman" w:asciiTheme="minorEastAsia" w:hAnsiTheme="minorEastAsia"/>
                <w:sz w:val="18"/>
                <w:szCs w:val="18"/>
              </w:rPr>
              <w:t>物料的容器或包装袋应存放于室内，或存放于设置有雨棚、遮阳和防渗设施的专用场地。盛装VOC</w:t>
            </w:r>
            <w:r>
              <w:rPr>
                <w:rFonts w:hint="eastAsia" w:cs="Times New Roman" w:asciiTheme="minorEastAsia" w:hAnsiTheme="minorEastAsia"/>
                <w:sz w:val="18"/>
                <w:szCs w:val="18"/>
                <w:vertAlign w:val="subscript"/>
              </w:rPr>
              <w:t>S</w:t>
            </w:r>
            <w:r>
              <w:rPr>
                <w:rFonts w:hint="eastAsia" w:cs="Times New Roman" w:asciiTheme="minorEastAsia" w:hAnsiTheme="minorEastAsia"/>
                <w:sz w:val="18"/>
                <w:szCs w:val="18"/>
              </w:rPr>
              <w:t>物料的容器或包装袋在非取用状态时应加盖、封口，保持密闭。</w:t>
            </w:r>
          </w:p>
        </w:tc>
        <w:tc>
          <w:tcPr>
            <w:tcW w:w="1843" w:type="dxa"/>
            <w:vMerge w:val="continue"/>
            <w:shd w:val="clear" w:color="auto" w:fill="auto"/>
            <w:vAlign w:val="center"/>
          </w:tcPr>
          <w:p>
            <w:pPr>
              <w:jc w:val="center"/>
              <w:outlineLvl w:val="0"/>
              <w:rPr>
                <w:rFonts w:cs="Times New Roman" w:asciiTheme="minorEastAsia" w:hAnsiTheme="minorEastAsia"/>
                <w:sz w:val="18"/>
                <w:szCs w:val="18"/>
              </w:rPr>
            </w:pPr>
          </w:p>
        </w:tc>
        <w:tc>
          <w:tcPr>
            <w:tcW w:w="850" w:type="dxa"/>
            <w:vMerge w:val="continue"/>
            <w:shd w:val="clear" w:color="auto" w:fill="auto"/>
            <w:vAlign w:val="center"/>
          </w:tcPr>
          <w:p>
            <w:pPr>
              <w:jc w:val="center"/>
              <w:outlineLvl w:val="0"/>
              <w:rPr>
                <w:rFonts w:cs="Times New Roman"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150"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VOC</w:t>
            </w:r>
            <w:r>
              <w:rPr>
                <w:rFonts w:hint="eastAsia" w:cs="Times New Roman" w:asciiTheme="minorEastAsia" w:hAnsiTheme="minorEastAsia"/>
                <w:sz w:val="18"/>
                <w:szCs w:val="18"/>
                <w:vertAlign w:val="subscript"/>
              </w:rPr>
              <w:t>S</w:t>
            </w:r>
            <w:r>
              <w:rPr>
                <w:rFonts w:hint="eastAsia" w:cs="Times New Roman" w:asciiTheme="minorEastAsia" w:hAnsiTheme="minorEastAsia"/>
                <w:sz w:val="18"/>
                <w:szCs w:val="18"/>
              </w:rPr>
              <w:t>物料转移和输送无组织排放控制要求</w:t>
            </w:r>
          </w:p>
        </w:tc>
        <w:tc>
          <w:tcPr>
            <w:tcW w:w="943"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基本要求</w:t>
            </w:r>
          </w:p>
        </w:tc>
        <w:tc>
          <w:tcPr>
            <w:tcW w:w="3827" w:type="dxa"/>
            <w:shd w:val="clear" w:color="auto" w:fill="auto"/>
            <w:vAlign w:val="center"/>
          </w:tcPr>
          <w:p>
            <w:pPr>
              <w:jc w:val="left"/>
              <w:outlineLvl w:val="0"/>
              <w:rPr>
                <w:rFonts w:cs="Times New Roman" w:asciiTheme="minorEastAsia" w:hAnsiTheme="minorEastAsia"/>
                <w:sz w:val="18"/>
                <w:szCs w:val="18"/>
              </w:rPr>
            </w:pPr>
            <w:r>
              <w:rPr>
                <w:rFonts w:hint="eastAsia" w:cs="Times New Roman" w:asciiTheme="minorEastAsia" w:hAnsiTheme="minorEastAsia"/>
                <w:sz w:val="18"/>
                <w:szCs w:val="18"/>
              </w:rPr>
              <w:t>液态VOCs物料应采用密闭管道输送。采用非管道输送方式转移液态VOCs物料时，应采用密闭容器、罐车</w:t>
            </w:r>
          </w:p>
        </w:tc>
        <w:tc>
          <w:tcPr>
            <w:tcW w:w="1843"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裂解油采用密闭管道收集、输送值储罐，储罐出料采用密闭罐车输送方式。</w:t>
            </w:r>
          </w:p>
        </w:tc>
        <w:tc>
          <w:tcPr>
            <w:tcW w:w="850"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150" w:type="dxa"/>
            <w:vMerge w:val="restart"/>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工艺过程VOCs无组织排放控制要求</w:t>
            </w:r>
          </w:p>
        </w:tc>
        <w:tc>
          <w:tcPr>
            <w:tcW w:w="943" w:type="dxa"/>
            <w:vMerge w:val="restart"/>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涉VOCs物料的化工生产过程</w:t>
            </w:r>
          </w:p>
        </w:tc>
        <w:tc>
          <w:tcPr>
            <w:tcW w:w="3827" w:type="dxa"/>
            <w:shd w:val="clear" w:color="auto" w:fill="auto"/>
            <w:vAlign w:val="center"/>
          </w:tcPr>
          <w:p>
            <w:pPr>
              <w:jc w:val="left"/>
              <w:outlineLvl w:val="0"/>
              <w:rPr>
                <w:rFonts w:cs="Times New Roman" w:asciiTheme="minorEastAsia" w:hAnsiTheme="minorEastAsia"/>
                <w:sz w:val="18"/>
                <w:szCs w:val="18"/>
              </w:rPr>
            </w:pPr>
            <w:r>
              <w:rPr>
                <w:rFonts w:cs="Times New Roman" w:asciiTheme="minorEastAsia" w:hAnsiTheme="minorEastAsia"/>
                <w:sz w:val="18"/>
                <w:szCs w:val="18"/>
              </w:rPr>
              <w:t>a)</w:t>
            </w:r>
            <w:r>
              <w:rPr>
                <w:rFonts w:hint="eastAsia" w:cs="Times New Roman" w:asciiTheme="minorEastAsia" w:hAnsiTheme="minorEastAsia"/>
                <w:sz w:val="18"/>
                <w:szCs w:val="18"/>
              </w:rPr>
              <w:t>液态VOCs物料应采用密闭管道输送方式或采用高位槽(罐)、桶泵等给料方式密闭投加。无法密闭投加的，应在密闭空间内操作，或进行局部气体收集，废气应排至VOCs废气收集处理系统。</w:t>
            </w:r>
          </w:p>
        </w:tc>
        <w:tc>
          <w:tcPr>
            <w:tcW w:w="1843"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热裂解气采用密闭设备操作，冷凝后不凝气进入燃烧系统燃烧后为热裂解炉供热；不凝气燃烧废气进入废气处理系统处理后达标排放。</w:t>
            </w:r>
          </w:p>
        </w:tc>
        <w:tc>
          <w:tcPr>
            <w:tcW w:w="850"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150" w:type="dxa"/>
            <w:vMerge w:val="continue"/>
            <w:shd w:val="clear" w:color="auto" w:fill="auto"/>
            <w:vAlign w:val="center"/>
          </w:tcPr>
          <w:p>
            <w:pPr>
              <w:jc w:val="center"/>
              <w:outlineLvl w:val="0"/>
              <w:rPr>
                <w:rFonts w:cs="Times New Roman" w:asciiTheme="minorEastAsia" w:hAnsiTheme="minorEastAsia"/>
                <w:sz w:val="18"/>
                <w:szCs w:val="18"/>
              </w:rPr>
            </w:pPr>
          </w:p>
        </w:tc>
        <w:tc>
          <w:tcPr>
            <w:tcW w:w="943" w:type="dxa"/>
            <w:vMerge w:val="continue"/>
            <w:shd w:val="clear" w:color="auto" w:fill="auto"/>
            <w:vAlign w:val="center"/>
          </w:tcPr>
          <w:p>
            <w:pPr>
              <w:jc w:val="center"/>
              <w:outlineLvl w:val="0"/>
              <w:rPr>
                <w:rFonts w:cs="Times New Roman" w:asciiTheme="minorEastAsia" w:hAnsiTheme="minorEastAsia"/>
                <w:sz w:val="18"/>
                <w:szCs w:val="18"/>
              </w:rPr>
            </w:pPr>
          </w:p>
        </w:tc>
        <w:tc>
          <w:tcPr>
            <w:tcW w:w="3827" w:type="dxa"/>
            <w:shd w:val="clear" w:color="auto" w:fill="auto"/>
            <w:vAlign w:val="center"/>
          </w:tcPr>
          <w:p>
            <w:pPr>
              <w:jc w:val="left"/>
              <w:outlineLvl w:val="0"/>
              <w:rPr>
                <w:rFonts w:cs="Times New Roman" w:asciiTheme="minorEastAsia" w:hAnsiTheme="minorEastAsia"/>
                <w:sz w:val="18"/>
                <w:szCs w:val="18"/>
              </w:rPr>
            </w:pPr>
            <w:r>
              <w:rPr>
                <w:rFonts w:hint="eastAsia" w:cs="Times New Roman" w:asciiTheme="minorEastAsia" w:hAnsiTheme="minorEastAsia"/>
                <w:sz w:val="18"/>
                <w:szCs w:val="18"/>
              </w:rPr>
              <w:t>b)粉状、粒状VOCs物料应采用气力输送方式或采用密闭固体投料器等给料方式密闭投加。无法密闭投加的，应在密闭空间内操作，或进行局部气体收集，废气应排至除尘设施、VOCs废气收集处理系统。</w:t>
            </w:r>
          </w:p>
        </w:tc>
        <w:tc>
          <w:tcPr>
            <w:tcW w:w="1843"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本次工程不涉及粉状、粒状VOCs物料。</w:t>
            </w:r>
            <w:r>
              <w:rPr>
                <w:rFonts w:cs="Times New Roman" w:asciiTheme="minorEastAsia" w:hAnsiTheme="minorEastAsia"/>
                <w:sz w:val="18"/>
                <w:szCs w:val="18"/>
              </w:rPr>
              <w:t xml:space="preserve"> </w:t>
            </w:r>
          </w:p>
        </w:tc>
        <w:tc>
          <w:tcPr>
            <w:tcW w:w="850"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150" w:type="dxa"/>
            <w:vMerge w:val="continue"/>
            <w:shd w:val="clear" w:color="auto" w:fill="auto"/>
            <w:vAlign w:val="center"/>
          </w:tcPr>
          <w:p>
            <w:pPr>
              <w:jc w:val="center"/>
              <w:outlineLvl w:val="0"/>
              <w:rPr>
                <w:rFonts w:cs="Times New Roman" w:asciiTheme="minorEastAsia" w:hAnsiTheme="minorEastAsia"/>
                <w:sz w:val="18"/>
                <w:szCs w:val="18"/>
              </w:rPr>
            </w:pPr>
          </w:p>
        </w:tc>
        <w:tc>
          <w:tcPr>
            <w:tcW w:w="943" w:type="dxa"/>
            <w:vMerge w:val="continue"/>
            <w:shd w:val="clear" w:color="auto" w:fill="auto"/>
            <w:vAlign w:val="center"/>
          </w:tcPr>
          <w:p>
            <w:pPr>
              <w:jc w:val="center"/>
              <w:outlineLvl w:val="0"/>
              <w:rPr>
                <w:rFonts w:cs="Times New Roman" w:asciiTheme="minorEastAsia" w:hAnsiTheme="minorEastAsia"/>
                <w:sz w:val="18"/>
                <w:szCs w:val="18"/>
              </w:rPr>
            </w:pPr>
          </w:p>
        </w:tc>
        <w:tc>
          <w:tcPr>
            <w:tcW w:w="3827" w:type="dxa"/>
            <w:shd w:val="clear" w:color="auto" w:fill="auto"/>
            <w:vAlign w:val="center"/>
          </w:tcPr>
          <w:p>
            <w:pPr>
              <w:jc w:val="left"/>
              <w:outlineLvl w:val="0"/>
              <w:rPr>
                <w:rFonts w:cs="Times New Roman" w:asciiTheme="minorEastAsia" w:hAnsiTheme="minorEastAsia"/>
                <w:sz w:val="18"/>
                <w:szCs w:val="18"/>
              </w:rPr>
            </w:pPr>
            <w:r>
              <w:rPr>
                <w:rFonts w:hint="eastAsia" w:cs="Times New Roman" w:asciiTheme="minorEastAsia" w:hAnsiTheme="minorEastAsia"/>
                <w:sz w:val="18"/>
                <w:szCs w:val="18"/>
              </w:rPr>
              <w:t>c)VOCs物料卸(出、放)料过程应密闭，卸料废气应排至VOCs废气收集处理系统；无法密闭的，应采取局部气体收集措施，废气应排至VOCs废气收集处理系统。</w:t>
            </w:r>
          </w:p>
        </w:tc>
        <w:tc>
          <w:tcPr>
            <w:tcW w:w="1843"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热裂解炉出料过程保持负压集气状态，收集废气进入燃烧系统燃烧处理。</w:t>
            </w:r>
          </w:p>
        </w:tc>
        <w:tc>
          <w:tcPr>
            <w:tcW w:w="850" w:type="dxa"/>
            <w:shd w:val="clear" w:color="auto" w:fill="auto"/>
            <w:vAlign w:val="center"/>
          </w:tcPr>
          <w:p>
            <w:pPr>
              <w:jc w:val="center"/>
              <w:outlineLvl w:val="0"/>
              <w:rPr>
                <w:rFonts w:cs="Times New Roman" w:asciiTheme="minorEastAsia" w:hAnsiTheme="minorEastAsia"/>
                <w:sz w:val="18"/>
                <w:szCs w:val="18"/>
              </w:rPr>
            </w:pPr>
            <w:r>
              <w:rPr>
                <w:rFonts w:hint="eastAsia" w:cs="Times New Roman" w:asciiTheme="minorEastAsia" w:hAnsiTheme="minorEastAsia"/>
                <w:sz w:val="18"/>
                <w:szCs w:val="18"/>
              </w:rPr>
              <w:t>符合要求</w:t>
            </w:r>
          </w:p>
        </w:tc>
      </w:tr>
    </w:tbl>
    <w:p>
      <w:pPr>
        <w:rPr>
          <w:rFonts w:hint="eastAsia"/>
        </w:rPr>
      </w:pPr>
    </w:p>
    <w:p/>
    <w:p>
      <w:pPr>
        <w:adjustRightInd w:val="0"/>
        <w:snapToGrid w:val="0"/>
        <w:spacing w:line="360" w:lineRule="auto"/>
        <w:rPr>
          <w:rFonts w:cs="Times New Roman" w:asciiTheme="minorEastAsia" w:hAnsiTheme="minorEastAsia"/>
          <w:b/>
          <w:sz w:val="28"/>
          <w:szCs w:val="24"/>
        </w:rPr>
      </w:pPr>
      <w:r>
        <w:rPr>
          <w:rFonts w:cs="Times New Roman" w:asciiTheme="minorEastAsia" w:hAnsiTheme="minorEastAsia"/>
          <w:b/>
          <w:sz w:val="28"/>
          <w:szCs w:val="24"/>
        </w:rPr>
        <w:t>3.</w:t>
      </w:r>
      <w:r>
        <w:rPr>
          <w:rFonts w:hint="eastAsia" w:cs="Times New Roman" w:asciiTheme="minorEastAsia" w:hAnsiTheme="minorEastAsia"/>
          <w:b/>
          <w:sz w:val="28"/>
          <w:szCs w:val="24"/>
        </w:rPr>
        <w:t>5</w:t>
      </w:r>
      <w:r>
        <w:rPr>
          <w:rFonts w:cs="Times New Roman" w:asciiTheme="minorEastAsia" w:hAnsiTheme="minorEastAsia"/>
          <w:b/>
          <w:sz w:val="28"/>
          <w:szCs w:val="24"/>
        </w:rPr>
        <w:t>区域污染调查</w:t>
      </w:r>
      <w:bookmarkEnd w:id="55"/>
      <w:bookmarkEnd w:id="56"/>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本项目位于西平县产业集聚区内，经调查，集聚区现状主要入住机械设备制造、农副产品深加工、电子电器、轻工服装及塑胶制品企业等。</w:t>
      </w:r>
      <w:r>
        <w:rPr>
          <w:rFonts w:hint="eastAsia" w:cs="Times New Roman" w:asciiTheme="minorEastAsia" w:hAnsiTheme="minorEastAsia"/>
          <w:sz w:val="24"/>
          <w:szCs w:val="24"/>
        </w:rPr>
        <w:t>项目周边现状工业企业较少，主要是西北侧布局少量在建的固体废物处置项目，北侧为西平县垃圾填埋场及城市污水处理厂等，西侧、南侧及东侧现状为未利用地，基本没有项目入住。</w:t>
      </w:r>
      <w:r>
        <w:rPr>
          <w:rFonts w:cs="Times New Roman" w:asciiTheme="minorEastAsia" w:hAnsiTheme="minorEastAsia"/>
          <w:sz w:val="24"/>
          <w:szCs w:val="24"/>
        </w:rPr>
        <w:t>项目</w:t>
      </w:r>
      <w:r>
        <w:rPr>
          <w:rFonts w:hint="eastAsia" w:cs="Times New Roman" w:asciiTheme="minorEastAsia" w:hAnsiTheme="minorEastAsia"/>
          <w:sz w:val="24"/>
          <w:szCs w:val="24"/>
        </w:rPr>
        <w:t>所在区域主要污染源基本</w:t>
      </w:r>
      <w:r>
        <w:rPr>
          <w:rFonts w:cs="Times New Roman" w:asciiTheme="minorEastAsia" w:hAnsiTheme="minorEastAsia"/>
          <w:sz w:val="24"/>
          <w:szCs w:val="24"/>
        </w:rPr>
        <w:t>情况详见表3.</w:t>
      </w:r>
      <w:r>
        <w:rPr>
          <w:rFonts w:hint="eastAsia" w:cs="Times New Roman" w:asciiTheme="minorEastAsia" w:hAnsiTheme="minorEastAsia"/>
          <w:sz w:val="24"/>
          <w:szCs w:val="24"/>
        </w:rPr>
        <w:t>5</w:t>
      </w:r>
      <w:r>
        <w:rPr>
          <w:rFonts w:cs="Times New Roman" w:asciiTheme="minorEastAsia" w:hAnsiTheme="minorEastAsia"/>
          <w:sz w:val="24"/>
          <w:szCs w:val="24"/>
        </w:rPr>
        <w:t>-1。</w:t>
      </w:r>
    </w:p>
    <w:p>
      <w:pPr>
        <w:adjustRightInd w:val="0"/>
        <w:snapToGrid w:val="0"/>
        <w:spacing w:line="360" w:lineRule="auto"/>
        <w:ind w:firstLine="480" w:firstLineChars="200"/>
        <w:rPr>
          <w:rFonts w:cs="Times New Roman" w:asciiTheme="minorEastAsia" w:hAnsiTheme="minorEastAsia"/>
          <w:sz w:val="24"/>
          <w:szCs w:val="24"/>
        </w:rPr>
        <w:sectPr>
          <w:headerReference r:id="rId5" w:type="default"/>
          <w:footerReference r:id="rId6" w:type="default"/>
          <w:pgSz w:w="11906" w:h="16838"/>
          <w:pgMar w:top="1587" w:right="1587" w:bottom="1587" w:left="1587" w:header="851" w:footer="680" w:gutter="0"/>
          <w:cols w:space="720" w:num="1"/>
          <w:docGrid w:type="lines" w:linePitch="335" w:charSpace="0"/>
        </w:sectPr>
      </w:pPr>
    </w:p>
    <w:p>
      <w:pPr>
        <w:adjustRightInd w:val="0"/>
        <w:snapToGrid w:val="0"/>
        <w:spacing w:line="520" w:lineRule="exact"/>
        <w:ind w:firstLine="482" w:firstLineChars="20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表3.</w:t>
      </w:r>
      <w:r>
        <w:rPr>
          <w:rFonts w:hint="eastAsia" w:cs="Times New Roman" w:asciiTheme="minorEastAsia" w:hAnsiTheme="minorEastAsia"/>
          <w:b/>
          <w:color w:val="000000"/>
          <w:sz w:val="24"/>
          <w:szCs w:val="24"/>
        </w:rPr>
        <w:t>5</w:t>
      </w:r>
      <w:r>
        <w:rPr>
          <w:rFonts w:cs="Times New Roman" w:asciiTheme="minorEastAsia" w:hAnsiTheme="minorEastAsia"/>
          <w:b/>
          <w:color w:val="000000"/>
          <w:sz w:val="24"/>
          <w:szCs w:val="24"/>
        </w:rPr>
        <w:t>-1         项目</w:t>
      </w:r>
      <w:r>
        <w:rPr>
          <w:rFonts w:hint="eastAsia" w:cs="Times New Roman" w:asciiTheme="minorEastAsia" w:hAnsiTheme="minorEastAsia"/>
          <w:b/>
          <w:color w:val="000000"/>
          <w:sz w:val="24"/>
          <w:szCs w:val="24"/>
        </w:rPr>
        <w:t>区域主要污染源</w:t>
      </w:r>
      <w:r>
        <w:rPr>
          <w:rFonts w:cs="Times New Roman" w:asciiTheme="minorEastAsia" w:hAnsiTheme="minorEastAsia"/>
          <w:b/>
          <w:color w:val="000000"/>
          <w:sz w:val="24"/>
          <w:szCs w:val="24"/>
        </w:rPr>
        <w:t>情况一览表</w:t>
      </w:r>
    </w:p>
    <w:tbl>
      <w:tblPr>
        <w:tblStyle w:val="27"/>
        <w:tblW w:w="14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57"/>
        <w:gridCol w:w="3579"/>
        <w:gridCol w:w="4043"/>
        <w:gridCol w:w="1229"/>
        <w:gridCol w:w="969"/>
        <w:gridCol w:w="950"/>
        <w:gridCol w:w="1532"/>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tblHeader/>
          <w:jc w:val="center"/>
        </w:trPr>
        <w:tc>
          <w:tcPr>
            <w:tcW w:w="657" w:type="dxa"/>
            <w:vMerge w:val="restart"/>
            <w:vAlign w:val="center"/>
          </w:tcPr>
          <w:p>
            <w:pPr>
              <w:adjustRightInd w:val="0"/>
              <w:snapToGrid w:val="0"/>
              <w:jc w:val="center"/>
              <w:rPr>
                <w:rFonts w:cs="Times New Roman" w:asciiTheme="minorEastAsia" w:hAnsiTheme="minorEastAsia"/>
                <w:bCs/>
                <w:kern w:val="0"/>
                <w:sz w:val="18"/>
                <w:szCs w:val="18"/>
              </w:rPr>
            </w:pPr>
            <w:r>
              <w:rPr>
                <w:rFonts w:cs="Times New Roman" w:asciiTheme="minorEastAsia" w:hAnsiTheme="minorEastAsia"/>
                <w:bCs/>
                <w:kern w:val="0"/>
                <w:sz w:val="18"/>
                <w:szCs w:val="18"/>
              </w:rPr>
              <w:t>序号</w:t>
            </w:r>
          </w:p>
        </w:tc>
        <w:tc>
          <w:tcPr>
            <w:tcW w:w="3579" w:type="dxa"/>
            <w:vMerge w:val="restart"/>
            <w:vAlign w:val="center"/>
          </w:tcPr>
          <w:p>
            <w:pPr>
              <w:adjustRightInd w:val="0"/>
              <w:snapToGrid w:val="0"/>
              <w:jc w:val="center"/>
              <w:rPr>
                <w:rFonts w:cs="Times New Roman" w:asciiTheme="minorEastAsia" w:hAnsiTheme="minorEastAsia"/>
                <w:bCs/>
                <w:kern w:val="0"/>
                <w:sz w:val="18"/>
                <w:szCs w:val="18"/>
              </w:rPr>
            </w:pPr>
            <w:r>
              <w:rPr>
                <w:rFonts w:cs="Times New Roman" w:asciiTheme="minorEastAsia" w:hAnsiTheme="minorEastAsia"/>
                <w:bCs/>
                <w:kern w:val="0"/>
                <w:sz w:val="18"/>
                <w:szCs w:val="18"/>
              </w:rPr>
              <w:t>企业名称</w:t>
            </w:r>
          </w:p>
        </w:tc>
        <w:tc>
          <w:tcPr>
            <w:tcW w:w="4043" w:type="dxa"/>
            <w:vMerge w:val="restart"/>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产品及规模</w:t>
            </w:r>
          </w:p>
        </w:tc>
        <w:tc>
          <w:tcPr>
            <w:tcW w:w="3148" w:type="dxa"/>
            <w:gridSpan w:val="3"/>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废水污染物排放情况</w:t>
            </w:r>
          </w:p>
        </w:tc>
        <w:tc>
          <w:tcPr>
            <w:tcW w:w="2691" w:type="dxa"/>
            <w:gridSpan w:val="2"/>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废气污染物排放情况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tblHeader/>
          <w:jc w:val="center"/>
        </w:trPr>
        <w:tc>
          <w:tcPr>
            <w:tcW w:w="657" w:type="dxa"/>
            <w:vMerge w:val="continue"/>
            <w:vAlign w:val="center"/>
          </w:tcPr>
          <w:p>
            <w:pPr>
              <w:adjustRightInd w:val="0"/>
              <w:snapToGrid w:val="0"/>
              <w:jc w:val="center"/>
              <w:rPr>
                <w:rFonts w:cs="Times New Roman" w:asciiTheme="minorEastAsia" w:hAnsiTheme="minorEastAsia"/>
                <w:bCs/>
                <w:kern w:val="0"/>
                <w:sz w:val="18"/>
                <w:szCs w:val="18"/>
              </w:rPr>
            </w:pPr>
          </w:p>
        </w:tc>
        <w:tc>
          <w:tcPr>
            <w:tcW w:w="3579" w:type="dxa"/>
            <w:vMerge w:val="continue"/>
            <w:vAlign w:val="center"/>
          </w:tcPr>
          <w:p>
            <w:pPr>
              <w:adjustRightInd w:val="0"/>
              <w:snapToGrid w:val="0"/>
              <w:jc w:val="center"/>
              <w:rPr>
                <w:rFonts w:cs="Times New Roman" w:asciiTheme="minorEastAsia" w:hAnsiTheme="minorEastAsia"/>
                <w:bCs/>
                <w:kern w:val="0"/>
                <w:sz w:val="18"/>
                <w:szCs w:val="18"/>
              </w:rPr>
            </w:pPr>
          </w:p>
        </w:tc>
        <w:tc>
          <w:tcPr>
            <w:tcW w:w="4043" w:type="dxa"/>
            <w:vMerge w:val="continue"/>
            <w:vAlign w:val="center"/>
          </w:tcPr>
          <w:p>
            <w:pPr>
              <w:adjustRightInd w:val="0"/>
              <w:snapToGrid w:val="0"/>
              <w:jc w:val="center"/>
              <w:rPr>
                <w:rFonts w:cs="Times New Roman" w:asciiTheme="minorEastAsia" w:hAnsiTheme="minorEastAsia"/>
                <w:bCs/>
                <w:sz w:val="18"/>
                <w:szCs w:val="18"/>
              </w:rPr>
            </w:pPr>
          </w:p>
        </w:tc>
        <w:tc>
          <w:tcPr>
            <w:tcW w:w="1229" w:type="dxa"/>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废水量</w:t>
            </w:r>
          </w:p>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（万t/a）</w:t>
            </w:r>
          </w:p>
        </w:tc>
        <w:tc>
          <w:tcPr>
            <w:tcW w:w="969" w:type="dxa"/>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COD</w:t>
            </w:r>
          </w:p>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（t/a）</w:t>
            </w:r>
          </w:p>
        </w:tc>
        <w:tc>
          <w:tcPr>
            <w:tcW w:w="950" w:type="dxa"/>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氨氮（t/a）</w:t>
            </w:r>
          </w:p>
        </w:tc>
        <w:tc>
          <w:tcPr>
            <w:tcW w:w="1532" w:type="dxa"/>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烟（粉）尘（t/a）</w:t>
            </w:r>
          </w:p>
        </w:tc>
        <w:tc>
          <w:tcPr>
            <w:tcW w:w="1159" w:type="dxa"/>
            <w:vAlign w:val="center"/>
          </w:tcPr>
          <w:p>
            <w:pPr>
              <w:adjustRightInd w:val="0"/>
              <w:snapToGrid w:val="0"/>
              <w:jc w:val="center"/>
              <w:rPr>
                <w:rFonts w:cs="Times New Roman" w:asciiTheme="minorEastAsia" w:hAnsiTheme="minorEastAsia"/>
                <w:bCs/>
                <w:sz w:val="18"/>
                <w:szCs w:val="18"/>
              </w:rPr>
            </w:pPr>
            <w:r>
              <w:rPr>
                <w:rFonts w:cs="Times New Roman" w:asciiTheme="minorEastAsia" w:hAnsiTheme="minorEastAsia"/>
                <w:bCs/>
                <w:sz w:val="18"/>
                <w:szCs w:val="18"/>
              </w:rPr>
              <w:t>SO</w:t>
            </w:r>
            <w:r>
              <w:rPr>
                <w:rFonts w:cs="Times New Roman" w:asciiTheme="minorEastAsia" w:hAnsiTheme="minorEastAsia"/>
                <w:bCs/>
                <w:sz w:val="18"/>
                <w:szCs w:val="18"/>
                <w:vertAlign w:val="subscript"/>
              </w:rPr>
              <w:t>2</w:t>
            </w:r>
            <w:r>
              <w:rPr>
                <w:rFonts w:cs="Times New Roman" w:asciiTheme="minorEastAsia" w:hAnsiTheme="minorEastAsia"/>
                <w:bCs/>
                <w:sz w:val="18"/>
                <w:szCs w:val="18"/>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w:t>
            </w:r>
          </w:p>
        </w:tc>
        <w:tc>
          <w:tcPr>
            <w:tcW w:w="3579" w:type="dxa"/>
            <w:vAlign w:val="center"/>
          </w:tcPr>
          <w:p>
            <w:pPr>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河南格瑞特塑业有限公司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年加工1万吨聚乙烯项目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0.126</w:t>
            </w:r>
          </w:p>
        </w:tc>
        <w:tc>
          <w:tcPr>
            <w:tcW w:w="96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0.19</w:t>
            </w:r>
          </w:p>
        </w:tc>
        <w:tc>
          <w:tcPr>
            <w:tcW w:w="950"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0.03</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w:t>
            </w:r>
          </w:p>
        </w:tc>
        <w:tc>
          <w:tcPr>
            <w:tcW w:w="3579" w:type="dxa"/>
            <w:vAlign w:val="center"/>
          </w:tcPr>
          <w:p>
            <w:pPr>
              <w:autoSpaceDE w:val="0"/>
              <w:autoSpaceDN w:val="0"/>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驻马店恒瑞高温节能材料有限公司</w:t>
            </w:r>
          </w:p>
        </w:tc>
        <w:tc>
          <w:tcPr>
            <w:tcW w:w="4043" w:type="dxa"/>
            <w:vAlign w:val="center"/>
          </w:tcPr>
          <w:p>
            <w:pPr>
              <w:autoSpaceDE w:val="0"/>
              <w:autoSpaceDN w:val="0"/>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年产5000吨硅酸铝陶瓷纤维制品项目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0.0528</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0.15</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0.015</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1.554</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w:t>
            </w:r>
          </w:p>
        </w:tc>
        <w:tc>
          <w:tcPr>
            <w:tcW w:w="3579" w:type="dxa"/>
            <w:vAlign w:val="center"/>
          </w:tcPr>
          <w:p>
            <w:pPr>
              <w:autoSpaceDE w:val="0"/>
              <w:autoSpaceDN w:val="0"/>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驻马店四方肉食品有限公司</w:t>
            </w:r>
          </w:p>
        </w:tc>
        <w:tc>
          <w:tcPr>
            <w:tcW w:w="4043" w:type="dxa"/>
            <w:vAlign w:val="center"/>
          </w:tcPr>
          <w:p>
            <w:pPr>
              <w:autoSpaceDE w:val="0"/>
              <w:autoSpaceDN w:val="0"/>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90万只肉鸡分割加工</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1.8</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1.44</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0.204</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1.123</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4</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河南丰源和饲料设备有限公司</w:t>
            </w:r>
          </w:p>
        </w:tc>
        <w:tc>
          <w:tcPr>
            <w:tcW w:w="4043" w:type="dxa"/>
            <w:vAlign w:val="center"/>
          </w:tcPr>
          <w:p>
            <w:pPr>
              <w:widowControl/>
              <w:adjustRightInd w:val="0"/>
              <w:snapToGrid w:val="0"/>
              <w:jc w:val="center"/>
              <w:rPr>
                <w:rFonts w:cs="Times New Roman" w:asciiTheme="minorEastAsia" w:hAnsiTheme="minorEastAsia"/>
                <w:color w:val="000000"/>
                <w:spacing w:val="-8"/>
                <w:sz w:val="18"/>
                <w:szCs w:val="18"/>
              </w:rPr>
            </w:pPr>
            <w:r>
              <w:rPr>
                <w:rFonts w:cs="Times New Roman" w:asciiTheme="minorEastAsia" w:hAnsiTheme="minorEastAsia"/>
                <w:color w:val="000000"/>
                <w:spacing w:val="-8"/>
                <w:sz w:val="18"/>
                <w:szCs w:val="18"/>
              </w:rPr>
              <w:t>年产20万吨饲料加工项目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0.087</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0.22</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0.02</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5</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西平县龙沙养殖设备有限公司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年产36万套养殖设备项目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0.672</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0.336</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0.0336</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0.01</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6</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河南鼎力杆塔股份有限公司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年产500KV变电站架构生产线扩建、高速铁路接触网支柱及其它产品生产线项目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0.2145</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1.38</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0.18</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2.1</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7</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西平县立兴食品有限公司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年产1.6万吨面包糕点、年加工5000吨菌类系列休闲食品</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0.843</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0.4215</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0.0422</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8</w:t>
            </w:r>
          </w:p>
        </w:tc>
        <w:tc>
          <w:tcPr>
            <w:tcW w:w="357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河南山江钢结构有限公司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年加工1000吨钢结构配件项目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0.0144</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0.0346</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0.0041</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0.01</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9</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西平县国强塑胶有限公司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1万吨塑料手提袋迁建项目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1.152</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2.765</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0.3352</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10</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河南豫坡酒业有限责任公司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年产1万吨基础酒灌装生产线项目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7.473</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8.82</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0.50</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0.28</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11</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驻马店天中生物科技有限公司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年产500吨芦丁提取物、500吨水飞蓟素、500吨黄芩苷、500吨银杏叶提取物项目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4.1409</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10.455</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0.0414</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1.512</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12</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河南省太名包装印刷有限公司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出版物印刷、包装装潢项目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0.4656</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0.233</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0.023</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13</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河南鲁州生物科技有限公司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年产10万吨商品干淀粉、5万吨变性淀粉和6万吨淀粉糖</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70.2900</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76.97</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10.04</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96.12</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410.96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14</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河南万华建筑材料有限公司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年产200万㎡高强度不燃板、50万㎡低碳节能泡沫混凝土轻质内墙板项目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1.0572</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2.11</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0.26</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0.38</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15</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西平县益民面粉有限公司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年产24万吨面粉加工项目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0.04592</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0.09</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0.01</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6.72</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16</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西平县华业陶瓷有限公司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年产230万件日用陶瓷餐具建设项目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0.00119</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0.0711</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0.0095</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0.2</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17</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西平县朗玛数控设备有限公司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年产1000台玻璃精密雕刻数控设备生产线</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0.288</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0.58</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0.07</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0.4</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18</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驻马店盛世大北农农牧科技有限公司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年产18万吨全价配合饲料</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0.1152</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0.23</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0.029</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3.339</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19</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西平立志电控科技有限公司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年产新能源电动类充电器100万只、控制器100万只</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0.816</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0.408</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0.0408</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0.0045</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20</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西平中慧饲料有限公司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年加工饲料46万吨建设项目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0.6906</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0.366</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0.049</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10.105</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0.0394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21</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河南普雷诺环保科技有限公司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年产100万套水处理设备、净水器等项目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0.5424</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1.08</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0.14</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0.00432</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22</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西平景瑞德照明科技有限公司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年产50万套LED照明灯具</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0.3994</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0.20</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0.02</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0.27</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23</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河南鑫都速冻食品有限公司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年产速冻果蔬10000吨项目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1.092</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1.55</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0.05</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0.044</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24</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河南铭远电气设备有限公司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年产8万套高低压配电柜、配电箱和箱式变电柜项目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0.0288</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0.0734</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0.0084</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0.01</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25</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西平县瑞平水泥有限公司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100万吨水泥粉磨站项目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0.396</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0.79</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12.93</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26</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河南金丰牧业设备有限公司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年产30万组养鸡设备迁建项目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0.5263</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0.19</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27</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河南迪索新材料科技有限公司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年产10000吨化肥品质改良剂项目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0.288</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0.72</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0.07</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2.47</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28</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西平电力杆塔厂</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年产2500吨杆塔生产线项目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0.096</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0.096</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0.012</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0.0016</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29</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河南西平县卫平门业有限公司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年产36000樘非标门项目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0.21</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0.42</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1.61</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8.55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30</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西平县新源助剂有限公司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3000t/a聚乙烯助剂项目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1.692</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1.90</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4.18</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31</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西平县柏国水泥粉磨站有限公司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年产通用水泥110万吨项目</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0.3024</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0.6</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32</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西平新益面粉有限公司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扩建一条哦年处理7万t小麦（净麦）生产线</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cs="Times New Roman" w:asciiTheme="minorEastAsia" w:hAnsiTheme="minorEastAsia"/>
                <w:color w:val="000000"/>
                <w:sz w:val="18"/>
                <w:szCs w:val="18"/>
              </w:rPr>
              <w:t>0.89</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1.69</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cs="Times New Roman" w:asciiTheme="minorEastAsia" w:hAnsiTheme="minorEastAsia"/>
                <w:color w:val="000000"/>
                <w:sz w:val="18"/>
                <w:szCs w:val="18"/>
              </w:rPr>
              <w:t>0.18</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4.13/</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33</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西平县垃圾填埋场</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200t/，项目区北侧200m</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hint="eastAsia"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hint="eastAsia"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34</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西平县污水处理厂</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设计5.0m</w:t>
            </w:r>
            <w:r>
              <w:rPr>
                <w:rFonts w:hint="eastAsia" w:cs="Times New Roman" w:asciiTheme="minorEastAsia" w:hAnsiTheme="minorEastAsia"/>
                <w:color w:val="000000"/>
                <w:sz w:val="18"/>
                <w:szCs w:val="18"/>
                <w:vertAlign w:val="superscript"/>
              </w:rPr>
              <w:t>3</w:t>
            </w:r>
            <w:r>
              <w:rPr>
                <w:rFonts w:hint="eastAsia" w:cs="Times New Roman" w:asciiTheme="minorEastAsia" w:hAnsiTheme="minorEastAsia"/>
                <w:color w:val="000000"/>
                <w:sz w:val="18"/>
                <w:szCs w:val="18"/>
              </w:rPr>
              <w:t>/d，现状进水2.3m</w:t>
            </w:r>
            <w:r>
              <w:rPr>
                <w:rFonts w:hint="eastAsia" w:cs="Times New Roman" w:asciiTheme="minorEastAsia" w:hAnsiTheme="minorEastAsia"/>
                <w:color w:val="000000"/>
                <w:sz w:val="18"/>
                <w:szCs w:val="18"/>
                <w:vertAlign w:val="superscript"/>
              </w:rPr>
              <w:t>3</w:t>
            </w:r>
            <w:r>
              <w:rPr>
                <w:rFonts w:hint="eastAsia" w:cs="Times New Roman" w:asciiTheme="minorEastAsia" w:hAnsiTheme="minorEastAsia"/>
                <w:color w:val="000000"/>
                <w:sz w:val="18"/>
                <w:szCs w:val="18"/>
              </w:rPr>
              <w:t>/d</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2.3</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320</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32</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hint="eastAsia"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hint="eastAsia" w:cs="Times New Roman" w:asciiTheme="minorEastAsia" w:hAnsiTheme="minorEastAsia"/>
                <w:color w:val="000000"/>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0" w:hRule="atLeast"/>
          <w:jc w:val="center"/>
        </w:trPr>
        <w:tc>
          <w:tcPr>
            <w:tcW w:w="657"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35</w:t>
            </w:r>
          </w:p>
        </w:tc>
        <w:tc>
          <w:tcPr>
            <w:tcW w:w="3579" w:type="dxa"/>
            <w:vAlign w:val="center"/>
          </w:tcPr>
          <w:p>
            <w:pPr>
              <w:adjustRightInd w:val="0"/>
              <w:snapToGrid w:val="0"/>
              <w:ind w:right="-21" w:rightChars="-1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西平县天顺再生资源有限公司</w:t>
            </w:r>
          </w:p>
        </w:tc>
        <w:tc>
          <w:tcPr>
            <w:tcW w:w="4043"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在建，年产3万吨塑料颗粒项目；</w:t>
            </w:r>
          </w:p>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项目区西北1.18km</w:t>
            </w:r>
          </w:p>
        </w:tc>
        <w:tc>
          <w:tcPr>
            <w:tcW w:w="1229" w:type="dxa"/>
            <w:vAlign w:val="center"/>
          </w:tcPr>
          <w:p>
            <w:pPr>
              <w:adjustRightInd w:val="0"/>
              <w:snapToGrid w:val="0"/>
              <w:jc w:val="center"/>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w:t>
            </w:r>
          </w:p>
        </w:tc>
        <w:tc>
          <w:tcPr>
            <w:tcW w:w="969"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w:t>
            </w:r>
          </w:p>
        </w:tc>
        <w:tc>
          <w:tcPr>
            <w:tcW w:w="950" w:type="dxa"/>
            <w:vAlign w:val="center"/>
          </w:tcPr>
          <w:p>
            <w:pPr>
              <w:widowControl/>
              <w:adjustRightInd w:val="0"/>
              <w:snapToGrid w:val="0"/>
              <w:jc w:val="center"/>
              <w:textAlignment w:val="bottom"/>
              <w:rPr>
                <w:rFonts w:cs="Times New Roman" w:asciiTheme="minorEastAsia" w:hAnsiTheme="minorEastAsia"/>
                <w:color w:val="000000"/>
                <w:sz w:val="18"/>
                <w:szCs w:val="18"/>
              </w:rPr>
            </w:pPr>
            <w:r>
              <w:rPr>
                <w:rFonts w:hint="eastAsia" w:cs="Times New Roman" w:asciiTheme="minorEastAsia" w:hAnsiTheme="minorEastAsia"/>
                <w:color w:val="000000"/>
                <w:sz w:val="18"/>
                <w:szCs w:val="18"/>
              </w:rPr>
              <w:t>/</w:t>
            </w:r>
          </w:p>
        </w:tc>
        <w:tc>
          <w:tcPr>
            <w:tcW w:w="1532" w:type="dxa"/>
            <w:vAlign w:val="center"/>
          </w:tcPr>
          <w:p>
            <w:pPr>
              <w:widowControl/>
              <w:adjustRightInd w:val="0"/>
              <w:snapToGrid w:val="0"/>
              <w:jc w:val="center"/>
              <w:rPr>
                <w:rFonts w:cs="Times New Roman" w:asciiTheme="minorEastAsia" w:hAnsiTheme="minorEastAsia"/>
                <w:color w:val="000000"/>
                <w:kern w:val="0"/>
                <w:sz w:val="18"/>
                <w:szCs w:val="18"/>
              </w:rPr>
            </w:pPr>
            <w:r>
              <w:rPr>
                <w:rFonts w:hint="eastAsia" w:cs="Times New Roman" w:asciiTheme="minorEastAsia" w:hAnsiTheme="minorEastAsia"/>
                <w:color w:val="000000"/>
                <w:kern w:val="0"/>
                <w:sz w:val="18"/>
                <w:szCs w:val="18"/>
              </w:rPr>
              <w:t>/</w:t>
            </w:r>
          </w:p>
        </w:tc>
        <w:tc>
          <w:tcPr>
            <w:tcW w:w="1159" w:type="dxa"/>
            <w:vAlign w:val="center"/>
          </w:tcPr>
          <w:p>
            <w:pPr>
              <w:widowControl/>
              <w:adjustRightInd w:val="0"/>
              <w:snapToGrid w:val="0"/>
              <w:jc w:val="center"/>
              <w:rPr>
                <w:rFonts w:cs="Times New Roman" w:asciiTheme="minorEastAsia" w:hAnsiTheme="minorEastAsia"/>
                <w:color w:val="000000"/>
                <w:kern w:val="0"/>
                <w:sz w:val="18"/>
                <w:szCs w:val="18"/>
              </w:rPr>
            </w:pPr>
            <w:r>
              <w:rPr>
                <w:rFonts w:hint="eastAsia" w:cs="Times New Roman" w:asciiTheme="minorEastAsia" w:hAnsiTheme="minorEastAsia"/>
                <w:color w:val="000000"/>
                <w:kern w:val="0"/>
                <w:sz w:val="18"/>
                <w:szCs w:val="18"/>
              </w:rPr>
              <w:t>/</w:t>
            </w:r>
          </w:p>
        </w:tc>
      </w:tr>
    </w:tbl>
    <w:p>
      <w:pPr>
        <w:keepNext/>
        <w:keepLines/>
        <w:adjustRightInd w:val="0"/>
        <w:snapToGrid w:val="0"/>
        <w:spacing w:before="156" w:beforeLines="50" w:line="360" w:lineRule="auto"/>
        <w:outlineLvl w:val="1"/>
        <w:rPr>
          <w:rFonts w:cs="Times New Roman" w:asciiTheme="minorEastAsia" w:hAnsiTheme="minorEastAsia"/>
          <w:sz w:val="28"/>
          <w:szCs w:val="24"/>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keepNext/>
        <w:keepLines/>
        <w:adjustRightInd w:val="0"/>
        <w:snapToGrid w:val="0"/>
        <w:spacing w:before="312" w:beforeLines="100" w:after="312" w:afterLines="100" w:line="360" w:lineRule="auto"/>
        <w:jc w:val="center"/>
        <w:outlineLvl w:val="0"/>
        <w:rPr>
          <w:rFonts w:cs="Times New Roman" w:asciiTheme="minorEastAsia" w:hAnsiTheme="minorEastAsia"/>
          <w:b/>
          <w:kern w:val="44"/>
          <w:sz w:val="36"/>
          <w:szCs w:val="24"/>
        </w:rPr>
      </w:pPr>
      <w:bookmarkStart w:id="57" w:name="_Toc13361"/>
      <w:r>
        <w:rPr>
          <w:rFonts w:cs="Times New Roman" w:asciiTheme="minorEastAsia" w:hAnsiTheme="minorEastAsia"/>
          <w:b/>
          <w:kern w:val="44"/>
          <w:sz w:val="36"/>
          <w:szCs w:val="24"/>
        </w:rPr>
        <w:t>第四章  环境质量现状评价</w:t>
      </w:r>
      <w:bookmarkEnd w:id="57"/>
    </w:p>
    <w:p>
      <w:pPr>
        <w:adjustRightInd w:val="0"/>
        <w:snapToGrid w:val="0"/>
        <w:spacing w:line="360" w:lineRule="auto"/>
        <w:ind w:firstLine="480" w:firstLineChars="200"/>
        <w:rPr>
          <w:rFonts w:cs="Times New Roman" w:asciiTheme="minorEastAsia" w:hAnsiTheme="minorEastAsia"/>
          <w:sz w:val="24"/>
          <w:szCs w:val="24"/>
          <w:u w:val="single"/>
        </w:rPr>
      </w:pPr>
      <w:r>
        <w:rPr>
          <w:rFonts w:hint="eastAsia" w:cs="Times New Roman" w:asciiTheme="minorEastAsia" w:hAnsiTheme="minorEastAsia"/>
          <w:color w:val="000000"/>
          <w:sz w:val="24"/>
          <w:szCs w:val="24"/>
          <w:u w:val="single"/>
        </w:rPr>
        <w:t>按照相关环境影响评价技术导则规定及要求，结合项目排污特征及各环境要素评价等级，本次评价环境质量现状调查在引用现有监测资料的基础上，对项目区土壤环境、厂界噪声进行了补充监测。环境空气基本污染物、地表水质量调查数据主要来自当地生态环境部门公开的监测资料；环境空气特征污染物、地下水及项目区边界外土壤环境调查数据主要借用《</w:t>
      </w:r>
      <w:r>
        <w:rPr>
          <w:rFonts w:cs="Times New Roman" w:asciiTheme="minorEastAsia" w:hAnsiTheme="minorEastAsia"/>
          <w:sz w:val="24"/>
          <w:szCs w:val="24"/>
          <w:u w:val="single"/>
        </w:rPr>
        <w:t>西平县天顺再生资源有限公司</w:t>
      </w:r>
      <w:r>
        <w:rPr>
          <w:rFonts w:hint="eastAsia" w:cs="Times New Roman" w:asciiTheme="minorEastAsia" w:hAnsiTheme="minorEastAsia"/>
          <w:sz w:val="24"/>
          <w:szCs w:val="24"/>
          <w:u w:val="single"/>
        </w:rPr>
        <w:t>年产3万吨塑料颗粒项目环境影响报告书</w:t>
      </w:r>
      <w:r>
        <w:rPr>
          <w:rFonts w:hint="eastAsia" w:cs="Times New Roman" w:asciiTheme="minorEastAsia" w:hAnsiTheme="minorEastAsia"/>
          <w:color w:val="000000"/>
          <w:sz w:val="24"/>
          <w:szCs w:val="24"/>
          <w:u w:val="single"/>
        </w:rPr>
        <w:t>》</w:t>
      </w:r>
      <w:r>
        <w:rPr>
          <w:rFonts w:hint="eastAsia" w:cs="Times New Roman" w:asciiTheme="minorEastAsia" w:hAnsiTheme="minorEastAsia"/>
          <w:sz w:val="24"/>
          <w:szCs w:val="24"/>
          <w:u w:val="single"/>
        </w:rPr>
        <w:t>中的监测数据统计资料，该项目厂区位于本项目拟建厂址区西北侧1.18km，距离接近，处于同一大气环境单元和地下水水文单元，地下水调查监测点位与本项目区地下水水文地质条件基本相同，因此，引用数据资料比较合理、可靠。</w:t>
      </w: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sz w:val="24"/>
          <w:szCs w:val="24"/>
        </w:rPr>
        <w:t>本项目环境质量现状调查监测点位及补充监测点位分布见下图。</w:t>
      </w:r>
      <w:bookmarkStart w:id="58" w:name="_Toc14035"/>
    </w:p>
    <w:p>
      <w:pPr>
        <w:adjustRightInd w:val="0"/>
        <w:snapToGrid w:val="0"/>
        <w:spacing w:line="360" w:lineRule="auto"/>
        <w:ind w:firstLine="480" w:firstLineChars="200"/>
        <w:rPr>
          <w:rFonts w:cs="Times New Roman" w:asciiTheme="minorEastAsia" w:hAnsiTheme="minorEastAsia"/>
          <w:color w:val="000000"/>
          <w:sz w:val="24"/>
          <w:szCs w:val="24"/>
        </w:rPr>
        <w:sectPr>
          <w:headerReference r:id="rId7" w:type="default"/>
          <w:footerReference r:id="rId8" w:type="default"/>
          <w:pgSz w:w="11906" w:h="16838"/>
          <w:pgMar w:top="1440" w:right="1800" w:bottom="1440" w:left="1800" w:header="851" w:footer="992" w:gutter="0"/>
          <w:cols w:space="425" w:num="1"/>
          <w:docGrid w:type="lines" w:linePitch="312" w:charSpace="0"/>
        </w:sectPr>
      </w:pPr>
    </w:p>
    <w:p>
      <w:pPr>
        <w:adjustRightInd w:val="0"/>
        <w:snapToGrid w:val="0"/>
        <w:spacing w:line="360" w:lineRule="auto"/>
        <w:ind w:firstLine="420" w:firstLineChars="200"/>
        <w:rPr>
          <w:rFonts w:cs="Times New Roman" w:asciiTheme="minorEastAsia" w:hAnsiTheme="minorEastAsia"/>
          <w:color w:val="000000"/>
          <w:sz w:val="24"/>
          <w:szCs w:val="24"/>
        </w:rPr>
      </w:pPr>
      <w:r>
        <w:rPr>
          <w:rFonts w:hint="eastAsia"/>
        </w:rPr>
        <w:drawing>
          <wp:anchor distT="0" distB="0" distL="114300" distR="114300" simplePos="0" relativeHeight="252058624" behindDoc="0" locked="0" layoutInCell="1" allowOverlap="1">
            <wp:simplePos x="0" y="0"/>
            <wp:positionH relativeFrom="column">
              <wp:posOffset>361950</wp:posOffset>
            </wp:positionH>
            <wp:positionV relativeFrom="paragraph">
              <wp:posOffset>1905</wp:posOffset>
            </wp:positionV>
            <wp:extent cx="7929880" cy="4959985"/>
            <wp:effectExtent l="0" t="0" r="13970" b="12065"/>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6" cstate="print">
                      <a:extLst>
                        <a:ext uri="{28A0092B-C50C-407E-A947-70E740481C1C}">
                          <a14:useLocalDpi xmlns:a14="http://schemas.microsoft.com/office/drawing/2010/main" val="0"/>
                        </a:ext>
                      </a:extLst>
                    </a:blip>
                    <a:srcRect l="12487" t="3430" r="4025" b="9767"/>
                    <a:stretch>
                      <a:fillRect/>
                    </a:stretch>
                  </pic:blipFill>
                  <pic:spPr>
                    <a:xfrm>
                      <a:off x="0" y="0"/>
                      <a:ext cx="7930109" cy="4959994"/>
                    </a:xfrm>
                    <a:prstGeom prst="rect">
                      <a:avLst/>
                    </a:prstGeom>
                    <a:noFill/>
                    <a:ln>
                      <a:noFill/>
                    </a:ln>
                  </pic:spPr>
                </pic:pic>
              </a:graphicData>
            </a:graphic>
          </wp:anchor>
        </w:drawing>
      </w: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2" w:firstLineChars="200"/>
        <w:jc w:val="center"/>
        <w:rPr>
          <w:rFonts w:cs="Times New Roman" w:asciiTheme="minorEastAsia" w:hAnsiTheme="minorEastAsia"/>
          <w:b/>
          <w:color w:val="000000"/>
          <w:sz w:val="24"/>
          <w:szCs w:val="24"/>
        </w:rPr>
      </w:pPr>
      <w:r>
        <w:rPr>
          <w:rFonts w:hint="eastAsia" w:cs="Times New Roman" w:asciiTheme="minorEastAsia" w:hAnsiTheme="minorEastAsia"/>
          <w:b/>
          <w:color w:val="000000"/>
          <w:sz w:val="24"/>
          <w:szCs w:val="24"/>
        </w:rPr>
        <w:t>本次项目环境质量现状调查及补充监测点位图</w:t>
      </w:r>
    </w:p>
    <w:p>
      <w:pPr>
        <w:adjustRightInd w:val="0"/>
        <w:snapToGrid w:val="0"/>
        <w:spacing w:line="360" w:lineRule="auto"/>
        <w:ind w:firstLine="480" w:firstLineChars="200"/>
        <w:rPr>
          <w:rFonts w:cs="Times New Roman" w:asciiTheme="minorEastAsia" w:hAnsiTheme="minorEastAsia"/>
          <w:color w:val="000000"/>
          <w:sz w:val="24"/>
          <w:szCs w:val="24"/>
        </w:rPr>
        <w:sectPr>
          <w:pgSz w:w="16838" w:h="11906" w:orient="landscape"/>
          <w:pgMar w:top="1800" w:right="1440" w:bottom="1800" w:left="1440" w:header="851" w:footer="992" w:gutter="0"/>
          <w:cols w:space="425" w:num="1"/>
          <w:docGrid w:type="lines" w:linePitch="312" w:charSpace="0"/>
        </w:sectPr>
      </w:pPr>
    </w:p>
    <w:p>
      <w:pPr>
        <w:adjustRightInd w:val="0"/>
        <w:snapToGrid w:val="0"/>
        <w:spacing w:line="360" w:lineRule="auto"/>
        <w:rPr>
          <w:rFonts w:cs="Times New Roman" w:asciiTheme="minorEastAsia" w:hAnsiTheme="minorEastAsia"/>
          <w:b/>
          <w:sz w:val="28"/>
          <w:szCs w:val="24"/>
        </w:rPr>
      </w:pPr>
      <w:r>
        <w:rPr>
          <w:rFonts w:cs="Times New Roman" w:asciiTheme="minorEastAsia" w:hAnsiTheme="minorEastAsia"/>
          <w:b/>
          <w:sz w:val="28"/>
          <w:szCs w:val="24"/>
        </w:rPr>
        <w:t>4.1 环境空气质量现状评价</w:t>
      </w:r>
      <w:bookmarkEnd w:id="58"/>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1、评价因子</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根据项目特点与环境特征，选取SO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、NO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、PM</w:t>
      </w:r>
      <w:r>
        <w:rPr>
          <w:rFonts w:cs="Times New Roman" w:asciiTheme="minorEastAsia" w:hAnsiTheme="minorEastAsia"/>
          <w:color w:val="000000"/>
          <w:sz w:val="24"/>
          <w:szCs w:val="24"/>
          <w:vertAlign w:val="subscript"/>
        </w:rPr>
        <w:t>10</w:t>
      </w:r>
      <w:r>
        <w:rPr>
          <w:rFonts w:cs="Times New Roman" w:asciiTheme="minorEastAsia" w:hAnsiTheme="minorEastAsia"/>
          <w:color w:val="000000"/>
          <w:sz w:val="24"/>
          <w:szCs w:val="24"/>
        </w:rPr>
        <w:t>、PM</w:t>
      </w:r>
      <w:r>
        <w:rPr>
          <w:rFonts w:cs="Times New Roman" w:asciiTheme="minorEastAsia" w:hAnsiTheme="minorEastAsia"/>
          <w:color w:val="000000"/>
          <w:sz w:val="24"/>
          <w:szCs w:val="24"/>
          <w:vertAlign w:val="subscript"/>
        </w:rPr>
        <w:t>2.5</w:t>
      </w:r>
      <w:r>
        <w:rPr>
          <w:rFonts w:cs="Times New Roman" w:asciiTheme="minorEastAsia" w:hAnsiTheme="minorEastAsia"/>
          <w:color w:val="000000"/>
          <w:sz w:val="24"/>
          <w:szCs w:val="24"/>
        </w:rPr>
        <w:t>、CO、O</w:t>
      </w:r>
      <w:r>
        <w:rPr>
          <w:rFonts w:cs="Times New Roman" w:asciiTheme="minorEastAsia" w:hAnsiTheme="minorEastAsia"/>
          <w:color w:val="000000"/>
          <w:sz w:val="24"/>
          <w:szCs w:val="24"/>
          <w:vertAlign w:val="subscript"/>
        </w:rPr>
        <w:t>3</w:t>
      </w:r>
      <w:r>
        <w:rPr>
          <w:rFonts w:cs="Times New Roman" w:asciiTheme="minorEastAsia" w:hAnsiTheme="minorEastAsia"/>
          <w:color w:val="000000"/>
          <w:sz w:val="24"/>
          <w:szCs w:val="24"/>
        </w:rPr>
        <w:t>、</w:t>
      </w:r>
      <w:r>
        <w:rPr>
          <w:rFonts w:cs="Times New Roman" w:asciiTheme="minorEastAsia" w:hAnsiTheme="minorEastAsia"/>
          <w:sz w:val="24"/>
          <w:szCs w:val="24"/>
        </w:rPr>
        <w:t>硫化氢、</w:t>
      </w:r>
      <w:r>
        <w:rPr>
          <w:rFonts w:cs="Times New Roman" w:asciiTheme="minorEastAsia" w:hAnsiTheme="minorEastAsia"/>
          <w:color w:val="000000"/>
          <w:sz w:val="24"/>
          <w:szCs w:val="24"/>
        </w:rPr>
        <w:t>非甲烷总烃共8项，作为环境空气质量现状评价因子。其中SO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、NO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、PM</w:t>
      </w:r>
      <w:r>
        <w:rPr>
          <w:rFonts w:cs="Times New Roman" w:asciiTheme="minorEastAsia" w:hAnsiTheme="minorEastAsia"/>
          <w:color w:val="000000"/>
          <w:sz w:val="24"/>
          <w:szCs w:val="24"/>
          <w:vertAlign w:val="subscript"/>
        </w:rPr>
        <w:t>10</w:t>
      </w:r>
      <w:r>
        <w:rPr>
          <w:rFonts w:cs="Times New Roman" w:asciiTheme="minorEastAsia" w:hAnsiTheme="minorEastAsia"/>
          <w:color w:val="000000"/>
          <w:sz w:val="24"/>
          <w:szCs w:val="24"/>
        </w:rPr>
        <w:t>、PM</w:t>
      </w:r>
      <w:r>
        <w:rPr>
          <w:rFonts w:cs="Times New Roman" w:asciiTheme="minorEastAsia" w:hAnsiTheme="minorEastAsia"/>
          <w:color w:val="000000"/>
          <w:sz w:val="24"/>
          <w:szCs w:val="24"/>
          <w:vertAlign w:val="subscript"/>
        </w:rPr>
        <w:t>2.5</w:t>
      </w:r>
      <w:r>
        <w:rPr>
          <w:rFonts w:cs="Times New Roman" w:asciiTheme="minorEastAsia" w:hAnsiTheme="minorEastAsia"/>
          <w:color w:val="000000"/>
          <w:sz w:val="24"/>
          <w:szCs w:val="24"/>
        </w:rPr>
        <w:t>、CO、O</w:t>
      </w:r>
      <w:r>
        <w:rPr>
          <w:rFonts w:cs="Times New Roman" w:asciiTheme="minorEastAsia" w:hAnsiTheme="minorEastAsia"/>
          <w:color w:val="000000"/>
          <w:sz w:val="24"/>
          <w:szCs w:val="24"/>
          <w:vertAlign w:val="subscript"/>
        </w:rPr>
        <w:t xml:space="preserve">3 </w:t>
      </w:r>
      <w:r>
        <w:rPr>
          <w:rFonts w:cs="Times New Roman" w:asciiTheme="minorEastAsia" w:hAnsiTheme="minorEastAsia"/>
          <w:color w:val="000000"/>
          <w:sz w:val="24"/>
          <w:szCs w:val="24"/>
        </w:rPr>
        <w:t>6项基本因子引用西平县环境空气监测站201</w:t>
      </w:r>
      <w:r>
        <w:rPr>
          <w:rFonts w:hint="eastAsia" w:cs="Times New Roman" w:asciiTheme="minorEastAsia" w:hAnsiTheme="minorEastAsia"/>
          <w:color w:val="000000"/>
          <w:sz w:val="24"/>
          <w:szCs w:val="24"/>
        </w:rPr>
        <w:t>9</w:t>
      </w:r>
      <w:r>
        <w:rPr>
          <w:rFonts w:cs="Times New Roman" w:asciiTheme="minorEastAsia" w:hAnsiTheme="minorEastAsia"/>
          <w:color w:val="000000"/>
          <w:sz w:val="24"/>
          <w:szCs w:val="24"/>
        </w:rPr>
        <w:t>年常规监测数据进行评价，</w:t>
      </w:r>
      <w:r>
        <w:rPr>
          <w:rFonts w:hint="eastAsia" w:cs="Times New Roman" w:asciiTheme="minorEastAsia" w:hAnsiTheme="minorEastAsia"/>
          <w:color w:val="000000"/>
          <w:sz w:val="24"/>
          <w:szCs w:val="24"/>
        </w:rPr>
        <w:t>TSP、</w:t>
      </w:r>
      <w:r>
        <w:rPr>
          <w:rFonts w:cs="Times New Roman" w:asciiTheme="minorEastAsia" w:hAnsiTheme="minorEastAsia"/>
          <w:sz w:val="24"/>
          <w:szCs w:val="24"/>
        </w:rPr>
        <w:t>硫化氢、非甲烷总烃</w:t>
      </w:r>
      <w:r>
        <w:rPr>
          <w:rFonts w:cs="Times New Roman" w:asciiTheme="minorEastAsia" w:hAnsiTheme="minorEastAsia"/>
          <w:color w:val="000000"/>
          <w:sz w:val="24"/>
          <w:szCs w:val="24"/>
        </w:rPr>
        <w:t>引用</w:t>
      </w:r>
      <w:r>
        <w:rPr>
          <w:rFonts w:hint="eastAsia" w:cs="Times New Roman" w:asciiTheme="minorEastAsia" w:hAnsiTheme="minorEastAsia"/>
          <w:color w:val="000000"/>
          <w:sz w:val="24"/>
          <w:szCs w:val="24"/>
        </w:rPr>
        <w:t>《</w:t>
      </w:r>
      <w:r>
        <w:rPr>
          <w:rFonts w:cs="Times New Roman" w:asciiTheme="minorEastAsia" w:hAnsiTheme="minorEastAsia"/>
          <w:sz w:val="24"/>
          <w:szCs w:val="24"/>
        </w:rPr>
        <w:t>西平县天顺再生资源有限公司年产</w:t>
      </w:r>
      <w:r>
        <w:rPr>
          <w:rFonts w:hint="eastAsia" w:cs="Times New Roman" w:asciiTheme="minorEastAsia" w:hAnsiTheme="minorEastAsia"/>
          <w:sz w:val="24"/>
          <w:szCs w:val="24"/>
        </w:rPr>
        <w:t>3万</w:t>
      </w:r>
      <w:r>
        <w:rPr>
          <w:rFonts w:cs="Times New Roman" w:asciiTheme="minorEastAsia" w:hAnsiTheme="minorEastAsia"/>
          <w:sz w:val="24"/>
          <w:szCs w:val="24"/>
        </w:rPr>
        <w:t>吨塑料颗粒项目环境影响评价</w:t>
      </w:r>
      <w:r>
        <w:rPr>
          <w:rFonts w:hint="eastAsia" w:cs="Times New Roman" w:asciiTheme="minorEastAsia" w:hAnsiTheme="minorEastAsia"/>
          <w:sz w:val="24"/>
          <w:szCs w:val="24"/>
        </w:rPr>
        <w:t>报告书</w:t>
      </w:r>
      <w:r>
        <w:rPr>
          <w:rFonts w:hint="eastAsia" w:cs="Times New Roman" w:asciiTheme="minorEastAsia" w:hAnsiTheme="minorEastAsia"/>
          <w:color w:val="000000"/>
          <w:sz w:val="24"/>
          <w:szCs w:val="24"/>
        </w:rPr>
        <w:t>》</w:t>
      </w:r>
      <w:r>
        <w:rPr>
          <w:rFonts w:cs="Times New Roman" w:asciiTheme="minorEastAsia" w:hAnsiTheme="minorEastAsia"/>
          <w:sz w:val="24"/>
          <w:szCs w:val="24"/>
        </w:rPr>
        <w:t>中</w:t>
      </w:r>
      <w:r>
        <w:rPr>
          <w:rFonts w:cs="Times New Roman" w:asciiTheme="minorEastAsia" w:hAnsiTheme="minorEastAsia"/>
          <w:color w:val="000000"/>
          <w:sz w:val="24"/>
          <w:szCs w:val="24"/>
        </w:rPr>
        <w:t>现状监测数据进行评价。</w:t>
      </w:r>
    </w:p>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2</w:t>
      </w:r>
      <w:r>
        <w:rPr>
          <w:rFonts w:cs="Times New Roman" w:asciiTheme="minorEastAsia" w:hAnsiTheme="minorEastAsia"/>
          <w:color w:val="000000"/>
          <w:sz w:val="24"/>
          <w:szCs w:val="24"/>
        </w:rPr>
        <w:t>、评价标准</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本次环境空气现状评价执行</w:t>
      </w:r>
      <w:r>
        <w:rPr>
          <w:rFonts w:hint="eastAsia" w:cs="Times New Roman" w:asciiTheme="minorEastAsia" w:hAnsiTheme="minorEastAsia"/>
          <w:color w:val="000000"/>
          <w:sz w:val="24"/>
          <w:szCs w:val="24"/>
        </w:rPr>
        <w:t>标准</w:t>
      </w:r>
      <w:r>
        <w:rPr>
          <w:rFonts w:cs="Times New Roman" w:asciiTheme="minorEastAsia" w:hAnsiTheme="minorEastAsia"/>
          <w:color w:val="000000"/>
          <w:sz w:val="24"/>
          <w:szCs w:val="24"/>
        </w:rPr>
        <w:t>详见表4.1-4。</w:t>
      </w:r>
    </w:p>
    <w:p>
      <w:pPr>
        <w:adjustRightInd w:val="0"/>
        <w:snapToGrid w:val="0"/>
        <w:jc w:val="center"/>
        <w:rPr>
          <w:rFonts w:cs="Times New Roman" w:asciiTheme="minorEastAsia" w:hAnsiTheme="minorEastAsia"/>
          <w:color w:val="262626" w:themeColor="text1" w:themeTint="D9"/>
          <w:szCs w:val="21"/>
          <w14:textFill>
            <w14:solidFill>
              <w14:schemeClr w14:val="tx1">
                <w14:lumMod w14:val="85000"/>
                <w14:lumOff w14:val="15000"/>
              </w14:schemeClr>
            </w14:solidFill>
          </w14:textFill>
        </w:rPr>
      </w:pPr>
      <w:r>
        <w:rPr>
          <w:rFonts w:cs="Times New Roman" w:asciiTheme="minorEastAsia" w:hAnsiTheme="minorEastAsia"/>
          <w:b/>
          <w:color w:val="262626" w:themeColor="text1" w:themeTint="D9"/>
          <w:sz w:val="24"/>
          <w:szCs w:val="24"/>
          <w14:textFill>
            <w14:solidFill>
              <w14:schemeClr w14:val="tx1">
                <w14:lumMod w14:val="85000"/>
                <w14:lumOff w14:val="15000"/>
              </w14:schemeClr>
            </w14:solidFill>
          </w14:textFill>
        </w:rPr>
        <w:t>表4.1-4       环境空气质量现状评价标准</w:t>
      </w:r>
      <w:r>
        <w:rPr>
          <w:rFonts w:cs="Times New Roman" w:asciiTheme="minorEastAsia" w:hAnsiTheme="minorEastAsia"/>
          <w:color w:val="262626" w:themeColor="text1" w:themeTint="D9"/>
          <w:sz w:val="24"/>
          <w:szCs w:val="24"/>
          <w14:textFill>
            <w14:solidFill>
              <w14:schemeClr w14:val="tx1">
                <w14:lumMod w14:val="85000"/>
                <w14:lumOff w14:val="15000"/>
              </w14:schemeClr>
            </w14:solidFill>
          </w14:textFill>
        </w:rPr>
        <w:t xml:space="preserve">    （单位：</w:t>
      </w:r>
      <w:r>
        <w:rPr>
          <w:rFonts w:cs="Times New Roman" w:asciiTheme="minorEastAsia" w:hAnsiTheme="minorEastAsia"/>
          <w:color w:val="262626" w:themeColor="text1" w:themeTint="D9"/>
          <w:szCs w:val="21"/>
          <w14:textFill>
            <w14:solidFill>
              <w14:schemeClr w14:val="tx1">
                <w14:lumMod w14:val="85000"/>
                <w14:lumOff w14:val="15000"/>
              </w14:schemeClr>
            </w14:solidFill>
          </w14:textFill>
        </w:rPr>
        <w:t>μg/m</w:t>
      </w:r>
      <w:r>
        <w:rPr>
          <w:rFonts w:cs="Times New Roman" w:asciiTheme="minorEastAsia" w:hAnsiTheme="minorEastAsia"/>
          <w:color w:val="262626" w:themeColor="text1" w:themeTint="D9"/>
          <w:szCs w:val="21"/>
          <w:vertAlign w:val="superscript"/>
          <w14:textFill>
            <w14:solidFill>
              <w14:schemeClr w14:val="tx1">
                <w14:lumMod w14:val="85000"/>
                <w14:lumOff w14:val="15000"/>
              </w14:schemeClr>
            </w14:solidFill>
          </w14:textFill>
        </w:rPr>
        <w:t>3</w:t>
      </w:r>
      <w:r>
        <w:rPr>
          <w:rFonts w:cs="Times New Roman" w:asciiTheme="minorEastAsia" w:hAnsiTheme="minorEastAsia"/>
          <w:color w:val="262626" w:themeColor="text1" w:themeTint="D9"/>
          <w:sz w:val="24"/>
          <w:szCs w:val="24"/>
          <w14:textFill>
            <w14:solidFill>
              <w14:schemeClr w14:val="tx1">
                <w14:lumMod w14:val="85000"/>
                <w14:lumOff w14:val="15000"/>
              </w14:schemeClr>
            </w14:solidFill>
          </w14:textFill>
        </w:rPr>
        <w:t>）</w:t>
      </w:r>
    </w:p>
    <w:tbl>
      <w:tblPr>
        <w:tblStyle w:val="27"/>
        <w:tblW w:w="9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623"/>
        <w:gridCol w:w="1050"/>
        <w:gridCol w:w="1487"/>
        <w:gridCol w:w="1553"/>
        <w:gridCol w:w="2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Merge w:val="restart"/>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序号</w:t>
            </w:r>
          </w:p>
        </w:tc>
        <w:tc>
          <w:tcPr>
            <w:tcW w:w="1623" w:type="dxa"/>
            <w:vMerge w:val="restart"/>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污染物</w:t>
            </w:r>
          </w:p>
        </w:tc>
        <w:tc>
          <w:tcPr>
            <w:tcW w:w="4090" w:type="dxa"/>
            <w:gridSpan w:val="3"/>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标  准  值</w:t>
            </w:r>
          </w:p>
        </w:tc>
        <w:tc>
          <w:tcPr>
            <w:tcW w:w="2572" w:type="dxa"/>
            <w:vMerge w:val="restart"/>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Merge w:val="continue"/>
            <w:vAlign w:val="center"/>
          </w:tcPr>
          <w:p>
            <w:pPr>
              <w:widowControl/>
              <w:adjustRightInd w:val="0"/>
              <w:snapToGrid w:val="0"/>
              <w:jc w:val="center"/>
              <w:rPr>
                <w:rFonts w:cs="Times New Roman" w:asciiTheme="minorEastAsia" w:hAnsiTheme="minorEastAsia"/>
                <w:color w:val="000000"/>
                <w:szCs w:val="21"/>
              </w:rPr>
            </w:pPr>
          </w:p>
        </w:tc>
        <w:tc>
          <w:tcPr>
            <w:tcW w:w="1623" w:type="dxa"/>
            <w:vMerge w:val="continue"/>
            <w:vAlign w:val="center"/>
          </w:tcPr>
          <w:p>
            <w:pPr>
              <w:widowControl/>
              <w:adjustRightInd w:val="0"/>
              <w:snapToGrid w:val="0"/>
              <w:jc w:val="center"/>
              <w:rPr>
                <w:rFonts w:cs="Times New Roman" w:asciiTheme="minorEastAsia" w:hAnsiTheme="minorEastAsia"/>
                <w:color w:val="000000"/>
                <w:szCs w:val="21"/>
              </w:rPr>
            </w:pP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年平均</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24小时平均</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1小时平均</w:t>
            </w:r>
          </w:p>
        </w:tc>
        <w:tc>
          <w:tcPr>
            <w:tcW w:w="2572"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w:t>
            </w:r>
          </w:p>
        </w:tc>
        <w:tc>
          <w:tcPr>
            <w:tcW w:w="1623" w:type="dxa"/>
            <w:vAlign w:val="center"/>
          </w:tcPr>
          <w:p>
            <w:pPr>
              <w:widowControl/>
              <w:adjustRightInd w:val="0"/>
              <w:snapToGrid w:val="0"/>
              <w:jc w:val="center"/>
              <w:rPr>
                <w:rFonts w:cs="Times New Roman" w:asciiTheme="minorEastAsia" w:hAnsiTheme="minorEastAsia"/>
                <w:color w:val="000000"/>
                <w:szCs w:val="21"/>
                <w:vertAlign w:val="subscript"/>
              </w:rPr>
            </w:pPr>
            <w:r>
              <w:rPr>
                <w:rFonts w:cs="Times New Roman" w:asciiTheme="minorEastAsia" w:hAnsiTheme="minorEastAsia"/>
                <w:color w:val="000000"/>
                <w:szCs w:val="21"/>
              </w:rPr>
              <w:t>SO</w:t>
            </w:r>
            <w:r>
              <w:rPr>
                <w:rFonts w:cs="Times New Roman" w:asciiTheme="minorEastAsia" w:hAnsiTheme="minorEastAsia"/>
                <w:color w:val="000000"/>
                <w:szCs w:val="21"/>
                <w:vertAlign w:val="subscript"/>
              </w:rPr>
              <w:t>2</w:t>
            </w: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60</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150</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500</w:t>
            </w:r>
          </w:p>
        </w:tc>
        <w:tc>
          <w:tcPr>
            <w:tcW w:w="2572" w:type="dxa"/>
            <w:vMerge w:val="restart"/>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《环境空气质量标准》（GB3095-2012）二级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w:t>
            </w:r>
          </w:p>
        </w:tc>
        <w:tc>
          <w:tcPr>
            <w:tcW w:w="162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NO</w:t>
            </w:r>
            <w:r>
              <w:rPr>
                <w:rFonts w:cs="Times New Roman" w:asciiTheme="minorEastAsia" w:hAnsiTheme="minorEastAsia"/>
                <w:color w:val="000000"/>
                <w:szCs w:val="21"/>
                <w:vertAlign w:val="subscript"/>
              </w:rPr>
              <w:t>2</w:t>
            </w: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40</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80</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200</w:t>
            </w:r>
          </w:p>
        </w:tc>
        <w:tc>
          <w:tcPr>
            <w:tcW w:w="2572"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w:t>
            </w:r>
          </w:p>
        </w:tc>
        <w:tc>
          <w:tcPr>
            <w:tcW w:w="162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PM</w:t>
            </w:r>
            <w:r>
              <w:rPr>
                <w:rFonts w:cs="Times New Roman" w:asciiTheme="minorEastAsia" w:hAnsiTheme="minorEastAsia"/>
                <w:color w:val="000000"/>
                <w:szCs w:val="21"/>
                <w:vertAlign w:val="subscript"/>
              </w:rPr>
              <w:t>10</w:t>
            </w: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70</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150</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2572"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4</w:t>
            </w:r>
          </w:p>
        </w:tc>
        <w:tc>
          <w:tcPr>
            <w:tcW w:w="162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PM</w:t>
            </w:r>
            <w:r>
              <w:rPr>
                <w:rFonts w:cs="Times New Roman" w:asciiTheme="minorEastAsia" w:hAnsiTheme="minorEastAsia"/>
                <w:color w:val="000000"/>
                <w:szCs w:val="21"/>
                <w:vertAlign w:val="subscript"/>
              </w:rPr>
              <w:t>2.5</w:t>
            </w: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35</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75</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2572"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5</w:t>
            </w:r>
          </w:p>
        </w:tc>
        <w:tc>
          <w:tcPr>
            <w:tcW w:w="162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CO（mg/m</w:t>
            </w:r>
            <w:r>
              <w:rPr>
                <w:rFonts w:cs="Times New Roman" w:asciiTheme="minorEastAsia" w:hAnsiTheme="minorEastAsia"/>
                <w:color w:val="000000"/>
                <w:szCs w:val="21"/>
                <w:vertAlign w:val="superscript"/>
              </w:rPr>
              <w:t>3</w:t>
            </w:r>
            <w:r>
              <w:rPr>
                <w:rFonts w:cs="Times New Roman" w:asciiTheme="minorEastAsia" w:hAnsiTheme="minorEastAsia"/>
                <w:color w:val="000000"/>
                <w:szCs w:val="21"/>
              </w:rPr>
              <w:t>）</w:t>
            </w: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4</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w:t>
            </w:r>
          </w:p>
        </w:tc>
        <w:tc>
          <w:tcPr>
            <w:tcW w:w="2572"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6</w:t>
            </w:r>
          </w:p>
        </w:tc>
        <w:tc>
          <w:tcPr>
            <w:tcW w:w="162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O</w:t>
            </w:r>
            <w:r>
              <w:rPr>
                <w:rFonts w:cs="Times New Roman" w:asciiTheme="minorEastAsia" w:hAnsiTheme="minorEastAsia"/>
                <w:color w:val="000000"/>
                <w:szCs w:val="21"/>
                <w:vertAlign w:val="subscript"/>
              </w:rPr>
              <w:t>3</w:t>
            </w: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160</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200</w:t>
            </w:r>
          </w:p>
        </w:tc>
        <w:tc>
          <w:tcPr>
            <w:tcW w:w="2572"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7</w:t>
            </w:r>
          </w:p>
        </w:tc>
        <w:tc>
          <w:tcPr>
            <w:tcW w:w="1623"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TSP</w:t>
            </w:r>
          </w:p>
        </w:tc>
        <w:tc>
          <w:tcPr>
            <w:tcW w:w="1050"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200</w:t>
            </w:r>
          </w:p>
        </w:tc>
        <w:tc>
          <w:tcPr>
            <w:tcW w:w="1487"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300</w:t>
            </w:r>
          </w:p>
        </w:tc>
        <w:tc>
          <w:tcPr>
            <w:tcW w:w="1553"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w:t>
            </w:r>
          </w:p>
        </w:tc>
        <w:tc>
          <w:tcPr>
            <w:tcW w:w="2572"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pacing w:val="-10"/>
                <w:szCs w:val="21"/>
              </w:rPr>
              <w:t>8</w:t>
            </w:r>
          </w:p>
        </w:tc>
        <w:tc>
          <w:tcPr>
            <w:tcW w:w="1623"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pacing w:val="-10"/>
                <w:szCs w:val="21"/>
              </w:rPr>
              <w:t>非甲烷总烃</w:t>
            </w:r>
          </w:p>
        </w:tc>
        <w:tc>
          <w:tcPr>
            <w:tcW w:w="4090" w:type="dxa"/>
            <w:gridSpan w:val="3"/>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pacing w:val="-10"/>
                <w:szCs w:val="21"/>
              </w:rPr>
              <w:t xml:space="preserve">2.0 </w:t>
            </w:r>
            <w:r>
              <w:rPr>
                <w:rFonts w:cs="Times New Roman" w:asciiTheme="minorEastAsia" w:hAnsiTheme="minorEastAsia"/>
                <w:color w:val="000000"/>
                <w:szCs w:val="21"/>
              </w:rPr>
              <w:t>mg/m</w:t>
            </w:r>
            <w:r>
              <w:rPr>
                <w:rFonts w:cs="Times New Roman" w:asciiTheme="minorEastAsia" w:hAnsiTheme="minorEastAsia"/>
                <w:color w:val="000000"/>
                <w:szCs w:val="21"/>
                <w:vertAlign w:val="superscript"/>
              </w:rPr>
              <w:t>3</w:t>
            </w:r>
            <w:r>
              <w:rPr>
                <w:rFonts w:cs="Times New Roman" w:asciiTheme="minorEastAsia" w:hAnsiTheme="minorEastAsia"/>
                <w:color w:val="000000"/>
                <w:szCs w:val="21"/>
              </w:rPr>
              <w:t>（1小时平均）</w:t>
            </w:r>
          </w:p>
        </w:tc>
        <w:tc>
          <w:tcPr>
            <w:tcW w:w="2572" w:type="dxa"/>
            <w:vAlign w:val="center"/>
          </w:tcPr>
          <w:p>
            <w:pPr>
              <w:widowControl/>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szCs w:val="21"/>
              </w:rPr>
              <w:t>《大气污染物综合排放标准详解》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pacing w:val="-10"/>
                <w:szCs w:val="21"/>
              </w:rPr>
            </w:pPr>
            <w:r>
              <w:rPr>
                <w:rFonts w:hint="eastAsia" w:cs="Times New Roman" w:asciiTheme="minorEastAsia" w:hAnsiTheme="minorEastAsia"/>
                <w:color w:val="000000"/>
                <w:spacing w:val="-10"/>
                <w:szCs w:val="21"/>
              </w:rPr>
              <w:t>9</w:t>
            </w:r>
          </w:p>
        </w:tc>
        <w:tc>
          <w:tcPr>
            <w:tcW w:w="1623" w:type="dxa"/>
            <w:vAlign w:val="center"/>
          </w:tcPr>
          <w:p>
            <w:pPr>
              <w:widowControl/>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szCs w:val="21"/>
              </w:rPr>
              <w:t>硫化氢</w:t>
            </w:r>
          </w:p>
        </w:tc>
        <w:tc>
          <w:tcPr>
            <w:tcW w:w="4090" w:type="dxa"/>
            <w:gridSpan w:val="3"/>
            <w:vAlign w:val="center"/>
          </w:tcPr>
          <w:p>
            <w:pPr>
              <w:widowControl/>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color w:val="000000"/>
                <w:spacing w:val="-10"/>
                <w:szCs w:val="21"/>
              </w:rPr>
              <w:t>0.01（一次值）</w:t>
            </w:r>
          </w:p>
        </w:tc>
        <w:tc>
          <w:tcPr>
            <w:tcW w:w="2572" w:type="dxa"/>
            <w:vMerge w:val="restart"/>
            <w:vAlign w:val="center"/>
          </w:tcPr>
          <w:p>
            <w:pPr>
              <w:widowControl/>
              <w:adjustRightInd w:val="0"/>
              <w:snapToGrid w:val="0"/>
              <w:jc w:val="center"/>
              <w:rPr>
                <w:rFonts w:cs="Times New Roman" w:asciiTheme="minorEastAsia" w:hAnsiTheme="minorEastAsia"/>
                <w:iCs/>
                <w:color w:val="000000"/>
                <w:spacing w:val="-10"/>
                <w:szCs w:val="21"/>
              </w:rPr>
            </w:pPr>
            <w:r>
              <w:rPr>
                <w:rFonts w:hint="eastAsia" w:cs="Times New Roman" w:asciiTheme="minorEastAsia" w:hAnsiTheme="minorEastAsia"/>
                <w:spacing w:val="-10"/>
                <w:szCs w:val="21"/>
              </w:rPr>
              <w:t>《环境影响评价技术导则大气环境》附录D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9" w:type="dxa"/>
            <w:vAlign w:val="center"/>
          </w:tcPr>
          <w:p>
            <w:pPr>
              <w:widowControl/>
              <w:adjustRightInd w:val="0"/>
              <w:snapToGrid w:val="0"/>
              <w:jc w:val="center"/>
              <w:rPr>
                <w:rFonts w:cs="Times New Roman" w:asciiTheme="minorEastAsia" w:hAnsiTheme="minorEastAsia"/>
                <w:color w:val="000000"/>
                <w:spacing w:val="-10"/>
                <w:szCs w:val="21"/>
              </w:rPr>
            </w:pPr>
            <w:r>
              <w:rPr>
                <w:rFonts w:hint="eastAsia" w:cs="Times New Roman" w:asciiTheme="minorEastAsia" w:hAnsiTheme="minorEastAsia"/>
                <w:color w:val="000000"/>
                <w:spacing w:val="-10"/>
                <w:szCs w:val="21"/>
              </w:rPr>
              <w:t>10</w:t>
            </w:r>
          </w:p>
        </w:tc>
        <w:tc>
          <w:tcPr>
            <w:tcW w:w="1623" w:type="dxa"/>
            <w:vAlign w:val="center"/>
          </w:tcPr>
          <w:p>
            <w:pPr>
              <w:widowControl/>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氨</w:t>
            </w:r>
          </w:p>
        </w:tc>
        <w:tc>
          <w:tcPr>
            <w:tcW w:w="4090" w:type="dxa"/>
            <w:gridSpan w:val="3"/>
            <w:vAlign w:val="center"/>
          </w:tcPr>
          <w:p>
            <w:pPr>
              <w:widowControl/>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color w:val="000000"/>
                <w:spacing w:val="-10"/>
                <w:szCs w:val="21"/>
              </w:rPr>
              <w:t>0.</w:t>
            </w:r>
            <w:r>
              <w:rPr>
                <w:rFonts w:hint="eastAsia" w:cs="Times New Roman" w:asciiTheme="minorEastAsia" w:hAnsiTheme="minorEastAsia"/>
                <w:color w:val="000000"/>
                <w:spacing w:val="-10"/>
                <w:szCs w:val="21"/>
              </w:rPr>
              <w:t>2</w:t>
            </w:r>
            <w:r>
              <w:rPr>
                <w:rFonts w:cs="Times New Roman" w:asciiTheme="minorEastAsia" w:hAnsiTheme="minorEastAsia"/>
                <w:color w:val="000000"/>
                <w:spacing w:val="-10"/>
                <w:szCs w:val="21"/>
              </w:rPr>
              <w:t>（一次值）</w:t>
            </w:r>
          </w:p>
        </w:tc>
        <w:tc>
          <w:tcPr>
            <w:tcW w:w="2572" w:type="dxa"/>
            <w:vMerge w:val="continue"/>
            <w:vAlign w:val="center"/>
          </w:tcPr>
          <w:p>
            <w:pPr>
              <w:widowControl/>
              <w:adjustRightInd w:val="0"/>
              <w:snapToGrid w:val="0"/>
              <w:jc w:val="center"/>
              <w:rPr>
                <w:rFonts w:cs="Times New Roman" w:asciiTheme="minorEastAsia" w:hAnsiTheme="minorEastAsia"/>
                <w:spacing w:val="-10"/>
                <w:szCs w:val="21"/>
              </w:rPr>
            </w:pPr>
          </w:p>
        </w:tc>
      </w:tr>
    </w:tbl>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3</w:t>
      </w:r>
      <w:r>
        <w:rPr>
          <w:rFonts w:cs="Times New Roman" w:asciiTheme="minorEastAsia" w:hAnsiTheme="minorEastAsia"/>
          <w:color w:val="000000"/>
          <w:sz w:val="24"/>
          <w:szCs w:val="24"/>
        </w:rPr>
        <w:t>、评价方法</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 xml:space="preserve">根据环境空气质量现状监测结果，采用单因子污染指数法进行分析评价，计算公式如下： </w:t>
      </w:r>
    </w:p>
    <w:p>
      <w:pPr>
        <w:adjustRightInd w:val="0"/>
        <w:snapToGrid w:val="0"/>
        <w:spacing w:line="360" w:lineRule="auto"/>
        <w:ind w:firstLine="4080" w:firstLineChars="1700"/>
        <w:rPr>
          <w:rFonts w:cs="Times New Roman" w:asciiTheme="minorEastAsia" w:hAnsiTheme="minorEastAsia"/>
          <w:color w:val="000000"/>
          <w:sz w:val="24"/>
          <w:szCs w:val="24"/>
        </w:rPr>
      </w:pPr>
      <w:r>
        <w:rPr>
          <w:rFonts w:cs="Times New Roman" w:asciiTheme="minorEastAsia" w:hAnsiTheme="minorEastAsia"/>
          <w:color w:val="000000"/>
          <w:sz w:val="24"/>
          <w:szCs w:val="24"/>
        </w:rPr>
        <w:t>P</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 xml:space="preserve">i </w:t>
      </w:r>
      <w:r>
        <w:rPr>
          <w:rFonts w:cs="Times New Roman" w:asciiTheme="minorEastAsia" w:hAnsiTheme="minorEastAsia"/>
          <w:color w:val="000000"/>
          <w:sz w:val="24"/>
          <w:szCs w:val="24"/>
        </w:rPr>
        <w:t>/ S</w:t>
      </w:r>
      <w:r>
        <w:rPr>
          <w:rFonts w:cs="Times New Roman" w:asciiTheme="minorEastAsia" w:hAnsiTheme="minorEastAsia"/>
          <w:color w:val="000000"/>
          <w:sz w:val="24"/>
          <w:szCs w:val="24"/>
          <w:vertAlign w:val="subscript"/>
        </w:rPr>
        <w:t>i</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式中，</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——i污染物的单因子污染指数；</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——i污染物的实测浓度（mg/m</w:t>
      </w:r>
      <w:r>
        <w:rPr>
          <w:rFonts w:cs="Times New Roman" w:asciiTheme="minorEastAsia" w:hAnsiTheme="minorEastAsia"/>
          <w:color w:val="000000"/>
          <w:sz w:val="24"/>
          <w:szCs w:val="24"/>
          <w:vertAlign w:val="superscript"/>
        </w:rPr>
        <w:t>3</w:t>
      </w:r>
      <w:r>
        <w:rPr>
          <w:rFonts w:cs="Times New Roman" w:asciiTheme="minorEastAsia" w:hAnsiTheme="minorEastAsia"/>
          <w:color w:val="000000"/>
          <w:sz w:val="24"/>
          <w:szCs w:val="24"/>
        </w:rPr>
        <w:t>）；</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——i污染物的评价标准（mg/m</w:t>
      </w:r>
      <w:r>
        <w:rPr>
          <w:rFonts w:cs="Times New Roman" w:asciiTheme="minorEastAsia" w:hAnsiTheme="minorEastAsia"/>
          <w:color w:val="000000"/>
          <w:sz w:val="24"/>
          <w:szCs w:val="24"/>
          <w:vertAlign w:val="superscript"/>
        </w:rPr>
        <w:t>3</w:t>
      </w:r>
      <w:r>
        <w:rPr>
          <w:rFonts w:cs="Times New Roman" w:asciiTheme="minorEastAsia" w:hAnsiTheme="minorEastAsia"/>
          <w:color w:val="000000"/>
          <w:sz w:val="24"/>
          <w:szCs w:val="24"/>
        </w:rPr>
        <w:t>）。</w:t>
      </w: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4</w:t>
      </w:r>
      <w:r>
        <w:rPr>
          <w:rFonts w:cs="Times New Roman" w:asciiTheme="minorEastAsia" w:hAnsiTheme="minorEastAsia"/>
          <w:color w:val="000000"/>
          <w:sz w:val="24"/>
          <w:szCs w:val="24"/>
        </w:rPr>
        <w:t>、</w:t>
      </w:r>
      <w:r>
        <w:rPr>
          <w:rFonts w:hint="eastAsia" w:cs="Times New Roman" w:asciiTheme="minorEastAsia" w:hAnsiTheme="minorEastAsia"/>
          <w:color w:val="000000"/>
          <w:sz w:val="24"/>
          <w:szCs w:val="24"/>
        </w:rPr>
        <w:t>特征污染物调查监测点位及时间</w:t>
      </w: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（1）</w:t>
      </w:r>
      <w:r>
        <w:rPr>
          <w:rFonts w:cs="Times New Roman" w:asciiTheme="minorEastAsia" w:hAnsiTheme="minorEastAsia"/>
          <w:color w:val="000000"/>
          <w:sz w:val="24"/>
          <w:szCs w:val="24"/>
        </w:rPr>
        <w:t>监测点位的布设</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根据</w:t>
      </w:r>
      <w:r>
        <w:rPr>
          <w:rFonts w:hint="eastAsia" w:cs="Times New Roman" w:asciiTheme="minorEastAsia" w:hAnsiTheme="minorEastAsia"/>
          <w:color w:val="000000"/>
          <w:sz w:val="24"/>
          <w:szCs w:val="24"/>
        </w:rPr>
        <w:t>《</w:t>
      </w:r>
      <w:r>
        <w:rPr>
          <w:rFonts w:cs="Times New Roman" w:asciiTheme="minorEastAsia" w:hAnsiTheme="minorEastAsia"/>
          <w:sz w:val="24"/>
          <w:szCs w:val="24"/>
        </w:rPr>
        <w:t>西平县天顺再生资源有限公司</w:t>
      </w:r>
      <w:r>
        <w:rPr>
          <w:rFonts w:hint="eastAsia" w:cs="Times New Roman" w:asciiTheme="minorEastAsia" w:hAnsiTheme="minorEastAsia"/>
          <w:sz w:val="24"/>
          <w:szCs w:val="24"/>
        </w:rPr>
        <w:t>年产6000吨塑料颗粒项目环境影响报告书</w:t>
      </w:r>
      <w:r>
        <w:rPr>
          <w:rFonts w:hint="eastAsia" w:cs="Times New Roman" w:asciiTheme="minorEastAsia" w:hAnsiTheme="minorEastAsia"/>
          <w:color w:val="000000"/>
          <w:sz w:val="24"/>
          <w:szCs w:val="24"/>
        </w:rPr>
        <w:t>》</w:t>
      </w:r>
      <w:r>
        <w:rPr>
          <w:rFonts w:hint="eastAsia" w:cs="Times New Roman" w:asciiTheme="minorEastAsia" w:hAnsiTheme="minorEastAsia"/>
          <w:sz w:val="24"/>
          <w:szCs w:val="24"/>
        </w:rPr>
        <w:t>，</w:t>
      </w:r>
      <w:r>
        <w:rPr>
          <w:rFonts w:hint="eastAsia" w:cs="Times New Roman" w:asciiTheme="minorEastAsia" w:hAnsiTheme="minorEastAsia"/>
          <w:color w:val="000000"/>
          <w:sz w:val="24"/>
          <w:szCs w:val="24"/>
        </w:rPr>
        <w:t>环境空气现状调查</w:t>
      </w:r>
      <w:r>
        <w:rPr>
          <w:rFonts w:cs="Times New Roman" w:asciiTheme="minorEastAsia" w:hAnsiTheme="minorEastAsia"/>
          <w:color w:val="000000"/>
          <w:sz w:val="24"/>
          <w:szCs w:val="24"/>
        </w:rPr>
        <w:t>共布设2个监测点，具体见表4.1-1。</w:t>
      </w:r>
    </w:p>
    <w:p>
      <w:pPr>
        <w:adjustRightInd w:val="0"/>
        <w:snapToGrid w:val="0"/>
        <w:jc w:val="center"/>
        <w:rPr>
          <w:rFonts w:cs="Times New Roman" w:asciiTheme="minorEastAsia" w:hAnsiTheme="minorEastAsia"/>
          <w:b/>
          <w:color w:val="000000"/>
          <w:szCs w:val="21"/>
        </w:rPr>
      </w:pPr>
      <w:r>
        <w:rPr>
          <w:rFonts w:cs="Times New Roman" w:asciiTheme="minorEastAsia" w:hAnsiTheme="minorEastAsia"/>
          <w:b/>
          <w:color w:val="000000"/>
          <w:sz w:val="24"/>
          <w:szCs w:val="24"/>
        </w:rPr>
        <w:t>表4.1-1    环境空气监测点位布设情况一览表</w:t>
      </w:r>
    </w:p>
    <w:tbl>
      <w:tblPr>
        <w:tblStyle w:val="27"/>
        <w:tblW w:w="875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1"/>
        <w:gridCol w:w="2135"/>
        <w:gridCol w:w="3072"/>
        <w:gridCol w:w="27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3" w:hRule="atLeast"/>
        </w:trPr>
        <w:tc>
          <w:tcPr>
            <w:tcW w:w="761" w:type="dxa"/>
            <w:vAlign w:val="center"/>
          </w:tcPr>
          <w:p>
            <w:pPr>
              <w:adjustRightInd w:val="0"/>
              <w:snapToGrid w:val="0"/>
              <w:jc w:val="center"/>
              <w:rPr>
                <w:rFonts w:cs="Times New Roman" w:asciiTheme="minorEastAsia" w:hAnsiTheme="minorEastAsia"/>
                <w:b/>
                <w:color w:val="000000"/>
                <w:szCs w:val="20"/>
              </w:rPr>
            </w:pPr>
            <w:r>
              <w:rPr>
                <w:rFonts w:cs="Times New Roman" w:asciiTheme="minorEastAsia" w:hAnsiTheme="minorEastAsia"/>
                <w:b/>
                <w:color w:val="000000"/>
                <w:szCs w:val="20"/>
              </w:rPr>
              <w:t>序号</w:t>
            </w:r>
          </w:p>
        </w:tc>
        <w:tc>
          <w:tcPr>
            <w:tcW w:w="2135" w:type="dxa"/>
            <w:vAlign w:val="center"/>
          </w:tcPr>
          <w:p>
            <w:pPr>
              <w:adjustRightInd w:val="0"/>
              <w:snapToGrid w:val="0"/>
              <w:jc w:val="center"/>
              <w:rPr>
                <w:rFonts w:cs="Times New Roman" w:asciiTheme="minorEastAsia" w:hAnsiTheme="minorEastAsia"/>
                <w:b/>
                <w:color w:val="000000"/>
                <w:szCs w:val="20"/>
              </w:rPr>
            </w:pPr>
            <w:r>
              <w:rPr>
                <w:rFonts w:hint="eastAsia" w:cs="Times New Roman" w:asciiTheme="minorEastAsia" w:hAnsiTheme="minorEastAsia"/>
                <w:b/>
                <w:color w:val="000000"/>
                <w:szCs w:val="20"/>
              </w:rPr>
              <w:t>调查</w:t>
            </w:r>
            <w:r>
              <w:rPr>
                <w:rFonts w:cs="Times New Roman" w:asciiTheme="minorEastAsia" w:hAnsiTheme="minorEastAsia"/>
                <w:b/>
                <w:color w:val="000000"/>
                <w:szCs w:val="20"/>
              </w:rPr>
              <w:t>监测点</w:t>
            </w:r>
            <w:r>
              <w:rPr>
                <w:rFonts w:hint="eastAsia" w:cs="Times New Roman" w:asciiTheme="minorEastAsia" w:hAnsiTheme="minorEastAsia"/>
                <w:b/>
                <w:color w:val="000000"/>
                <w:szCs w:val="20"/>
              </w:rPr>
              <w:t>位</w:t>
            </w:r>
          </w:p>
        </w:tc>
        <w:tc>
          <w:tcPr>
            <w:tcW w:w="3072" w:type="dxa"/>
            <w:vAlign w:val="center"/>
          </w:tcPr>
          <w:p>
            <w:pPr>
              <w:adjustRightInd w:val="0"/>
              <w:snapToGrid w:val="0"/>
              <w:jc w:val="center"/>
              <w:rPr>
                <w:rFonts w:cs="Times New Roman" w:asciiTheme="minorEastAsia" w:hAnsiTheme="minorEastAsia"/>
                <w:b/>
                <w:color w:val="000000"/>
                <w:szCs w:val="20"/>
              </w:rPr>
            </w:pPr>
            <w:r>
              <w:rPr>
                <w:rFonts w:hint="eastAsia" w:cs="Times New Roman" w:asciiTheme="minorEastAsia" w:hAnsiTheme="minorEastAsia"/>
                <w:b/>
                <w:color w:val="000000"/>
                <w:szCs w:val="20"/>
              </w:rPr>
              <w:t>与本项目区相对</w:t>
            </w:r>
            <w:r>
              <w:rPr>
                <w:rFonts w:cs="Times New Roman" w:asciiTheme="minorEastAsia" w:hAnsiTheme="minorEastAsia"/>
                <w:b/>
                <w:color w:val="000000"/>
                <w:szCs w:val="20"/>
              </w:rPr>
              <w:t>方位</w:t>
            </w:r>
            <w:r>
              <w:rPr>
                <w:rFonts w:hint="eastAsia" w:cs="Times New Roman" w:asciiTheme="minorEastAsia" w:hAnsiTheme="minorEastAsia"/>
                <w:b/>
                <w:color w:val="000000"/>
                <w:szCs w:val="20"/>
              </w:rPr>
              <w:t>、</w:t>
            </w:r>
            <w:r>
              <w:rPr>
                <w:rFonts w:cs="Times New Roman" w:asciiTheme="minorEastAsia" w:hAnsiTheme="minorEastAsia"/>
                <w:b/>
                <w:color w:val="000000"/>
                <w:szCs w:val="20"/>
              </w:rPr>
              <w:t>距离</w:t>
            </w:r>
          </w:p>
        </w:tc>
        <w:tc>
          <w:tcPr>
            <w:tcW w:w="2787" w:type="dxa"/>
            <w:vAlign w:val="center"/>
          </w:tcPr>
          <w:p>
            <w:pPr>
              <w:adjustRightInd w:val="0"/>
              <w:snapToGrid w:val="0"/>
              <w:jc w:val="center"/>
              <w:rPr>
                <w:rFonts w:cs="Times New Roman" w:asciiTheme="minorEastAsia" w:hAnsiTheme="minorEastAsia"/>
                <w:b/>
                <w:color w:val="000000"/>
                <w:szCs w:val="20"/>
              </w:rPr>
            </w:pPr>
            <w:r>
              <w:rPr>
                <w:rFonts w:hint="eastAsia" w:cs="Times New Roman" w:asciiTheme="minorEastAsia" w:hAnsiTheme="minorEastAsia"/>
                <w:b/>
                <w:color w:val="000000"/>
                <w:szCs w:val="21"/>
              </w:rPr>
              <w:t>监测因子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76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1#</w:t>
            </w:r>
          </w:p>
        </w:tc>
        <w:tc>
          <w:tcPr>
            <w:tcW w:w="2135"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西平县天顺再生资源有限公司</w:t>
            </w:r>
            <w:r>
              <w:rPr>
                <w:rFonts w:cs="Times New Roman" w:asciiTheme="minorEastAsia" w:hAnsiTheme="minorEastAsia"/>
                <w:color w:val="000000"/>
                <w:szCs w:val="21"/>
              </w:rPr>
              <w:t>厂址</w:t>
            </w:r>
          </w:p>
        </w:tc>
        <w:tc>
          <w:tcPr>
            <w:tcW w:w="3072"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NW</w:t>
            </w:r>
            <w:r>
              <w:rPr>
                <w:rFonts w:hint="eastAsia" w:cs="Times New Roman" w:asciiTheme="minorEastAsia" w:hAnsiTheme="minorEastAsia"/>
                <w:color w:val="000000"/>
                <w:szCs w:val="20"/>
              </w:rPr>
              <w:t>，</w:t>
            </w:r>
            <w:r>
              <w:rPr>
                <w:rFonts w:cs="Times New Roman" w:asciiTheme="minorEastAsia" w:hAnsiTheme="minorEastAsia"/>
                <w:color w:val="000000"/>
                <w:szCs w:val="21"/>
              </w:rPr>
              <w:t>1.18km</w:t>
            </w:r>
          </w:p>
        </w:tc>
        <w:tc>
          <w:tcPr>
            <w:tcW w:w="2787" w:type="dxa"/>
            <w:vMerge w:val="restart"/>
            <w:vAlign w:val="center"/>
          </w:tcPr>
          <w:p>
            <w:pPr>
              <w:adjustRightInd w:val="0"/>
              <w:snapToGrid w:val="0"/>
              <w:jc w:val="center"/>
              <w:rPr>
                <w:rFonts w:cs="Times New Roman" w:asciiTheme="minorEastAsia" w:hAnsiTheme="minorEastAsia"/>
                <w:color w:val="000000"/>
                <w:szCs w:val="20"/>
              </w:rPr>
            </w:pPr>
            <w:r>
              <w:rPr>
                <w:rFonts w:hint="eastAsia" w:cs="Times New Roman" w:asciiTheme="minorEastAsia" w:hAnsiTheme="minorEastAsia"/>
                <w:color w:val="000000"/>
                <w:szCs w:val="20"/>
              </w:rPr>
              <w:t>TSP、</w:t>
            </w:r>
            <w:r>
              <w:rPr>
                <w:rFonts w:cs="Times New Roman" w:asciiTheme="minorEastAsia" w:hAnsiTheme="minorEastAsia"/>
                <w:szCs w:val="21"/>
              </w:rPr>
              <w:t>硫化氢、</w:t>
            </w:r>
            <w:r>
              <w:rPr>
                <w:rFonts w:hint="eastAsia" w:cs="Times New Roman" w:asciiTheme="minorEastAsia" w:hAnsiTheme="minorEastAsia"/>
                <w:szCs w:val="21"/>
              </w:rPr>
              <w:t>氨、</w:t>
            </w:r>
            <w:r>
              <w:rPr>
                <w:rFonts w:cs="Times New Roman" w:asciiTheme="minorEastAsia" w:hAnsiTheme="minorEastAsia"/>
                <w:color w:val="000000"/>
                <w:szCs w:val="21"/>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76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2#</w:t>
            </w:r>
          </w:p>
        </w:tc>
        <w:tc>
          <w:tcPr>
            <w:tcW w:w="2135"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袁庄</w:t>
            </w:r>
          </w:p>
        </w:tc>
        <w:tc>
          <w:tcPr>
            <w:tcW w:w="3072"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SW</w:t>
            </w:r>
            <w:r>
              <w:rPr>
                <w:rFonts w:hint="eastAsia" w:cs="Times New Roman" w:asciiTheme="minorEastAsia" w:hAnsiTheme="minorEastAsia"/>
                <w:color w:val="000000"/>
                <w:szCs w:val="20"/>
              </w:rPr>
              <w:t>，</w:t>
            </w:r>
            <w:r>
              <w:rPr>
                <w:rFonts w:cs="Times New Roman" w:asciiTheme="minorEastAsia" w:hAnsiTheme="minorEastAsia"/>
                <w:color w:val="000000"/>
                <w:szCs w:val="21"/>
              </w:rPr>
              <w:t>9</w:t>
            </w:r>
            <w:r>
              <w:rPr>
                <w:rFonts w:hint="eastAsia" w:cs="Times New Roman" w:asciiTheme="minorEastAsia" w:hAnsiTheme="minorEastAsia"/>
                <w:color w:val="000000"/>
                <w:szCs w:val="21"/>
              </w:rPr>
              <w:t>9</w:t>
            </w:r>
            <w:r>
              <w:rPr>
                <w:rFonts w:cs="Times New Roman" w:asciiTheme="minorEastAsia" w:hAnsiTheme="minorEastAsia"/>
                <w:color w:val="000000"/>
                <w:szCs w:val="21"/>
              </w:rPr>
              <w:t>0m</w:t>
            </w:r>
          </w:p>
        </w:tc>
        <w:tc>
          <w:tcPr>
            <w:tcW w:w="2787" w:type="dxa"/>
            <w:vMerge w:val="continue"/>
            <w:vAlign w:val="center"/>
          </w:tcPr>
          <w:p>
            <w:pPr>
              <w:adjustRightInd w:val="0"/>
              <w:snapToGrid w:val="0"/>
              <w:jc w:val="center"/>
              <w:rPr>
                <w:rFonts w:cs="Times New Roman" w:asciiTheme="minorEastAsia" w:hAnsiTheme="minorEastAsia"/>
                <w:color w:val="000000"/>
                <w:szCs w:val="20"/>
              </w:rPr>
            </w:pPr>
          </w:p>
        </w:tc>
      </w:tr>
    </w:tbl>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（2）</w:t>
      </w:r>
      <w:r>
        <w:rPr>
          <w:rFonts w:cs="Times New Roman" w:asciiTheme="minorEastAsia" w:hAnsiTheme="minorEastAsia"/>
          <w:color w:val="000000"/>
          <w:sz w:val="24"/>
          <w:szCs w:val="24"/>
        </w:rPr>
        <w:t>监测项目及分析方法</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本次评价环境空气质量现状监测因子及分析方法见表4.1-2。</w:t>
      </w:r>
    </w:p>
    <w:p>
      <w:pPr>
        <w:adjustRightInd w:val="0"/>
        <w:snapToGrid w:val="0"/>
        <w:ind w:firstLine="482" w:firstLineChars="200"/>
        <w:jc w:val="center"/>
        <w:rPr>
          <w:rFonts w:cs="Times New Roman" w:asciiTheme="minorEastAsia" w:hAnsiTheme="minorEastAsia"/>
          <w:b/>
          <w:color w:val="000000"/>
          <w:szCs w:val="21"/>
        </w:rPr>
      </w:pPr>
      <w:r>
        <w:rPr>
          <w:rFonts w:cs="Times New Roman" w:asciiTheme="minorEastAsia" w:hAnsiTheme="minorEastAsia"/>
          <w:b/>
          <w:color w:val="000000"/>
          <w:sz w:val="24"/>
          <w:szCs w:val="24"/>
        </w:rPr>
        <w:t>表4.1-2    环境空气现状监测分析方法</w:t>
      </w:r>
    </w:p>
    <w:tbl>
      <w:tblPr>
        <w:tblStyle w:val="27"/>
        <w:tblW w:w="90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1"/>
        <w:gridCol w:w="950"/>
        <w:gridCol w:w="4190"/>
        <w:gridCol w:w="1562"/>
        <w:gridCol w:w="17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0" w:hRule="atLeast"/>
          <w:tblHeader/>
          <w:jc w:val="center"/>
        </w:trPr>
        <w:tc>
          <w:tcPr>
            <w:tcW w:w="52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序号</w:t>
            </w:r>
          </w:p>
        </w:tc>
        <w:tc>
          <w:tcPr>
            <w:tcW w:w="950"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检测</w:t>
            </w:r>
          </w:p>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项目</w:t>
            </w:r>
          </w:p>
        </w:tc>
        <w:tc>
          <w:tcPr>
            <w:tcW w:w="4190"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检测分析方法</w:t>
            </w:r>
          </w:p>
        </w:tc>
        <w:tc>
          <w:tcPr>
            <w:tcW w:w="1562"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检测依据</w:t>
            </w:r>
          </w:p>
        </w:tc>
        <w:tc>
          <w:tcPr>
            <w:tcW w:w="1797"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检出限</w:t>
            </w:r>
          </w:p>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（mg/m</w:t>
            </w:r>
            <w:r>
              <w:rPr>
                <w:rFonts w:cs="Times New Roman" w:asciiTheme="minorEastAsia" w:hAnsiTheme="minorEastAsia"/>
                <w:color w:val="000000"/>
                <w:szCs w:val="20"/>
                <w:vertAlign w:val="superscript"/>
              </w:rPr>
              <w:t>3</w:t>
            </w:r>
            <w:r>
              <w:rPr>
                <w:rFonts w:cs="Times New Roman" w:asciiTheme="minorEastAsia" w:hAnsiTheme="minorEastAsia"/>
                <w:color w:val="000000"/>
                <w:szCs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52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1</w:t>
            </w:r>
          </w:p>
        </w:tc>
        <w:tc>
          <w:tcPr>
            <w:tcW w:w="950"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0"/>
              </w:rPr>
              <w:t>TSP</w:t>
            </w:r>
          </w:p>
        </w:tc>
        <w:tc>
          <w:tcPr>
            <w:tcW w:w="4190"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hint="eastAsia" w:cs="Times New Roman" w:asciiTheme="minorEastAsia" w:hAnsiTheme="minorEastAsia"/>
                <w:kern w:val="0"/>
                <w:szCs w:val="21"/>
                <w:lang w:bidi="ar"/>
              </w:rPr>
              <w:t>《环境空气 总悬浮颗粒物的测定 重量法》</w:t>
            </w:r>
          </w:p>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GB/T 15432-1995</w:t>
            </w:r>
          </w:p>
        </w:tc>
        <w:tc>
          <w:tcPr>
            <w:tcW w:w="1562" w:type="dxa"/>
            <w:vAlign w:val="center"/>
          </w:tcPr>
          <w:p>
            <w:pPr>
              <w:widowControl/>
              <w:adjustRightInd w:val="0"/>
              <w:snapToGrid w:val="0"/>
              <w:jc w:val="center"/>
              <w:textAlignment w:val="center"/>
              <w:rPr>
                <w:rFonts w:cs="Times New Roman" w:asciiTheme="minorEastAsia" w:hAnsiTheme="minorEastAsia"/>
                <w:color w:val="000000"/>
                <w:szCs w:val="21"/>
              </w:rPr>
            </w:pPr>
            <w:r>
              <w:rPr>
                <w:rFonts w:hint="eastAsia" w:cs="Times New Roman" w:asciiTheme="minorEastAsia" w:hAnsiTheme="minorEastAsia"/>
                <w:kern w:val="0"/>
                <w:szCs w:val="21"/>
                <w:lang w:bidi="ar"/>
              </w:rPr>
              <w:t>电子分析天平ES-E120BⅡ</w:t>
            </w:r>
          </w:p>
        </w:tc>
        <w:tc>
          <w:tcPr>
            <w:tcW w:w="1797"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0.001mg/m</w:t>
            </w:r>
            <w:r>
              <w:rPr>
                <w:rFonts w:cs="Times New Roman" w:asciiTheme="minorEastAsia" w:hAnsiTheme="minorEastAsia"/>
                <w:szCs w:val="21"/>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52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2</w:t>
            </w:r>
          </w:p>
        </w:tc>
        <w:tc>
          <w:tcPr>
            <w:tcW w:w="950"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1"/>
              </w:rPr>
              <w:t>非甲烷总烃</w:t>
            </w:r>
          </w:p>
        </w:tc>
        <w:tc>
          <w:tcPr>
            <w:tcW w:w="4190"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 xml:space="preserve">环境空气  </w:t>
            </w:r>
            <w:r>
              <w:rPr>
                <w:rFonts w:cs="Times New Roman" w:asciiTheme="minorEastAsia" w:hAnsiTheme="minorEastAsia"/>
                <w:color w:val="000000"/>
                <w:szCs w:val="21"/>
              </w:rPr>
              <w:t>非甲烷总烃</w:t>
            </w:r>
            <w:r>
              <w:rPr>
                <w:rFonts w:cs="Times New Roman" w:asciiTheme="minorEastAsia" w:hAnsiTheme="minorEastAsia"/>
                <w:color w:val="000000"/>
                <w:szCs w:val="20"/>
              </w:rPr>
              <w:t xml:space="preserve">的测定 </w:t>
            </w:r>
            <w:r>
              <w:rPr>
                <w:rFonts w:cs="Times New Roman" w:asciiTheme="minorEastAsia" w:hAnsiTheme="minorEastAsia"/>
                <w:color w:val="000000"/>
                <w:szCs w:val="21"/>
              </w:rPr>
              <w:t>气相色谱法</w:t>
            </w:r>
          </w:p>
        </w:tc>
        <w:tc>
          <w:tcPr>
            <w:tcW w:w="1562"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 w:val="24"/>
                <w:szCs w:val="20"/>
              </w:rPr>
              <w:t>HJ 604-2017</w:t>
            </w:r>
          </w:p>
        </w:tc>
        <w:tc>
          <w:tcPr>
            <w:tcW w:w="1797"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0.07</w:t>
            </w:r>
            <w:r>
              <w:rPr>
                <w:rFonts w:hint="eastAsia" w:cs="Times New Roman" w:asciiTheme="minorEastAsia" w:hAnsiTheme="minorEastAsia"/>
                <w:color w:val="000000"/>
                <w:szCs w:val="20"/>
              </w:rPr>
              <w:t>mg/m3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521" w:type="dxa"/>
            <w:vAlign w:val="center"/>
          </w:tcPr>
          <w:p>
            <w:pPr>
              <w:adjustRightInd w:val="0"/>
              <w:snapToGrid w:val="0"/>
              <w:jc w:val="center"/>
              <w:rPr>
                <w:rFonts w:cs="Times New Roman" w:asciiTheme="minorEastAsia" w:hAnsiTheme="minorEastAsia"/>
                <w:color w:val="000000"/>
                <w:szCs w:val="20"/>
              </w:rPr>
            </w:pPr>
            <w:r>
              <w:rPr>
                <w:rFonts w:hint="eastAsia" w:cs="Times New Roman" w:asciiTheme="minorEastAsia" w:hAnsiTheme="minorEastAsia"/>
                <w:color w:val="000000"/>
                <w:szCs w:val="20"/>
              </w:rPr>
              <w:t>3</w:t>
            </w:r>
          </w:p>
        </w:tc>
        <w:tc>
          <w:tcPr>
            <w:tcW w:w="950"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硫化氢</w:t>
            </w:r>
          </w:p>
        </w:tc>
        <w:tc>
          <w:tcPr>
            <w:tcW w:w="4190"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空气质量 硫化氢、甲硫醇、甲硫醚和二甲二硫的测定 气相色谱法（A）</w:t>
            </w:r>
          </w:p>
        </w:tc>
        <w:tc>
          <w:tcPr>
            <w:tcW w:w="156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GB/T 14678-93</w:t>
            </w:r>
          </w:p>
        </w:tc>
        <w:tc>
          <w:tcPr>
            <w:tcW w:w="1797" w:type="dxa"/>
            <w:vAlign w:val="center"/>
          </w:tcPr>
          <w:p>
            <w:pPr>
              <w:widowControl/>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0.2×10</w:t>
            </w:r>
            <w:r>
              <w:rPr>
                <w:rFonts w:cs="Times New Roman" w:asciiTheme="minorEastAsia" w:hAnsiTheme="minorEastAsia"/>
                <w:szCs w:val="21"/>
                <w:vertAlign w:val="superscript"/>
              </w:rPr>
              <w:t>-3</w:t>
            </w:r>
            <w:r>
              <w:rPr>
                <w:rFonts w:cs="Times New Roman" w:asciiTheme="minorEastAsia" w:hAnsiTheme="minorEastAsia"/>
                <w:kern w:val="0"/>
                <w:szCs w:val="21"/>
                <w:lang w:bidi="ar"/>
              </w:rPr>
              <w:t>mg/m</w:t>
            </w:r>
            <w:r>
              <w:rPr>
                <w:rFonts w:cs="Times New Roman" w:asciiTheme="minorEastAsia" w:hAnsiTheme="minorEastAsia"/>
                <w:kern w:val="0"/>
                <w:szCs w:val="21"/>
                <w:vertAlign w:val="superscript"/>
                <w:lang w:bidi="ar"/>
              </w:rPr>
              <w:t>3</w:t>
            </w:r>
            <w:r>
              <w:rPr>
                <w:rFonts w:cs="Times New Roman" w:asciiTheme="minorEastAsia" w:hAnsiTheme="minorEastAsia"/>
                <w:szCs w:val="21"/>
              </w:rPr>
              <w:t>~</w:t>
            </w:r>
          </w:p>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szCs w:val="21"/>
              </w:rPr>
              <w:t>1.0×10</w:t>
            </w:r>
            <w:r>
              <w:rPr>
                <w:rFonts w:cs="Times New Roman" w:asciiTheme="minorEastAsia" w:hAnsiTheme="minorEastAsia"/>
                <w:szCs w:val="21"/>
                <w:vertAlign w:val="superscript"/>
              </w:rPr>
              <w:t>-3</w:t>
            </w:r>
            <w:r>
              <w:rPr>
                <w:rFonts w:cs="Times New Roman" w:asciiTheme="minorEastAsia" w:hAnsiTheme="minorEastAsia"/>
                <w:kern w:val="0"/>
                <w:szCs w:val="21"/>
                <w:lang w:bidi="ar"/>
              </w:rPr>
              <w:t>mg/m</w:t>
            </w:r>
            <w:r>
              <w:rPr>
                <w:rFonts w:cs="Times New Roman" w:asciiTheme="minorEastAsia" w:hAnsiTheme="minorEastAsia"/>
                <w:kern w:val="0"/>
                <w:szCs w:val="21"/>
                <w:vertAlign w:val="superscript"/>
                <w:lang w:bidi="ar"/>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521" w:type="dxa"/>
            <w:vAlign w:val="center"/>
          </w:tcPr>
          <w:p>
            <w:pPr>
              <w:adjustRightInd w:val="0"/>
              <w:snapToGrid w:val="0"/>
              <w:jc w:val="center"/>
              <w:rPr>
                <w:rFonts w:cs="Times New Roman" w:asciiTheme="minorEastAsia" w:hAnsiTheme="minorEastAsia"/>
                <w:color w:val="000000"/>
                <w:szCs w:val="20"/>
              </w:rPr>
            </w:pPr>
            <w:r>
              <w:rPr>
                <w:rFonts w:hint="eastAsia" w:cs="Times New Roman" w:asciiTheme="minorEastAsia" w:hAnsiTheme="minorEastAsia"/>
                <w:color w:val="000000"/>
                <w:szCs w:val="20"/>
              </w:rPr>
              <w:t>4</w:t>
            </w:r>
          </w:p>
        </w:tc>
        <w:tc>
          <w:tcPr>
            <w:tcW w:w="950"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氨</w:t>
            </w:r>
          </w:p>
        </w:tc>
        <w:tc>
          <w:tcPr>
            <w:tcW w:w="4190"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color w:val="000000"/>
                <w:szCs w:val="20"/>
              </w:rPr>
              <w:t xml:space="preserve">环境空气  </w:t>
            </w:r>
            <w:r>
              <w:rPr>
                <w:rFonts w:hint="eastAsia" w:cs="Times New Roman" w:asciiTheme="minorEastAsia" w:hAnsiTheme="minorEastAsia"/>
                <w:color w:val="000000"/>
                <w:szCs w:val="21"/>
              </w:rPr>
              <w:t>氨</w:t>
            </w:r>
            <w:r>
              <w:rPr>
                <w:rFonts w:cs="Times New Roman" w:asciiTheme="minorEastAsia" w:hAnsiTheme="minorEastAsia"/>
                <w:color w:val="000000"/>
                <w:szCs w:val="20"/>
              </w:rPr>
              <w:t>的测定</w:t>
            </w:r>
            <w:r>
              <w:rPr>
                <w:rFonts w:hint="eastAsia" w:cs="Times New Roman" w:asciiTheme="minorEastAsia" w:hAnsiTheme="minorEastAsia"/>
                <w:color w:val="000000"/>
                <w:szCs w:val="20"/>
              </w:rPr>
              <w:t xml:space="preserve">   </w:t>
            </w:r>
            <w:r>
              <w:rPr>
                <w:rFonts w:hint="eastAsia" w:cs="Times New Roman" w:asciiTheme="minorEastAsia" w:hAnsiTheme="minorEastAsia"/>
                <w:kern w:val="0"/>
                <w:szCs w:val="21"/>
                <w:lang w:bidi="ar"/>
              </w:rPr>
              <w:t>次氯酸钠-水杨酸分光光度法</w:t>
            </w:r>
          </w:p>
        </w:tc>
        <w:tc>
          <w:tcPr>
            <w:tcW w:w="1562"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 w:val="24"/>
                <w:szCs w:val="20"/>
              </w:rPr>
              <w:t>HJ</w:t>
            </w:r>
            <w:r>
              <w:rPr>
                <w:rFonts w:hint="eastAsia" w:cs="Times New Roman" w:asciiTheme="minorEastAsia" w:hAnsiTheme="minorEastAsia"/>
                <w:color w:val="000000"/>
                <w:sz w:val="24"/>
                <w:szCs w:val="20"/>
              </w:rPr>
              <w:t>534</w:t>
            </w:r>
            <w:r>
              <w:rPr>
                <w:rFonts w:cs="Times New Roman" w:asciiTheme="minorEastAsia" w:hAnsiTheme="minorEastAsia"/>
                <w:color w:val="000000"/>
                <w:sz w:val="24"/>
                <w:szCs w:val="20"/>
              </w:rPr>
              <w:t>-20</w:t>
            </w:r>
            <w:r>
              <w:rPr>
                <w:rFonts w:hint="eastAsia" w:cs="Times New Roman" w:asciiTheme="minorEastAsia" w:hAnsiTheme="minorEastAsia"/>
                <w:color w:val="000000"/>
                <w:sz w:val="24"/>
                <w:szCs w:val="20"/>
              </w:rPr>
              <w:t>09</w:t>
            </w:r>
          </w:p>
        </w:tc>
        <w:tc>
          <w:tcPr>
            <w:tcW w:w="1797" w:type="dxa"/>
            <w:vAlign w:val="center"/>
          </w:tcPr>
          <w:p>
            <w:pPr>
              <w:widowControl/>
              <w:adjustRightInd w:val="0"/>
              <w:snapToGrid w:val="0"/>
              <w:jc w:val="center"/>
              <w:textAlignment w:val="center"/>
              <w:rPr>
                <w:rFonts w:cs="Times New Roman" w:asciiTheme="minorEastAsia" w:hAnsiTheme="minorEastAsia"/>
                <w:szCs w:val="21"/>
              </w:rPr>
            </w:pPr>
            <w:r>
              <w:rPr>
                <w:rFonts w:cs="Times New Roman" w:asciiTheme="minorEastAsia" w:hAnsiTheme="minorEastAsia"/>
                <w:kern w:val="0"/>
                <w:szCs w:val="21"/>
                <w:lang w:bidi="ar"/>
              </w:rPr>
              <w:t>0.001mg/m</w:t>
            </w:r>
            <w:r>
              <w:rPr>
                <w:rFonts w:cs="Times New Roman" w:asciiTheme="minorEastAsia" w:hAnsiTheme="minorEastAsia"/>
                <w:szCs w:val="21"/>
                <w:vertAlign w:val="superscript"/>
                <w:lang w:bidi="ar"/>
              </w:rPr>
              <w:t>3</w:t>
            </w:r>
          </w:p>
        </w:tc>
      </w:tr>
    </w:tbl>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（3）</w:t>
      </w:r>
      <w:r>
        <w:rPr>
          <w:rFonts w:cs="Times New Roman" w:asciiTheme="minorEastAsia" w:hAnsiTheme="minorEastAsia"/>
          <w:color w:val="000000"/>
          <w:sz w:val="24"/>
          <w:szCs w:val="24"/>
        </w:rPr>
        <w:t>监测时间及频率</w:t>
      </w:r>
    </w:p>
    <w:p>
      <w:pPr>
        <w:adjustRightInd w:val="0"/>
        <w:snapToGrid w:val="0"/>
        <w:spacing w:line="360" w:lineRule="auto"/>
        <w:ind w:firstLine="480" w:firstLineChars="200"/>
        <w:rPr>
          <w:rFonts w:cs="Times New Roman" w:asciiTheme="minorEastAsia" w:hAnsiTheme="minorEastAsia"/>
          <w:color w:val="262626" w:themeColor="text1" w:themeTint="D9"/>
          <w:sz w:val="24"/>
          <w:szCs w:val="24"/>
          <w14:textFill>
            <w14:solidFill>
              <w14:schemeClr w14:val="tx1">
                <w14:lumMod w14:val="85000"/>
                <w14:lumOff w14:val="15000"/>
              </w14:schemeClr>
            </w14:solidFill>
          </w14:textFill>
        </w:rPr>
      </w:pPr>
      <w:r>
        <w:rPr>
          <w:rFonts w:hint="eastAsia" w:cs="Times New Roman" w:asciiTheme="minorEastAsia" w:hAnsiTheme="minorEastAsia"/>
          <w:color w:val="000000"/>
          <w:sz w:val="24"/>
          <w:szCs w:val="24"/>
        </w:rPr>
        <w:t>环境空气现状调查监测由</w:t>
      </w:r>
      <w:r>
        <w:rPr>
          <w:rFonts w:cs="Times New Roman" w:asciiTheme="minorEastAsia" w:hAnsiTheme="minorEastAsia"/>
          <w:color w:val="000000"/>
          <w:sz w:val="24"/>
          <w:szCs w:val="24"/>
        </w:rPr>
        <w:t>河南松筠检测技术有限公司于2019年3月3日至3月9日</w:t>
      </w:r>
      <w:r>
        <w:rPr>
          <w:rFonts w:hint="eastAsia" w:cs="Times New Roman" w:asciiTheme="minorEastAsia" w:hAnsiTheme="minorEastAsia"/>
          <w:color w:val="000000"/>
          <w:sz w:val="24"/>
          <w:szCs w:val="24"/>
        </w:rPr>
        <w:t>进行；</w:t>
      </w:r>
      <w:r>
        <w:rPr>
          <w:rFonts w:cs="Times New Roman" w:asciiTheme="minorEastAsia" w:hAnsiTheme="minorEastAsia"/>
          <w:color w:val="262626" w:themeColor="text1" w:themeTint="D9"/>
          <w:sz w:val="24"/>
          <w:szCs w:val="24"/>
          <w14:textFill>
            <w14:solidFill>
              <w14:schemeClr w14:val="tx1">
                <w14:lumMod w14:val="85000"/>
                <w14:lumOff w14:val="15000"/>
              </w14:schemeClr>
            </w14:solidFill>
          </w14:textFill>
        </w:rPr>
        <w:t>监测时间及频率见表4.1-3。</w:t>
      </w:r>
    </w:p>
    <w:p>
      <w:pPr>
        <w:adjustRightInd w:val="0"/>
        <w:snapToGrid w:val="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表4.1-3       环境空气监测频率一览表</w:t>
      </w:r>
    </w:p>
    <w:tbl>
      <w:tblPr>
        <w:tblStyle w:val="2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28" w:type="dxa"/>
          <w:left w:w="108" w:type="dxa"/>
          <w:bottom w:w="28" w:type="dxa"/>
          <w:right w:w="108" w:type="dxa"/>
        </w:tblCellMar>
      </w:tblPr>
      <w:tblGrid>
        <w:gridCol w:w="2319"/>
        <w:gridCol w:w="62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54" w:hRule="atLeast"/>
          <w:jc w:val="center"/>
        </w:trPr>
        <w:tc>
          <w:tcPr>
            <w:tcW w:w="1361" w:type="pc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监测因子</w:t>
            </w:r>
          </w:p>
        </w:tc>
        <w:tc>
          <w:tcPr>
            <w:tcW w:w="3638" w:type="pc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454" w:hRule="atLeast"/>
          <w:jc w:val="center"/>
        </w:trPr>
        <w:tc>
          <w:tcPr>
            <w:tcW w:w="1361" w:type="pc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非甲烷总烃、</w:t>
            </w:r>
            <w:r>
              <w:rPr>
                <w:rFonts w:cs="Times New Roman" w:asciiTheme="minorEastAsia" w:hAnsiTheme="minorEastAsia"/>
                <w:szCs w:val="21"/>
              </w:rPr>
              <w:t>硫化氢</w:t>
            </w:r>
            <w:r>
              <w:rPr>
                <w:rFonts w:hint="eastAsia" w:cs="Times New Roman" w:asciiTheme="minorEastAsia" w:hAnsiTheme="minorEastAsia"/>
                <w:szCs w:val="21"/>
              </w:rPr>
              <w:t>、氨</w:t>
            </w:r>
          </w:p>
        </w:tc>
        <w:tc>
          <w:tcPr>
            <w:tcW w:w="3638" w:type="pc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1小时平均浓度，连续检测</w:t>
            </w:r>
            <w:r>
              <w:rPr>
                <w:rFonts w:hint="eastAsia" w:cs="Times New Roman" w:asciiTheme="minorEastAsia" w:hAnsiTheme="minorEastAsia"/>
                <w:szCs w:val="21"/>
              </w:rPr>
              <w:t>7</w:t>
            </w:r>
            <w:r>
              <w:rPr>
                <w:rFonts w:cs="Times New Roman" w:asciiTheme="minorEastAsia" w:hAnsiTheme="minorEastAsia"/>
                <w:szCs w:val="21"/>
              </w:rPr>
              <w:t>天，每天采样4次，每次至少采样45min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454" w:hRule="atLeast"/>
          <w:jc w:val="center"/>
        </w:trPr>
        <w:tc>
          <w:tcPr>
            <w:tcW w:w="1361" w:type="pct"/>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TSP</w:t>
            </w:r>
          </w:p>
        </w:tc>
        <w:tc>
          <w:tcPr>
            <w:tcW w:w="3638" w:type="pc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24小时平均浓度，连续检测7天，每日至少采样24小时</w:t>
            </w:r>
          </w:p>
        </w:tc>
      </w:tr>
    </w:tbl>
    <w:p>
      <w:pPr>
        <w:adjustRightInd w:val="0"/>
        <w:snapToGrid w:val="0"/>
        <w:spacing w:line="360" w:lineRule="auto"/>
        <w:ind w:firstLine="480" w:firstLineChars="200"/>
        <w:rPr>
          <w:rFonts w:cs="Times New Roman" w:asciiTheme="minorEastAsia" w:hAnsiTheme="minorEastAsia"/>
          <w:color w:val="000000"/>
          <w:sz w:val="24"/>
        </w:rPr>
      </w:pPr>
      <w:r>
        <w:rPr>
          <w:rFonts w:hint="eastAsia" w:cs="Times New Roman" w:asciiTheme="minorEastAsia" w:hAnsiTheme="minorEastAsia"/>
          <w:color w:val="000000"/>
          <w:sz w:val="24"/>
        </w:rPr>
        <w:t>5</w:t>
      </w:r>
      <w:r>
        <w:rPr>
          <w:rFonts w:cs="Times New Roman" w:asciiTheme="minorEastAsia" w:hAnsiTheme="minorEastAsia"/>
          <w:color w:val="000000"/>
          <w:sz w:val="24"/>
        </w:rPr>
        <w:t>、</w:t>
      </w:r>
      <w:r>
        <w:rPr>
          <w:rFonts w:hint="eastAsia" w:cs="Times New Roman" w:asciiTheme="minorEastAsia" w:hAnsiTheme="minorEastAsia"/>
          <w:color w:val="000000"/>
          <w:sz w:val="24"/>
        </w:rPr>
        <w:t>环境空气质量现状评价</w:t>
      </w:r>
      <w:r>
        <w:rPr>
          <w:rFonts w:cs="Times New Roman" w:asciiTheme="minorEastAsia" w:hAnsiTheme="minorEastAsia"/>
          <w:color w:val="000000"/>
          <w:sz w:val="24"/>
        </w:rPr>
        <w:t>结果</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（1）</w:t>
      </w:r>
      <w:r>
        <w:rPr>
          <w:rFonts w:hint="eastAsia" w:cs="Times New Roman" w:asciiTheme="minorEastAsia" w:hAnsiTheme="minorEastAsia"/>
          <w:color w:val="000000"/>
          <w:sz w:val="24"/>
          <w:szCs w:val="24"/>
        </w:rPr>
        <w:t>达标区判定</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根据201</w:t>
      </w:r>
      <w:r>
        <w:rPr>
          <w:rFonts w:hint="eastAsia" w:cs="Times New Roman" w:asciiTheme="minorEastAsia" w:hAnsiTheme="minorEastAsia"/>
          <w:color w:val="000000"/>
          <w:sz w:val="24"/>
          <w:szCs w:val="24"/>
        </w:rPr>
        <w:t>9</w:t>
      </w:r>
      <w:r>
        <w:rPr>
          <w:rFonts w:cs="Times New Roman" w:asciiTheme="minorEastAsia" w:hAnsiTheme="minorEastAsia"/>
          <w:color w:val="000000"/>
          <w:sz w:val="24"/>
          <w:szCs w:val="24"/>
        </w:rPr>
        <w:t>年</w:t>
      </w:r>
      <w:r>
        <w:rPr>
          <w:rFonts w:cs="Times New Roman" w:asciiTheme="minorEastAsia" w:hAnsiTheme="minorEastAsia"/>
          <w:color w:val="000000"/>
          <w:sz w:val="24"/>
        </w:rPr>
        <w:t>西平</w:t>
      </w:r>
      <w:r>
        <w:rPr>
          <w:rFonts w:cs="Times New Roman" w:asciiTheme="minorEastAsia" w:hAnsiTheme="minorEastAsia"/>
          <w:color w:val="000000"/>
          <w:sz w:val="24"/>
          <w:szCs w:val="24"/>
        </w:rPr>
        <w:t>县环境空气监测站点的监测数据，项目所在区域环境空气质量6项基本</w:t>
      </w:r>
      <w:r>
        <w:rPr>
          <w:rFonts w:hint="eastAsia" w:cs="Times New Roman" w:asciiTheme="minorEastAsia" w:hAnsiTheme="minorEastAsia"/>
          <w:color w:val="000000"/>
          <w:sz w:val="24"/>
          <w:szCs w:val="24"/>
        </w:rPr>
        <w:t>污染物监测数据</w:t>
      </w:r>
      <w:r>
        <w:rPr>
          <w:rFonts w:cs="Times New Roman" w:asciiTheme="minorEastAsia" w:hAnsiTheme="minorEastAsia"/>
          <w:color w:val="000000"/>
          <w:sz w:val="24"/>
          <w:szCs w:val="24"/>
        </w:rPr>
        <w:t>统计结果见表4.1-5。</w:t>
      </w:r>
    </w:p>
    <w:p>
      <w:pPr>
        <w:autoSpaceDE w:val="0"/>
        <w:autoSpaceDN w:val="0"/>
        <w:adjustRightInd w:val="0"/>
        <w:snapToGrid w:val="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 xml:space="preserve">表4.1-5    </w:t>
      </w:r>
      <w:r>
        <w:rPr>
          <w:rFonts w:cs="Times New Roman" w:asciiTheme="minorEastAsia" w:hAnsiTheme="minorEastAsia"/>
          <w:b/>
          <w:color w:val="000000"/>
          <w:sz w:val="24"/>
        </w:rPr>
        <w:t>2018年西平县环境空气质量统计结果</w:t>
      </w:r>
      <w:r>
        <w:rPr>
          <w:rFonts w:cs="Times New Roman" w:asciiTheme="minorEastAsia" w:hAnsiTheme="minorEastAsia"/>
          <w:b/>
          <w:color w:val="000000"/>
          <w:sz w:val="24"/>
          <w:szCs w:val="24"/>
        </w:rPr>
        <w:t xml:space="preserve">            </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7"/>
        <w:gridCol w:w="2358"/>
        <w:gridCol w:w="1349"/>
        <w:gridCol w:w="1462"/>
        <w:gridCol w:w="1463"/>
        <w:gridCol w:w="14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污染物</w:t>
            </w:r>
          </w:p>
        </w:tc>
        <w:tc>
          <w:tcPr>
            <w:tcW w:w="2358" w:type="dxa"/>
            <w:vAlign w:val="center"/>
          </w:tcPr>
          <w:p>
            <w:pPr>
              <w:adjustRightInd w:val="0"/>
              <w:snapToGrid w:val="0"/>
              <w:jc w:val="center"/>
              <w:rPr>
                <w:rFonts w:cs="Times New Roman" w:asciiTheme="minorEastAsia" w:hAnsiTheme="minorEastAsia"/>
                <w:color w:val="000000"/>
                <w:sz w:val="24"/>
                <w:szCs w:val="24"/>
              </w:rPr>
            </w:pPr>
            <w:r>
              <w:rPr>
                <w:rFonts w:cs="Times New Roman" w:asciiTheme="minorEastAsia" w:hAnsiTheme="minorEastAsia"/>
                <w:color w:val="000000"/>
                <w:szCs w:val="21"/>
              </w:rPr>
              <w:t>年评价指标</w:t>
            </w:r>
          </w:p>
        </w:tc>
        <w:tc>
          <w:tcPr>
            <w:tcW w:w="134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现状浓度（ug/Nm</w:t>
            </w:r>
            <w:r>
              <w:rPr>
                <w:rFonts w:cs="Times New Roman" w:asciiTheme="minorEastAsia" w:hAnsiTheme="minorEastAsia"/>
                <w:color w:val="000000"/>
                <w:szCs w:val="21"/>
                <w:vertAlign w:val="superscript"/>
              </w:rPr>
              <w:t>3</w:t>
            </w:r>
            <w:r>
              <w:rPr>
                <w:rFonts w:cs="Times New Roman" w:asciiTheme="minorEastAsia" w:hAnsiTheme="minorEastAsia"/>
                <w:color w:val="000000"/>
                <w:szCs w:val="21"/>
              </w:rPr>
              <w:t>）</w:t>
            </w:r>
          </w:p>
        </w:tc>
        <w:tc>
          <w:tcPr>
            <w:tcW w:w="1462"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标准值</w:t>
            </w:r>
            <w:r>
              <w:rPr>
                <w:rFonts w:cs="Times New Roman" w:asciiTheme="minorEastAsia" w:hAnsiTheme="minorEastAsia"/>
                <w:color w:val="000000"/>
                <w:szCs w:val="21"/>
              </w:rPr>
              <w:t>（ug/Nm</w:t>
            </w:r>
            <w:r>
              <w:rPr>
                <w:rFonts w:cs="Times New Roman" w:asciiTheme="minorEastAsia" w:hAnsiTheme="minorEastAsia"/>
                <w:color w:val="000000"/>
                <w:szCs w:val="21"/>
                <w:vertAlign w:val="superscript"/>
              </w:rPr>
              <w:t>3</w:t>
            </w:r>
            <w:r>
              <w:rPr>
                <w:rFonts w:cs="Times New Roman" w:asciiTheme="minorEastAsia" w:hAnsiTheme="minorEastAsia"/>
                <w:color w:val="000000"/>
                <w:szCs w:val="21"/>
              </w:rPr>
              <w:t>）</w:t>
            </w:r>
          </w:p>
        </w:tc>
        <w:tc>
          <w:tcPr>
            <w:tcW w:w="1463"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占标率/%</w:t>
            </w:r>
          </w:p>
        </w:tc>
        <w:tc>
          <w:tcPr>
            <w:tcW w:w="1465"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SO</w:t>
            </w:r>
            <w:r>
              <w:rPr>
                <w:rFonts w:cs="Times New Roman" w:asciiTheme="minorEastAsia" w:hAnsiTheme="minorEastAsia"/>
                <w:color w:val="000000"/>
                <w:szCs w:val="24"/>
                <w:vertAlign w:val="subscript"/>
              </w:rPr>
              <w:t>2</w:t>
            </w:r>
          </w:p>
        </w:tc>
        <w:tc>
          <w:tcPr>
            <w:tcW w:w="2358" w:type="dxa"/>
            <w:vAlign w:val="center"/>
          </w:tcPr>
          <w:p>
            <w:pPr>
              <w:adjustRightInd w:val="0"/>
              <w:snapToGrid w:val="0"/>
              <w:jc w:val="center"/>
              <w:rPr>
                <w:rFonts w:cs="Times New Roman" w:asciiTheme="minorEastAsia" w:hAnsiTheme="minorEastAsia"/>
                <w:color w:val="000000"/>
                <w:sz w:val="24"/>
                <w:szCs w:val="24"/>
              </w:rPr>
            </w:pPr>
            <w:r>
              <w:rPr>
                <w:rFonts w:cs="Times New Roman" w:asciiTheme="minorEastAsia" w:hAnsiTheme="minorEastAsia"/>
                <w:color w:val="000000"/>
                <w:szCs w:val="21"/>
              </w:rPr>
              <w:t>年均浓度值</w:t>
            </w:r>
          </w:p>
        </w:tc>
        <w:tc>
          <w:tcPr>
            <w:tcW w:w="1349"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17</w:t>
            </w:r>
          </w:p>
        </w:tc>
        <w:tc>
          <w:tcPr>
            <w:tcW w:w="1462"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pacing w:val="-10"/>
                <w:szCs w:val="21"/>
              </w:rPr>
              <w:t>60</w:t>
            </w:r>
          </w:p>
        </w:tc>
        <w:tc>
          <w:tcPr>
            <w:tcW w:w="1463" w:type="dxa"/>
            <w:vAlign w:val="center"/>
          </w:tcPr>
          <w:p>
            <w:pPr>
              <w:adjustRightInd w:val="0"/>
              <w:snapToGrid w:val="0"/>
              <w:jc w:val="center"/>
              <w:rPr>
                <w:rFonts w:cs="Times New Roman" w:asciiTheme="minorEastAsia" w:hAnsiTheme="minorEastAsia"/>
                <w:color w:val="000000"/>
                <w:spacing w:val="-10"/>
                <w:szCs w:val="21"/>
              </w:rPr>
            </w:pPr>
            <w:r>
              <w:rPr>
                <w:rFonts w:hint="eastAsia" w:cs="Times New Roman" w:asciiTheme="minorEastAsia" w:hAnsiTheme="minorEastAsia"/>
                <w:color w:val="000000"/>
                <w:spacing w:val="-10"/>
                <w:szCs w:val="21"/>
              </w:rPr>
              <w:t>28.33</w:t>
            </w:r>
          </w:p>
        </w:tc>
        <w:tc>
          <w:tcPr>
            <w:tcW w:w="1465" w:type="dxa"/>
            <w:vAlign w:val="center"/>
          </w:tcPr>
          <w:p>
            <w:pPr>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color w:val="000000"/>
                <w:spacing w:val="-1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NO</w:t>
            </w:r>
            <w:r>
              <w:rPr>
                <w:rFonts w:cs="Times New Roman" w:asciiTheme="minorEastAsia" w:hAnsiTheme="minorEastAsia"/>
                <w:color w:val="000000"/>
                <w:szCs w:val="24"/>
                <w:vertAlign w:val="subscript"/>
              </w:rPr>
              <w:t>2</w:t>
            </w:r>
          </w:p>
        </w:tc>
        <w:tc>
          <w:tcPr>
            <w:tcW w:w="2358" w:type="dxa"/>
            <w:vAlign w:val="center"/>
          </w:tcPr>
          <w:p>
            <w:pPr>
              <w:adjustRightInd w:val="0"/>
              <w:snapToGrid w:val="0"/>
              <w:jc w:val="center"/>
              <w:rPr>
                <w:rFonts w:cs="Times New Roman" w:asciiTheme="minorEastAsia" w:hAnsiTheme="minorEastAsia"/>
                <w:color w:val="000000"/>
                <w:sz w:val="24"/>
                <w:szCs w:val="24"/>
              </w:rPr>
            </w:pPr>
            <w:r>
              <w:rPr>
                <w:rFonts w:cs="Times New Roman" w:asciiTheme="minorEastAsia" w:hAnsiTheme="minorEastAsia"/>
                <w:color w:val="000000"/>
                <w:szCs w:val="21"/>
              </w:rPr>
              <w:t>年均浓度值</w:t>
            </w:r>
          </w:p>
        </w:tc>
        <w:tc>
          <w:tcPr>
            <w:tcW w:w="1349"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30</w:t>
            </w:r>
          </w:p>
        </w:tc>
        <w:tc>
          <w:tcPr>
            <w:tcW w:w="1462"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pacing w:val="-10"/>
                <w:szCs w:val="21"/>
              </w:rPr>
              <w:t>40</w:t>
            </w:r>
          </w:p>
        </w:tc>
        <w:tc>
          <w:tcPr>
            <w:tcW w:w="1463" w:type="dxa"/>
            <w:vAlign w:val="center"/>
          </w:tcPr>
          <w:p>
            <w:pPr>
              <w:adjustRightInd w:val="0"/>
              <w:snapToGrid w:val="0"/>
              <w:jc w:val="center"/>
              <w:rPr>
                <w:rFonts w:cs="Times New Roman" w:asciiTheme="minorEastAsia" w:hAnsiTheme="minorEastAsia"/>
                <w:color w:val="000000"/>
                <w:spacing w:val="-10"/>
                <w:szCs w:val="21"/>
              </w:rPr>
            </w:pPr>
            <w:r>
              <w:rPr>
                <w:rFonts w:hint="eastAsia" w:cs="Times New Roman" w:asciiTheme="minorEastAsia" w:hAnsiTheme="minorEastAsia"/>
                <w:color w:val="000000"/>
                <w:spacing w:val="-10"/>
                <w:szCs w:val="21"/>
              </w:rPr>
              <w:t>0.75</w:t>
            </w:r>
          </w:p>
        </w:tc>
        <w:tc>
          <w:tcPr>
            <w:tcW w:w="1465" w:type="dxa"/>
            <w:vAlign w:val="center"/>
          </w:tcPr>
          <w:p>
            <w:pPr>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color w:val="000000"/>
                <w:spacing w:val="-1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07"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PM</w:t>
            </w:r>
            <w:r>
              <w:rPr>
                <w:rFonts w:cs="Times New Roman" w:asciiTheme="minorEastAsia" w:hAnsiTheme="minorEastAsia"/>
                <w:color w:val="000000"/>
                <w:szCs w:val="24"/>
                <w:vertAlign w:val="subscript"/>
              </w:rPr>
              <w:t>10</w:t>
            </w:r>
          </w:p>
        </w:tc>
        <w:tc>
          <w:tcPr>
            <w:tcW w:w="2358" w:type="dxa"/>
            <w:vAlign w:val="center"/>
          </w:tcPr>
          <w:p>
            <w:pPr>
              <w:adjustRightInd w:val="0"/>
              <w:snapToGrid w:val="0"/>
              <w:jc w:val="center"/>
              <w:rPr>
                <w:rFonts w:cs="Times New Roman" w:asciiTheme="minorEastAsia" w:hAnsiTheme="minorEastAsia"/>
                <w:color w:val="000000"/>
                <w:sz w:val="24"/>
                <w:szCs w:val="24"/>
              </w:rPr>
            </w:pPr>
            <w:r>
              <w:rPr>
                <w:rFonts w:cs="Times New Roman" w:asciiTheme="minorEastAsia" w:hAnsiTheme="minorEastAsia"/>
                <w:color w:val="000000"/>
                <w:szCs w:val="21"/>
              </w:rPr>
              <w:t>年均浓度值</w:t>
            </w:r>
          </w:p>
        </w:tc>
        <w:tc>
          <w:tcPr>
            <w:tcW w:w="1349"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94</w:t>
            </w:r>
          </w:p>
        </w:tc>
        <w:tc>
          <w:tcPr>
            <w:tcW w:w="1462"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pacing w:val="-10"/>
                <w:szCs w:val="21"/>
              </w:rPr>
              <w:t>70</w:t>
            </w:r>
          </w:p>
        </w:tc>
        <w:tc>
          <w:tcPr>
            <w:tcW w:w="1463" w:type="dxa"/>
            <w:vAlign w:val="center"/>
          </w:tcPr>
          <w:p>
            <w:pPr>
              <w:adjustRightInd w:val="0"/>
              <w:snapToGrid w:val="0"/>
              <w:jc w:val="center"/>
              <w:rPr>
                <w:rFonts w:cs="Times New Roman" w:asciiTheme="minorEastAsia" w:hAnsiTheme="minorEastAsia"/>
                <w:color w:val="000000"/>
                <w:spacing w:val="-10"/>
                <w:szCs w:val="21"/>
              </w:rPr>
            </w:pPr>
            <w:r>
              <w:rPr>
                <w:rFonts w:hint="eastAsia" w:cs="Times New Roman" w:asciiTheme="minorEastAsia" w:hAnsiTheme="minorEastAsia"/>
                <w:color w:val="000000"/>
                <w:spacing w:val="-10"/>
                <w:szCs w:val="21"/>
              </w:rPr>
              <w:t>1.34</w:t>
            </w:r>
          </w:p>
        </w:tc>
        <w:tc>
          <w:tcPr>
            <w:tcW w:w="1465" w:type="dxa"/>
            <w:vAlign w:val="center"/>
          </w:tcPr>
          <w:p>
            <w:pPr>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color w:val="000000"/>
                <w:spacing w:val="-10"/>
                <w:szCs w:val="21"/>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PM</w:t>
            </w:r>
            <w:r>
              <w:rPr>
                <w:rFonts w:cs="Times New Roman" w:asciiTheme="minorEastAsia" w:hAnsiTheme="minorEastAsia"/>
                <w:color w:val="000000"/>
                <w:szCs w:val="24"/>
                <w:vertAlign w:val="subscript"/>
              </w:rPr>
              <w:t>2.5</w:t>
            </w:r>
          </w:p>
        </w:tc>
        <w:tc>
          <w:tcPr>
            <w:tcW w:w="2358" w:type="dxa"/>
            <w:vAlign w:val="center"/>
          </w:tcPr>
          <w:p>
            <w:pPr>
              <w:adjustRightInd w:val="0"/>
              <w:snapToGrid w:val="0"/>
              <w:jc w:val="center"/>
              <w:rPr>
                <w:rFonts w:cs="Times New Roman" w:asciiTheme="minorEastAsia" w:hAnsiTheme="minorEastAsia"/>
                <w:color w:val="000000"/>
                <w:sz w:val="24"/>
                <w:szCs w:val="24"/>
              </w:rPr>
            </w:pPr>
            <w:r>
              <w:rPr>
                <w:rFonts w:cs="Times New Roman" w:asciiTheme="minorEastAsia" w:hAnsiTheme="minorEastAsia"/>
                <w:color w:val="000000"/>
                <w:szCs w:val="21"/>
              </w:rPr>
              <w:t>年均浓度值</w:t>
            </w:r>
          </w:p>
        </w:tc>
        <w:tc>
          <w:tcPr>
            <w:tcW w:w="1349"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51</w:t>
            </w:r>
          </w:p>
        </w:tc>
        <w:tc>
          <w:tcPr>
            <w:tcW w:w="1462"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pacing w:val="-10"/>
                <w:szCs w:val="21"/>
              </w:rPr>
              <w:t>35</w:t>
            </w:r>
          </w:p>
        </w:tc>
        <w:tc>
          <w:tcPr>
            <w:tcW w:w="1463" w:type="dxa"/>
            <w:vAlign w:val="center"/>
          </w:tcPr>
          <w:p>
            <w:pPr>
              <w:adjustRightInd w:val="0"/>
              <w:snapToGrid w:val="0"/>
              <w:jc w:val="center"/>
              <w:rPr>
                <w:rFonts w:cs="Times New Roman" w:asciiTheme="minorEastAsia" w:hAnsiTheme="minorEastAsia"/>
                <w:color w:val="000000"/>
                <w:spacing w:val="-10"/>
                <w:szCs w:val="21"/>
              </w:rPr>
            </w:pPr>
            <w:r>
              <w:rPr>
                <w:rFonts w:hint="eastAsia" w:cs="Times New Roman" w:asciiTheme="minorEastAsia" w:hAnsiTheme="minorEastAsia"/>
                <w:color w:val="000000"/>
                <w:spacing w:val="-10"/>
                <w:szCs w:val="21"/>
              </w:rPr>
              <w:t>1.46</w:t>
            </w:r>
          </w:p>
        </w:tc>
        <w:tc>
          <w:tcPr>
            <w:tcW w:w="1465" w:type="dxa"/>
            <w:vAlign w:val="center"/>
          </w:tcPr>
          <w:p>
            <w:pPr>
              <w:adjustRightInd w:val="0"/>
              <w:snapToGrid w:val="0"/>
              <w:jc w:val="center"/>
              <w:rPr>
                <w:rFonts w:cs="Times New Roman" w:asciiTheme="minorEastAsia" w:hAnsiTheme="minorEastAsia"/>
                <w:color w:val="000000"/>
                <w:spacing w:val="-10"/>
                <w:szCs w:val="21"/>
              </w:rPr>
            </w:pPr>
            <w:r>
              <w:rPr>
                <w:rFonts w:cs="Times New Roman" w:asciiTheme="minorEastAsia" w:hAnsiTheme="minorEastAsia"/>
                <w:color w:val="000000"/>
                <w:spacing w:val="-10"/>
                <w:szCs w:val="21"/>
              </w:rPr>
              <w:t>超标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907"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CO</w:t>
            </w:r>
          </w:p>
        </w:tc>
        <w:tc>
          <w:tcPr>
            <w:tcW w:w="2358" w:type="dxa"/>
            <w:vAlign w:val="center"/>
          </w:tcPr>
          <w:p>
            <w:pPr>
              <w:adjustRightInd w:val="0"/>
              <w:snapToGrid w:val="0"/>
              <w:jc w:val="center"/>
              <w:rPr>
                <w:rFonts w:cs="Times New Roman" w:asciiTheme="minorEastAsia" w:hAnsiTheme="minorEastAsia"/>
                <w:color w:val="000000"/>
                <w:sz w:val="24"/>
                <w:szCs w:val="24"/>
              </w:rPr>
            </w:pPr>
            <w:r>
              <w:rPr>
                <w:rFonts w:cs="Times New Roman" w:asciiTheme="minorEastAsia" w:hAnsiTheme="minorEastAsia"/>
                <w:color w:val="000000"/>
                <w:szCs w:val="21"/>
              </w:rPr>
              <w:t>24小时平均第95百分位数对应的日均浓度值</w:t>
            </w:r>
          </w:p>
        </w:tc>
        <w:tc>
          <w:tcPr>
            <w:tcW w:w="1349"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0.6</w:t>
            </w:r>
          </w:p>
        </w:tc>
        <w:tc>
          <w:tcPr>
            <w:tcW w:w="1462"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4</w:t>
            </w:r>
          </w:p>
        </w:tc>
        <w:tc>
          <w:tcPr>
            <w:tcW w:w="1463"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0.15</w:t>
            </w:r>
          </w:p>
        </w:tc>
        <w:tc>
          <w:tcPr>
            <w:tcW w:w="1465"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pacing w:val="-1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8" w:hRule="atLeast"/>
          <w:jc w:val="center"/>
        </w:trPr>
        <w:tc>
          <w:tcPr>
            <w:tcW w:w="907"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O</w:t>
            </w:r>
            <w:r>
              <w:rPr>
                <w:rFonts w:cs="Times New Roman" w:asciiTheme="minorEastAsia" w:hAnsiTheme="minorEastAsia"/>
                <w:color w:val="000000"/>
                <w:szCs w:val="24"/>
                <w:vertAlign w:val="subscript"/>
              </w:rPr>
              <w:t>3</w:t>
            </w:r>
          </w:p>
        </w:tc>
        <w:tc>
          <w:tcPr>
            <w:tcW w:w="2358" w:type="dxa"/>
            <w:vAlign w:val="center"/>
          </w:tcPr>
          <w:p>
            <w:pPr>
              <w:adjustRightInd w:val="0"/>
              <w:snapToGrid w:val="0"/>
              <w:jc w:val="center"/>
              <w:rPr>
                <w:rFonts w:cs="Times New Roman" w:asciiTheme="minorEastAsia" w:hAnsiTheme="minorEastAsia"/>
                <w:color w:val="000000"/>
                <w:sz w:val="24"/>
                <w:szCs w:val="24"/>
              </w:rPr>
            </w:pPr>
            <w:r>
              <w:rPr>
                <w:rFonts w:cs="Times New Roman" w:asciiTheme="minorEastAsia" w:hAnsiTheme="minorEastAsia"/>
                <w:color w:val="000000"/>
                <w:szCs w:val="21"/>
              </w:rPr>
              <w:t>日最大8小时滑动平均值第90百分位数对应的日均浓度值</w:t>
            </w:r>
          </w:p>
        </w:tc>
        <w:tc>
          <w:tcPr>
            <w:tcW w:w="1349"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118</w:t>
            </w:r>
          </w:p>
        </w:tc>
        <w:tc>
          <w:tcPr>
            <w:tcW w:w="1462" w:type="dxa"/>
            <w:vAlign w:val="center"/>
          </w:tcPr>
          <w:p>
            <w:pPr>
              <w:adjustRightInd w:val="0"/>
              <w:snapToGrid w:val="0"/>
              <w:jc w:val="center"/>
              <w:rPr>
                <w:rFonts w:cs="Times New Roman" w:asciiTheme="minorEastAsia" w:hAnsiTheme="minorEastAsia"/>
                <w:color w:val="000000"/>
                <w:szCs w:val="24"/>
              </w:rPr>
            </w:pPr>
            <w:r>
              <w:rPr>
                <w:rFonts w:cs="Times New Roman" w:asciiTheme="minorEastAsia" w:hAnsiTheme="minorEastAsia"/>
                <w:color w:val="000000"/>
                <w:szCs w:val="24"/>
              </w:rPr>
              <w:t>160</w:t>
            </w:r>
          </w:p>
        </w:tc>
        <w:tc>
          <w:tcPr>
            <w:tcW w:w="1463"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zCs w:val="24"/>
              </w:rPr>
              <w:t>0.74</w:t>
            </w:r>
          </w:p>
        </w:tc>
        <w:tc>
          <w:tcPr>
            <w:tcW w:w="1465" w:type="dxa"/>
            <w:vAlign w:val="center"/>
          </w:tcPr>
          <w:p>
            <w:pPr>
              <w:adjustRightInd w:val="0"/>
              <w:snapToGrid w:val="0"/>
              <w:jc w:val="center"/>
              <w:rPr>
                <w:rFonts w:cs="Times New Roman" w:asciiTheme="minorEastAsia" w:hAnsiTheme="minorEastAsia"/>
                <w:color w:val="000000"/>
                <w:szCs w:val="24"/>
              </w:rPr>
            </w:pPr>
            <w:r>
              <w:rPr>
                <w:rFonts w:hint="eastAsia" w:cs="Times New Roman" w:asciiTheme="minorEastAsia" w:hAnsiTheme="minorEastAsia"/>
                <w:color w:val="000000"/>
                <w:spacing w:val="-10"/>
                <w:szCs w:val="21"/>
              </w:rPr>
              <w:t>达标</w:t>
            </w:r>
          </w:p>
        </w:tc>
      </w:tr>
    </w:tbl>
    <w:p>
      <w:pPr>
        <w:widowControl/>
        <w:adjustRightInd w:val="0"/>
        <w:snapToGrid w:val="0"/>
        <w:spacing w:before="156" w:beforeLines="50" w:line="360" w:lineRule="auto"/>
        <w:ind w:firstLine="480" w:firstLineChars="200"/>
        <w:rPr>
          <w:rFonts w:cs="Times New Roman" w:asciiTheme="minorEastAsia" w:hAnsiTheme="minorEastAsia"/>
          <w:b/>
          <w:bCs/>
          <w:color w:val="000000"/>
          <w:kern w:val="0"/>
          <w:sz w:val="24"/>
          <w:szCs w:val="24"/>
        </w:rPr>
      </w:pPr>
      <w:r>
        <w:rPr>
          <w:rFonts w:cs="Times New Roman" w:asciiTheme="minorEastAsia" w:hAnsiTheme="minorEastAsia"/>
          <w:color w:val="000000"/>
          <w:sz w:val="24"/>
          <w:szCs w:val="24"/>
        </w:rPr>
        <w:t>由表</w:t>
      </w:r>
      <w:r>
        <w:rPr>
          <w:rFonts w:cs="Times New Roman" w:asciiTheme="minorEastAsia" w:hAnsiTheme="minorEastAsia"/>
          <w:color w:val="000000"/>
          <w:sz w:val="24"/>
          <w:szCs w:val="21"/>
        </w:rPr>
        <w:t>4.1</w:t>
      </w:r>
      <w:r>
        <w:rPr>
          <w:rFonts w:cs="Times New Roman" w:asciiTheme="minorEastAsia" w:hAnsiTheme="minorEastAsia"/>
          <w:color w:val="000000"/>
          <w:sz w:val="24"/>
          <w:szCs w:val="24"/>
        </w:rPr>
        <w:t>-5可知，201</w:t>
      </w:r>
      <w:r>
        <w:rPr>
          <w:rFonts w:hint="eastAsia" w:cs="Times New Roman" w:asciiTheme="minorEastAsia" w:hAnsiTheme="minorEastAsia"/>
          <w:color w:val="000000"/>
          <w:sz w:val="24"/>
          <w:szCs w:val="24"/>
        </w:rPr>
        <w:t>9</w:t>
      </w:r>
      <w:r>
        <w:rPr>
          <w:rFonts w:cs="Times New Roman" w:asciiTheme="minorEastAsia" w:hAnsiTheme="minorEastAsia"/>
          <w:color w:val="000000"/>
          <w:sz w:val="24"/>
          <w:szCs w:val="24"/>
        </w:rPr>
        <w:t>年西平县环境空气质量6项基本因子中，SO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年平均浓度值、NO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年平均浓度值、CO 24小时平均第95百分位数对应的日均浓度值均可满足《环境空气质量标准》（GB3095-2012）中的二级标准要求；PM</w:t>
      </w:r>
      <w:r>
        <w:rPr>
          <w:rFonts w:cs="Times New Roman" w:asciiTheme="minorEastAsia" w:hAnsiTheme="minorEastAsia"/>
          <w:color w:val="000000"/>
          <w:sz w:val="24"/>
          <w:szCs w:val="24"/>
          <w:vertAlign w:val="subscript"/>
        </w:rPr>
        <w:t>2.5</w:t>
      </w:r>
      <w:r>
        <w:rPr>
          <w:rFonts w:cs="Times New Roman" w:asciiTheme="minorEastAsia" w:hAnsiTheme="minorEastAsia"/>
          <w:color w:val="000000"/>
          <w:sz w:val="24"/>
          <w:szCs w:val="24"/>
        </w:rPr>
        <w:t>年平均浓度值、PM</w:t>
      </w:r>
      <w:r>
        <w:rPr>
          <w:rFonts w:cs="Times New Roman" w:asciiTheme="minorEastAsia" w:hAnsiTheme="minorEastAsia"/>
          <w:color w:val="000000"/>
          <w:sz w:val="24"/>
          <w:szCs w:val="24"/>
          <w:vertAlign w:val="subscript"/>
        </w:rPr>
        <w:t>10</w:t>
      </w:r>
      <w:r>
        <w:rPr>
          <w:rFonts w:cs="Times New Roman" w:asciiTheme="minorEastAsia" w:hAnsiTheme="minorEastAsia"/>
          <w:color w:val="000000"/>
          <w:sz w:val="24"/>
          <w:szCs w:val="24"/>
        </w:rPr>
        <w:t>年平均浓度值、O</w:t>
      </w:r>
      <w:r>
        <w:rPr>
          <w:rFonts w:cs="Times New Roman" w:asciiTheme="minorEastAsia" w:hAnsiTheme="minorEastAsia"/>
          <w:color w:val="000000"/>
          <w:sz w:val="24"/>
          <w:szCs w:val="24"/>
          <w:vertAlign w:val="subscript"/>
        </w:rPr>
        <w:t>3</w:t>
      </w:r>
      <w:r>
        <w:rPr>
          <w:rFonts w:cs="Times New Roman" w:asciiTheme="minorEastAsia" w:hAnsiTheme="minorEastAsia"/>
          <w:color w:val="000000"/>
          <w:sz w:val="24"/>
          <w:szCs w:val="24"/>
        </w:rPr>
        <w:t>日最大8小时滑动平均值第90百分位数对应的日均浓度值不能满足《环境空气质量标准》（GB3095-2012）中的二级标准要求。因此，项目区域环境空气质量判定为不达标区。</w:t>
      </w:r>
    </w:p>
    <w:p>
      <w:pPr>
        <w:widowControl/>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（2）</w:t>
      </w:r>
      <w:r>
        <w:rPr>
          <w:rFonts w:hint="eastAsia" w:cs="Times New Roman" w:asciiTheme="minorEastAsia" w:hAnsiTheme="minorEastAsia"/>
          <w:color w:val="000000"/>
          <w:sz w:val="24"/>
          <w:szCs w:val="24"/>
        </w:rPr>
        <w:t>特征污染物调查监测数据统计结果与分析</w:t>
      </w:r>
    </w:p>
    <w:p>
      <w:pPr>
        <w:widowControl/>
        <w:adjustRightInd w:val="0"/>
        <w:snapToGrid w:val="0"/>
        <w:spacing w:line="360" w:lineRule="auto"/>
        <w:ind w:firstLine="480" w:firstLineChars="200"/>
        <w:rPr>
          <w:rFonts w:cs="Times New Roman" w:asciiTheme="minorEastAsia" w:hAnsiTheme="minorEastAsia"/>
          <w:b/>
          <w:bCs/>
          <w:color w:val="000000"/>
          <w:kern w:val="0"/>
          <w:sz w:val="24"/>
          <w:szCs w:val="24"/>
        </w:rPr>
      </w:pPr>
      <w:r>
        <w:rPr>
          <w:rFonts w:cs="Times New Roman" w:asciiTheme="minorEastAsia" w:hAnsiTheme="minorEastAsia"/>
          <w:color w:val="000000"/>
          <w:sz w:val="24"/>
          <w:szCs w:val="24"/>
        </w:rPr>
        <w:t>项目所在区域环境空气</w:t>
      </w:r>
      <w:r>
        <w:rPr>
          <w:rFonts w:hint="eastAsia" w:cs="Times New Roman" w:asciiTheme="minorEastAsia" w:hAnsiTheme="minorEastAsia"/>
          <w:color w:val="000000"/>
          <w:sz w:val="24"/>
          <w:szCs w:val="24"/>
        </w:rPr>
        <w:t>TSP、</w:t>
      </w:r>
      <w:r>
        <w:rPr>
          <w:rFonts w:cs="Times New Roman" w:asciiTheme="minorEastAsia" w:hAnsiTheme="minorEastAsia"/>
          <w:color w:val="000000"/>
          <w:sz w:val="24"/>
          <w:szCs w:val="24"/>
        </w:rPr>
        <w:t>非甲烷总烃及硫化氢现状监测统计结果见表</w:t>
      </w:r>
      <w:r>
        <w:rPr>
          <w:rFonts w:cs="Times New Roman" w:asciiTheme="minorEastAsia" w:hAnsiTheme="minorEastAsia"/>
          <w:color w:val="000000"/>
          <w:sz w:val="24"/>
          <w:szCs w:val="21"/>
        </w:rPr>
        <w:t>4.1</w:t>
      </w:r>
      <w:r>
        <w:rPr>
          <w:rFonts w:cs="Times New Roman" w:asciiTheme="minorEastAsia" w:hAnsiTheme="minorEastAsia"/>
          <w:color w:val="000000"/>
          <w:sz w:val="24"/>
          <w:szCs w:val="24"/>
        </w:rPr>
        <w:t>-6，监测报告见附件6。</w:t>
      </w:r>
    </w:p>
    <w:p>
      <w:pPr>
        <w:widowControl/>
        <w:adjustRightInd w:val="0"/>
        <w:snapToGrid w:val="0"/>
        <w:jc w:val="center"/>
        <w:rPr>
          <w:rFonts w:cs="Times New Roman" w:asciiTheme="minorEastAsia" w:hAnsiTheme="minorEastAsia"/>
          <w:b/>
          <w:bCs/>
          <w:color w:val="000000"/>
          <w:sz w:val="24"/>
          <w:szCs w:val="24"/>
        </w:rPr>
      </w:pPr>
      <w:r>
        <w:rPr>
          <w:rFonts w:cs="Times New Roman" w:asciiTheme="minorEastAsia" w:hAnsiTheme="minorEastAsia"/>
          <w:b/>
          <w:color w:val="000000"/>
          <w:sz w:val="24"/>
          <w:szCs w:val="24"/>
        </w:rPr>
        <w:t>表4.1-6      非甲烷总烃及硫化氢小时均值监测统计结果一览表</w:t>
      </w:r>
    </w:p>
    <w:tbl>
      <w:tblPr>
        <w:tblStyle w:val="27"/>
        <w:tblW w:w="9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8"/>
        <w:gridCol w:w="1329"/>
        <w:gridCol w:w="2329"/>
        <w:gridCol w:w="1462"/>
        <w:gridCol w:w="1462"/>
        <w:gridCol w:w="14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958"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污染物</w:t>
            </w: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监测点位</w:t>
            </w:r>
          </w:p>
        </w:tc>
        <w:tc>
          <w:tcPr>
            <w:tcW w:w="2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浓度范围（mg/m</w:t>
            </w:r>
            <w:r>
              <w:rPr>
                <w:rFonts w:cs="Times New Roman" w:asciiTheme="minorEastAsia" w:hAnsiTheme="minorEastAsia"/>
                <w:bCs/>
                <w:color w:val="000000"/>
                <w:szCs w:val="21"/>
                <w:vertAlign w:val="superscript"/>
              </w:rPr>
              <w:t>3</w:t>
            </w:r>
            <w:r>
              <w:rPr>
                <w:rFonts w:cs="Times New Roman" w:asciiTheme="minorEastAsia" w:hAnsiTheme="minorEastAsia"/>
                <w:bCs/>
                <w:color w:val="000000"/>
                <w:szCs w:val="21"/>
              </w:rPr>
              <w:t>）</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标准值</w:t>
            </w:r>
          </w:p>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（mg/m</w:t>
            </w:r>
            <w:r>
              <w:rPr>
                <w:rFonts w:cs="Times New Roman" w:asciiTheme="minorEastAsia" w:hAnsiTheme="minorEastAsia"/>
                <w:bCs/>
                <w:color w:val="000000"/>
                <w:szCs w:val="21"/>
                <w:vertAlign w:val="superscript"/>
              </w:rPr>
              <w:t>3</w:t>
            </w:r>
            <w:r>
              <w:rPr>
                <w:rFonts w:cs="Times New Roman" w:asciiTheme="minorEastAsia" w:hAnsiTheme="minorEastAsia"/>
                <w:bCs/>
                <w:color w:val="000000"/>
                <w:szCs w:val="21"/>
              </w:rPr>
              <w:t>）</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标准指数</w:t>
            </w:r>
          </w:p>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范围</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超标率（%）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restart"/>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pacing w:val="-10"/>
                <w:szCs w:val="21"/>
              </w:rPr>
              <w:t>非甲烷总烃</w:t>
            </w: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1#点位</w:t>
            </w:r>
          </w:p>
        </w:tc>
        <w:tc>
          <w:tcPr>
            <w:tcW w:w="2329" w:type="dxa"/>
            <w:vAlign w:val="center"/>
          </w:tcPr>
          <w:p>
            <w:pPr>
              <w:adjustRightInd w:val="0"/>
              <w:snapToGrid w:val="0"/>
              <w:jc w:val="center"/>
              <w:rPr>
                <w:rFonts w:cs="Times New Roman" w:asciiTheme="minorEastAsia" w:hAnsiTheme="minorEastAsia"/>
                <w:bCs/>
                <w:color w:val="000000"/>
                <w:szCs w:val="21"/>
                <w:highlight w:val="green"/>
              </w:rPr>
            </w:pPr>
            <w:r>
              <w:rPr>
                <w:rFonts w:cs="Times New Roman" w:asciiTheme="minorEastAsia" w:hAnsiTheme="minorEastAsia"/>
                <w:bCs/>
                <w:color w:val="000000"/>
                <w:szCs w:val="21"/>
              </w:rPr>
              <w:t>0.40~0.55</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2.0</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0.20</w:t>
            </w:r>
            <w:r>
              <w:rPr>
                <w:rFonts w:hint="eastAsia" w:cs="Times New Roman" w:asciiTheme="minorEastAsia" w:hAnsiTheme="minorEastAsia"/>
                <w:bCs/>
                <w:color w:val="000000"/>
                <w:szCs w:val="21"/>
              </w:rPr>
              <w:t>0</w:t>
            </w:r>
            <w:r>
              <w:rPr>
                <w:rFonts w:cs="Times New Roman" w:asciiTheme="minorEastAsia" w:hAnsiTheme="minorEastAsia"/>
                <w:bCs/>
                <w:color w:val="000000"/>
                <w:szCs w:val="21"/>
              </w:rPr>
              <w:t>~0.275</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continue"/>
            <w:vAlign w:val="center"/>
          </w:tcPr>
          <w:p>
            <w:pPr>
              <w:widowControl/>
              <w:adjustRightInd w:val="0"/>
              <w:snapToGrid w:val="0"/>
              <w:jc w:val="center"/>
              <w:rPr>
                <w:rFonts w:cs="Times New Roman" w:asciiTheme="minorEastAsia" w:hAnsiTheme="minorEastAsia"/>
                <w:bCs/>
                <w:color w:val="000000"/>
                <w:szCs w:val="21"/>
              </w:rPr>
            </w:pP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2#点位</w:t>
            </w:r>
          </w:p>
        </w:tc>
        <w:tc>
          <w:tcPr>
            <w:tcW w:w="2329" w:type="dxa"/>
            <w:vAlign w:val="center"/>
          </w:tcPr>
          <w:p>
            <w:pPr>
              <w:adjustRightInd w:val="0"/>
              <w:snapToGrid w:val="0"/>
              <w:jc w:val="center"/>
              <w:rPr>
                <w:rFonts w:cs="Times New Roman" w:asciiTheme="minorEastAsia" w:hAnsiTheme="minorEastAsia"/>
                <w:bCs/>
                <w:color w:val="000000"/>
                <w:szCs w:val="21"/>
                <w:highlight w:val="green"/>
              </w:rPr>
            </w:pPr>
            <w:r>
              <w:rPr>
                <w:rFonts w:cs="Times New Roman" w:asciiTheme="minorEastAsia" w:hAnsiTheme="minorEastAsia"/>
                <w:bCs/>
                <w:color w:val="000000"/>
                <w:szCs w:val="21"/>
              </w:rPr>
              <w:t>0.38~0.55</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2.0</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0.19</w:t>
            </w:r>
            <w:r>
              <w:rPr>
                <w:rFonts w:hint="eastAsia" w:cs="Times New Roman" w:asciiTheme="minorEastAsia" w:hAnsiTheme="minorEastAsia"/>
                <w:bCs/>
                <w:color w:val="000000"/>
                <w:szCs w:val="21"/>
              </w:rPr>
              <w:t>0</w:t>
            </w:r>
            <w:r>
              <w:rPr>
                <w:rFonts w:cs="Times New Roman" w:asciiTheme="minorEastAsia" w:hAnsiTheme="minorEastAsia"/>
                <w:bCs/>
                <w:color w:val="000000"/>
                <w:szCs w:val="21"/>
              </w:rPr>
              <w:t>~0.275</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restart"/>
            <w:vAlign w:val="center"/>
          </w:tcPr>
          <w:p>
            <w:pPr>
              <w:widowControl/>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氨</w:t>
            </w: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1#点位</w:t>
            </w:r>
          </w:p>
        </w:tc>
        <w:tc>
          <w:tcPr>
            <w:tcW w:w="2329" w:type="dxa"/>
            <w:vAlign w:val="center"/>
          </w:tcPr>
          <w:p>
            <w:pPr>
              <w:adjustRightInd w:val="0"/>
              <w:snapToGrid w:val="0"/>
              <w:jc w:val="center"/>
              <w:rPr>
                <w:rFonts w:cs="Times New Roman" w:asciiTheme="minorEastAsia" w:hAnsiTheme="minorEastAsia"/>
                <w:bCs/>
                <w:color w:val="000000"/>
                <w:szCs w:val="21"/>
                <w:highlight w:val="green"/>
              </w:rPr>
            </w:pPr>
            <w:r>
              <w:rPr>
                <w:rFonts w:hint="eastAsia" w:cs="Times New Roman" w:asciiTheme="minorEastAsia" w:hAnsiTheme="minorEastAsia"/>
                <w:bCs/>
                <w:color w:val="000000"/>
                <w:szCs w:val="21"/>
              </w:rPr>
              <w:t>未检出</w:t>
            </w:r>
            <w:r>
              <w:rPr>
                <w:rFonts w:cs="Times New Roman" w:asciiTheme="minorEastAsia" w:hAnsiTheme="minorEastAsia"/>
                <w:bCs/>
                <w:color w:val="000000"/>
                <w:szCs w:val="21"/>
              </w:rPr>
              <w:t>~0.</w:t>
            </w:r>
            <w:r>
              <w:rPr>
                <w:rFonts w:hint="eastAsia" w:cs="Times New Roman" w:asciiTheme="minorEastAsia" w:hAnsiTheme="minorEastAsia"/>
                <w:bCs/>
                <w:color w:val="000000"/>
                <w:szCs w:val="21"/>
              </w:rPr>
              <w:t>009</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0.2</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w:t>
            </w:r>
            <w:r>
              <w:rPr>
                <w:rFonts w:cs="Times New Roman" w:asciiTheme="minorEastAsia" w:hAnsiTheme="minorEastAsia"/>
                <w:bCs/>
                <w:color w:val="000000"/>
                <w:szCs w:val="21"/>
              </w:rPr>
              <w:t>~0.</w:t>
            </w:r>
            <w:r>
              <w:rPr>
                <w:rFonts w:hint="eastAsia" w:cs="Times New Roman" w:asciiTheme="minorEastAsia" w:hAnsiTheme="minorEastAsia"/>
                <w:bCs/>
                <w:color w:val="000000"/>
                <w:szCs w:val="21"/>
              </w:rPr>
              <w:t>045</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continue"/>
            <w:vAlign w:val="center"/>
          </w:tcPr>
          <w:p>
            <w:pPr>
              <w:widowControl/>
              <w:adjustRightInd w:val="0"/>
              <w:snapToGrid w:val="0"/>
              <w:jc w:val="center"/>
              <w:rPr>
                <w:rFonts w:cs="Times New Roman" w:asciiTheme="minorEastAsia" w:hAnsiTheme="minorEastAsia"/>
                <w:bCs/>
                <w:color w:val="000000"/>
                <w:szCs w:val="21"/>
              </w:rPr>
            </w:pP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2#点位</w:t>
            </w:r>
          </w:p>
        </w:tc>
        <w:tc>
          <w:tcPr>
            <w:tcW w:w="2329" w:type="dxa"/>
            <w:vAlign w:val="center"/>
          </w:tcPr>
          <w:p>
            <w:pPr>
              <w:adjustRightInd w:val="0"/>
              <w:snapToGrid w:val="0"/>
              <w:jc w:val="center"/>
              <w:rPr>
                <w:rFonts w:cs="Times New Roman" w:asciiTheme="minorEastAsia" w:hAnsiTheme="minorEastAsia"/>
                <w:bCs/>
                <w:color w:val="000000"/>
                <w:szCs w:val="21"/>
                <w:highlight w:val="green"/>
              </w:rPr>
            </w:pPr>
            <w:r>
              <w:rPr>
                <w:rFonts w:hint="eastAsia" w:cs="Times New Roman" w:asciiTheme="minorEastAsia" w:hAnsiTheme="minorEastAsia"/>
                <w:bCs/>
                <w:color w:val="000000"/>
                <w:szCs w:val="21"/>
              </w:rPr>
              <w:t>未检出</w:t>
            </w:r>
            <w:r>
              <w:rPr>
                <w:rFonts w:cs="Times New Roman" w:asciiTheme="minorEastAsia" w:hAnsiTheme="minorEastAsia"/>
                <w:bCs/>
                <w:color w:val="000000"/>
                <w:szCs w:val="21"/>
              </w:rPr>
              <w:t>~0.55</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0.2</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w:t>
            </w:r>
            <w:r>
              <w:rPr>
                <w:rFonts w:cs="Times New Roman" w:asciiTheme="minorEastAsia" w:hAnsiTheme="minorEastAsia"/>
                <w:bCs/>
                <w:color w:val="000000"/>
                <w:szCs w:val="21"/>
              </w:rPr>
              <w:t>~0.</w:t>
            </w:r>
            <w:r>
              <w:rPr>
                <w:rFonts w:hint="eastAsia" w:cs="Times New Roman" w:asciiTheme="minorEastAsia" w:hAnsiTheme="minorEastAsia"/>
                <w:bCs/>
                <w:color w:val="000000"/>
                <w:szCs w:val="21"/>
              </w:rPr>
              <w:t>045</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restart"/>
            <w:vAlign w:val="center"/>
          </w:tcPr>
          <w:p>
            <w:pPr>
              <w:widowControl/>
              <w:adjustRightInd w:val="0"/>
              <w:snapToGrid w:val="0"/>
              <w:jc w:val="center"/>
              <w:rPr>
                <w:rFonts w:cs="Times New Roman" w:asciiTheme="minorEastAsia" w:hAnsiTheme="minorEastAsia"/>
                <w:szCs w:val="21"/>
              </w:rPr>
            </w:pPr>
            <w:r>
              <w:rPr>
                <w:rFonts w:cs="Times New Roman" w:asciiTheme="minorEastAsia" w:hAnsiTheme="minorEastAsia"/>
                <w:szCs w:val="21"/>
              </w:rPr>
              <w:t>硫化氢</w:t>
            </w: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1#点位</w:t>
            </w:r>
          </w:p>
        </w:tc>
        <w:tc>
          <w:tcPr>
            <w:tcW w:w="2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未检出</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0.01</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continue"/>
            <w:vAlign w:val="center"/>
          </w:tcPr>
          <w:p>
            <w:pPr>
              <w:widowControl/>
              <w:adjustRightInd w:val="0"/>
              <w:snapToGrid w:val="0"/>
              <w:jc w:val="center"/>
              <w:rPr>
                <w:rFonts w:cs="Times New Roman" w:asciiTheme="minorEastAsia" w:hAnsiTheme="minorEastAsia"/>
                <w:szCs w:val="21"/>
              </w:rPr>
            </w:pP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2#点位</w:t>
            </w:r>
          </w:p>
        </w:tc>
        <w:tc>
          <w:tcPr>
            <w:tcW w:w="2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未检出</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0.01</w:t>
            </w:r>
          </w:p>
        </w:tc>
        <w:tc>
          <w:tcPr>
            <w:tcW w:w="1462"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restart"/>
            <w:vAlign w:val="center"/>
          </w:tcPr>
          <w:p>
            <w:pPr>
              <w:widowControl/>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TSP</w:t>
            </w: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1#点位</w:t>
            </w:r>
          </w:p>
        </w:tc>
        <w:tc>
          <w:tcPr>
            <w:tcW w:w="2329"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0.162~0.173</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0.3</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0.540~0.577</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58" w:type="dxa"/>
            <w:vMerge w:val="continue"/>
            <w:vAlign w:val="center"/>
          </w:tcPr>
          <w:p>
            <w:pPr>
              <w:widowControl/>
              <w:adjustRightInd w:val="0"/>
              <w:snapToGrid w:val="0"/>
              <w:jc w:val="center"/>
              <w:rPr>
                <w:rFonts w:cs="Times New Roman" w:asciiTheme="minorEastAsia" w:hAnsiTheme="minorEastAsia"/>
                <w:szCs w:val="21"/>
              </w:rPr>
            </w:pPr>
          </w:p>
        </w:tc>
        <w:tc>
          <w:tcPr>
            <w:tcW w:w="1329"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2#点位</w:t>
            </w:r>
          </w:p>
        </w:tc>
        <w:tc>
          <w:tcPr>
            <w:tcW w:w="2329"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0.161~0.177</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0.3</w:t>
            </w:r>
          </w:p>
        </w:tc>
        <w:tc>
          <w:tcPr>
            <w:tcW w:w="1462" w:type="dxa"/>
            <w:vAlign w:val="center"/>
          </w:tcPr>
          <w:p>
            <w:pPr>
              <w:adjustRightInd w:val="0"/>
              <w:snapToGrid w:val="0"/>
              <w:jc w:val="center"/>
              <w:rPr>
                <w:rFonts w:cs="Times New Roman" w:asciiTheme="minorEastAsia" w:hAnsiTheme="minorEastAsia"/>
                <w:bCs/>
                <w:color w:val="000000"/>
                <w:szCs w:val="21"/>
              </w:rPr>
            </w:pPr>
            <w:r>
              <w:rPr>
                <w:rFonts w:hint="eastAsia" w:cs="Times New Roman" w:asciiTheme="minorEastAsia" w:hAnsiTheme="minorEastAsia"/>
                <w:bCs/>
                <w:color w:val="000000"/>
                <w:szCs w:val="21"/>
              </w:rPr>
              <w:t>0.537~0.590</w:t>
            </w:r>
          </w:p>
        </w:tc>
        <w:tc>
          <w:tcPr>
            <w:tcW w:w="1464"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w:t>
            </w:r>
          </w:p>
        </w:tc>
      </w:tr>
    </w:tbl>
    <w:p>
      <w:pPr>
        <w:adjustRightInd w:val="0"/>
        <w:snapToGrid w:val="0"/>
        <w:spacing w:before="156" w:beforeLines="50" w:line="360" w:lineRule="auto"/>
        <w:ind w:firstLine="480" w:firstLineChars="200"/>
        <w:rPr>
          <w:rFonts w:cs="Times New Roman" w:asciiTheme="minorEastAsia" w:hAnsiTheme="minorEastAsia"/>
          <w:sz w:val="24"/>
          <w:szCs w:val="24"/>
        </w:rPr>
      </w:pPr>
      <w:r>
        <w:rPr>
          <w:rFonts w:cs="Times New Roman" w:asciiTheme="minorEastAsia" w:hAnsiTheme="minorEastAsia"/>
          <w:color w:val="000000"/>
          <w:sz w:val="24"/>
          <w:szCs w:val="24"/>
        </w:rPr>
        <w:t>由表4.1-6可知，项目厂址所在区域内2个监测点处</w:t>
      </w:r>
      <w:r>
        <w:rPr>
          <w:rFonts w:hint="eastAsia" w:cs="Times New Roman" w:asciiTheme="minorEastAsia" w:hAnsiTheme="minorEastAsia"/>
          <w:color w:val="000000"/>
          <w:sz w:val="24"/>
          <w:szCs w:val="24"/>
        </w:rPr>
        <w:t>TSP</w:t>
      </w:r>
      <w:r>
        <w:rPr>
          <w:rFonts w:cs="Times New Roman" w:asciiTheme="minorEastAsia" w:hAnsiTheme="minorEastAsia"/>
          <w:color w:val="000000"/>
          <w:sz w:val="24"/>
          <w:szCs w:val="24"/>
        </w:rPr>
        <w:t>日均浓度值均可满足《环境空气质量标准》（GB3095-2012）中的二级标准要求</w:t>
      </w:r>
      <w:r>
        <w:rPr>
          <w:rFonts w:hint="eastAsia" w:cs="Times New Roman" w:asciiTheme="minorEastAsia" w:hAnsiTheme="minorEastAsia"/>
          <w:color w:val="000000"/>
          <w:sz w:val="24"/>
          <w:szCs w:val="24"/>
        </w:rPr>
        <w:t>；</w:t>
      </w:r>
      <w:r>
        <w:rPr>
          <w:rFonts w:cs="Times New Roman" w:asciiTheme="minorEastAsia" w:hAnsiTheme="minorEastAsia"/>
          <w:color w:val="000000"/>
          <w:sz w:val="24"/>
          <w:szCs w:val="24"/>
        </w:rPr>
        <w:t>非甲烷总烃小时均值均能满足</w:t>
      </w:r>
      <w:r>
        <w:rPr>
          <w:rFonts w:cs="Times New Roman" w:asciiTheme="minorEastAsia" w:hAnsiTheme="minorEastAsia"/>
          <w:sz w:val="24"/>
          <w:szCs w:val="24"/>
        </w:rPr>
        <w:t>《大气污染物综合排放标准详解》中环境空气质量标准</w:t>
      </w:r>
      <w:r>
        <w:rPr>
          <w:rFonts w:hint="eastAsia" w:cs="Times New Roman" w:asciiTheme="minorEastAsia" w:hAnsiTheme="minorEastAsia"/>
          <w:sz w:val="24"/>
          <w:szCs w:val="24"/>
        </w:rPr>
        <w:t>；</w:t>
      </w:r>
      <w:r>
        <w:rPr>
          <w:rFonts w:hint="eastAsia" w:cs="Times New Roman" w:asciiTheme="minorEastAsia" w:hAnsiTheme="minorEastAsia"/>
          <w:color w:val="000000"/>
          <w:sz w:val="24"/>
          <w:szCs w:val="24"/>
        </w:rPr>
        <w:t>氨</w:t>
      </w:r>
      <w:r>
        <w:rPr>
          <w:rFonts w:cs="Times New Roman" w:asciiTheme="minorEastAsia" w:hAnsiTheme="minorEastAsia"/>
          <w:color w:val="000000"/>
          <w:sz w:val="24"/>
          <w:szCs w:val="24"/>
        </w:rPr>
        <w:t>小时均值均能满足</w:t>
      </w:r>
      <w:r>
        <w:rPr>
          <w:rFonts w:hint="eastAsia" w:cs="Times New Roman" w:asciiTheme="minorEastAsia" w:hAnsiTheme="minorEastAsia"/>
          <w:color w:val="000000"/>
          <w:sz w:val="24"/>
          <w:szCs w:val="24"/>
        </w:rPr>
        <w:t>《环境影响评价技术导则大气环境》附录D</w:t>
      </w:r>
      <w:r>
        <w:rPr>
          <w:rFonts w:hint="eastAsia" w:cs="Times New Roman" w:asciiTheme="minorEastAsia" w:hAnsiTheme="minorEastAsia"/>
          <w:sz w:val="24"/>
          <w:szCs w:val="24"/>
        </w:rPr>
        <w:t>参考浓度限值</w:t>
      </w:r>
      <w:r>
        <w:rPr>
          <w:rFonts w:hint="eastAsia" w:cs="Times New Roman" w:asciiTheme="minorEastAsia" w:hAnsiTheme="minorEastAsia"/>
          <w:color w:val="000000"/>
          <w:sz w:val="24"/>
          <w:szCs w:val="24"/>
        </w:rPr>
        <w:t>；</w:t>
      </w:r>
      <w:r>
        <w:rPr>
          <w:rFonts w:cs="Times New Roman" w:asciiTheme="minorEastAsia" w:hAnsiTheme="minorEastAsia"/>
          <w:sz w:val="24"/>
          <w:szCs w:val="24"/>
        </w:rPr>
        <w:t>2个监测点位处</w:t>
      </w:r>
      <w:r>
        <w:rPr>
          <w:rFonts w:cs="Times New Roman" w:asciiTheme="minorEastAsia" w:hAnsiTheme="minorEastAsia"/>
          <w:color w:val="000000"/>
          <w:sz w:val="24"/>
          <w:szCs w:val="24"/>
        </w:rPr>
        <w:t>硫化氢监测结果为：未检出。故项目所在区域环境空气中</w:t>
      </w:r>
      <w:r>
        <w:rPr>
          <w:rFonts w:hint="eastAsia" w:cs="Times New Roman" w:asciiTheme="minorEastAsia" w:hAnsiTheme="minorEastAsia"/>
          <w:color w:val="000000"/>
          <w:sz w:val="24"/>
          <w:szCs w:val="24"/>
        </w:rPr>
        <w:t>TSP、</w:t>
      </w:r>
      <w:r>
        <w:rPr>
          <w:rFonts w:cs="Times New Roman" w:asciiTheme="minorEastAsia" w:hAnsiTheme="minorEastAsia"/>
          <w:color w:val="000000"/>
          <w:sz w:val="24"/>
          <w:szCs w:val="24"/>
        </w:rPr>
        <w:t>非甲烷总烃及硫化氢</w:t>
      </w:r>
      <w:r>
        <w:rPr>
          <w:rFonts w:hint="eastAsia" w:cs="Times New Roman" w:asciiTheme="minorEastAsia" w:hAnsiTheme="minorEastAsia"/>
          <w:color w:val="000000"/>
          <w:sz w:val="24"/>
          <w:szCs w:val="24"/>
        </w:rPr>
        <w:t>、氨</w:t>
      </w:r>
      <w:r>
        <w:rPr>
          <w:rFonts w:cs="Times New Roman" w:asciiTheme="minorEastAsia" w:hAnsiTheme="minorEastAsia"/>
          <w:color w:val="000000"/>
          <w:sz w:val="24"/>
          <w:szCs w:val="24"/>
        </w:rPr>
        <w:t>现状浓度值能够达标</w:t>
      </w:r>
      <w:r>
        <w:rPr>
          <w:rFonts w:cs="Times New Roman" w:asciiTheme="minorEastAsia" w:hAnsiTheme="minorEastAsia"/>
          <w:sz w:val="24"/>
          <w:szCs w:val="24"/>
        </w:rPr>
        <w:t>。</w:t>
      </w:r>
    </w:p>
    <w:p>
      <w:pPr>
        <w:keepNext/>
        <w:keepLines/>
        <w:adjustRightInd w:val="0"/>
        <w:snapToGrid w:val="0"/>
        <w:spacing w:before="156" w:beforeLines="50" w:line="360" w:lineRule="auto"/>
        <w:outlineLvl w:val="1"/>
        <w:rPr>
          <w:rFonts w:cs="Times New Roman" w:asciiTheme="minorEastAsia" w:hAnsiTheme="minorEastAsia"/>
          <w:b/>
          <w:sz w:val="28"/>
          <w:szCs w:val="24"/>
        </w:rPr>
      </w:pPr>
      <w:bookmarkStart w:id="59" w:name="_Toc7484"/>
      <w:r>
        <w:rPr>
          <w:rFonts w:cs="Times New Roman" w:asciiTheme="minorEastAsia" w:hAnsiTheme="minorEastAsia"/>
          <w:b/>
          <w:sz w:val="28"/>
          <w:szCs w:val="24"/>
        </w:rPr>
        <w:t>4.2 地表水</w:t>
      </w:r>
      <w:r>
        <w:rPr>
          <w:rFonts w:hint="eastAsia" w:cs="Times New Roman" w:asciiTheme="minorEastAsia" w:hAnsiTheme="minorEastAsia"/>
          <w:b/>
          <w:sz w:val="28"/>
          <w:szCs w:val="24"/>
        </w:rPr>
        <w:t>环境</w:t>
      </w:r>
      <w:r>
        <w:rPr>
          <w:rFonts w:cs="Times New Roman" w:asciiTheme="minorEastAsia" w:hAnsiTheme="minorEastAsia"/>
          <w:b/>
          <w:sz w:val="28"/>
          <w:szCs w:val="24"/>
        </w:rPr>
        <w:t>质量现状评价</w:t>
      </w:r>
      <w:bookmarkEnd w:id="59"/>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sz w:val="24"/>
          <w:szCs w:val="24"/>
        </w:rPr>
        <w:t>本项目裂解含油废水含油量大，废水量较小，将其雾化处理后喷入裂解炉燃烧室燃烧处理，不外排。</w:t>
      </w:r>
      <w:r>
        <w:rPr>
          <w:rFonts w:hint="eastAsia" w:cs="Times New Roman" w:asciiTheme="minorEastAsia" w:hAnsiTheme="minorEastAsia"/>
          <w:sz w:val="24"/>
          <w:szCs w:val="24"/>
        </w:rPr>
        <w:t>油水分离器产生</w:t>
      </w:r>
      <w:r>
        <w:rPr>
          <w:rFonts w:hint="eastAsia" w:cs="Times New Roman" w:asciiTheme="minorEastAsia" w:hAnsiTheme="minorEastAsia"/>
          <w:color w:val="000000"/>
          <w:kern w:val="0"/>
          <w:sz w:val="24"/>
          <w:szCs w:val="24"/>
          <w:lang w:bidi="ar"/>
        </w:rPr>
        <w:t>含油</w:t>
      </w:r>
      <w:r>
        <w:rPr>
          <w:rFonts w:cs="Times New Roman" w:asciiTheme="minorEastAsia" w:hAnsiTheme="minorEastAsia"/>
          <w:color w:val="000000"/>
          <w:kern w:val="0"/>
          <w:sz w:val="24"/>
          <w:szCs w:val="24"/>
          <w:lang w:bidi="ar"/>
        </w:rPr>
        <w:t>废水和职工生活废水分别经隔油池</w:t>
      </w:r>
      <w:r>
        <w:rPr>
          <w:rFonts w:hint="eastAsia" w:cs="Times New Roman" w:asciiTheme="minorEastAsia" w:hAnsiTheme="minorEastAsia"/>
          <w:color w:val="000000"/>
          <w:kern w:val="0"/>
          <w:sz w:val="24"/>
          <w:szCs w:val="24"/>
          <w:lang w:bidi="ar"/>
        </w:rPr>
        <w:t>、隔油化粪池</w:t>
      </w:r>
      <w:r>
        <w:rPr>
          <w:rFonts w:cs="Times New Roman" w:asciiTheme="minorEastAsia" w:hAnsiTheme="minorEastAsia"/>
          <w:color w:val="000000"/>
          <w:kern w:val="0"/>
          <w:sz w:val="24"/>
          <w:szCs w:val="24"/>
          <w:lang w:bidi="ar"/>
        </w:rPr>
        <w:t>预处理后，</w:t>
      </w:r>
      <w:r>
        <w:rPr>
          <w:rFonts w:hint="eastAsia" w:cs="Times New Roman" w:asciiTheme="minorEastAsia" w:hAnsiTheme="minorEastAsia"/>
          <w:sz w:val="24"/>
          <w:szCs w:val="24"/>
        </w:rPr>
        <w:t>进入</w:t>
      </w:r>
      <w:r>
        <w:rPr>
          <w:rFonts w:cs="Times New Roman" w:asciiTheme="minorEastAsia" w:hAnsiTheme="minorEastAsia"/>
          <w:sz w:val="24"/>
          <w:szCs w:val="24"/>
        </w:rPr>
        <w:t>厂区</w:t>
      </w:r>
      <w:r>
        <w:rPr>
          <w:rFonts w:hint="eastAsia" w:cs="Times New Roman" w:asciiTheme="minorEastAsia" w:hAnsiTheme="minorEastAsia"/>
          <w:sz w:val="24"/>
          <w:szCs w:val="24"/>
        </w:rPr>
        <w:t>一体化污水处理设施处理后，</w:t>
      </w:r>
      <w:r>
        <w:rPr>
          <w:rFonts w:cs="Times New Roman" w:asciiTheme="minorEastAsia" w:hAnsiTheme="minorEastAsia"/>
          <w:sz w:val="24"/>
          <w:szCs w:val="24"/>
        </w:rPr>
        <w:t>排入西平县</w:t>
      </w:r>
      <w:r>
        <w:rPr>
          <w:rFonts w:hint="eastAsia" w:cs="Times New Roman" w:asciiTheme="minorEastAsia" w:hAnsiTheme="minorEastAsia"/>
          <w:sz w:val="24"/>
          <w:szCs w:val="24"/>
        </w:rPr>
        <w:t>第三</w:t>
      </w:r>
      <w:r>
        <w:rPr>
          <w:rFonts w:cs="Times New Roman" w:asciiTheme="minorEastAsia" w:hAnsiTheme="minorEastAsia"/>
          <w:sz w:val="24"/>
          <w:szCs w:val="24"/>
        </w:rPr>
        <w:t>污水处理厂进一步处理</w:t>
      </w:r>
      <w:r>
        <w:rPr>
          <w:rFonts w:cs="Times New Roman" w:asciiTheme="minorEastAsia" w:hAnsiTheme="minorEastAsia"/>
          <w:color w:val="000000"/>
          <w:sz w:val="24"/>
          <w:szCs w:val="24"/>
        </w:rPr>
        <w:t>达标后排入红澍河。根据现场勘查，距本项目厂址最近的下游监测断面为红澍河-上蔡陈桥断面，根据</w:t>
      </w:r>
      <w:r>
        <w:rPr>
          <w:rFonts w:cs="Times New Roman" w:asciiTheme="minorEastAsia" w:hAnsiTheme="minorEastAsia"/>
          <w:color w:val="000000"/>
          <w:spacing w:val="10"/>
          <w:kern w:val="0"/>
          <w:sz w:val="24"/>
          <w:szCs w:val="24"/>
          <w:lang w:bidi="ar"/>
        </w:rPr>
        <w:t>驻马店市</w:t>
      </w:r>
      <w:r>
        <w:rPr>
          <w:rFonts w:cs="Times New Roman" w:asciiTheme="minorEastAsia" w:hAnsiTheme="minorEastAsia"/>
          <w:color w:val="000000"/>
          <w:sz w:val="24"/>
          <w:szCs w:val="24"/>
          <w:lang w:bidi="ar"/>
        </w:rPr>
        <w:t>辖淮河流域</w:t>
      </w:r>
      <w:r>
        <w:rPr>
          <w:rFonts w:cs="Times New Roman" w:asciiTheme="minorEastAsia" w:hAnsiTheme="minorEastAsia"/>
          <w:color w:val="000000"/>
          <w:spacing w:val="10"/>
          <w:kern w:val="0"/>
          <w:sz w:val="24"/>
          <w:szCs w:val="24"/>
          <w:lang w:bidi="ar"/>
        </w:rPr>
        <w:t>水污染防治攻坚战实施方案（2017~2019年）要求，2019年</w:t>
      </w:r>
      <w:r>
        <w:rPr>
          <w:rFonts w:cs="Times New Roman" w:asciiTheme="minorEastAsia" w:hAnsiTheme="minorEastAsia"/>
          <w:color w:val="000000"/>
          <w:sz w:val="24"/>
          <w:szCs w:val="24"/>
        </w:rPr>
        <w:t>红澍河-上蔡陈桥断面需达到《地表水环境质量标准》（GB3838-2002）</w:t>
      </w:r>
      <w:r>
        <w:rPr>
          <w:rFonts w:hint="eastAsia" w:cs="宋体" w:asciiTheme="minorEastAsia" w:hAnsiTheme="minorEastAsia"/>
          <w:color w:val="000000"/>
          <w:sz w:val="24"/>
          <w:szCs w:val="24"/>
        </w:rPr>
        <w:t>Ⅲ</w:t>
      </w:r>
      <w:r>
        <w:rPr>
          <w:rFonts w:cs="Times New Roman" w:asciiTheme="minorEastAsia" w:hAnsiTheme="minorEastAsia"/>
          <w:color w:val="000000"/>
          <w:sz w:val="24"/>
          <w:szCs w:val="24"/>
        </w:rPr>
        <w:t>类标准限值。</w:t>
      </w:r>
    </w:p>
    <w:p>
      <w:pPr>
        <w:adjustRightInd w:val="0"/>
        <w:snapToGrid w:val="0"/>
        <w:spacing w:line="360" w:lineRule="auto"/>
        <w:ind w:firstLine="480" w:firstLineChars="200"/>
        <w:contextualSpacing/>
        <w:rPr>
          <w:rFonts w:cs="Times New Roman" w:asciiTheme="minorEastAsia" w:hAnsiTheme="minorEastAsia"/>
          <w:color w:val="000000"/>
          <w:sz w:val="24"/>
          <w:szCs w:val="24"/>
        </w:rPr>
      </w:pPr>
      <w:r>
        <w:rPr>
          <w:rFonts w:cs="Times New Roman" w:asciiTheme="minorEastAsia" w:hAnsiTheme="minorEastAsia"/>
          <w:color w:val="000000"/>
          <w:sz w:val="24"/>
          <w:szCs w:val="24"/>
        </w:rPr>
        <w:t>1、评价因子</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本次地表水现状评价选取化学需氧量、氨氮、总磷等作为评价因子。</w:t>
      </w:r>
    </w:p>
    <w:p>
      <w:pPr>
        <w:adjustRightInd w:val="0"/>
        <w:snapToGrid w:val="0"/>
        <w:spacing w:line="360" w:lineRule="auto"/>
        <w:ind w:firstLine="480" w:firstLineChars="200"/>
        <w:rPr>
          <w:rFonts w:cs="Times New Roman" w:asciiTheme="minorEastAsia" w:hAnsiTheme="minorEastAsia"/>
          <w:b/>
          <w:bCs/>
          <w:color w:val="000000"/>
          <w:sz w:val="24"/>
          <w:szCs w:val="24"/>
        </w:rPr>
      </w:pPr>
      <w:r>
        <w:rPr>
          <w:rFonts w:cs="Times New Roman" w:asciiTheme="minorEastAsia" w:hAnsiTheme="minorEastAsia"/>
          <w:color w:val="000000"/>
          <w:sz w:val="24"/>
          <w:szCs w:val="24"/>
        </w:rPr>
        <w:t>2、监测断面布设</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本次地表水现状评价选取</w:t>
      </w:r>
      <w:r>
        <w:rPr>
          <w:rFonts w:hint="eastAsia" w:cs="Times New Roman" w:asciiTheme="minorEastAsia" w:hAnsiTheme="minorEastAsia"/>
          <w:color w:val="000000"/>
          <w:sz w:val="24"/>
          <w:szCs w:val="24"/>
        </w:rPr>
        <w:t>红澍河-上蔡陈桥断面</w:t>
      </w:r>
      <w:r>
        <w:rPr>
          <w:rFonts w:cs="Times New Roman" w:asciiTheme="minorEastAsia" w:hAnsiTheme="minorEastAsia"/>
          <w:color w:val="000000"/>
          <w:sz w:val="24"/>
          <w:szCs w:val="24"/>
        </w:rPr>
        <w:t>。</w:t>
      </w:r>
    </w:p>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3、评价方法</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根据地表水环境质量现状监测结果，采用单因子污染指数法对地表水质量现状进行评价。单因子污染指数公式为：</w:t>
      </w:r>
    </w:p>
    <w:p>
      <w:pPr>
        <w:adjustRightInd w:val="0"/>
        <w:snapToGrid w:val="0"/>
        <w:spacing w:line="360" w:lineRule="auto"/>
        <w:ind w:firstLine="3600" w:firstLineChars="1500"/>
        <w:rPr>
          <w:rFonts w:cs="Times New Roman" w:asciiTheme="minorEastAsia" w:hAnsiTheme="minorEastAsia"/>
          <w:color w:val="000000"/>
          <w:sz w:val="24"/>
          <w:szCs w:val="24"/>
        </w:rPr>
      </w:pP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ij</w:t>
      </w: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ij</w:t>
      </w: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si</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式中，</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ij</w:t>
      </w:r>
      <w:r>
        <w:rPr>
          <w:rFonts w:cs="Times New Roman" w:asciiTheme="minorEastAsia" w:hAnsiTheme="minorEastAsia"/>
          <w:color w:val="000000"/>
          <w:sz w:val="24"/>
          <w:szCs w:val="24"/>
        </w:rPr>
        <w:t>——污染物i在第j点标准指数；</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ij</w:t>
      </w:r>
      <w:r>
        <w:rPr>
          <w:rFonts w:cs="Times New Roman" w:asciiTheme="minorEastAsia" w:hAnsiTheme="minorEastAsia"/>
          <w:color w:val="000000"/>
          <w:sz w:val="24"/>
          <w:szCs w:val="24"/>
        </w:rPr>
        <w:t>——污染物i在第j点的浓度（mg/L）；</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si</w:t>
      </w:r>
      <w:r>
        <w:rPr>
          <w:rFonts w:cs="Times New Roman" w:asciiTheme="minorEastAsia" w:hAnsiTheme="minorEastAsia"/>
          <w:color w:val="000000"/>
          <w:sz w:val="24"/>
          <w:szCs w:val="24"/>
        </w:rPr>
        <w:t>——水质参数i的地表水水质标准（mg/L）。</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pH值的标准指数：</w:t>
      </w:r>
    </w:p>
    <w:p>
      <w:pPr>
        <w:adjustRightInd w:val="0"/>
        <w:snapToGrid w:val="0"/>
        <w:spacing w:line="360" w:lineRule="auto"/>
        <w:ind w:firstLine="1680" w:firstLineChars="700"/>
        <w:rPr>
          <w:rFonts w:cs="Times New Roman" w:asciiTheme="minorEastAsia" w:hAnsiTheme="minorEastAsia"/>
          <w:color w:val="000000"/>
          <w:sz w:val="24"/>
          <w:szCs w:val="24"/>
        </w:rPr>
      </w:pPr>
      <w:r>
        <w:rPr>
          <w:rFonts w:cs="Times New Roman" w:asciiTheme="minorEastAsia" w:hAnsiTheme="minorEastAsia"/>
          <w:color w:val="000000"/>
          <w:sz w:val="24"/>
          <w:szCs w:val="24"/>
        </w:rPr>
        <w:t xml:space="preserve">      </w:t>
      </w:r>
      <w:r>
        <w:rPr>
          <w:rFonts w:cs="Times New Roman" w:asciiTheme="minorEastAsia" w:hAnsiTheme="minorEastAsia"/>
          <w:color w:val="000000"/>
          <w:position w:val="-66"/>
          <w:sz w:val="24"/>
          <w:szCs w:val="24"/>
        </w:rPr>
        <w:object>
          <v:shape id="_x0000_i1025" o:spt="75" type="#_x0000_t75" style="height:72.75pt;width:159pt;" o:ole="t" filled="f" o:preferrelative="t" stroked="f" coordsize="21600,21600">
            <v:path/>
            <v:fill on="f" focussize="0,0"/>
            <v:stroke on="f" joinstyle="miter"/>
            <v:imagedata r:id="rId38" o:title=""/>
            <o:lock v:ext="edit" aspectratio="t"/>
            <w10:wrap type="none"/>
            <w10:anchorlock/>
          </v:shape>
          <o:OLEObject Type="Embed" ProgID="Equation.3" ShapeID="_x0000_i1025" DrawAspect="Content" ObjectID="_1468075725" r:id="rId37">
            <o:LockedField>false</o:LockedField>
          </o:OLEObject>
        </w:objec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式中，</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pH,j</w:t>
      </w:r>
      <w:r>
        <w:rPr>
          <w:rFonts w:cs="Times New Roman" w:asciiTheme="minorEastAsia" w:hAnsiTheme="minorEastAsia"/>
          <w:color w:val="000000"/>
          <w:sz w:val="24"/>
          <w:szCs w:val="24"/>
        </w:rPr>
        <w:t>——pH值在第j点的标准指数；</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w:t>
      </w:r>
      <w:r>
        <w:rPr>
          <w:rFonts w:cs="Times New Roman" w:asciiTheme="minorEastAsia" w:hAnsiTheme="minorEastAsia"/>
          <w:color w:val="000000"/>
          <w:sz w:val="24"/>
          <w:szCs w:val="24"/>
          <w:vertAlign w:val="subscript"/>
        </w:rPr>
        <w:t>j</w:t>
      </w:r>
      <w:r>
        <w:rPr>
          <w:rFonts w:cs="Times New Roman" w:asciiTheme="minorEastAsia" w:hAnsiTheme="minorEastAsia"/>
          <w:color w:val="000000"/>
          <w:sz w:val="24"/>
          <w:szCs w:val="24"/>
        </w:rPr>
        <w:t>——j点的pH值；</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w:t>
      </w:r>
      <w:r>
        <w:rPr>
          <w:rFonts w:cs="Times New Roman" w:asciiTheme="minorEastAsia" w:hAnsiTheme="minorEastAsia"/>
          <w:color w:val="000000"/>
          <w:sz w:val="24"/>
          <w:szCs w:val="24"/>
          <w:vertAlign w:val="subscript"/>
        </w:rPr>
        <w:t>sd</w:t>
      </w:r>
      <w:r>
        <w:rPr>
          <w:rFonts w:cs="Times New Roman" w:asciiTheme="minorEastAsia" w:hAnsiTheme="minorEastAsia"/>
          <w:color w:val="000000"/>
          <w:sz w:val="24"/>
          <w:szCs w:val="24"/>
        </w:rPr>
        <w:t>——地表水水质标准中规定的pH值下限；</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w:t>
      </w:r>
      <w:r>
        <w:rPr>
          <w:rFonts w:cs="Times New Roman" w:asciiTheme="minorEastAsia" w:hAnsiTheme="minorEastAsia"/>
          <w:color w:val="000000"/>
          <w:sz w:val="24"/>
          <w:szCs w:val="24"/>
          <w:vertAlign w:val="subscript"/>
        </w:rPr>
        <w:t>su</w:t>
      </w:r>
      <w:r>
        <w:rPr>
          <w:rFonts w:cs="Times New Roman" w:asciiTheme="minorEastAsia" w:hAnsiTheme="minorEastAsia"/>
          <w:color w:val="000000"/>
          <w:sz w:val="24"/>
          <w:szCs w:val="24"/>
        </w:rPr>
        <w:t>——地表水水质标准中规定的pH值上限。</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4、评价标准</w:t>
      </w:r>
      <w:r>
        <w:rPr>
          <w:rFonts w:cs="Times New Roman" w:asciiTheme="minorEastAsia" w:hAnsiTheme="minorEastAsia"/>
          <w:b/>
          <w:bCs/>
          <w:color w:val="000000"/>
          <w:sz w:val="24"/>
          <w:szCs w:val="24"/>
        </w:rPr>
        <w:t xml:space="preserve"> </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本次地表水评价执行《地表水环境质量标准》（GB3838-2002）</w:t>
      </w:r>
      <w:r>
        <w:rPr>
          <w:rFonts w:hint="eastAsia" w:cs="宋体" w:asciiTheme="minorEastAsia" w:hAnsiTheme="minorEastAsia"/>
          <w:color w:val="000000"/>
          <w:sz w:val="24"/>
          <w:szCs w:val="24"/>
        </w:rPr>
        <w:t>Ⅲ</w:t>
      </w:r>
      <w:r>
        <w:rPr>
          <w:rFonts w:cs="Times New Roman" w:asciiTheme="minorEastAsia" w:hAnsiTheme="minorEastAsia"/>
          <w:color w:val="000000"/>
          <w:sz w:val="24"/>
          <w:szCs w:val="24"/>
        </w:rPr>
        <w:t>类标准。具体情况详见表4.2-1。</w:t>
      </w:r>
    </w:p>
    <w:p>
      <w:pPr>
        <w:adjustRightInd w:val="0"/>
        <w:snapToGrid w:val="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表4.2-1      地表水环境评价标准</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1704"/>
        <w:gridCol w:w="1326"/>
        <w:gridCol w:w="1481"/>
        <w:gridCol w:w="1729"/>
        <w:gridCol w:w="11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586"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标准名称</w:t>
            </w:r>
          </w:p>
        </w:tc>
        <w:tc>
          <w:tcPr>
            <w:tcW w:w="1704"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标准号</w:t>
            </w:r>
          </w:p>
        </w:tc>
        <w:tc>
          <w:tcPr>
            <w:tcW w:w="1326"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执行标准</w:t>
            </w:r>
          </w:p>
        </w:tc>
        <w:tc>
          <w:tcPr>
            <w:tcW w:w="1481"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项目</w:t>
            </w:r>
          </w:p>
        </w:tc>
        <w:tc>
          <w:tcPr>
            <w:tcW w:w="2907" w:type="dxa"/>
            <w:gridSpan w:val="2"/>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586" w:type="dxa"/>
            <w:vMerge w:val="continue"/>
            <w:vAlign w:val="center"/>
          </w:tcPr>
          <w:p>
            <w:pPr>
              <w:adjustRightInd w:val="0"/>
              <w:snapToGrid w:val="0"/>
              <w:jc w:val="center"/>
              <w:rPr>
                <w:rFonts w:cs="Times New Roman" w:asciiTheme="minorEastAsia" w:hAnsiTheme="minorEastAsia"/>
                <w:color w:val="000000"/>
                <w:szCs w:val="20"/>
              </w:rPr>
            </w:pPr>
          </w:p>
        </w:tc>
        <w:tc>
          <w:tcPr>
            <w:tcW w:w="1704" w:type="dxa"/>
            <w:vMerge w:val="continue"/>
            <w:vAlign w:val="center"/>
          </w:tcPr>
          <w:p>
            <w:pPr>
              <w:adjustRightInd w:val="0"/>
              <w:snapToGrid w:val="0"/>
              <w:jc w:val="center"/>
              <w:rPr>
                <w:rFonts w:cs="Times New Roman" w:asciiTheme="minorEastAsia" w:hAnsiTheme="minorEastAsia"/>
                <w:color w:val="000000"/>
                <w:szCs w:val="20"/>
              </w:rPr>
            </w:pPr>
          </w:p>
        </w:tc>
        <w:tc>
          <w:tcPr>
            <w:tcW w:w="1326" w:type="dxa"/>
            <w:vMerge w:val="continue"/>
            <w:vAlign w:val="center"/>
          </w:tcPr>
          <w:p>
            <w:pPr>
              <w:adjustRightInd w:val="0"/>
              <w:snapToGrid w:val="0"/>
              <w:jc w:val="center"/>
              <w:rPr>
                <w:rFonts w:cs="Times New Roman" w:asciiTheme="minorEastAsia" w:hAnsiTheme="minorEastAsia"/>
                <w:color w:val="000000"/>
                <w:szCs w:val="20"/>
              </w:rPr>
            </w:pPr>
          </w:p>
        </w:tc>
        <w:tc>
          <w:tcPr>
            <w:tcW w:w="1481" w:type="dxa"/>
            <w:vMerge w:val="continue"/>
            <w:vAlign w:val="center"/>
          </w:tcPr>
          <w:p>
            <w:pPr>
              <w:adjustRightInd w:val="0"/>
              <w:snapToGrid w:val="0"/>
              <w:jc w:val="center"/>
              <w:rPr>
                <w:rFonts w:cs="Times New Roman" w:asciiTheme="minorEastAsia" w:hAnsiTheme="minorEastAsia"/>
                <w:color w:val="000000"/>
                <w:szCs w:val="20"/>
              </w:rPr>
            </w:pPr>
          </w:p>
        </w:tc>
        <w:tc>
          <w:tcPr>
            <w:tcW w:w="1729"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限 值</w:t>
            </w:r>
          </w:p>
        </w:tc>
        <w:tc>
          <w:tcPr>
            <w:tcW w:w="1178"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单 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86"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《地表水环境质量标准》</w:t>
            </w:r>
          </w:p>
        </w:tc>
        <w:tc>
          <w:tcPr>
            <w:tcW w:w="1704"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GB3838-2002</w:t>
            </w:r>
          </w:p>
        </w:tc>
        <w:tc>
          <w:tcPr>
            <w:tcW w:w="1326" w:type="dxa"/>
            <w:vMerge w:val="restart"/>
            <w:vAlign w:val="center"/>
          </w:tcPr>
          <w:p>
            <w:pPr>
              <w:adjustRightInd w:val="0"/>
              <w:snapToGrid w:val="0"/>
              <w:jc w:val="center"/>
              <w:rPr>
                <w:rFonts w:cs="Times New Roman" w:asciiTheme="minorEastAsia" w:hAnsiTheme="minorEastAsia"/>
                <w:color w:val="000000"/>
                <w:szCs w:val="20"/>
              </w:rPr>
            </w:pPr>
            <w:r>
              <w:rPr>
                <w:rFonts w:hint="eastAsia" w:cs="宋体" w:asciiTheme="minorEastAsia" w:hAnsiTheme="minorEastAsia"/>
                <w:color w:val="000000"/>
                <w:szCs w:val="20"/>
              </w:rPr>
              <w:t>Ⅲ</w:t>
            </w:r>
            <w:r>
              <w:rPr>
                <w:rFonts w:cs="Times New Roman" w:asciiTheme="minorEastAsia" w:hAnsiTheme="minorEastAsia"/>
                <w:color w:val="000000"/>
                <w:szCs w:val="20"/>
              </w:rPr>
              <w:t>类</w:t>
            </w:r>
          </w:p>
        </w:tc>
        <w:tc>
          <w:tcPr>
            <w:tcW w:w="148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COD</w:t>
            </w:r>
          </w:p>
        </w:tc>
        <w:tc>
          <w:tcPr>
            <w:tcW w:w="1729"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≤20</w:t>
            </w:r>
          </w:p>
        </w:tc>
        <w:tc>
          <w:tcPr>
            <w:tcW w:w="1178"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586" w:type="dxa"/>
            <w:vMerge w:val="continue"/>
            <w:vAlign w:val="center"/>
          </w:tcPr>
          <w:p>
            <w:pPr>
              <w:adjustRightInd w:val="0"/>
              <w:snapToGrid w:val="0"/>
              <w:jc w:val="center"/>
              <w:rPr>
                <w:rFonts w:cs="Times New Roman" w:asciiTheme="minorEastAsia" w:hAnsiTheme="minorEastAsia"/>
                <w:color w:val="000000"/>
                <w:szCs w:val="20"/>
              </w:rPr>
            </w:pPr>
          </w:p>
        </w:tc>
        <w:tc>
          <w:tcPr>
            <w:tcW w:w="1704" w:type="dxa"/>
            <w:vMerge w:val="continue"/>
            <w:vAlign w:val="center"/>
          </w:tcPr>
          <w:p>
            <w:pPr>
              <w:adjustRightInd w:val="0"/>
              <w:snapToGrid w:val="0"/>
              <w:jc w:val="center"/>
              <w:rPr>
                <w:rFonts w:cs="Times New Roman" w:asciiTheme="minorEastAsia" w:hAnsiTheme="minorEastAsia"/>
                <w:color w:val="000000"/>
                <w:szCs w:val="20"/>
              </w:rPr>
            </w:pPr>
          </w:p>
        </w:tc>
        <w:tc>
          <w:tcPr>
            <w:tcW w:w="1326" w:type="dxa"/>
            <w:vMerge w:val="continue"/>
            <w:vAlign w:val="center"/>
          </w:tcPr>
          <w:p>
            <w:pPr>
              <w:adjustRightInd w:val="0"/>
              <w:snapToGrid w:val="0"/>
              <w:jc w:val="center"/>
              <w:rPr>
                <w:rFonts w:cs="Times New Roman" w:asciiTheme="minorEastAsia" w:hAnsiTheme="minorEastAsia"/>
                <w:color w:val="000000"/>
                <w:szCs w:val="20"/>
              </w:rPr>
            </w:pPr>
          </w:p>
        </w:tc>
        <w:tc>
          <w:tcPr>
            <w:tcW w:w="148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氨氮</w:t>
            </w:r>
          </w:p>
        </w:tc>
        <w:tc>
          <w:tcPr>
            <w:tcW w:w="1729"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≤1.0</w:t>
            </w:r>
          </w:p>
        </w:tc>
        <w:tc>
          <w:tcPr>
            <w:tcW w:w="1178"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1586" w:type="dxa"/>
            <w:vMerge w:val="continue"/>
            <w:vAlign w:val="center"/>
          </w:tcPr>
          <w:p>
            <w:pPr>
              <w:adjustRightInd w:val="0"/>
              <w:snapToGrid w:val="0"/>
              <w:jc w:val="center"/>
              <w:rPr>
                <w:rFonts w:cs="Times New Roman" w:asciiTheme="minorEastAsia" w:hAnsiTheme="minorEastAsia"/>
                <w:color w:val="000000"/>
                <w:szCs w:val="20"/>
              </w:rPr>
            </w:pPr>
          </w:p>
        </w:tc>
        <w:tc>
          <w:tcPr>
            <w:tcW w:w="1704" w:type="dxa"/>
            <w:vMerge w:val="continue"/>
            <w:vAlign w:val="center"/>
          </w:tcPr>
          <w:p>
            <w:pPr>
              <w:adjustRightInd w:val="0"/>
              <w:snapToGrid w:val="0"/>
              <w:jc w:val="center"/>
              <w:rPr>
                <w:rFonts w:cs="Times New Roman" w:asciiTheme="minorEastAsia" w:hAnsiTheme="minorEastAsia"/>
                <w:color w:val="000000"/>
                <w:szCs w:val="20"/>
              </w:rPr>
            </w:pPr>
          </w:p>
        </w:tc>
        <w:tc>
          <w:tcPr>
            <w:tcW w:w="1326" w:type="dxa"/>
            <w:vMerge w:val="continue"/>
            <w:vAlign w:val="center"/>
          </w:tcPr>
          <w:p>
            <w:pPr>
              <w:adjustRightInd w:val="0"/>
              <w:snapToGrid w:val="0"/>
              <w:jc w:val="center"/>
              <w:rPr>
                <w:rFonts w:cs="Times New Roman" w:asciiTheme="minorEastAsia" w:hAnsiTheme="minorEastAsia"/>
                <w:color w:val="000000"/>
                <w:szCs w:val="20"/>
              </w:rPr>
            </w:pPr>
          </w:p>
        </w:tc>
        <w:tc>
          <w:tcPr>
            <w:tcW w:w="1481"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总磷</w:t>
            </w:r>
          </w:p>
        </w:tc>
        <w:tc>
          <w:tcPr>
            <w:tcW w:w="1729"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≤0.2</w:t>
            </w:r>
          </w:p>
        </w:tc>
        <w:tc>
          <w:tcPr>
            <w:tcW w:w="1178" w:type="dxa"/>
            <w:vMerge w:val="continue"/>
            <w:vAlign w:val="center"/>
          </w:tcPr>
          <w:p>
            <w:pPr>
              <w:adjustRightInd w:val="0"/>
              <w:snapToGrid w:val="0"/>
              <w:jc w:val="center"/>
              <w:rPr>
                <w:rFonts w:cs="Times New Roman" w:asciiTheme="minorEastAsia" w:hAnsiTheme="minorEastAsia"/>
                <w:color w:val="000000"/>
                <w:szCs w:val="20"/>
              </w:rPr>
            </w:pPr>
          </w:p>
        </w:tc>
      </w:tr>
    </w:tbl>
    <w:p>
      <w:pPr>
        <w:adjustRightInd w:val="0"/>
        <w:snapToGrid w:val="0"/>
        <w:spacing w:before="156" w:beforeLines="50" w:line="360" w:lineRule="auto"/>
        <w:ind w:firstLine="480" w:firstLineChars="200"/>
        <w:contextualSpacing/>
        <w:rPr>
          <w:rFonts w:cs="Times New Roman" w:asciiTheme="minorEastAsia" w:hAnsiTheme="minorEastAsia"/>
          <w:i/>
          <w:iCs/>
          <w:color w:val="000000"/>
          <w:sz w:val="24"/>
          <w:szCs w:val="24"/>
          <w:u w:val="single"/>
        </w:rPr>
      </w:pPr>
      <w:r>
        <w:rPr>
          <w:rFonts w:cs="Times New Roman" w:asciiTheme="minorEastAsia" w:hAnsiTheme="minorEastAsia"/>
          <w:color w:val="000000"/>
          <w:sz w:val="24"/>
          <w:szCs w:val="24"/>
        </w:rPr>
        <w:t>5、</w:t>
      </w:r>
      <w:r>
        <w:rPr>
          <w:rFonts w:cs="Times New Roman" w:asciiTheme="minorEastAsia" w:hAnsiTheme="minorEastAsia"/>
          <w:color w:val="000000"/>
          <w:sz w:val="24"/>
        </w:rPr>
        <w:t>监测结果统计与分析</w:t>
      </w:r>
    </w:p>
    <w:p>
      <w:pPr>
        <w:adjustRightInd w:val="0"/>
        <w:snapToGrid w:val="0"/>
        <w:spacing w:line="360" w:lineRule="auto"/>
        <w:ind w:firstLine="480" w:firstLineChars="200"/>
        <w:contextualSpacing/>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（1）达标区判定</w:t>
      </w:r>
    </w:p>
    <w:p>
      <w:pPr>
        <w:adjustRightInd w:val="0"/>
        <w:snapToGrid w:val="0"/>
        <w:spacing w:line="360" w:lineRule="auto"/>
        <w:ind w:firstLine="480" w:firstLineChars="200"/>
        <w:contextualSpacing/>
        <w:rPr>
          <w:rFonts w:cs="Times New Roman" w:asciiTheme="minorEastAsia" w:hAnsiTheme="minorEastAsia"/>
          <w:color w:val="000000"/>
          <w:sz w:val="24"/>
          <w:szCs w:val="24"/>
        </w:rPr>
      </w:pPr>
      <w:r>
        <w:rPr>
          <w:rFonts w:cs="Times New Roman" w:asciiTheme="minorEastAsia" w:hAnsiTheme="minorEastAsia"/>
          <w:color w:val="000000"/>
          <w:sz w:val="24"/>
          <w:szCs w:val="24"/>
        </w:rPr>
        <w:t>根据</w:t>
      </w:r>
      <w:r>
        <w:rPr>
          <w:rFonts w:cs="Times New Roman" w:asciiTheme="minorEastAsia" w:hAnsiTheme="minorEastAsia"/>
          <w:bCs/>
          <w:color w:val="000000"/>
          <w:sz w:val="24"/>
          <w:szCs w:val="24"/>
        </w:rPr>
        <w:t>驻马店环境保护局网站公布的2018年9月至2019年8月</w:t>
      </w:r>
      <w:r>
        <w:rPr>
          <w:rFonts w:cs="Times New Roman" w:asciiTheme="minorEastAsia" w:hAnsiTheme="minorEastAsia"/>
          <w:color w:val="000000"/>
          <w:sz w:val="24"/>
          <w:szCs w:val="24"/>
        </w:rPr>
        <w:t>红澍河-上蔡陈桥断面常规监测数据，统计分析结果详见表4.2-2。</w:t>
      </w:r>
    </w:p>
    <w:p>
      <w:pPr>
        <w:widowControl/>
        <w:adjustRightInd w:val="0"/>
        <w:snapToGrid w:val="0"/>
        <w:jc w:val="center"/>
        <w:rPr>
          <w:rFonts w:cs="Times New Roman" w:asciiTheme="minorEastAsia" w:hAnsiTheme="minorEastAsia"/>
          <w:b/>
          <w:bCs/>
          <w:color w:val="000000"/>
          <w:kern w:val="0"/>
          <w:sz w:val="24"/>
          <w:szCs w:val="24"/>
        </w:rPr>
      </w:pPr>
      <w:r>
        <w:rPr>
          <w:rFonts w:cs="Times New Roman" w:asciiTheme="minorEastAsia" w:hAnsiTheme="minorEastAsia"/>
          <w:b/>
          <w:color w:val="000000"/>
          <w:kern w:val="0"/>
          <w:sz w:val="24"/>
          <w:szCs w:val="24"/>
        </w:rPr>
        <w:t>表4.2-2    红澍河-上蔡陈桥断面监测数据分析结果</w:t>
      </w:r>
    </w:p>
    <w:tbl>
      <w:tblPr>
        <w:tblStyle w:val="27"/>
        <w:tblW w:w="889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8"/>
        <w:gridCol w:w="1141"/>
        <w:gridCol w:w="1828"/>
        <w:gridCol w:w="1985"/>
        <w:gridCol w:w="1276"/>
        <w:gridCol w:w="15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监测时间</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监测因子</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监测数据</w:t>
            </w:r>
            <w:r>
              <w:rPr>
                <w:rFonts w:cs="Times New Roman" w:asciiTheme="minorEastAsia" w:hAnsiTheme="minorEastAsia"/>
                <w:color w:val="000000"/>
                <w:szCs w:val="21"/>
              </w:rPr>
              <w:t>（mg/L）</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评价标准</w:t>
            </w:r>
            <w:r>
              <w:rPr>
                <w:rFonts w:cs="Times New Roman" w:asciiTheme="minorEastAsia" w:hAnsiTheme="minorEastAsia"/>
                <w:color w:val="000000"/>
                <w:szCs w:val="21"/>
              </w:rPr>
              <w:t>（mg/L）</w:t>
            </w:r>
          </w:p>
        </w:tc>
        <w:tc>
          <w:tcPr>
            <w:tcW w:w="1276"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标准指数</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最大超标倍数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2018年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9月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16</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0.80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0.39</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0.39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0.16</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0.80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2018年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17</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0.85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1.83</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1.83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0.83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0.55</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2.75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2018年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11月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18</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0.90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5.52</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5.52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4.52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0.60</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3.00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2018年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12月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24</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1.20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13.1</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13.1</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1.00</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5.00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2019年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17</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0.85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10.6</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10.6</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9.60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1.14</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5.70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4.70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2018年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24</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1.20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3.93</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3.93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2.93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0.09</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0.45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2019年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7月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36</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1.80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0.80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6.99</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6.99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5.99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1.25</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6.25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5.25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2019年</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8月</w:t>
            </w: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31</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1.55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0.55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2.88</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2.88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1.88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108"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41"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828"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0.98</w:t>
            </w:r>
          </w:p>
        </w:tc>
        <w:tc>
          <w:tcPr>
            <w:tcW w:w="198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27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lang w:bidi="ar"/>
              </w:rPr>
              <w:t xml:space="preserve">4.90 </w:t>
            </w:r>
          </w:p>
        </w:tc>
        <w:tc>
          <w:tcPr>
            <w:tcW w:w="1559"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3.90</w:t>
            </w:r>
          </w:p>
        </w:tc>
      </w:tr>
    </w:tbl>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由</w:t>
      </w:r>
      <w:r>
        <w:rPr>
          <w:rFonts w:cs="Times New Roman" w:asciiTheme="minorEastAsia" w:hAnsiTheme="minorEastAsia"/>
          <w:color w:val="000000"/>
          <w:kern w:val="0"/>
          <w:sz w:val="24"/>
          <w:szCs w:val="24"/>
        </w:rPr>
        <w:t>4.2-2</w:t>
      </w:r>
      <w:r>
        <w:rPr>
          <w:rFonts w:cs="Times New Roman" w:asciiTheme="minorEastAsia" w:hAnsiTheme="minorEastAsia"/>
          <w:color w:val="000000"/>
          <w:sz w:val="24"/>
          <w:szCs w:val="24"/>
        </w:rPr>
        <w:t>上表可知，近一年红澍河-上蔡陈桥断面各水质因子常规监测数据中，除2018年9月未出现超标情况外，其他月份均出现不同程度的超标，不能满足《地表水环境质量标准》（GB3838-2002）</w:t>
      </w:r>
      <w:r>
        <w:rPr>
          <w:rFonts w:hint="eastAsia" w:cs="宋体" w:asciiTheme="minorEastAsia" w:hAnsiTheme="minorEastAsia"/>
          <w:color w:val="000000"/>
          <w:sz w:val="24"/>
          <w:szCs w:val="24"/>
        </w:rPr>
        <w:t>Ⅲ</w:t>
      </w:r>
      <w:r>
        <w:rPr>
          <w:rFonts w:cs="Times New Roman" w:asciiTheme="minorEastAsia" w:hAnsiTheme="minorEastAsia"/>
          <w:color w:val="000000"/>
          <w:sz w:val="24"/>
          <w:szCs w:val="24"/>
        </w:rPr>
        <w:t>类标准限值。</w:t>
      </w:r>
      <w:r>
        <w:rPr>
          <w:rFonts w:hint="eastAsia" w:cs="Times New Roman" w:asciiTheme="minorEastAsia" w:hAnsiTheme="minorEastAsia"/>
          <w:color w:val="000000"/>
          <w:sz w:val="24"/>
          <w:szCs w:val="24"/>
        </w:rPr>
        <w:t>因此，项目区域地表水环境为不达标区。</w:t>
      </w:r>
    </w:p>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（2）地表水环境质量现状调查补充监测数据统计结果与分析</w:t>
      </w:r>
    </w:p>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根据《西平县天顺再生资源有限公司年3万吨塑料颗粒项目环境影响评价报告书》中的补充监测报告数据统计资料（2019年3月），项目区附近</w:t>
      </w:r>
      <w:r>
        <w:rPr>
          <w:rFonts w:cs="Times New Roman" w:asciiTheme="minorEastAsia" w:hAnsiTheme="minorEastAsia"/>
          <w:color w:val="000000"/>
          <w:sz w:val="24"/>
          <w:szCs w:val="24"/>
        </w:rPr>
        <w:t>红澍河</w:t>
      </w:r>
      <w:r>
        <w:rPr>
          <w:rFonts w:hint="eastAsia" w:cs="Times New Roman" w:asciiTheme="minorEastAsia" w:hAnsiTheme="minorEastAsia"/>
          <w:color w:val="000000"/>
          <w:sz w:val="24"/>
          <w:szCs w:val="24"/>
        </w:rPr>
        <w:t>水质现状监测数据如下表4.2-3。</w:t>
      </w:r>
    </w:p>
    <w:p>
      <w:pPr>
        <w:widowControl/>
        <w:adjustRightInd w:val="0"/>
        <w:snapToGrid w:val="0"/>
        <w:jc w:val="center"/>
        <w:rPr>
          <w:rFonts w:cs="Times New Roman" w:asciiTheme="minorEastAsia" w:hAnsiTheme="minorEastAsia"/>
          <w:b/>
          <w:bCs/>
          <w:color w:val="000000"/>
          <w:kern w:val="0"/>
          <w:sz w:val="24"/>
          <w:szCs w:val="24"/>
        </w:rPr>
      </w:pPr>
      <w:r>
        <w:rPr>
          <w:rFonts w:cs="Times New Roman" w:asciiTheme="minorEastAsia" w:hAnsiTheme="minorEastAsia"/>
          <w:b/>
          <w:color w:val="000000"/>
          <w:kern w:val="0"/>
          <w:sz w:val="24"/>
          <w:szCs w:val="24"/>
        </w:rPr>
        <w:t>表4.2-</w:t>
      </w:r>
      <w:r>
        <w:rPr>
          <w:rFonts w:hint="eastAsia" w:cs="Times New Roman" w:asciiTheme="minorEastAsia" w:hAnsiTheme="minorEastAsia"/>
          <w:b/>
          <w:color w:val="000000"/>
          <w:kern w:val="0"/>
          <w:sz w:val="24"/>
          <w:szCs w:val="24"/>
        </w:rPr>
        <w:t>3</w:t>
      </w:r>
      <w:r>
        <w:rPr>
          <w:rFonts w:cs="Times New Roman" w:asciiTheme="minorEastAsia" w:hAnsiTheme="minorEastAsia"/>
          <w:b/>
          <w:color w:val="000000"/>
          <w:kern w:val="0"/>
          <w:sz w:val="24"/>
          <w:szCs w:val="24"/>
        </w:rPr>
        <w:t xml:space="preserve">   红澍河</w:t>
      </w:r>
      <w:r>
        <w:rPr>
          <w:rFonts w:hint="eastAsia" w:cs="Times New Roman" w:asciiTheme="minorEastAsia" w:hAnsiTheme="minorEastAsia"/>
          <w:b/>
          <w:color w:val="000000"/>
          <w:kern w:val="0"/>
          <w:sz w:val="24"/>
          <w:szCs w:val="24"/>
        </w:rPr>
        <w:t>水质现状补充</w:t>
      </w:r>
      <w:r>
        <w:rPr>
          <w:rFonts w:cs="Times New Roman" w:asciiTheme="minorEastAsia" w:hAnsiTheme="minorEastAsia"/>
          <w:b/>
          <w:color w:val="000000"/>
          <w:kern w:val="0"/>
          <w:sz w:val="24"/>
          <w:szCs w:val="24"/>
        </w:rPr>
        <w:t>监测数据</w:t>
      </w:r>
      <w:r>
        <w:rPr>
          <w:rFonts w:hint="eastAsia" w:cs="Times New Roman" w:asciiTheme="minorEastAsia" w:hAnsiTheme="minorEastAsia"/>
          <w:b/>
          <w:color w:val="000000"/>
          <w:kern w:val="0"/>
          <w:sz w:val="24"/>
          <w:szCs w:val="24"/>
        </w:rPr>
        <w:t>统计</w:t>
      </w:r>
      <w:r>
        <w:rPr>
          <w:rFonts w:cs="Times New Roman" w:asciiTheme="minorEastAsia" w:hAnsiTheme="minorEastAsia"/>
          <w:b/>
          <w:color w:val="000000"/>
          <w:kern w:val="0"/>
          <w:sz w:val="24"/>
          <w:szCs w:val="24"/>
        </w:rPr>
        <w:t>分析结果</w:t>
      </w:r>
    </w:p>
    <w:tbl>
      <w:tblPr>
        <w:tblStyle w:val="2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134"/>
        <w:gridCol w:w="850"/>
        <w:gridCol w:w="1560"/>
        <w:gridCol w:w="1275"/>
        <w:gridCol w:w="1560"/>
        <w:gridCol w:w="10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监测</w:t>
            </w:r>
          </w:p>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点位</w:t>
            </w:r>
          </w:p>
        </w:tc>
        <w:tc>
          <w:tcPr>
            <w:tcW w:w="1134"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监测时间</w:t>
            </w: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监测</w:t>
            </w:r>
          </w:p>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因子</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监测数据</w:t>
            </w:r>
            <w:r>
              <w:rPr>
                <w:rFonts w:hint="eastAsia" w:cs="Times New Roman" w:asciiTheme="minorEastAsia" w:hAnsiTheme="minorEastAsia"/>
                <w:color w:val="000000"/>
                <w:kern w:val="0"/>
                <w:szCs w:val="21"/>
              </w:rPr>
              <w:t>范围</w:t>
            </w:r>
            <w:r>
              <w:rPr>
                <w:rFonts w:cs="Times New Roman" w:asciiTheme="minorEastAsia" w:hAnsiTheme="minorEastAsia"/>
                <w:color w:val="000000"/>
                <w:szCs w:val="21"/>
              </w:rPr>
              <w:t>（mg/L）</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评价标准</w:t>
            </w:r>
            <w:r>
              <w:rPr>
                <w:rFonts w:cs="Times New Roman" w:asciiTheme="minorEastAsia" w:hAnsiTheme="minorEastAsia"/>
                <w:color w:val="000000"/>
                <w:szCs w:val="21"/>
              </w:rPr>
              <w:t>（mg/L）</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标准指数</w:t>
            </w:r>
            <w:r>
              <w:rPr>
                <w:rFonts w:hint="eastAsia" w:cs="Times New Roman" w:asciiTheme="minorEastAsia" w:hAnsiTheme="minorEastAsia"/>
                <w:color w:val="000000"/>
                <w:kern w:val="0"/>
                <w:szCs w:val="21"/>
              </w:rPr>
              <w:t>范围</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最大超标倍数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restart"/>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西平县第三污水厂入河口上游200m</w:t>
            </w:r>
          </w:p>
        </w:tc>
        <w:tc>
          <w:tcPr>
            <w:tcW w:w="1134"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w:t>
            </w:r>
            <w:r>
              <w:rPr>
                <w:rFonts w:hint="eastAsia" w:cs="Times New Roman" w:asciiTheme="minorEastAsia" w:hAnsiTheme="minorEastAsia"/>
                <w:color w:val="000000"/>
                <w:kern w:val="0"/>
                <w:szCs w:val="21"/>
              </w:rPr>
              <w:t>9</w:t>
            </w:r>
            <w:r>
              <w:rPr>
                <w:rFonts w:cs="Times New Roman" w:asciiTheme="minorEastAsia" w:hAnsiTheme="minorEastAsia"/>
                <w:color w:val="000000"/>
                <w:kern w:val="0"/>
                <w:szCs w:val="21"/>
              </w:rPr>
              <w:t>年</w:t>
            </w:r>
          </w:p>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3</w:t>
            </w:r>
            <w:r>
              <w:rPr>
                <w:rFonts w:cs="Times New Roman" w:asciiTheme="minorEastAsia" w:hAnsiTheme="minorEastAsia"/>
                <w:color w:val="000000"/>
                <w:kern w:val="0"/>
                <w:szCs w:val="21"/>
              </w:rPr>
              <w:t>月</w:t>
            </w:r>
          </w:p>
        </w:tc>
        <w:tc>
          <w:tcPr>
            <w:tcW w:w="850"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PH</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7.13-7.17</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6-9</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hint="eastAsia" w:cs="Times New Roman" w:asciiTheme="minorEastAsia" w:hAnsiTheme="minorEastAsia"/>
                <w:color w:val="000000"/>
                <w:kern w:val="0"/>
                <w:szCs w:val="21"/>
                <w:lang w:bidi="ar"/>
              </w:rPr>
              <w:t>0.065-0.085</w:t>
            </w:r>
          </w:p>
        </w:tc>
        <w:tc>
          <w:tcPr>
            <w:tcW w:w="1074"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14-17</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lang w:bidi="ar"/>
              </w:rPr>
              <w:t>0.7-0.85</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4.02-4.25</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lang w:bidi="ar"/>
              </w:rPr>
              <w:t>4.02-4.25</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szCs w:val="21"/>
              </w:rPr>
              <w:t>3.25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0.41-0.47</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0.2</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lang w:bidi="ar"/>
              </w:rPr>
              <w:t>2.05-2.35</w:t>
            </w:r>
            <w:r>
              <w:rPr>
                <w:rFonts w:cs="Times New Roman" w:asciiTheme="minorEastAsia" w:hAnsiTheme="minorEastAsia"/>
                <w:color w:val="000000"/>
                <w:kern w:val="0"/>
                <w:szCs w:val="21"/>
                <w:lang w:bidi="ar"/>
              </w:rPr>
              <w:t xml:space="preserve"> </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szCs w:val="21"/>
              </w:rPr>
              <w:t>1.35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总氮</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5.28-5.64</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hint="eastAsia" w:cs="Times New Roman" w:asciiTheme="minorEastAsia" w:hAnsiTheme="minorEastAsia"/>
                <w:color w:val="000000"/>
                <w:kern w:val="0"/>
                <w:szCs w:val="21"/>
              </w:rPr>
              <w:t>5.28-5.64</w:t>
            </w:r>
          </w:p>
        </w:tc>
        <w:tc>
          <w:tcPr>
            <w:tcW w:w="1074"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4.64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restart"/>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西平县第三污水厂入河口下游800m</w:t>
            </w:r>
          </w:p>
        </w:tc>
        <w:tc>
          <w:tcPr>
            <w:tcW w:w="1134"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w:t>
            </w:r>
            <w:r>
              <w:rPr>
                <w:rFonts w:hint="eastAsia" w:cs="Times New Roman" w:asciiTheme="minorEastAsia" w:hAnsiTheme="minorEastAsia"/>
                <w:color w:val="000000"/>
                <w:kern w:val="0"/>
                <w:szCs w:val="21"/>
              </w:rPr>
              <w:t>9</w:t>
            </w:r>
            <w:r>
              <w:rPr>
                <w:rFonts w:cs="Times New Roman" w:asciiTheme="minorEastAsia" w:hAnsiTheme="minorEastAsia"/>
                <w:color w:val="000000"/>
                <w:kern w:val="0"/>
                <w:szCs w:val="21"/>
              </w:rPr>
              <w:t>年</w:t>
            </w:r>
          </w:p>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3</w:t>
            </w:r>
            <w:r>
              <w:rPr>
                <w:rFonts w:cs="Times New Roman" w:asciiTheme="minorEastAsia" w:hAnsiTheme="minorEastAsia"/>
                <w:color w:val="000000"/>
                <w:kern w:val="0"/>
                <w:szCs w:val="21"/>
              </w:rPr>
              <w:t>月</w:t>
            </w:r>
          </w:p>
        </w:tc>
        <w:tc>
          <w:tcPr>
            <w:tcW w:w="850"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PH</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7.03-7.06</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6-9</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hint="eastAsia" w:cs="Times New Roman" w:asciiTheme="minorEastAsia" w:hAnsiTheme="minorEastAsia"/>
                <w:color w:val="000000"/>
                <w:kern w:val="0"/>
                <w:szCs w:val="21"/>
                <w:lang w:bidi="ar"/>
              </w:rPr>
              <w:t>0.15-0.03</w:t>
            </w:r>
          </w:p>
        </w:tc>
        <w:tc>
          <w:tcPr>
            <w:tcW w:w="1074"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18-20</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20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0.9-1.0</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4.88-5.12</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4.88-5.12</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4.12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0.81-0.89</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0.2</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4.05-4.45</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3.45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总氮</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5.81-6.28</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hint="eastAsia" w:cs="Times New Roman" w:asciiTheme="minorEastAsia" w:hAnsiTheme="minorEastAsia"/>
                <w:color w:val="000000"/>
                <w:kern w:val="0"/>
                <w:szCs w:val="21"/>
              </w:rPr>
              <w:t>5.81-6.28</w:t>
            </w:r>
          </w:p>
        </w:tc>
        <w:tc>
          <w:tcPr>
            <w:tcW w:w="1074"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5.28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 w:val="24"/>
                <w:szCs w:val="24"/>
              </w:rPr>
              <w:t>红澍河</w:t>
            </w:r>
            <w:r>
              <w:rPr>
                <w:rFonts w:hint="eastAsia" w:cs="Times New Roman" w:asciiTheme="minorEastAsia" w:hAnsiTheme="minorEastAsia"/>
                <w:color w:val="000000"/>
                <w:sz w:val="24"/>
                <w:szCs w:val="24"/>
              </w:rPr>
              <w:t>与北柳堰河交汇口上游</w:t>
            </w:r>
            <w:r>
              <w:rPr>
                <w:rFonts w:hint="eastAsia" w:cs="Times New Roman" w:asciiTheme="minorEastAsia" w:hAnsiTheme="minorEastAsia"/>
                <w:color w:val="000000"/>
                <w:kern w:val="0"/>
                <w:szCs w:val="21"/>
              </w:rPr>
              <w:t>500m</w:t>
            </w:r>
          </w:p>
        </w:tc>
        <w:tc>
          <w:tcPr>
            <w:tcW w:w="1134" w:type="dxa"/>
            <w:vMerge w:val="restart"/>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201</w:t>
            </w:r>
            <w:r>
              <w:rPr>
                <w:rFonts w:hint="eastAsia" w:cs="Times New Roman" w:asciiTheme="minorEastAsia" w:hAnsiTheme="minorEastAsia"/>
                <w:color w:val="000000"/>
                <w:kern w:val="0"/>
                <w:szCs w:val="21"/>
              </w:rPr>
              <w:t>9</w:t>
            </w:r>
            <w:r>
              <w:rPr>
                <w:rFonts w:cs="Times New Roman" w:asciiTheme="minorEastAsia" w:hAnsiTheme="minorEastAsia"/>
                <w:color w:val="000000"/>
                <w:kern w:val="0"/>
                <w:szCs w:val="21"/>
              </w:rPr>
              <w:t>年</w:t>
            </w:r>
          </w:p>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3</w:t>
            </w:r>
            <w:r>
              <w:rPr>
                <w:rFonts w:cs="Times New Roman" w:asciiTheme="minorEastAsia" w:hAnsiTheme="minorEastAsia"/>
                <w:color w:val="000000"/>
                <w:kern w:val="0"/>
                <w:szCs w:val="21"/>
              </w:rPr>
              <w:t>月</w:t>
            </w:r>
          </w:p>
        </w:tc>
        <w:tc>
          <w:tcPr>
            <w:tcW w:w="850"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PH</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7.21-7.24</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6-9</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hint="eastAsia" w:cs="Times New Roman" w:asciiTheme="minorEastAsia" w:hAnsiTheme="minorEastAsia"/>
                <w:color w:val="000000"/>
                <w:kern w:val="0"/>
                <w:szCs w:val="21"/>
                <w:lang w:bidi="ar"/>
              </w:rPr>
              <w:t>0.11-0.12</w:t>
            </w:r>
          </w:p>
        </w:tc>
        <w:tc>
          <w:tcPr>
            <w:tcW w:w="1074"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COD</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10-14</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20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0.5-0.7</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氨氮</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3.55-3.77</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3.55-3.77</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2.77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szCs w:val="21"/>
              </w:rPr>
              <w:t>总磷</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0.37-0.50</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0.2</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1.85-2.5</w:t>
            </w:r>
          </w:p>
        </w:tc>
        <w:tc>
          <w:tcPr>
            <w:tcW w:w="1074"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959" w:type="dxa"/>
            <w:vMerge w:val="continue"/>
            <w:vAlign w:val="center"/>
          </w:tcPr>
          <w:p>
            <w:pPr>
              <w:adjustRightInd w:val="0"/>
              <w:snapToGrid w:val="0"/>
              <w:jc w:val="center"/>
              <w:rPr>
                <w:rFonts w:cs="Times New Roman" w:asciiTheme="minorEastAsia" w:hAnsiTheme="minorEastAsia"/>
                <w:color w:val="000000"/>
                <w:kern w:val="0"/>
                <w:szCs w:val="21"/>
              </w:rPr>
            </w:pPr>
          </w:p>
        </w:tc>
        <w:tc>
          <w:tcPr>
            <w:tcW w:w="1134" w:type="dxa"/>
            <w:vMerge w:val="continue"/>
            <w:vAlign w:val="center"/>
          </w:tcPr>
          <w:p>
            <w:pPr>
              <w:adjustRightInd w:val="0"/>
              <w:snapToGrid w:val="0"/>
              <w:jc w:val="center"/>
              <w:rPr>
                <w:rFonts w:cs="Times New Roman" w:asciiTheme="minorEastAsia" w:hAnsiTheme="minorEastAsia"/>
                <w:color w:val="000000"/>
                <w:kern w:val="0"/>
                <w:szCs w:val="21"/>
              </w:rPr>
            </w:pPr>
          </w:p>
        </w:tc>
        <w:tc>
          <w:tcPr>
            <w:tcW w:w="850"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总氮</w:t>
            </w:r>
          </w:p>
        </w:tc>
        <w:tc>
          <w:tcPr>
            <w:tcW w:w="1560"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4.78-5.24</w:t>
            </w:r>
          </w:p>
        </w:tc>
        <w:tc>
          <w:tcPr>
            <w:tcW w:w="1275" w:type="dxa"/>
            <w:vAlign w:val="center"/>
          </w:tcPr>
          <w:p>
            <w:pPr>
              <w:adjustRightInd w:val="0"/>
              <w:snapToGrid w:val="0"/>
              <w:jc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1.0</w:t>
            </w:r>
          </w:p>
        </w:tc>
        <w:tc>
          <w:tcPr>
            <w:tcW w:w="1560"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hint="eastAsia" w:cs="Times New Roman" w:asciiTheme="minorEastAsia" w:hAnsiTheme="minorEastAsia"/>
                <w:color w:val="000000"/>
                <w:kern w:val="0"/>
                <w:szCs w:val="21"/>
              </w:rPr>
              <w:t>4.78-5.24</w:t>
            </w:r>
          </w:p>
        </w:tc>
        <w:tc>
          <w:tcPr>
            <w:tcW w:w="1074"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4.24</w:t>
            </w:r>
          </w:p>
        </w:tc>
      </w:tr>
    </w:tbl>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由上表统计数据可知，补充监测期间，项目区附近</w:t>
      </w:r>
      <w:r>
        <w:rPr>
          <w:rFonts w:cs="Times New Roman" w:asciiTheme="minorEastAsia" w:hAnsiTheme="minorEastAsia"/>
          <w:color w:val="000000"/>
          <w:sz w:val="24"/>
          <w:szCs w:val="24"/>
        </w:rPr>
        <w:t>红澍河</w:t>
      </w:r>
      <w:r>
        <w:rPr>
          <w:rFonts w:hint="eastAsia" w:cs="Times New Roman" w:asciiTheme="minorEastAsia" w:hAnsiTheme="minorEastAsia"/>
          <w:color w:val="000000"/>
          <w:sz w:val="24"/>
          <w:szCs w:val="24"/>
        </w:rPr>
        <w:t>水质现状PH、COD可满足《地表水环境质量标准》（GB3838-2002）Ⅲ类标准限值，其他污染因子均超标。</w:t>
      </w:r>
    </w:p>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（3）地表水超标原因及综合治理方案</w:t>
      </w:r>
    </w:p>
    <w:p>
      <w:pPr>
        <w:adjustRightInd w:val="0"/>
        <w:snapToGrid w:val="0"/>
        <w:spacing w:before="156" w:beforeLines="50" w:line="360" w:lineRule="auto"/>
        <w:ind w:firstLine="480" w:firstLineChars="200"/>
        <w:rPr>
          <w:rFonts w:cs="Times New Roman" w:asciiTheme="minorEastAsia" w:hAnsiTheme="minorEastAsia"/>
          <w:color w:val="000000"/>
          <w:sz w:val="24"/>
          <w:szCs w:val="24"/>
          <w:u w:val="single"/>
        </w:rPr>
      </w:pPr>
      <w:r>
        <w:rPr>
          <w:rFonts w:hint="eastAsia" w:cs="Times New Roman" w:asciiTheme="minorEastAsia" w:hAnsiTheme="minorEastAsia"/>
          <w:color w:val="000000"/>
          <w:sz w:val="24"/>
          <w:szCs w:val="24"/>
          <w:u w:val="single"/>
        </w:rPr>
        <w:t>经调查，项目区域地表水</w:t>
      </w:r>
      <w:r>
        <w:rPr>
          <w:rFonts w:cs="Times New Roman" w:asciiTheme="minorEastAsia" w:hAnsiTheme="minorEastAsia"/>
          <w:color w:val="000000"/>
          <w:sz w:val="24"/>
          <w:szCs w:val="24"/>
          <w:u w:val="single"/>
        </w:rPr>
        <w:t>出现超标的主要原因是区域生活污水</w:t>
      </w:r>
      <w:r>
        <w:rPr>
          <w:rFonts w:hint="eastAsia" w:cs="Times New Roman" w:asciiTheme="minorEastAsia" w:hAnsiTheme="minorEastAsia"/>
          <w:color w:val="000000"/>
          <w:sz w:val="24"/>
          <w:szCs w:val="24"/>
          <w:u w:val="single"/>
        </w:rPr>
        <w:t>集中收集处理率较低，城市污水管网未覆盖区域、河流沿岸村庄生活污水及部分养殖废水直接</w:t>
      </w:r>
      <w:r>
        <w:rPr>
          <w:rFonts w:cs="Times New Roman" w:asciiTheme="minorEastAsia" w:hAnsiTheme="minorEastAsia"/>
          <w:color w:val="000000"/>
          <w:sz w:val="24"/>
          <w:szCs w:val="24"/>
          <w:u w:val="single"/>
        </w:rPr>
        <w:t>汇入</w:t>
      </w:r>
      <w:r>
        <w:rPr>
          <w:rFonts w:hint="eastAsia" w:cs="Times New Roman" w:asciiTheme="minorEastAsia" w:hAnsiTheme="minorEastAsia"/>
          <w:color w:val="000000"/>
          <w:sz w:val="24"/>
          <w:szCs w:val="24"/>
          <w:u w:val="single"/>
        </w:rPr>
        <w:t>河流，导致地表水现状不能满足环境功能区划要求</w:t>
      </w:r>
      <w:r>
        <w:rPr>
          <w:rFonts w:cs="Times New Roman" w:asciiTheme="minorEastAsia" w:hAnsiTheme="minorEastAsia"/>
          <w:color w:val="000000"/>
          <w:sz w:val="24"/>
          <w:szCs w:val="24"/>
          <w:u w:val="single"/>
        </w:rPr>
        <w:t>。</w:t>
      </w:r>
    </w:p>
    <w:p>
      <w:pPr>
        <w:adjustRightInd w:val="0"/>
        <w:snapToGrid w:val="0"/>
        <w:spacing w:line="360" w:lineRule="auto"/>
        <w:ind w:firstLine="480" w:firstLineChars="200"/>
        <w:rPr>
          <w:rFonts w:cs="Times New Roman" w:asciiTheme="minorEastAsia" w:hAnsiTheme="minorEastAsia"/>
          <w:sz w:val="24"/>
          <w:szCs w:val="24"/>
          <w:u w:val="single"/>
        </w:rPr>
      </w:pPr>
      <w:r>
        <w:rPr>
          <w:rFonts w:cs="Times New Roman" w:asciiTheme="minorEastAsia" w:hAnsiTheme="minorEastAsia"/>
          <w:color w:val="000000"/>
          <w:sz w:val="24"/>
          <w:szCs w:val="24"/>
          <w:u w:val="single"/>
        </w:rPr>
        <w:t>根据《</w:t>
      </w:r>
      <w:r>
        <w:rPr>
          <w:rFonts w:cs="Times New Roman" w:asciiTheme="minorEastAsia" w:hAnsiTheme="minorEastAsia"/>
          <w:color w:val="000000"/>
          <w:spacing w:val="10"/>
          <w:kern w:val="0"/>
          <w:sz w:val="24"/>
          <w:szCs w:val="24"/>
          <w:u w:val="single"/>
          <w:lang w:bidi="ar"/>
        </w:rPr>
        <w:t>驻马店市</w:t>
      </w:r>
      <w:r>
        <w:rPr>
          <w:rFonts w:cs="Times New Roman" w:asciiTheme="minorEastAsia" w:hAnsiTheme="minorEastAsia"/>
          <w:color w:val="000000"/>
          <w:sz w:val="24"/>
          <w:szCs w:val="24"/>
          <w:u w:val="single"/>
          <w:lang w:bidi="ar"/>
        </w:rPr>
        <w:t>辖淮河流域</w:t>
      </w:r>
      <w:r>
        <w:rPr>
          <w:rFonts w:cs="Times New Roman" w:asciiTheme="minorEastAsia" w:hAnsiTheme="minorEastAsia"/>
          <w:color w:val="000000"/>
          <w:spacing w:val="10"/>
          <w:kern w:val="0"/>
          <w:sz w:val="24"/>
          <w:szCs w:val="24"/>
          <w:u w:val="single"/>
          <w:lang w:bidi="ar"/>
        </w:rPr>
        <w:t>水污染防治攻坚战实施方案（2017~2019年）</w:t>
      </w:r>
      <w:r>
        <w:rPr>
          <w:rFonts w:cs="Times New Roman" w:asciiTheme="minorEastAsia" w:hAnsiTheme="minorEastAsia"/>
          <w:color w:val="000000"/>
          <w:sz w:val="24"/>
          <w:szCs w:val="24"/>
          <w:u w:val="single"/>
        </w:rPr>
        <w:t>》</w:t>
      </w:r>
      <w:r>
        <w:rPr>
          <w:rFonts w:cs="Times New Roman" w:asciiTheme="minorEastAsia" w:hAnsiTheme="minorEastAsia"/>
          <w:color w:val="000000"/>
          <w:spacing w:val="10"/>
          <w:kern w:val="0"/>
          <w:sz w:val="24"/>
          <w:szCs w:val="24"/>
          <w:u w:val="single"/>
          <w:lang w:bidi="ar"/>
        </w:rPr>
        <w:t>要求，</w:t>
      </w:r>
      <w:r>
        <w:rPr>
          <w:rFonts w:cs="Times New Roman" w:asciiTheme="minorEastAsia" w:hAnsiTheme="minorEastAsia"/>
          <w:color w:val="000000"/>
          <w:kern w:val="0"/>
          <w:sz w:val="24"/>
          <w:szCs w:val="24"/>
          <w:u w:val="single"/>
          <w:lang w:bidi="ar"/>
        </w:rPr>
        <w:t>加快城镇污水处理设施建设，推进西平县污水处理厂二期工程，完善污水处理设施配套管网，加快建设城区污水管网建设。加强农业面源污染治理，加强畜禽养殖污染治理，对沿河禁养区内的养殖场（小区）、养殖专业户关停或搬迁到位，加大畜禽养殖粪便污水资源化利用力度。推进河道综合治理，实施小洪河、引洪道治理等水环境综合治理工程</w:t>
      </w:r>
      <w:r>
        <w:rPr>
          <w:rFonts w:cs="Times New Roman" w:asciiTheme="minorEastAsia" w:hAnsiTheme="minorEastAsia"/>
          <w:color w:val="000000"/>
          <w:sz w:val="24"/>
          <w:szCs w:val="24"/>
          <w:u w:val="single"/>
        </w:rPr>
        <w:t>。</w:t>
      </w:r>
      <w:r>
        <w:rPr>
          <w:rFonts w:hint="eastAsia" w:cs="Times New Roman" w:asciiTheme="minorEastAsia" w:hAnsiTheme="minorEastAsia"/>
          <w:color w:val="000000"/>
          <w:sz w:val="24"/>
          <w:szCs w:val="24"/>
          <w:u w:val="single"/>
        </w:rPr>
        <w:t>预计上述环境主治理方案实施后</w:t>
      </w:r>
      <w:r>
        <w:rPr>
          <w:rFonts w:cs="Times New Roman" w:asciiTheme="minorEastAsia" w:hAnsiTheme="minorEastAsia"/>
          <w:color w:val="000000"/>
          <w:sz w:val="24"/>
          <w:szCs w:val="24"/>
          <w:u w:val="single"/>
        </w:rPr>
        <w:t>，红澍河水质</w:t>
      </w:r>
      <w:r>
        <w:rPr>
          <w:rFonts w:hint="eastAsia" w:cs="Times New Roman" w:asciiTheme="minorEastAsia" w:hAnsiTheme="minorEastAsia"/>
          <w:color w:val="000000"/>
          <w:sz w:val="24"/>
          <w:szCs w:val="24"/>
          <w:u w:val="single"/>
        </w:rPr>
        <w:t>将得到较大</w:t>
      </w:r>
      <w:r>
        <w:rPr>
          <w:rFonts w:cs="Times New Roman" w:asciiTheme="minorEastAsia" w:hAnsiTheme="minorEastAsia"/>
          <w:color w:val="000000"/>
          <w:sz w:val="24"/>
          <w:szCs w:val="24"/>
          <w:u w:val="single"/>
        </w:rPr>
        <w:t>改善。</w:t>
      </w:r>
    </w:p>
    <w:p>
      <w:pPr>
        <w:keepNext/>
        <w:keepLines/>
        <w:adjustRightInd w:val="0"/>
        <w:snapToGrid w:val="0"/>
        <w:spacing w:before="156" w:beforeLines="50" w:line="360" w:lineRule="auto"/>
        <w:outlineLvl w:val="1"/>
        <w:rPr>
          <w:rFonts w:cs="Times New Roman" w:asciiTheme="minorEastAsia" w:hAnsiTheme="minorEastAsia"/>
          <w:b/>
          <w:sz w:val="28"/>
          <w:szCs w:val="24"/>
        </w:rPr>
      </w:pPr>
      <w:bookmarkStart w:id="60" w:name="_Toc5574"/>
      <w:r>
        <w:rPr>
          <w:rFonts w:cs="Times New Roman" w:asciiTheme="minorEastAsia" w:hAnsiTheme="minorEastAsia"/>
          <w:b/>
          <w:sz w:val="28"/>
          <w:szCs w:val="24"/>
        </w:rPr>
        <w:t>4.3 地下水质量现状监测与评价</w:t>
      </w:r>
      <w:bookmarkEnd w:id="60"/>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1、评价因子</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本项目选取</w:t>
      </w:r>
      <w:r>
        <w:rPr>
          <w:rFonts w:cs="Times New Roman" w:asciiTheme="minorEastAsia" w:hAnsiTheme="minorEastAsia"/>
          <w:bCs/>
          <w:sz w:val="24"/>
          <w:szCs w:val="28"/>
        </w:rPr>
        <w:t>pH、K</w:t>
      </w:r>
      <w:r>
        <w:rPr>
          <w:rFonts w:cs="Times New Roman" w:asciiTheme="minorEastAsia" w:hAnsiTheme="minorEastAsia"/>
          <w:bCs/>
          <w:sz w:val="24"/>
          <w:szCs w:val="28"/>
          <w:vertAlign w:val="superscript"/>
        </w:rPr>
        <w:t>+</w:t>
      </w:r>
      <w:r>
        <w:rPr>
          <w:rFonts w:cs="Times New Roman" w:asciiTheme="minorEastAsia" w:hAnsiTheme="minorEastAsia"/>
          <w:bCs/>
          <w:sz w:val="24"/>
          <w:szCs w:val="28"/>
        </w:rPr>
        <w:t>、Na</w:t>
      </w:r>
      <w:r>
        <w:rPr>
          <w:rFonts w:cs="Times New Roman" w:asciiTheme="minorEastAsia" w:hAnsiTheme="minorEastAsia"/>
          <w:bCs/>
          <w:sz w:val="24"/>
          <w:szCs w:val="28"/>
          <w:vertAlign w:val="superscript"/>
        </w:rPr>
        <w:t>+</w:t>
      </w:r>
      <w:r>
        <w:rPr>
          <w:rFonts w:cs="Times New Roman" w:asciiTheme="minorEastAsia" w:hAnsiTheme="minorEastAsia"/>
          <w:bCs/>
          <w:sz w:val="24"/>
          <w:szCs w:val="28"/>
        </w:rPr>
        <w:t>、Ca</w:t>
      </w:r>
      <w:r>
        <w:rPr>
          <w:rFonts w:cs="Times New Roman" w:asciiTheme="minorEastAsia" w:hAnsiTheme="minorEastAsia"/>
          <w:bCs/>
          <w:sz w:val="24"/>
          <w:szCs w:val="28"/>
          <w:vertAlign w:val="superscript"/>
        </w:rPr>
        <w:t>2+</w:t>
      </w:r>
      <w:r>
        <w:rPr>
          <w:rFonts w:cs="Times New Roman" w:asciiTheme="minorEastAsia" w:hAnsiTheme="minorEastAsia"/>
          <w:bCs/>
          <w:sz w:val="24"/>
          <w:szCs w:val="28"/>
        </w:rPr>
        <w:t>、Mg</w:t>
      </w:r>
      <w:r>
        <w:rPr>
          <w:rFonts w:cs="Times New Roman" w:asciiTheme="minorEastAsia" w:hAnsiTheme="minorEastAsia"/>
          <w:bCs/>
          <w:sz w:val="24"/>
          <w:szCs w:val="28"/>
          <w:vertAlign w:val="superscript"/>
        </w:rPr>
        <w:t>2+</w:t>
      </w:r>
      <w:r>
        <w:rPr>
          <w:rFonts w:cs="Times New Roman" w:asciiTheme="minorEastAsia" w:hAnsiTheme="minorEastAsia"/>
          <w:bCs/>
          <w:sz w:val="24"/>
          <w:szCs w:val="28"/>
        </w:rPr>
        <w:t>、CO</w:t>
      </w:r>
      <w:r>
        <w:rPr>
          <w:rFonts w:cs="Times New Roman" w:asciiTheme="minorEastAsia" w:hAnsiTheme="minorEastAsia"/>
          <w:bCs/>
          <w:sz w:val="24"/>
          <w:szCs w:val="28"/>
          <w:vertAlign w:val="subscript"/>
        </w:rPr>
        <w:t>3</w:t>
      </w:r>
      <w:r>
        <w:rPr>
          <w:rFonts w:cs="Times New Roman" w:asciiTheme="minorEastAsia" w:hAnsiTheme="minorEastAsia"/>
          <w:bCs/>
          <w:sz w:val="24"/>
          <w:szCs w:val="28"/>
          <w:vertAlign w:val="superscript"/>
        </w:rPr>
        <w:t>2-</w:t>
      </w:r>
      <w:r>
        <w:rPr>
          <w:rFonts w:cs="Times New Roman" w:asciiTheme="minorEastAsia" w:hAnsiTheme="minorEastAsia"/>
          <w:bCs/>
          <w:sz w:val="24"/>
          <w:szCs w:val="28"/>
        </w:rPr>
        <w:t>、HCO</w:t>
      </w:r>
      <w:r>
        <w:rPr>
          <w:rFonts w:cs="Times New Roman" w:asciiTheme="minorEastAsia" w:hAnsiTheme="minorEastAsia"/>
          <w:bCs/>
          <w:sz w:val="24"/>
          <w:szCs w:val="28"/>
          <w:vertAlign w:val="subscript"/>
        </w:rPr>
        <w:t>3</w:t>
      </w:r>
      <w:r>
        <w:rPr>
          <w:rFonts w:cs="Times New Roman" w:asciiTheme="minorEastAsia" w:hAnsiTheme="minorEastAsia"/>
          <w:bCs/>
          <w:sz w:val="24"/>
          <w:szCs w:val="28"/>
          <w:vertAlign w:val="superscript"/>
        </w:rPr>
        <w:t>-</w:t>
      </w:r>
      <w:r>
        <w:rPr>
          <w:rFonts w:cs="Times New Roman" w:asciiTheme="minorEastAsia" w:hAnsiTheme="minorEastAsia"/>
          <w:bCs/>
          <w:sz w:val="24"/>
          <w:szCs w:val="28"/>
        </w:rPr>
        <w:t>、Cl</w:t>
      </w:r>
      <w:r>
        <w:rPr>
          <w:rFonts w:cs="Times New Roman" w:asciiTheme="minorEastAsia" w:hAnsiTheme="minorEastAsia"/>
          <w:bCs/>
          <w:sz w:val="24"/>
          <w:szCs w:val="28"/>
          <w:vertAlign w:val="superscript"/>
        </w:rPr>
        <w:t>-</w:t>
      </w:r>
      <w:r>
        <w:rPr>
          <w:rFonts w:cs="Times New Roman" w:asciiTheme="minorEastAsia" w:hAnsiTheme="minorEastAsia"/>
          <w:bCs/>
          <w:sz w:val="24"/>
          <w:szCs w:val="28"/>
        </w:rPr>
        <w:t>、SO</w:t>
      </w:r>
      <w:r>
        <w:rPr>
          <w:rFonts w:cs="Times New Roman" w:asciiTheme="minorEastAsia" w:hAnsiTheme="minorEastAsia"/>
          <w:bCs/>
          <w:sz w:val="24"/>
          <w:szCs w:val="28"/>
          <w:vertAlign w:val="subscript"/>
        </w:rPr>
        <w:t>4</w:t>
      </w:r>
      <w:r>
        <w:rPr>
          <w:rFonts w:cs="Times New Roman" w:asciiTheme="minorEastAsia" w:hAnsiTheme="minorEastAsia"/>
          <w:bCs/>
          <w:sz w:val="24"/>
          <w:szCs w:val="28"/>
          <w:vertAlign w:val="superscript"/>
        </w:rPr>
        <w:t>2-</w:t>
      </w:r>
      <w:r>
        <w:rPr>
          <w:rFonts w:cs="Times New Roman" w:asciiTheme="minorEastAsia" w:hAnsiTheme="minorEastAsia"/>
          <w:bCs/>
          <w:sz w:val="24"/>
          <w:szCs w:val="28"/>
        </w:rPr>
        <w:t>、氨氮、硫酸盐、硝酸盐、亚硝酸盐、挥发性酚类、氯化物、氰化物、氟化物、砷、汞、铬(六价)、总硬度、铅、镉、铁、锰、溶解性总固体、耗氧量、总大肠菌群、细菌总数，</w:t>
      </w:r>
      <w:r>
        <w:rPr>
          <w:rFonts w:cs="Times New Roman" w:asciiTheme="minorEastAsia" w:hAnsiTheme="minorEastAsia"/>
          <w:color w:val="000000"/>
          <w:sz w:val="24"/>
          <w:szCs w:val="24"/>
        </w:rPr>
        <w:t>共29项因子作为地下水评价因子，</w:t>
      </w:r>
      <w:r>
        <w:rPr>
          <w:rFonts w:cs="Times New Roman" w:asciiTheme="minorEastAsia" w:hAnsiTheme="minorEastAsia"/>
          <w:bCs/>
          <w:sz w:val="24"/>
          <w:szCs w:val="28"/>
        </w:rPr>
        <w:t>同时测定井深、水温、水位。本次评价</w:t>
      </w:r>
      <w:r>
        <w:rPr>
          <w:rFonts w:cs="Times New Roman" w:asciiTheme="minorEastAsia" w:hAnsiTheme="minorEastAsia"/>
          <w:color w:val="000000"/>
          <w:sz w:val="24"/>
          <w:szCs w:val="24"/>
        </w:rPr>
        <w:t>引用</w:t>
      </w:r>
      <w:r>
        <w:rPr>
          <w:rFonts w:cs="Times New Roman" w:asciiTheme="minorEastAsia" w:hAnsiTheme="minorEastAsia"/>
          <w:sz w:val="24"/>
          <w:szCs w:val="24"/>
        </w:rPr>
        <w:t>西平县天顺再生资源有限公司年产6000吨塑料颗粒项目环境影响评价中地下水</w:t>
      </w:r>
      <w:r>
        <w:rPr>
          <w:rFonts w:cs="Times New Roman" w:asciiTheme="minorEastAsia" w:hAnsiTheme="minorEastAsia"/>
          <w:color w:val="000000"/>
          <w:sz w:val="24"/>
          <w:szCs w:val="24"/>
        </w:rPr>
        <w:t>现状监测数据。</w:t>
      </w:r>
    </w:p>
    <w:p>
      <w:pPr>
        <w:adjustRightInd w:val="0"/>
        <w:snapToGrid w:val="0"/>
        <w:spacing w:line="360" w:lineRule="auto"/>
        <w:ind w:firstLine="480" w:firstLineChars="200"/>
        <w:rPr>
          <w:rFonts w:cs="Times New Roman" w:asciiTheme="minorEastAsia" w:hAnsiTheme="minorEastAsia"/>
          <w:b/>
          <w:bCs/>
          <w:color w:val="000000"/>
          <w:sz w:val="24"/>
          <w:szCs w:val="24"/>
        </w:rPr>
      </w:pPr>
      <w:bookmarkStart w:id="61" w:name="_Toc536088007"/>
      <w:r>
        <w:rPr>
          <w:rFonts w:hint="eastAsia" w:cs="Times New Roman" w:asciiTheme="minorEastAsia" w:hAnsiTheme="minorEastAsia"/>
          <w:color w:val="000000"/>
          <w:sz w:val="24"/>
          <w:szCs w:val="24"/>
        </w:rPr>
        <w:t>2</w:t>
      </w:r>
      <w:r>
        <w:rPr>
          <w:rFonts w:cs="Times New Roman" w:asciiTheme="minorEastAsia" w:hAnsiTheme="minorEastAsia"/>
          <w:color w:val="000000"/>
          <w:sz w:val="24"/>
          <w:szCs w:val="24"/>
        </w:rPr>
        <w:t>、评价标准</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本次评价地下水执行《地下水环境质量标准》（GB/T14848-2017）</w:t>
      </w:r>
      <w:r>
        <w:rPr>
          <w:rFonts w:cs="Times New Roman" w:asciiTheme="minorEastAsia" w:hAnsiTheme="minorEastAsia"/>
          <w:color w:val="000000"/>
          <w:sz w:val="24"/>
          <w:szCs w:val="24"/>
        </w:rPr>
        <w:fldChar w:fldCharType="begin"/>
      </w:r>
      <w:r>
        <w:rPr>
          <w:rFonts w:cs="Times New Roman" w:asciiTheme="minorEastAsia" w:hAnsiTheme="minorEastAsia"/>
          <w:color w:val="000000"/>
          <w:sz w:val="24"/>
          <w:szCs w:val="24"/>
        </w:rPr>
        <w:instrText xml:space="preserve"> = 3 \* ROMAN </w:instrText>
      </w:r>
      <w:r>
        <w:rPr>
          <w:rFonts w:cs="Times New Roman" w:asciiTheme="minorEastAsia" w:hAnsiTheme="minorEastAsia"/>
          <w:color w:val="000000"/>
          <w:sz w:val="24"/>
          <w:szCs w:val="24"/>
        </w:rPr>
        <w:fldChar w:fldCharType="separate"/>
      </w:r>
      <w:r>
        <w:rPr>
          <w:rFonts w:cs="Times New Roman" w:asciiTheme="minorEastAsia" w:hAnsiTheme="minorEastAsia"/>
          <w:color w:val="000000"/>
          <w:sz w:val="24"/>
          <w:szCs w:val="24"/>
        </w:rPr>
        <w:t>III</w:t>
      </w:r>
      <w:r>
        <w:rPr>
          <w:rFonts w:cs="Times New Roman" w:asciiTheme="minorEastAsia" w:hAnsiTheme="minorEastAsia"/>
          <w:color w:val="000000"/>
          <w:sz w:val="24"/>
          <w:szCs w:val="24"/>
        </w:rPr>
        <w:fldChar w:fldCharType="end"/>
      </w:r>
      <w:r>
        <w:rPr>
          <w:rFonts w:cs="Times New Roman" w:asciiTheme="minorEastAsia" w:hAnsiTheme="minorEastAsia"/>
          <w:color w:val="000000"/>
          <w:sz w:val="24"/>
          <w:szCs w:val="24"/>
        </w:rPr>
        <w:t>类标准，具体标准限值见表</w:t>
      </w:r>
      <w:r>
        <w:rPr>
          <w:rFonts w:hint="eastAsia" w:cs="Times New Roman" w:asciiTheme="minorEastAsia" w:hAnsiTheme="minorEastAsia"/>
          <w:color w:val="000000"/>
          <w:sz w:val="24"/>
          <w:szCs w:val="24"/>
        </w:rPr>
        <w:t>4</w:t>
      </w:r>
      <w:r>
        <w:rPr>
          <w:rFonts w:cs="Times New Roman" w:asciiTheme="minorEastAsia" w:hAnsiTheme="minorEastAsia"/>
          <w:color w:val="000000"/>
          <w:sz w:val="24"/>
          <w:szCs w:val="24"/>
        </w:rPr>
        <w:t>.3-</w:t>
      </w:r>
      <w:r>
        <w:rPr>
          <w:rFonts w:hint="eastAsia" w:cs="Times New Roman" w:asciiTheme="minorEastAsia" w:hAnsiTheme="minorEastAsia"/>
          <w:color w:val="000000"/>
          <w:sz w:val="24"/>
          <w:szCs w:val="24"/>
        </w:rPr>
        <w:t>1</w:t>
      </w:r>
      <w:r>
        <w:rPr>
          <w:rFonts w:cs="Times New Roman" w:asciiTheme="minorEastAsia" w:hAnsiTheme="minorEastAsia"/>
          <w:color w:val="000000"/>
          <w:sz w:val="24"/>
          <w:szCs w:val="24"/>
        </w:rPr>
        <w:t>。</w:t>
      </w:r>
    </w:p>
    <w:p>
      <w:pPr>
        <w:adjustRightInd w:val="0"/>
        <w:snapToGrid w:val="0"/>
        <w:jc w:val="center"/>
        <w:rPr>
          <w:rFonts w:cs="Times New Roman" w:asciiTheme="minorEastAsia" w:hAnsiTheme="minorEastAsia"/>
          <w:b/>
          <w:color w:val="000000"/>
          <w:szCs w:val="21"/>
        </w:rPr>
      </w:pPr>
      <w:r>
        <w:rPr>
          <w:rFonts w:cs="Times New Roman" w:asciiTheme="minorEastAsia" w:hAnsiTheme="minorEastAsia"/>
          <w:b/>
          <w:color w:val="000000"/>
          <w:sz w:val="24"/>
          <w:szCs w:val="24"/>
        </w:rPr>
        <w:t>表</w:t>
      </w:r>
      <w:r>
        <w:rPr>
          <w:rFonts w:hint="eastAsia" w:cs="Times New Roman" w:asciiTheme="minorEastAsia" w:hAnsiTheme="minorEastAsia"/>
          <w:b/>
          <w:color w:val="000000"/>
          <w:sz w:val="24"/>
          <w:szCs w:val="24"/>
        </w:rPr>
        <w:t>4</w:t>
      </w:r>
      <w:r>
        <w:rPr>
          <w:rFonts w:cs="Times New Roman" w:asciiTheme="minorEastAsia" w:hAnsiTheme="minorEastAsia"/>
          <w:b/>
          <w:color w:val="000000"/>
          <w:sz w:val="24"/>
          <w:szCs w:val="24"/>
        </w:rPr>
        <w:t>.3-</w:t>
      </w:r>
      <w:r>
        <w:rPr>
          <w:rFonts w:hint="eastAsia" w:cs="Times New Roman" w:asciiTheme="minorEastAsia" w:hAnsiTheme="minorEastAsia"/>
          <w:b/>
          <w:color w:val="000000"/>
          <w:sz w:val="24"/>
          <w:szCs w:val="24"/>
        </w:rPr>
        <w:t>1</w:t>
      </w:r>
      <w:r>
        <w:rPr>
          <w:rFonts w:cs="Times New Roman" w:asciiTheme="minorEastAsia" w:hAnsiTheme="minorEastAsia"/>
          <w:b/>
          <w:color w:val="000000"/>
          <w:sz w:val="24"/>
          <w:szCs w:val="24"/>
        </w:rPr>
        <w:t xml:space="preserve">    地下水环境质量评价标准</w:t>
      </w:r>
    </w:p>
    <w:tbl>
      <w:tblPr>
        <w:tblStyle w:val="27"/>
        <w:tblW w:w="9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701"/>
        <w:gridCol w:w="1275"/>
        <w:gridCol w:w="1899"/>
        <w:gridCol w:w="1474"/>
        <w:gridCol w:w="13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标准名称</w:t>
            </w:r>
          </w:p>
        </w:tc>
        <w:tc>
          <w:tcPr>
            <w:tcW w:w="1701"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标准号</w:t>
            </w:r>
          </w:p>
        </w:tc>
        <w:tc>
          <w:tcPr>
            <w:tcW w:w="1275"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执行标准</w:t>
            </w:r>
            <w:r>
              <w:rPr>
                <w:rFonts w:hint="eastAsia" w:cs="Times New Roman" w:asciiTheme="minorEastAsia" w:hAnsiTheme="minorEastAsia"/>
                <w:color w:val="000000"/>
                <w:szCs w:val="20"/>
              </w:rPr>
              <w:t>级别</w:t>
            </w:r>
          </w:p>
        </w:tc>
        <w:tc>
          <w:tcPr>
            <w:tcW w:w="1899"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项目·</w:t>
            </w:r>
          </w:p>
        </w:tc>
        <w:tc>
          <w:tcPr>
            <w:tcW w:w="2787" w:type="dxa"/>
            <w:gridSpan w:val="2"/>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Merge w:val="continue"/>
            <w:vAlign w:val="center"/>
          </w:tcPr>
          <w:p>
            <w:pPr>
              <w:adjustRightInd w:val="0"/>
              <w:snapToGrid w:val="0"/>
              <w:jc w:val="center"/>
              <w:rPr>
                <w:rFonts w:cs="Times New Roman" w:asciiTheme="minorEastAsia" w:hAnsiTheme="minorEastAsia"/>
                <w:color w:val="000000"/>
                <w:szCs w:val="20"/>
              </w:rPr>
            </w:pPr>
          </w:p>
        </w:tc>
        <w:tc>
          <w:tcPr>
            <w:tcW w:w="1474"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限 值</w:t>
            </w:r>
          </w:p>
        </w:tc>
        <w:tc>
          <w:tcPr>
            <w:tcW w:w="1313"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单 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《地下水质量标准》</w:t>
            </w:r>
          </w:p>
        </w:tc>
        <w:tc>
          <w:tcPr>
            <w:tcW w:w="1701"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GB/T14848-2017</w:t>
            </w:r>
          </w:p>
        </w:tc>
        <w:tc>
          <w:tcPr>
            <w:tcW w:w="1275" w:type="dxa"/>
            <w:vMerge w:val="restart"/>
            <w:vAlign w:val="center"/>
          </w:tcPr>
          <w:p>
            <w:pPr>
              <w:adjustRightInd w:val="0"/>
              <w:snapToGrid w:val="0"/>
              <w:jc w:val="center"/>
              <w:rPr>
                <w:rFonts w:cs="Times New Roman" w:asciiTheme="minorEastAsia" w:hAnsiTheme="minorEastAsia"/>
                <w:color w:val="000000"/>
                <w:szCs w:val="20"/>
              </w:rPr>
            </w:pPr>
            <w:r>
              <w:rPr>
                <w:rFonts w:hint="eastAsia" w:cs="宋体" w:asciiTheme="minorEastAsia" w:hAnsiTheme="minorEastAsia"/>
                <w:color w:val="000000"/>
                <w:szCs w:val="20"/>
              </w:rPr>
              <w:t>Ⅲ</w:t>
            </w:r>
            <w:r>
              <w:rPr>
                <w:rFonts w:cs="Times New Roman" w:asciiTheme="minorEastAsia" w:hAnsiTheme="minorEastAsia"/>
                <w:color w:val="000000"/>
                <w:szCs w:val="20"/>
              </w:rPr>
              <w:t>类</w:t>
            </w: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pH</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6.5～8.5</w:t>
            </w:r>
          </w:p>
        </w:tc>
        <w:tc>
          <w:tcPr>
            <w:tcW w:w="1313"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0"/>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氨氮</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≤0.5</w:t>
            </w:r>
          </w:p>
        </w:tc>
        <w:tc>
          <w:tcPr>
            <w:tcW w:w="1313" w:type="dxa"/>
            <w:vMerge w:val="restart"/>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耗氧量</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总硬度</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≤450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溶解性总固体</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≤1000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硝酸盐</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亚硝酸盐</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挥发性酚类</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≤0.002</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氟化物</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氰化物</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≤0.05</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砷</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≤0.01</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铅</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≤0.01</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汞</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≤0.001</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六价铬</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≤0.05</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镉</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≤0.005</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铁</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≤0.3</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锰</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≤0.1</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K</w:t>
            </w:r>
            <w:r>
              <w:rPr>
                <w:rFonts w:cs="Times New Roman" w:asciiTheme="minorEastAsia" w:hAnsiTheme="minorEastAsia"/>
                <w:color w:val="000000"/>
                <w:szCs w:val="21"/>
                <w:vertAlign w:val="superscript"/>
              </w:rPr>
              <w:t>+</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Na</w:t>
            </w:r>
            <w:r>
              <w:rPr>
                <w:rFonts w:cs="Times New Roman" w:asciiTheme="minorEastAsia" w:hAnsiTheme="minorEastAsia"/>
                <w:color w:val="000000"/>
                <w:szCs w:val="21"/>
                <w:vertAlign w:val="superscript"/>
              </w:rPr>
              <w:t>+</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≤200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Ca</w:t>
            </w:r>
            <w:r>
              <w:rPr>
                <w:rFonts w:cs="Times New Roman" w:asciiTheme="minorEastAsia" w:hAnsiTheme="minorEastAsia"/>
                <w:color w:val="000000"/>
                <w:szCs w:val="21"/>
                <w:vertAlign w:val="superscript"/>
              </w:rPr>
              <w:t>2+</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Mg</w:t>
            </w:r>
            <w:r>
              <w:rPr>
                <w:rFonts w:cs="Times New Roman" w:asciiTheme="minorEastAsia" w:hAnsiTheme="minorEastAsia"/>
                <w:color w:val="000000"/>
                <w:szCs w:val="21"/>
                <w:vertAlign w:val="superscript"/>
              </w:rPr>
              <w:t>2+</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CO</w:t>
            </w:r>
            <w:r>
              <w:rPr>
                <w:rFonts w:cs="Times New Roman" w:asciiTheme="minorEastAsia" w:hAnsiTheme="minorEastAsia"/>
                <w:color w:val="000000"/>
                <w:szCs w:val="21"/>
                <w:vertAlign w:val="subscript"/>
              </w:rPr>
              <w:t>3</w:t>
            </w:r>
            <w:r>
              <w:rPr>
                <w:rFonts w:cs="Times New Roman" w:asciiTheme="minorEastAsia" w:hAnsiTheme="minorEastAsia"/>
                <w:color w:val="000000"/>
                <w:szCs w:val="21"/>
                <w:vertAlign w:val="superscript"/>
              </w:rPr>
              <w:t>2-</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HCO</w:t>
            </w:r>
            <w:r>
              <w:rPr>
                <w:rFonts w:cs="Times New Roman" w:asciiTheme="minorEastAsia" w:hAnsiTheme="minorEastAsia"/>
                <w:color w:val="000000"/>
                <w:szCs w:val="21"/>
                <w:vertAlign w:val="subscript"/>
              </w:rPr>
              <w:t>3</w:t>
            </w:r>
            <w:r>
              <w:rPr>
                <w:rFonts w:cs="Times New Roman" w:asciiTheme="minorEastAsia" w:hAnsiTheme="minorEastAsia"/>
                <w:color w:val="000000"/>
                <w:szCs w:val="21"/>
                <w:vertAlign w:val="superscript"/>
              </w:rPr>
              <w:t>-</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Cl</w:t>
            </w:r>
            <w:r>
              <w:rPr>
                <w:rFonts w:cs="Times New Roman" w:asciiTheme="minorEastAsia" w:hAnsiTheme="minorEastAsia"/>
                <w:color w:val="000000"/>
                <w:szCs w:val="21"/>
                <w:vertAlign w:val="superscript"/>
              </w:rPr>
              <w:t>-</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≤250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SO</w:t>
            </w:r>
            <w:r>
              <w:rPr>
                <w:rFonts w:cs="Times New Roman" w:asciiTheme="minorEastAsia" w:hAnsiTheme="minorEastAsia"/>
                <w:color w:val="000000"/>
                <w:szCs w:val="21"/>
                <w:vertAlign w:val="subscript"/>
              </w:rPr>
              <w:t>4</w:t>
            </w:r>
            <w:r>
              <w:rPr>
                <w:rFonts w:cs="Times New Roman" w:asciiTheme="minorEastAsia" w:hAnsiTheme="minorEastAsia"/>
                <w:color w:val="000000"/>
                <w:szCs w:val="21"/>
                <w:vertAlign w:val="superscript"/>
              </w:rPr>
              <w:t>2-</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≤250</w:t>
            </w:r>
          </w:p>
        </w:tc>
        <w:tc>
          <w:tcPr>
            <w:tcW w:w="1313" w:type="dxa"/>
            <w:vMerge w:val="continue"/>
            <w:vAlign w:val="center"/>
          </w:tcPr>
          <w:p>
            <w:pPr>
              <w:adjustRightInd w:val="0"/>
              <w:snapToGrid w:val="0"/>
              <w:jc w:val="center"/>
              <w:rPr>
                <w:rFonts w:cs="Times New Roman" w:asciiTheme="minorEastAsia" w:hAnsiTheme="minorEastAsia"/>
                <w:color w:val="00000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总大肠菌群</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≤3.0</w:t>
            </w:r>
          </w:p>
        </w:tc>
        <w:tc>
          <w:tcPr>
            <w:tcW w:w="1313"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1"/>
              </w:rPr>
              <w:t>CFU/100mL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42" w:type="dxa"/>
            <w:vMerge w:val="continue"/>
            <w:vAlign w:val="center"/>
          </w:tcPr>
          <w:p>
            <w:pPr>
              <w:adjustRightInd w:val="0"/>
              <w:snapToGrid w:val="0"/>
              <w:jc w:val="center"/>
              <w:rPr>
                <w:rFonts w:cs="Times New Roman" w:asciiTheme="minorEastAsia" w:hAnsiTheme="minorEastAsia"/>
                <w:color w:val="000000"/>
                <w:szCs w:val="20"/>
              </w:rPr>
            </w:pPr>
          </w:p>
        </w:tc>
        <w:tc>
          <w:tcPr>
            <w:tcW w:w="1701" w:type="dxa"/>
            <w:vMerge w:val="continue"/>
            <w:vAlign w:val="center"/>
          </w:tcPr>
          <w:p>
            <w:pPr>
              <w:adjustRightInd w:val="0"/>
              <w:snapToGrid w:val="0"/>
              <w:jc w:val="center"/>
              <w:rPr>
                <w:rFonts w:cs="Times New Roman" w:asciiTheme="minorEastAsia" w:hAnsiTheme="minorEastAsia"/>
                <w:color w:val="000000"/>
                <w:szCs w:val="20"/>
              </w:rPr>
            </w:pPr>
          </w:p>
        </w:tc>
        <w:tc>
          <w:tcPr>
            <w:tcW w:w="1275" w:type="dxa"/>
            <w:vMerge w:val="continue"/>
            <w:vAlign w:val="center"/>
          </w:tcPr>
          <w:p>
            <w:pPr>
              <w:adjustRightInd w:val="0"/>
              <w:snapToGrid w:val="0"/>
              <w:jc w:val="center"/>
              <w:rPr>
                <w:rFonts w:cs="Times New Roman" w:asciiTheme="minorEastAsia" w:hAnsiTheme="minorEastAsia"/>
                <w:color w:val="000000"/>
                <w:szCs w:val="20"/>
              </w:rPr>
            </w:pPr>
          </w:p>
        </w:tc>
        <w:tc>
          <w:tcPr>
            <w:tcW w:w="1899"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细菌总数</w:t>
            </w:r>
          </w:p>
        </w:tc>
        <w:tc>
          <w:tcPr>
            <w:tcW w:w="147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≤100</w:t>
            </w:r>
          </w:p>
        </w:tc>
        <w:tc>
          <w:tcPr>
            <w:tcW w:w="1313" w:type="dxa"/>
            <w:vAlign w:val="center"/>
          </w:tcPr>
          <w:p>
            <w:pPr>
              <w:adjustRightInd w:val="0"/>
              <w:snapToGrid w:val="0"/>
              <w:jc w:val="center"/>
              <w:rPr>
                <w:rFonts w:cs="Times New Roman" w:asciiTheme="minorEastAsia" w:hAnsiTheme="minorEastAsia"/>
                <w:color w:val="000000"/>
                <w:szCs w:val="20"/>
              </w:rPr>
            </w:pPr>
            <w:r>
              <w:rPr>
                <w:rFonts w:cs="Times New Roman" w:asciiTheme="minorEastAsia" w:hAnsiTheme="minorEastAsia"/>
                <w:color w:val="000000"/>
                <w:szCs w:val="21"/>
              </w:rPr>
              <w:t>CFU/mL</w:t>
            </w:r>
          </w:p>
        </w:tc>
      </w:tr>
    </w:tbl>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3</w:t>
      </w:r>
      <w:r>
        <w:rPr>
          <w:rFonts w:cs="Times New Roman" w:asciiTheme="minorEastAsia" w:hAnsiTheme="minorEastAsia"/>
          <w:color w:val="000000"/>
          <w:sz w:val="24"/>
          <w:szCs w:val="24"/>
        </w:rPr>
        <w:t>、评价方法</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根据地下水环境质量现状监测结果，采用单因子污染指数法，对照评价标准对地下水质量现状进行评价。</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单因子污染指数公式为：</w:t>
      </w:r>
    </w:p>
    <w:p>
      <w:pPr>
        <w:adjustRightInd w:val="0"/>
        <w:snapToGrid w:val="0"/>
        <w:spacing w:line="360" w:lineRule="auto"/>
        <w:ind w:firstLine="3840" w:firstLineChars="1600"/>
        <w:rPr>
          <w:rFonts w:cs="Times New Roman" w:asciiTheme="minorEastAsia" w:hAnsiTheme="minorEastAsia"/>
          <w:color w:val="000000"/>
          <w:sz w:val="24"/>
          <w:szCs w:val="24"/>
        </w:rPr>
      </w:pP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 xml:space="preserve">ij </w:t>
      </w:r>
      <w:r>
        <w:rPr>
          <w:rFonts w:cs="Times New Roman" w:asciiTheme="minorEastAsia" w:hAnsiTheme="minorEastAsia"/>
          <w:color w:val="000000"/>
          <w:sz w:val="24"/>
          <w:szCs w:val="24"/>
        </w:rPr>
        <w:t>= C</w:t>
      </w:r>
      <w:r>
        <w:rPr>
          <w:rFonts w:cs="Times New Roman" w:asciiTheme="minorEastAsia" w:hAnsiTheme="minorEastAsia"/>
          <w:color w:val="000000"/>
          <w:sz w:val="24"/>
          <w:szCs w:val="24"/>
          <w:vertAlign w:val="subscript"/>
        </w:rPr>
        <w:t>i,j</w:t>
      </w: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si</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式中，</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i.j</w:t>
      </w:r>
      <w:r>
        <w:rPr>
          <w:rFonts w:cs="Times New Roman" w:asciiTheme="minorEastAsia" w:hAnsiTheme="minorEastAsia"/>
          <w:color w:val="000000"/>
          <w:sz w:val="24"/>
          <w:szCs w:val="24"/>
        </w:rPr>
        <w:t>——污染物i在第j点标准指数；</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i,j</w:t>
      </w:r>
      <w:r>
        <w:rPr>
          <w:rFonts w:cs="Times New Roman" w:asciiTheme="minorEastAsia" w:hAnsiTheme="minorEastAsia"/>
          <w:color w:val="000000"/>
          <w:sz w:val="24"/>
          <w:szCs w:val="24"/>
        </w:rPr>
        <w:t>——污染物i在第j点的浓度（mg/L）；</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si</w:t>
      </w:r>
      <w:r>
        <w:rPr>
          <w:rFonts w:cs="Times New Roman" w:asciiTheme="minorEastAsia" w:hAnsiTheme="minorEastAsia"/>
          <w:color w:val="000000"/>
          <w:sz w:val="24"/>
          <w:szCs w:val="24"/>
        </w:rPr>
        <w:t>——污染物地下水水质标准（mg/L）。</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pH值的标准指数：</w:t>
      </w:r>
    </w:p>
    <w:p>
      <w:pPr>
        <w:adjustRightInd w:val="0"/>
        <w:snapToGrid w:val="0"/>
        <w:spacing w:line="360" w:lineRule="auto"/>
        <w:ind w:firstLine="1440" w:firstLineChars="600"/>
        <w:rPr>
          <w:rFonts w:cs="Times New Roman" w:asciiTheme="minorEastAsia" w:hAnsiTheme="minorEastAsia"/>
          <w:color w:val="000000"/>
          <w:sz w:val="24"/>
          <w:szCs w:val="24"/>
        </w:rPr>
      </w:pPr>
      <w:r>
        <w:rPr>
          <w:rFonts w:cs="Times New Roman" w:asciiTheme="minorEastAsia" w:hAnsiTheme="minorEastAsia"/>
          <w:color w:val="000000"/>
          <w:sz w:val="24"/>
          <w:szCs w:val="24"/>
        </w:rPr>
        <w:t xml:space="preserve">      </w:t>
      </w:r>
      <w:r>
        <w:rPr>
          <w:rFonts w:cs="Times New Roman" w:asciiTheme="minorEastAsia" w:hAnsiTheme="minorEastAsia"/>
          <w:color w:val="000000"/>
          <w:position w:val="-66"/>
          <w:sz w:val="24"/>
          <w:szCs w:val="24"/>
        </w:rPr>
        <w:object>
          <v:shape id="_x0000_i1026" o:spt="75" type="#_x0000_t75" style="height:72pt;width:159.75pt;" o:ole="t" filled="f" o:preferrelative="t" stroked="f" coordsize="21600,21600">
            <v:path/>
            <v:fill on="f" focussize="0,0"/>
            <v:stroke on="f" joinstyle="miter"/>
            <v:imagedata r:id="rId40" o:title=""/>
            <o:lock v:ext="edit" aspectratio="t"/>
            <w10:wrap type="none"/>
            <w10:anchorlock/>
          </v:shape>
          <o:OLEObject Type="Embed" ProgID="Equation.3" ShapeID="_x0000_i1026" DrawAspect="Content" ObjectID="_1468075726" r:id="rId39">
            <o:LockedField>false</o:LockedField>
          </o:OLEObject>
        </w:objec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式中，</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pH,j</w:t>
      </w:r>
      <w:r>
        <w:rPr>
          <w:rFonts w:cs="Times New Roman" w:asciiTheme="minorEastAsia" w:hAnsiTheme="minorEastAsia"/>
          <w:color w:val="000000"/>
          <w:sz w:val="24"/>
          <w:szCs w:val="24"/>
        </w:rPr>
        <w:t>、S</w:t>
      </w:r>
      <w:r>
        <w:rPr>
          <w:rFonts w:cs="Times New Roman" w:asciiTheme="minorEastAsia" w:hAnsiTheme="minorEastAsia"/>
          <w:color w:val="000000"/>
          <w:sz w:val="24"/>
          <w:szCs w:val="24"/>
          <w:vertAlign w:val="subscript"/>
        </w:rPr>
        <w:t>ppH,j</w:t>
      </w:r>
      <w:r>
        <w:rPr>
          <w:rFonts w:cs="Times New Roman" w:asciiTheme="minorEastAsia" w:hAnsiTheme="minorEastAsia"/>
          <w:color w:val="000000"/>
          <w:sz w:val="24"/>
          <w:szCs w:val="24"/>
        </w:rPr>
        <w:t>——pH值在第j点的标准指数；</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w:t>
      </w:r>
      <w:r>
        <w:rPr>
          <w:rFonts w:cs="Times New Roman" w:asciiTheme="minorEastAsia" w:hAnsiTheme="minorEastAsia"/>
          <w:color w:val="000000"/>
          <w:sz w:val="24"/>
          <w:szCs w:val="24"/>
          <w:vertAlign w:val="subscript"/>
        </w:rPr>
        <w:t>j</w:t>
      </w:r>
      <w:r>
        <w:rPr>
          <w:rFonts w:cs="Times New Roman" w:asciiTheme="minorEastAsia" w:hAnsiTheme="minorEastAsia"/>
          <w:color w:val="000000"/>
          <w:sz w:val="24"/>
          <w:szCs w:val="24"/>
        </w:rPr>
        <w:t>——j点的pH值；</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w:t>
      </w:r>
      <w:r>
        <w:rPr>
          <w:rFonts w:cs="Times New Roman" w:asciiTheme="minorEastAsia" w:hAnsiTheme="minorEastAsia"/>
          <w:color w:val="000000"/>
          <w:sz w:val="24"/>
          <w:szCs w:val="24"/>
          <w:vertAlign w:val="subscript"/>
        </w:rPr>
        <w:t>sd</w:t>
      </w:r>
      <w:r>
        <w:rPr>
          <w:rFonts w:cs="Times New Roman" w:asciiTheme="minorEastAsia" w:hAnsiTheme="minorEastAsia"/>
          <w:color w:val="000000"/>
          <w:sz w:val="24"/>
          <w:szCs w:val="24"/>
        </w:rPr>
        <w:t>——地下水水质标准中规定的pH值下限；</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pH</w:t>
      </w:r>
      <w:r>
        <w:rPr>
          <w:rFonts w:cs="Times New Roman" w:asciiTheme="minorEastAsia" w:hAnsiTheme="minorEastAsia"/>
          <w:color w:val="000000"/>
          <w:sz w:val="24"/>
          <w:szCs w:val="24"/>
          <w:vertAlign w:val="subscript"/>
        </w:rPr>
        <w:t>su</w:t>
      </w:r>
      <w:r>
        <w:rPr>
          <w:rFonts w:cs="Times New Roman" w:asciiTheme="minorEastAsia" w:hAnsiTheme="minorEastAsia"/>
          <w:color w:val="000000"/>
          <w:sz w:val="24"/>
          <w:szCs w:val="24"/>
        </w:rPr>
        <w:t>——地下水水质标准中规定的pH值上限。</w:t>
      </w: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4</w:t>
      </w:r>
      <w:r>
        <w:rPr>
          <w:rFonts w:cs="Times New Roman" w:asciiTheme="minorEastAsia" w:hAnsiTheme="minorEastAsia"/>
          <w:color w:val="000000"/>
          <w:sz w:val="24"/>
          <w:szCs w:val="24"/>
        </w:rPr>
        <w:t>、监测布点情况</w:t>
      </w: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根据《西平县天顺再生资源有限公司年产3万吨塑料颗粒项目环境影响评价报告书》中的监测报告数据统计资料（2019年3月），地下水调查</w:t>
      </w:r>
      <w:r>
        <w:rPr>
          <w:rFonts w:cs="Times New Roman" w:asciiTheme="minorEastAsia" w:hAnsiTheme="minorEastAsia"/>
          <w:color w:val="000000"/>
          <w:sz w:val="24"/>
          <w:szCs w:val="24"/>
        </w:rPr>
        <w:t>监测点布设情况详见表4.3-</w:t>
      </w:r>
      <w:r>
        <w:rPr>
          <w:rFonts w:hint="eastAsia" w:cs="Times New Roman" w:asciiTheme="minorEastAsia" w:hAnsiTheme="minorEastAsia"/>
          <w:color w:val="000000"/>
          <w:sz w:val="24"/>
          <w:szCs w:val="24"/>
        </w:rPr>
        <w:t>2</w:t>
      </w:r>
      <w:r>
        <w:rPr>
          <w:rFonts w:cs="Times New Roman" w:asciiTheme="minorEastAsia" w:hAnsiTheme="minorEastAsia"/>
          <w:color w:val="000000"/>
          <w:sz w:val="24"/>
          <w:szCs w:val="24"/>
        </w:rPr>
        <w:t>，监测井具体位置见附图四。</w:t>
      </w:r>
    </w:p>
    <w:p>
      <w:pPr>
        <w:adjustRightInd w:val="0"/>
        <w:snapToGrid w:val="0"/>
        <w:jc w:val="center"/>
        <w:rPr>
          <w:rFonts w:cs="Times New Roman" w:asciiTheme="minorEastAsia" w:hAnsiTheme="minorEastAsia"/>
          <w:b/>
          <w:color w:val="000000"/>
          <w:szCs w:val="21"/>
        </w:rPr>
      </w:pPr>
      <w:r>
        <w:rPr>
          <w:rFonts w:cs="Times New Roman" w:asciiTheme="minorEastAsia" w:hAnsiTheme="minorEastAsia"/>
          <w:b/>
          <w:color w:val="000000"/>
          <w:sz w:val="24"/>
          <w:szCs w:val="24"/>
        </w:rPr>
        <w:t>表4.3</w:t>
      </w:r>
      <w:r>
        <w:rPr>
          <w:rFonts w:hint="eastAsia" w:cs="Times New Roman" w:asciiTheme="minorEastAsia" w:hAnsiTheme="minorEastAsia"/>
          <w:b/>
          <w:color w:val="000000"/>
          <w:sz w:val="24"/>
          <w:szCs w:val="24"/>
        </w:rPr>
        <w:t>-2</w:t>
      </w:r>
      <w:r>
        <w:rPr>
          <w:rFonts w:cs="Times New Roman" w:asciiTheme="minorEastAsia" w:hAnsiTheme="minorEastAsia"/>
          <w:b/>
          <w:color w:val="000000"/>
          <w:sz w:val="24"/>
          <w:szCs w:val="24"/>
        </w:rPr>
        <w:t xml:space="preserve">      地下水质量现状监测点布设情况一览表</w:t>
      </w:r>
    </w:p>
    <w:tbl>
      <w:tblPr>
        <w:tblStyle w:val="27"/>
        <w:tblW w:w="833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6"/>
        <w:gridCol w:w="1460"/>
        <w:gridCol w:w="3402"/>
        <w:gridCol w:w="25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91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序号</w:t>
            </w:r>
          </w:p>
        </w:tc>
        <w:tc>
          <w:tcPr>
            <w:tcW w:w="1460"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监测点位</w:t>
            </w:r>
          </w:p>
        </w:tc>
        <w:tc>
          <w:tcPr>
            <w:tcW w:w="3402"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与</w:t>
            </w:r>
            <w:r>
              <w:rPr>
                <w:rFonts w:hint="eastAsia" w:cs="Times New Roman" w:asciiTheme="minorEastAsia" w:hAnsiTheme="minorEastAsia"/>
                <w:color w:val="000000"/>
                <w:szCs w:val="21"/>
              </w:rPr>
              <w:t>本项目</w:t>
            </w:r>
            <w:r>
              <w:rPr>
                <w:rFonts w:cs="Times New Roman" w:asciiTheme="minorEastAsia" w:hAnsiTheme="minorEastAsia"/>
                <w:color w:val="000000"/>
                <w:szCs w:val="21"/>
              </w:rPr>
              <w:t>厂址相对方位</w:t>
            </w:r>
            <w:r>
              <w:rPr>
                <w:rFonts w:hint="eastAsia" w:cs="Times New Roman" w:asciiTheme="minorEastAsia" w:hAnsiTheme="minorEastAsia"/>
                <w:color w:val="000000"/>
                <w:szCs w:val="21"/>
              </w:rPr>
              <w:t>、</w:t>
            </w:r>
            <w:r>
              <w:rPr>
                <w:rFonts w:cs="Times New Roman" w:asciiTheme="minorEastAsia" w:hAnsiTheme="minorEastAsia"/>
                <w:color w:val="000000"/>
                <w:szCs w:val="21"/>
              </w:rPr>
              <w:t>距离（m）</w:t>
            </w:r>
          </w:p>
        </w:tc>
        <w:tc>
          <w:tcPr>
            <w:tcW w:w="2552" w:type="dxa"/>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监测时间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w:t>
            </w:r>
          </w:p>
        </w:tc>
        <w:tc>
          <w:tcPr>
            <w:tcW w:w="1460" w:type="dxa"/>
            <w:vAlign w:val="center"/>
          </w:tcPr>
          <w:p>
            <w:pPr>
              <w:snapToGrid w:val="0"/>
              <w:jc w:val="center"/>
              <w:rPr>
                <w:rFonts w:cs="Times New Roman" w:asciiTheme="minorEastAsia" w:hAnsiTheme="minorEastAsia"/>
                <w:color w:val="000000"/>
                <w:szCs w:val="21"/>
              </w:rPr>
            </w:pPr>
            <w:r>
              <w:rPr>
                <w:rFonts w:cs="Times New Roman" w:asciiTheme="minorEastAsia" w:hAnsiTheme="minorEastAsia"/>
                <w:szCs w:val="21"/>
              </w:rPr>
              <w:t>袁庄</w:t>
            </w:r>
          </w:p>
        </w:tc>
        <w:tc>
          <w:tcPr>
            <w:tcW w:w="3402"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SW</w:t>
            </w:r>
            <w:r>
              <w:rPr>
                <w:rFonts w:hint="eastAsia" w:cs="Times New Roman" w:asciiTheme="minorEastAsia" w:hAnsiTheme="minorEastAsia"/>
                <w:color w:val="000000"/>
                <w:szCs w:val="21"/>
              </w:rPr>
              <w:t>、</w:t>
            </w:r>
            <w:r>
              <w:rPr>
                <w:rFonts w:cs="Times New Roman" w:asciiTheme="minorEastAsia" w:hAnsiTheme="minorEastAsia"/>
                <w:color w:val="000000"/>
                <w:szCs w:val="21"/>
              </w:rPr>
              <w:t>9</w:t>
            </w:r>
            <w:r>
              <w:rPr>
                <w:rFonts w:hint="eastAsia" w:cs="Times New Roman" w:asciiTheme="minorEastAsia" w:hAnsiTheme="minorEastAsia"/>
                <w:color w:val="000000"/>
                <w:szCs w:val="21"/>
              </w:rPr>
              <w:t>9</w:t>
            </w:r>
            <w:r>
              <w:rPr>
                <w:rFonts w:cs="Times New Roman" w:asciiTheme="minorEastAsia" w:hAnsiTheme="minorEastAsia"/>
                <w:color w:val="000000"/>
                <w:szCs w:val="21"/>
              </w:rPr>
              <w:t>0m</w:t>
            </w:r>
          </w:p>
        </w:tc>
        <w:tc>
          <w:tcPr>
            <w:tcW w:w="2552" w:type="dxa"/>
            <w:vMerge w:val="restart"/>
            <w:vAlign w:val="center"/>
          </w:tcPr>
          <w:p>
            <w:pPr>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2019年3月3日至3月4日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w:t>
            </w:r>
          </w:p>
        </w:tc>
        <w:tc>
          <w:tcPr>
            <w:tcW w:w="1460" w:type="dxa"/>
            <w:vAlign w:val="center"/>
          </w:tcPr>
          <w:p>
            <w:pPr>
              <w:snapToGrid w:val="0"/>
              <w:jc w:val="center"/>
              <w:rPr>
                <w:rFonts w:cs="Times New Roman" w:asciiTheme="minorEastAsia" w:hAnsiTheme="minorEastAsia"/>
                <w:color w:val="000000"/>
                <w:szCs w:val="21"/>
              </w:rPr>
            </w:pPr>
            <w:r>
              <w:rPr>
                <w:rFonts w:cs="Times New Roman" w:asciiTheme="minorEastAsia" w:hAnsiTheme="minorEastAsia"/>
                <w:szCs w:val="21"/>
              </w:rPr>
              <w:t>徐魏庄</w:t>
            </w:r>
          </w:p>
        </w:tc>
        <w:tc>
          <w:tcPr>
            <w:tcW w:w="3402"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NE</w:t>
            </w:r>
            <w:r>
              <w:rPr>
                <w:rFonts w:hint="eastAsia" w:cs="Times New Roman" w:asciiTheme="minorEastAsia" w:hAnsiTheme="minorEastAsia"/>
                <w:color w:val="000000"/>
                <w:szCs w:val="21"/>
              </w:rPr>
              <w:t>、</w:t>
            </w:r>
            <w:r>
              <w:rPr>
                <w:rFonts w:cs="Times New Roman" w:asciiTheme="minorEastAsia" w:hAnsiTheme="minorEastAsia"/>
                <w:color w:val="000000"/>
                <w:szCs w:val="21"/>
              </w:rPr>
              <w:t>1040m</w:t>
            </w:r>
          </w:p>
        </w:tc>
        <w:tc>
          <w:tcPr>
            <w:tcW w:w="2552" w:type="dxa"/>
            <w:vMerge w:val="continue"/>
            <w:vAlign w:val="center"/>
          </w:tcPr>
          <w:p>
            <w:pPr>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w:t>
            </w:r>
          </w:p>
        </w:tc>
        <w:tc>
          <w:tcPr>
            <w:tcW w:w="1460" w:type="dxa"/>
            <w:vAlign w:val="center"/>
          </w:tcPr>
          <w:p>
            <w:pPr>
              <w:snapToGrid w:val="0"/>
              <w:jc w:val="center"/>
              <w:rPr>
                <w:rFonts w:cs="Times New Roman" w:asciiTheme="minorEastAsia" w:hAnsiTheme="minorEastAsia"/>
                <w:color w:val="000000"/>
                <w:szCs w:val="21"/>
              </w:rPr>
            </w:pPr>
            <w:r>
              <w:rPr>
                <w:rFonts w:cs="Times New Roman" w:asciiTheme="minorEastAsia" w:hAnsiTheme="minorEastAsia"/>
                <w:szCs w:val="21"/>
              </w:rPr>
              <w:t>樊庄</w:t>
            </w:r>
          </w:p>
        </w:tc>
        <w:tc>
          <w:tcPr>
            <w:tcW w:w="3402"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N</w:t>
            </w:r>
            <w:r>
              <w:rPr>
                <w:rFonts w:hint="eastAsia" w:cs="Times New Roman" w:asciiTheme="minorEastAsia" w:hAnsiTheme="minorEastAsia"/>
                <w:color w:val="000000"/>
                <w:szCs w:val="21"/>
              </w:rPr>
              <w:t>、</w:t>
            </w:r>
            <w:r>
              <w:rPr>
                <w:rFonts w:cs="Times New Roman" w:asciiTheme="minorEastAsia" w:hAnsiTheme="minorEastAsia"/>
                <w:color w:val="000000"/>
                <w:szCs w:val="21"/>
              </w:rPr>
              <w:t>1800m</w:t>
            </w:r>
          </w:p>
        </w:tc>
        <w:tc>
          <w:tcPr>
            <w:tcW w:w="2552" w:type="dxa"/>
            <w:vMerge w:val="continue"/>
            <w:vAlign w:val="center"/>
          </w:tcPr>
          <w:p>
            <w:pPr>
              <w:adjustRightInd w:val="0"/>
              <w:snapToGrid w:val="0"/>
              <w:jc w:val="center"/>
              <w:rPr>
                <w:rFonts w:cs="Times New Roman" w:asciiTheme="minorEastAsia" w:hAnsiTheme="minorEastAsia"/>
                <w:color w:val="000000"/>
                <w:szCs w:val="21"/>
              </w:rPr>
            </w:pPr>
          </w:p>
        </w:tc>
      </w:tr>
    </w:tbl>
    <w:p>
      <w:pPr>
        <w:widowControl/>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5</w:t>
      </w:r>
      <w:r>
        <w:rPr>
          <w:rFonts w:cs="Times New Roman" w:asciiTheme="minorEastAsia" w:hAnsiTheme="minorEastAsia"/>
          <w:color w:val="000000"/>
          <w:sz w:val="24"/>
          <w:szCs w:val="24"/>
        </w:rPr>
        <w:t>、监测分析方法</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地下水质量现状监测按《地下水环境监测技术规范》（HJ/T164-2004）的要求进行，各监测因子具体监测分析方法见表4.3-</w:t>
      </w:r>
      <w:r>
        <w:rPr>
          <w:rFonts w:hint="eastAsia" w:cs="Times New Roman" w:asciiTheme="minorEastAsia" w:hAnsiTheme="minorEastAsia"/>
          <w:color w:val="000000"/>
          <w:sz w:val="24"/>
          <w:szCs w:val="24"/>
        </w:rPr>
        <w:t>3</w:t>
      </w:r>
      <w:r>
        <w:rPr>
          <w:rFonts w:cs="Times New Roman" w:asciiTheme="minorEastAsia" w:hAnsiTheme="minorEastAsia"/>
          <w:color w:val="000000"/>
          <w:sz w:val="24"/>
          <w:szCs w:val="24"/>
        </w:rPr>
        <w:t>。</w:t>
      </w:r>
    </w:p>
    <w:p>
      <w:pPr>
        <w:widowControl/>
        <w:adjustRightInd w:val="0"/>
        <w:snapToGrid w:val="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表4.3-</w:t>
      </w:r>
      <w:r>
        <w:rPr>
          <w:rFonts w:hint="eastAsia" w:cs="Times New Roman" w:asciiTheme="minorEastAsia" w:hAnsiTheme="minorEastAsia"/>
          <w:b/>
          <w:color w:val="000000"/>
          <w:sz w:val="24"/>
          <w:szCs w:val="24"/>
        </w:rPr>
        <w:t>3</w:t>
      </w:r>
      <w:r>
        <w:rPr>
          <w:rFonts w:cs="Times New Roman" w:asciiTheme="minorEastAsia" w:hAnsiTheme="minorEastAsia"/>
          <w:b/>
          <w:color w:val="000000"/>
          <w:sz w:val="24"/>
          <w:szCs w:val="24"/>
        </w:rPr>
        <w:t xml:space="preserve">     地下水监测分析方法一览表</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570"/>
        <w:gridCol w:w="2061"/>
        <w:gridCol w:w="1984"/>
        <w:gridCol w:w="2034"/>
        <w:gridCol w:w="11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bCs/>
                <w:kern w:val="0"/>
                <w:szCs w:val="21"/>
                <w:vertAlign w:val="superscript"/>
              </w:rPr>
            </w:pPr>
            <w:r>
              <w:rPr>
                <w:rFonts w:cs="Times New Roman" w:asciiTheme="minorEastAsia" w:hAnsiTheme="minorEastAsia"/>
                <w:kern w:val="0"/>
                <w:szCs w:val="21"/>
                <w:lang w:bidi="ar"/>
              </w:rPr>
              <w:t>检测项目</w:t>
            </w:r>
          </w:p>
        </w:tc>
        <w:tc>
          <w:tcPr>
            <w:tcW w:w="2061" w:type="dxa"/>
            <w:vAlign w:val="center"/>
          </w:tcPr>
          <w:p>
            <w:pPr>
              <w:widowControl/>
              <w:overflowPunct w:val="0"/>
              <w:topLinePunct/>
              <w:adjustRightInd w:val="0"/>
              <w:snapToGrid w:val="0"/>
              <w:jc w:val="center"/>
              <w:rPr>
                <w:rFonts w:cs="Times New Roman" w:asciiTheme="minorEastAsia" w:hAnsiTheme="minorEastAsia"/>
                <w:bCs/>
                <w:kern w:val="0"/>
                <w:szCs w:val="21"/>
              </w:rPr>
            </w:pPr>
            <w:r>
              <w:rPr>
                <w:rFonts w:cs="Times New Roman" w:asciiTheme="minorEastAsia" w:hAnsiTheme="minorEastAsia"/>
                <w:bCs/>
                <w:kern w:val="0"/>
                <w:szCs w:val="21"/>
              </w:rPr>
              <w:t>检测方法</w:t>
            </w:r>
          </w:p>
        </w:tc>
        <w:tc>
          <w:tcPr>
            <w:tcW w:w="1984" w:type="dxa"/>
            <w:vAlign w:val="center"/>
          </w:tcPr>
          <w:p>
            <w:pPr>
              <w:widowControl/>
              <w:overflowPunct w:val="0"/>
              <w:topLinePunct/>
              <w:adjustRightInd w:val="0"/>
              <w:snapToGrid w:val="0"/>
              <w:jc w:val="center"/>
              <w:rPr>
                <w:rFonts w:cs="Times New Roman" w:asciiTheme="minorEastAsia" w:hAnsiTheme="minorEastAsia"/>
                <w:bCs/>
                <w:kern w:val="0"/>
                <w:szCs w:val="21"/>
              </w:rPr>
            </w:pPr>
            <w:r>
              <w:rPr>
                <w:rFonts w:cs="Times New Roman" w:asciiTheme="minorEastAsia" w:hAnsiTheme="minorEastAsia"/>
                <w:bCs/>
                <w:kern w:val="0"/>
                <w:szCs w:val="21"/>
              </w:rPr>
              <w:t>方法标准号或来源</w:t>
            </w:r>
          </w:p>
        </w:tc>
        <w:tc>
          <w:tcPr>
            <w:tcW w:w="2034" w:type="dxa"/>
            <w:vAlign w:val="center"/>
          </w:tcPr>
          <w:p>
            <w:pPr>
              <w:widowControl/>
              <w:overflowPunct w:val="0"/>
              <w:topLinePunct/>
              <w:adjustRightInd w:val="0"/>
              <w:snapToGrid w:val="0"/>
              <w:jc w:val="center"/>
              <w:rPr>
                <w:rFonts w:cs="Times New Roman" w:asciiTheme="minorEastAsia" w:hAnsiTheme="minorEastAsia"/>
                <w:bCs/>
                <w:kern w:val="0"/>
                <w:szCs w:val="21"/>
              </w:rPr>
            </w:pPr>
            <w:r>
              <w:rPr>
                <w:rFonts w:cs="Times New Roman" w:asciiTheme="minorEastAsia" w:hAnsiTheme="minorEastAsia"/>
                <w:bCs/>
                <w:kern w:val="0"/>
                <w:szCs w:val="21"/>
              </w:rPr>
              <w:t>使用仪器</w:t>
            </w:r>
          </w:p>
        </w:tc>
        <w:tc>
          <w:tcPr>
            <w:tcW w:w="1169" w:type="dxa"/>
            <w:vAlign w:val="center"/>
          </w:tcPr>
          <w:p>
            <w:pPr>
              <w:widowControl/>
              <w:overflowPunct w:val="0"/>
              <w:topLinePunct/>
              <w:adjustRightInd w:val="0"/>
              <w:snapToGrid w:val="0"/>
              <w:jc w:val="center"/>
              <w:rPr>
                <w:rFonts w:cs="Times New Roman" w:asciiTheme="minorEastAsia" w:hAnsiTheme="minorEastAsia"/>
                <w:bCs/>
                <w:kern w:val="0"/>
                <w:szCs w:val="21"/>
              </w:rPr>
            </w:pPr>
            <w:r>
              <w:rPr>
                <w:rFonts w:cs="Times New Roman" w:asciiTheme="minorEastAsia" w:hAnsiTheme="minorEastAsia"/>
                <w:bCs/>
                <w:kern w:val="0"/>
                <w:szCs w:val="21"/>
              </w:rPr>
              <w:t>检出限（</w:t>
            </w:r>
            <w:r>
              <w:rPr>
                <w:rFonts w:cs="Times New Roman" w:asciiTheme="minorEastAsia" w:hAnsiTheme="minorEastAsia"/>
                <w:kern w:val="0"/>
                <w:szCs w:val="21"/>
              </w:rPr>
              <w:t>mg/L</w:t>
            </w:r>
            <w:r>
              <w:rPr>
                <w:rFonts w:cs="Times New Roman" w:asciiTheme="minorEastAsia" w:hAnsiTheme="minorEastAsia"/>
                <w:bCs/>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pH（无量纲）</w:t>
            </w:r>
          </w:p>
        </w:tc>
        <w:tc>
          <w:tcPr>
            <w:tcW w:w="2061"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玻璃电极法</w:t>
            </w:r>
          </w:p>
        </w:tc>
        <w:tc>
          <w:tcPr>
            <w:tcW w:w="1984" w:type="dxa"/>
            <w:vAlign w:val="center"/>
          </w:tcPr>
          <w:p>
            <w:pPr>
              <w:widowControl/>
              <w:overflowPunct w:val="0"/>
              <w:topLinePunct/>
              <w:adjustRightInd w:val="0"/>
              <w:snapToGrid w:val="0"/>
              <w:jc w:val="center"/>
              <w:rPr>
                <w:rFonts w:cs="Times New Roman" w:asciiTheme="minorEastAsia" w:hAnsiTheme="minorEastAsia"/>
                <w:spacing w:val="2"/>
                <w:kern w:val="0"/>
                <w:szCs w:val="21"/>
              </w:rPr>
            </w:pPr>
            <w:r>
              <w:rPr>
                <w:rFonts w:cs="Times New Roman" w:asciiTheme="minorEastAsia" w:hAnsiTheme="minorEastAsia"/>
                <w:kern w:val="0"/>
                <w:szCs w:val="21"/>
              </w:rPr>
              <w:t>GB/T 5750.4-2006</w:t>
            </w:r>
          </w:p>
        </w:tc>
        <w:tc>
          <w:tcPr>
            <w:tcW w:w="2034"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pH计 PHS-3C</w:t>
            </w:r>
          </w:p>
        </w:tc>
        <w:tc>
          <w:tcPr>
            <w:tcW w:w="1169" w:type="dxa"/>
            <w:vAlign w:val="center"/>
          </w:tcPr>
          <w:p>
            <w:pPr>
              <w:widowControl/>
              <w:overflowPunct w:val="0"/>
              <w:topLinePunct/>
              <w:adjustRightInd w:val="0"/>
              <w:snapToGrid w:val="0"/>
              <w:jc w:val="center"/>
              <w:rPr>
                <w:rFonts w:cs="Times New Roman" w:asciiTheme="minorEastAsia" w:hAnsiTheme="minorEastAsia"/>
                <w:spacing w:val="2"/>
                <w:kern w:val="0"/>
                <w:szCs w:val="21"/>
              </w:rPr>
            </w:pPr>
            <w:r>
              <w:rPr>
                <w:rFonts w:cs="Times New Roman" w:asciiTheme="minorEastAsia" w:hAnsiTheme="minorEastAsia"/>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K</w:t>
            </w:r>
            <w:r>
              <w:rPr>
                <w:rFonts w:cs="Times New Roman" w:asciiTheme="minorEastAsia" w:hAnsiTheme="minorEastAsia"/>
                <w:kern w:val="0"/>
                <w:szCs w:val="21"/>
                <w:vertAlign w:val="superscript"/>
              </w:rPr>
              <w:t>+</w:t>
            </w:r>
          </w:p>
        </w:tc>
        <w:tc>
          <w:tcPr>
            <w:tcW w:w="2061"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火焰原子吸收分光光度法</w:t>
            </w:r>
          </w:p>
        </w:tc>
        <w:tc>
          <w:tcPr>
            <w:tcW w:w="1984"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GB/T 5750.6-2006</w:t>
            </w:r>
          </w:p>
        </w:tc>
        <w:tc>
          <w:tcPr>
            <w:tcW w:w="2034"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原子吸收分光光度计</w:t>
            </w:r>
          </w:p>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TAS-990AFG</w:t>
            </w: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Na</w:t>
            </w:r>
            <w:r>
              <w:rPr>
                <w:rFonts w:cs="Times New Roman" w:asciiTheme="minorEastAsia" w:hAnsiTheme="minorEastAsia"/>
                <w:kern w:val="0"/>
                <w:szCs w:val="21"/>
                <w:vertAlign w:val="superscript"/>
              </w:rPr>
              <w:t>+</w:t>
            </w:r>
          </w:p>
        </w:tc>
        <w:tc>
          <w:tcPr>
            <w:tcW w:w="2061"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火焰原子吸收分光光度法</w:t>
            </w:r>
          </w:p>
        </w:tc>
        <w:tc>
          <w:tcPr>
            <w:tcW w:w="1984"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GB/T 5750.6-2006</w:t>
            </w:r>
          </w:p>
        </w:tc>
        <w:tc>
          <w:tcPr>
            <w:tcW w:w="2034"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原子吸收分光光度计</w:t>
            </w:r>
          </w:p>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 xml:space="preserve"> TAS-990AFG</w:t>
            </w: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Ca</w:t>
            </w:r>
            <w:r>
              <w:rPr>
                <w:rFonts w:cs="Times New Roman" w:asciiTheme="minorEastAsia" w:hAnsiTheme="minorEastAsia"/>
                <w:kern w:val="0"/>
                <w:szCs w:val="21"/>
                <w:vertAlign w:val="superscript"/>
              </w:rPr>
              <w:t>2+</w:t>
            </w:r>
          </w:p>
        </w:tc>
        <w:tc>
          <w:tcPr>
            <w:tcW w:w="2061"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《水质 钙和镁的测定 原子吸收分光光度法》</w:t>
            </w:r>
          </w:p>
          <w:p>
            <w:pPr>
              <w:widowControl/>
              <w:overflowPunct w:val="0"/>
              <w:topLinePunct/>
              <w:adjustRightInd w:val="0"/>
              <w:snapToGrid w:val="0"/>
              <w:jc w:val="center"/>
              <w:rPr>
                <w:rFonts w:cs="Times New Roman" w:asciiTheme="minorEastAsia" w:hAnsiTheme="minorEastAsia"/>
                <w:kern w:val="0"/>
                <w:szCs w:val="21"/>
              </w:rPr>
            </w:pPr>
          </w:p>
        </w:tc>
        <w:tc>
          <w:tcPr>
            <w:tcW w:w="1984"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GB 11905-1989</w:t>
            </w:r>
          </w:p>
        </w:tc>
        <w:tc>
          <w:tcPr>
            <w:tcW w:w="2034"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 xml:space="preserve">原子吸收分光光度计 </w:t>
            </w:r>
          </w:p>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TAS-990AFG</w:t>
            </w: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Mg</w:t>
            </w:r>
            <w:r>
              <w:rPr>
                <w:rFonts w:cs="Times New Roman" w:asciiTheme="minorEastAsia" w:hAnsiTheme="minorEastAsia"/>
                <w:kern w:val="0"/>
                <w:szCs w:val="21"/>
                <w:vertAlign w:val="superscript"/>
              </w:rPr>
              <w:t>2+</w:t>
            </w:r>
          </w:p>
        </w:tc>
        <w:tc>
          <w:tcPr>
            <w:tcW w:w="2061"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984"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2034"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CO</w:t>
            </w:r>
            <w:r>
              <w:rPr>
                <w:rFonts w:cs="Times New Roman" w:asciiTheme="minorEastAsia" w:hAnsiTheme="minorEastAsia"/>
                <w:kern w:val="0"/>
                <w:szCs w:val="21"/>
                <w:vertAlign w:val="subscript"/>
              </w:rPr>
              <w:t>3</w:t>
            </w:r>
            <w:r>
              <w:rPr>
                <w:rFonts w:cs="Times New Roman" w:asciiTheme="minorEastAsia" w:hAnsiTheme="minorEastAsia"/>
                <w:kern w:val="0"/>
                <w:szCs w:val="21"/>
                <w:vertAlign w:val="superscript"/>
              </w:rPr>
              <w:t>2-</w:t>
            </w:r>
          </w:p>
        </w:tc>
        <w:tc>
          <w:tcPr>
            <w:tcW w:w="2061"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酸碱指示剂滴定法</w:t>
            </w:r>
          </w:p>
        </w:tc>
        <w:tc>
          <w:tcPr>
            <w:tcW w:w="1984"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《水和废水监测分析方法》（第四版增补版）</w:t>
            </w:r>
          </w:p>
        </w:tc>
        <w:tc>
          <w:tcPr>
            <w:tcW w:w="2034"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滴定管25mL</w:t>
            </w: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1mmol/L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HCO</w:t>
            </w:r>
            <w:r>
              <w:rPr>
                <w:rFonts w:cs="Times New Roman" w:asciiTheme="minorEastAsia" w:hAnsiTheme="minorEastAsia"/>
                <w:kern w:val="0"/>
                <w:szCs w:val="21"/>
                <w:vertAlign w:val="subscript"/>
              </w:rPr>
              <w:t>3</w:t>
            </w:r>
            <w:r>
              <w:rPr>
                <w:rFonts w:cs="Times New Roman" w:asciiTheme="minorEastAsia" w:hAnsiTheme="minorEastAsia"/>
                <w:kern w:val="0"/>
                <w:szCs w:val="21"/>
                <w:vertAlign w:val="superscript"/>
              </w:rPr>
              <w:t>-</w:t>
            </w:r>
          </w:p>
        </w:tc>
        <w:tc>
          <w:tcPr>
            <w:tcW w:w="2061"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984"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2034"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1mmol/L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Cl</w:t>
            </w:r>
            <w:r>
              <w:rPr>
                <w:rFonts w:cs="Times New Roman" w:asciiTheme="minorEastAsia" w:hAnsiTheme="minorEastAsia"/>
                <w:kern w:val="0"/>
                <w:szCs w:val="21"/>
                <w:vertAlign w:val="superscript"/>
              </w:rPr>
              <w:t>-</w:t>
            </w:r>
          </w:p>
        </w:tc>
        <w:tc>
          <w:tcPr>
            <w:tcW w:w="2061"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《水质 无机阴离子（F</w:t>
            </w:r>
            <w:r>
              <w:rPr>
                <w:rFonts w:cs="Times New Roman" w:asciiTheme="minorEastAsia" w:hAnsiTheme="minorEastAsia"/>
                <w:kern w:val="0"/>
                <w:szCs w:val="21"/>
                <w:vertAlign w:val="superscript"/>
              </w:rPr>
              <w:t>-</w:t>
            </w:r>
            <w:r>
              <w:rPr>
                <w:rFonts w:cs="Times New Roman" w:asciiTheme="minorEastAsia" w:hAnsiTheme="minorEastAsia"/>
                <w:kern w:val="0"/>
                <w:szCs w:val="21"/>
              </w:rPr>
              <w:t>、C</w:t>
            </w:r>
            <w:r>
              <w:rPr>
                <w:rFonts w:cs="Times New Roman" w:asciiTheme="minorEastAsia" w:hAnsiTheme="minorEastAsia"/>
                <w:kern w:val="0"/>
                <w:szCs w:val="21"/>
                <w:vertAlign w:val="superscript"/>
              </w:rPr>
              <w:t>l-</w:t>
            </w:r>
            <w:r>
              <w:rPr>
                <w:rFonts w:cs="Times New Roman" w:asciiTheme="minorEastAsia" w:hAnsiTheme="minorEastAsia"/>
                <w:kern w:val="0"/>
                <w:szCs w:val="21"/>
              </w:rPr>
              <w:t>、NO</w:t>
            </w:r>
            <w:r>
              <w:rPr>
                <w:rFonts w:cs="Times New Roman" w:asciiTheme="minorEastAsia" w:hAnsiTheme="minorEastAsia"/>
                <w:kern w:val="0"/>
                <w:szCs w:val="21"/>
                <w:vertAlign w:val="superscript"/>
              </w:rPr>
              <w:t>2-</w:t>
            </w:r>
            <w:r>
              <w:rPr>
                <w:rFonts w:cs="Times New Roman" w:asciiTheme="minorEastAsia" w:hAnsiTheme="minorEastAsia"/>
                <w:kern w:val="0"/>
                <w:szCs w:val="21"/>
              </w:rPr>
              <w:t>、Br</w:t>
            </w:r>
            <w:r>
              <w:rPr>
                <w:rFonts w:cs="Times New Roman" w:asciiTheme="minorEastAsia" w:hAnsiTheme="minorEastAsia"/>
                <w:kern w:val="0"/>
                <w:szCs w:val="21"/>
                <w:vertAlign w:val="superscript"/>
              </w:rPr>
              <w:t>-</w:t>
            </w:r>
            <w:r>
              <w:rPr>
                <w:rFonts w:cs="Times New Roman" w:asciiTheme="minorEastAsia" w:hAnsiTheme="minorEastAsia"/>
                <w:kern w:val="0"/>
                <w:szCs w:val="21"/>
              </w:rPr>
              <w:t>、NO</w:t>
            </w:r>
            <w:r>
              <w:rPr>
                <w:rFonts w:cs="Times New Roman" w:asciiTheme="minorEastAsia" w:hAnsiTheme="minorEastAsia"/>
                <w:kern w:val="0"/>
                <w:szCs w:val="21"/>
                <w:vertAlign w:val="subscript"/>
              </w:rPr>
              <w:t>3</w:t>
            </w:r>
            <w:r>
              <w:rPr>
                <w:rFonts w:cs="Times New Roman" w:asciiTheme="minorEastAsia" w:hAnsiTheme="minorEastAsia"/>
                <w:kern w:val="0"/>
                <w:szCs w:val="21"/>
                <w:vertAlign w:val="superscript"/>
              </w:rPr>
              <w:t>-</w:t>
            </w:r>
            <w:r>
              <w:rPr>
                <w:rFonts w:cs="Times New Roman" w:asciiTheme="minorEastAsia" w:hAnsiTheme="minorEastAsia"/>
                <w:kern w:val="0"/>
                <w:szCs w:val="21"/>
              </w:rPr>
              <w:t>、PO</w:t>
            </w:r>
            <w:r>
              <w:rPr>
                <w:rFonts w:cs="Times New Roman" w:asciiTheme="minorEastAsia" w:hAnsiTheme="minorEastAsia"/>
                <w:kern w:val="0"/>
                <w:szCs w:val="21"/>
                <w:vertAlign w:val="subscript"/>
              </w:rPr>
              <w:t>4</w:t>
            </w:r>
            <w:r>
              <w:rPr>
                <w:rFonts w:cs="Times New Roman" w:asciiTheme="minorEastAsia" w:hAnsiTheme="minorEastAsia"/>
                <w:kern w:val="0"/>
                <w:szCs w:val="21"/>
                <w:vertAlign w:val="superscript"/>
              </w:rPr>
              <w:t>3</w:t>
            </w:r>
            <w:r>
              <w:rPr>
                <w:rFonts w:cs="Times New Roman" w:asciiTheme="minorEastAsia" w:hAnsiTheme="minorEastAsia"/>
                <w:kern w:val="0"/>
                <w:szCs w:val="21"/>
              </w:rPr>
              <w:t>-、SO</w:t>
            </w:r>
            <w:r>
              <w:rPr>
                <w:rFonts w:cs="Times New Roman" w:asciiTheme="minorEastAsia" w:hAnsiTheme="minorEastAsia"/>
                <w:kern w:val="0"/>
                <w:szCs w:val="21"/>
                <w:vertAlign w:val="subscript"/>
              </w:rPr>
              <w:t>3</w:t>
            </w:r>
            <w:r>
              <w:rPr>
                <w:rFonts w:cs="Times New Roman" w:asciiTheme="minorEastAsia" w:hAnsiTheme="minorEastAsia"/>
                <w:kern w:val="0"/>
                <w:szCs w:val="21"/>
                <w:vertAlign w:val="superscript"/>
              </w:rPr>
              <w:t>2-</w:t>
            </w:r>
            <w:r>
              <w:rPr>
                <w:rFonts w:cs="Times New Roman" w:asciiTheme="minorEastAsia" w:hAnsiTheme="minorEastAsia"/>
                <w:kern w:val="0"/>
                <w:szCs w:val="21"/>
              </w:rPr>
              <w:t>、SO</w:t>
            </w:r>
            <w:r>
              <w:rPr>
                <w:rFonts w:cs="Times New Roman" w:asciiTheme="minorEastAsia" w:hAnsiTheme="minorEastAsia"/>
                <w:kern w:val="0"/>
                <w:szCs w:val="21"/>
                <w:vertAlign w:val="subscript"/>
              </w:rPr>
              <w:t>4</w:t>
            </w:r>
            <w:r>
              <w:rPr>
                <w:rFonts w:cs="Times New Roman" w:asciiTheme="minorEastAsia" w:hAnsiTheme="minorEastAsia"/>
                <w:kern w:val="0"/>
                <w:szCs w:val="21"/>
                <w:vertAlign w:val="superscript"/>
              </w:rPr>
              <w:t>2-</w:t>
            </w:r>
            <w:r>
              <w:rPr>
                <w:rFonts w:cs="Times New Roman" w:asciiTheme="minorEastAsia" w:hAnsiTheme="minorEastAsia"/>
                <w:kern w:val="0"/>
                <w:szCs w:val="21"/>
              </w:rPr>
              <w:t>）的测定》离子色谱法</w:t>
            </w:r>
          </w:p>
        </w:tc>
        <w:tc>
          <w:tcPr>
            <w:tcW w:w="1984"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HJ 84-2016</w:t>
            </w:r>
          </w:p>
        </w:tc>
        <w:tc>
          <w:tcPr>
            <w:tcW w:w="2034"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离子色谱仪</w:t>
            </w:r>
          </w:p>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 xml:space="preserve"> CIC-D100型</w:t>
            </w: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0.007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570"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SO</w:t>
            </w:r>
            <w:r>
              <w:rPr>
                <w:rFonts w:cs="Times New Roman" w:asciiTheme="minorEastAsia" w:hAnsiTheme="minorEastAsia"/>
                <w:kern w:val="0"/>
                <w:szCs w:val="21"/>
                <w:vertAlign w:val="subscript"/>
              </w:rPr>
              <w:t>4</w:t>
            </w:r>
            <w:r>
              <w:rPr>
                <w:rFonts w:cs="Times New Roman" w:asciiTheme="minorEastAsia" w:hAnsiTheme="minorEastAsia"/>
                <w:kern w:val="0"/>
                <w:szCs w:val="21"/>
                <w:vertAlign w:val="superscript"/>
              </w:rPr>
              <w:t>2-</w:t>
            </w:r>
          </w:p>
        </w:tc>
        <w:tc>
          <w:tcPr>
            <w:tcW w:w="2061"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984"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2034"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0.018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总硬度</w:t>
            </w:r>
          </w:p>
        </w:tc>
        <w:tc>
          <w:tcPr>
            <w:tcW w:w="2061"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kern w:val="0"/>
                <w:szCs w:val="21"/>
              </w:rPr>
              <w:t>EDTA滴定法</w:t>
            </w:r>
          </w:p>
        </w:tc>
        <w:tc>
          <w:tcPr>
            <w:tcW w:w="198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spacing w:val="2"/>
                <w:szCs w:val="21"/>
              </w:rPr>
              <w:t>GB/T5750.4-2006</w:t>
            </w:r>
          </w:p>
        </w:tc>
        <w:tc>
          <w:tcPr>
            <w:tcW w:w="2034"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滴定管25mL</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硫酸盐</w:t>
            </w:r>
          </w:p>
        </w:tc>
        <w:tc>
          <w:tcPr>
            <w:tcW w:w="2061"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铬酸钡分光光度法</w:t>
            </w:r>
          </w:p>
        </w:tc>
        <w:tc>
          <w:tcPr>
            <w:tcW w:w="1984"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GB/T 5750.5-2006</w:t>
            </w:r>
          </w:p>
        </w:tc>
        <w:tc>
          <w:tcPr>
            <w:tcW w:w="2034"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kern w:val="0"/>
                <w:szCs w:val="21"/>
              </w:rPr>
              <w:t>双光束紫外可见分光光度计 TU-1900</w:t>
            </w:r>
          </w:p>
        </w:tc>
        <w:tc>
          <w:tcPr>
            <w:tcW w:w="1169" w:type="dxa"/>
            <w:vAlign w:val="center"/>
          </w:tcPr>
          <w:p>
            <w:pPr>
              <w:adjustRightInd w:val="0"/>
              <w:snapToGrid w:val="0"/>
              <w:jc w:val="center"/>
              <w:textAlignment w:val="center"/>
              <w:rPr>
                <w:rFonts w:cs="Times New Roman" w:asciiTheme="minorEastAsia" w:hAnsiTheme="minorEastAsia"/>
                <w:spacing w:val="2"/>
                <w:szCs w:val="21"/>
              </w:rPr>
            </w:pPr>
            <w:r>
              <w:rPr>
                <w:rFonts w:cs="Times New Roman" w:asciiTheme="minorEastAsia" w:hAnsiTheme="minorEastAsia"/>
                <w:spacing w:val="2"/>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氯化物</w:t>
            </w:r>
          </w:p>
        </w:tc>
        <w:tc>
          <w:tcPr>
            <w:tcW w:w="2061"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硝酸银滴定法</w:t>
            </w:r>
          </w:p>
        </w:tc>
        <w:tc>
          <w:tcPr>
            <w:tcW w:w="1984"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GB/T 5750.5-2006</w:t>
            </w:r>
          </w:p>
        </w:tc>
        <w:tc>
          <w:tcPr>
            <w:tcW w:w="2034"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滴定管25mL</w:t>
            </w:r>
          </w:p>
        </w:tc>
        <w:tc>
          <w:tcPr>
            <w:tcW w:w="1169"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溶解性总固体</w:t>
            </w:r>
          </w:p>
        </w:tc>
        <w:tc>
          <w:tcPr>
            <w:tcW w:w="2061"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kern w:val="0"/>
                <w:szCs w:val="21"/>
              </w:rPr>
              <w:t>重量法</w:t>
            </w:r>
          </w:p>
        </w:tc>
        <w:tc>
          <w:tcPr>
            <w:tcW w:w="1984"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spacing w:val="2"/>
                <w:szCs w:val="21"/>
              </w:rPr>
              <w:t>GB/T5750.4-2006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电子分析天平ES-E120B</w:t>
            </w:r>
            <w:r>
              <w:rPr>
                <w:rFonts w:hint="eastAsia" w:cs="宋体" w:asciiTheme="minorEastAsia" w:hAnsiTheme="minorEastAsia"/>
                <w:kern w:val="0"/>
                <w:szCs w:val="21"/>
              </w:rPr>
              <w:t>Ⅱ</w:t>
            </w:r>
          </w:p>
        </w:tc>
        <w:tc>
          <w:tcPr>
            <w:tcW w:w="1169"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耗氧量</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酸性高锰酸钾滴定法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rPr>
              <w:t>GB/T 5750.7-2006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滴定管</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3"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铁</w:t>
            </w:r>
          </w:p>
        </w:tc>
        <w:tc>
          <w:tcPr>
            <w:tcW w:w="2061" w:type="dxa"/>
            <w:vMerge w:val="restart"/>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火焰原子吸收</w:t>
            </w:r>
            <w:r>
              <w:rPr>
                <w:rFonts w:cs="Times New Roman" w:asciiTheme="minorEastAsia" w:hAnsiTheme="minorEastAsia"/>
                <w:kern w:val="0"/>
                <w:szCs w:val="21"/>
              </w:rPr>
              <w:br w:type="textWrapping"/>
            </w:r>
            <w:r>
              <w:rPr>
                <w:rFonts w:cs="Times New Roman" w:asciiTheme="minorEastAsia" w:hAnsiTheme="minorEastAsia"/>
                <w:kern w:val="0"/>
                <w:szCs w:val="21"/>
              </w:rPr>
              <w:t>分光光度法</w:t>
            </w:r>
          </w:p>
        </w:tc>
        <w:tc>
          <w:tcPr>
            <w:tcW w:w="1984" w:type="dxa"/>
            <w:vMerge w:val="restart"/>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szCs w:val="21"/>
              </w:rPr>
              <w:t>GB11911-1989</w:t>
            </w:r>
          </w:p>
        </w:tc>
        <w:tc>
          <w:tcPr>
            <w:tcW w:w="2034" w:type="dxa"/>
            <w:vMerge w:val="restart"/>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原子吸收分光光度计</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TAS-990AFG</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71"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锰</w:t>
            </w:r>
          </w:p>
        </w:tc>
        <w:tc>
          <w:tcPr>
            <w:tcW w:w="2061" w:type="dxa"/>
            <w:vMerge w:val="continue"/>
            <w:vAlign w:val="center"/>
          </w:tcPr>
          <w:p>
            <w:pPr>
              <w:adjustRightInd w:val="0"/>
              <w:snapToGrid w:val="0"/>
              <w:jc w:val="center"/>
              <w:textAlignment w:val="center"/>
              <w:rPr>
                <w:rFonts w:cs="Times New Roman" w:asciiTheme="minorEastAsia" w:hAnsiTheme="minorEastAsia"/>
                <w:kern w:val="0"/>
                <w:szCs w:val="21"/>
              </w:rPr>
            </w:pPr>
          </w:p>
        </w:tc>
        <w:tc>
          <w:tcPr>
            <w:tcW w:w="1984" w:type="dxa"/>
            <w:vMerge w:val="continue"/>
            <w:vAlign w:val="center"/>
          </w:tcPr>
          <w:p>
            <w:pPr>
              <w:adjustRightInd w:val="0"/>
              <w:snapToGrid w:val="0"/>
              <w:jc w:val="center"/>
              <w:textAlignment w:val="center"/>
              <w:rPr>
                <w:rFonts w:cs="Times New Roman" w:asciiTheme="minorEastAsia" w:hAnsiTheme="minorEastAsia"/>
                <w:kern w:val="0"/>
                <w:szCs w:val="21"/>
              </w:rPr>
            </w:pPr>
          </w:p>
        </w:tc>
        <w:tc>
          <w:tcPr>
            <w:tcW w:w="2034" w:type="dxa"/>
            <w:vMerge w:val="continue"/>
            <w:vAlign w:val="center"/>
          </w:tcPr>
          <w:p>
            <w:pPr>
              <w:adjustRightInd w:val="0"/>
              <w:snapToGrid w:val="0"/>
              <w:jc w:val="center"/>
              <w:textAlignment w:val="center"/>
              <w:rPr>
                <w:rFonts w:cs="Times New Roman" w:asciiTheme="minorEastAsia" w:hAnsiTheme="minorEastAsia"/>
                <w:kern w:val="0"/>
                <w:szCs w:val="21"/>
              </w:rPr>
            </w:pP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挥发性酚类</w:t>
            </w:r>
          </w:p>
          <w:p>
            <w:pPr>
              <w:adjustRightInd w:val="0"/>
              <w:snapToGrid w:val="0"/>
              <w:jc w:val="center"/>
              <w:textAlignment w:val="center"/>
              <w:rPr>
                <w:rFonts w:cs="Times New Roman" w:asciiTheme="minorEastAsia" w:hAnsiTheme="minorEastAsia"/>
                <w:kern w:val="0"/>
                <w:szCs w:val="21"/>
              </w:rPr>
            </w:pP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4-</w:t>
            </w:r>
            <w:r>
              <w:rPr>
                <w:rFonts w:cs="Times New Roman" w:asciiTheme="minorEastAsia" w:hAnsiTheme="minorEastAsia"/>
                <w:szCs w:val="21"/>
              </w:rPr>
              <w:t>氨基安替比林萃取</w:t>
            </w:r>
            <w:r>
              <w:rPr>
                <w:rFonts w:cs="Times New Roman" w:asciiTheme="minorEastAsia" w:hAnsiTheme="minorEastAsia"/>
                <w:kern w:val="0"/>
                <w:szCs w:val="21"/>
              </w:rPr>
              <w:br w:type="textWrapping"/>
            </w:r>
            <w:r>
              <w:rPr>
                <w:rFonts w:cs="Times New Roman" w:asciiTheme="minorEastAsia" w:hAnsiTheme="minorEastAsia"/>
                <w:szCs w:val="21"/>
              </w:rPr>
              <w:t>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lang w:bidi="ar"/>
              </w:rPr>
              <w:t>GB/T 5750.4-2006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双光束紫外可见分光光度计 TU-1900</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硝酸盐</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（以N计）</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麝香草酚分光光度法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GB/T 5750.5-2006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双光束紫外可见分光光度计 TU-1900</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亚硝酸盐</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（以N计）</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GB/T 5750.5-2006</w:t>
            </w:r>
          </w:p>
        </w:tc>
        <w:tc>
          <w:tcPr>
            <w:tcW w:w="2034" w:type="dxa"/>
            <w:vMerge w:val="restart"/>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双光束紫外可见分光光度计 TU-1900</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氨氮</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纳氏试剂分光光度法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GB/T 5750.5-2006</w:t>
            </w:r>
          </w:p>
        </w:tc>
        <w:tc>
          <w:tcPr>
            <w:tcW w:w="2034" w:type="dxa"/>
            <w:vMerge w:val="continue"/>
            <w:vAlign w:val="center"/>
          </w:tcPr>
          <w:p>
            <w:pPr>
              <w:adjustRightInd w:val="0"/>
              <w:snapToGrid w:val="0"/>
              <w:jc w:val="center"/>
              <w:textAlignment w:val="center"/>
              <w:rPr>
                <w:rFonts w:cs="Times New Roman" w:asciiTheme="minorEastAsia" w:hAnsiTheme="minorEastAsia"/>
                <w:kern w:val="0"/>
                <w:szCs w:val="21"/>
              </w:rPr>
            </w:pP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氟化物</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离子选择电极法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rPr>
              <w:t>GB/T 5750.5-2006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PF-1-01氟离子电极</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氰化物</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异烟酸-吡唑啉酮</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GB/T 5750.5-2006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双光束紫外可见分光光度计 TU-1900</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汞</w:t>
            </w:r>
          </w:p>
        </w:tc>
        <w:tc>
          <w:tcPr>
            <w:tcW w:w="2061"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bCs/>
                <w:kern w:val="0"/>
                <w:szCs w:val="21"/>
              </w:rPr>
              <w:t>原子荧光法</w:t>
            </w:r>
          </w:p>
        </w:tc>
        <w:tc>
          <w:tcPr>
            <w:tcW w:w="1984" w:type="dxa"/>
            <w:vMerge w:val="restart"/>
            <w:vAlign w:val="center"/>
          </w:tcPr>
          <w:p>
            <w:pPr>
              <w:widowControl/>
              <w:overflowPunct w:val="0"/>
              <w:topLinePunct/>
              <w:adjustRightInd w:val="0"/>
              <w:snapToGrid w:val="0"/>
              <w:jc w:val="center"/>
              <w:rPr>
                <w:rFonts w:cs="Times New Roman" w:asciiTheme="minorEastAsia" w:hAnsiTheme="minorEastAsia"/>
                <w:kern w:val="0"/>
                <w:szCs w:val="21"/>
                <w:lang w:bidi="ar"/>
              </w:rPr>
            </w:pPr>
            <w:r>
              <w:rPr>
                <w:rFonts w:cs="Times New Roman" w:asciiTheme="minorEastAsia" w:hAnsiTheme="minorEastAsia"/>
                <w:kern w:val="0"/>
                <w:szCs w:val="21"/>
              </w:rPr>
              <w:t>GB/T 5750.6-2006</w:t>
            </w:r>
          </w:p>
        </w:tc>
        <w:tc>
          <w:tcPr>
            <w:tcW w:w="2034" w:type="dxa"/>
            <w:vMerge w:val="restart"/>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原子荧光光度计</w:t>
            </w:r>
          </w:p>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PF31</w:t>
            </w: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0.1μg/L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砷</w:t>
            </w:r>
          </w:p>
        </w:tc>
        <w:tc>
          <w:tcPr>
            <w:tcW w:w="2061"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984" w:type="dxa"/>
            <w:vMerge w:val="continue"/>
            <w:vAlign w:val="center"/>
          </w:tcPr>
          <w:p>
            <w:pPr>
              <w:widowControl/>
              <w:overflowPunct w:val="0"/>
              <w:topLinePunct/>
              <w:adjustRightInd w:val="0"/>
              <w:snapToGrid w:val="0"/>
              <w:jc w:val="center"/>
              <w:rPr>
                <w:rFonts w:cs="Times New Roman" w:asciiTheme="minorEastAsia" w:hAnsiTheme="minorEastAsia"/>
                <w:kern w:val="0"/>
                <w:szCs w:val="21"/>
                <w:lang w:bidi="ar"/>
              </w:rPr>
            </w:pPr>
          </w:p>
        </w:tc>
        <w:tc>
          <w:tcPr>
            <w:tcW w:w="2034" w:type="dxa"/>
            <w:vMerge w:val="continue"/>
            <w:vAlign w:val="center"/>
          </w:tcPr>
          <w:p>
            <w:pPr>
              <w:widowControl/>
              <w:overflowPunct w:val="0"/>
              <w:topLinePunct/>
              <w:adjustRightInd w:val="0"/>
              <w:snapToGrid w:val="0"/>
              <w:jc w:val="center"/>
              <w:rPr>
                <w:rFonts w:cs="Times New Roman" w:asciiTheme="minorEastAsia" w:hAnsiTheme="minorEastAsia"/>
                <w:kern w:val="0"/>
                <w:szCs w:val="21"/>
              </w:rPr>
            </w:pPr>
          </w:p>
        </w:tc>
        <w:tc>
          <w:tcPr>
            <w:tcW w:w="1169" w:type="dxa"/>
            <w:vAlign w:val="center"/>
          </w:tcPr>
          <w:p>
            <w:pPr>
              <w:widowControl/>
              <w:overflowPunct w:val="0"/>
              <w:topLinePunct/>
              <w:adjustRightInd w:val="0"/>
              <w:snapToGrid w:val="0"/>
              <w:jc w:val="center"/>
              <w:rPr>
                <w:rFonts w:cs="Times New Roman" w:asciiTheme="minorEastAsia" w:hAnsiTheme="minorEastAsia"/>
                <w:kern w:val="0"/>
                <w:szCs w:val="21"/>
              </w:rPr>
            </w:pPr>
            <w:r>
              <w:rPr>
                <w:rFonts w:cs="Times New Roman" w:asciiTheme="minorEastAsia" w:hAnsiTheme="minorEastAsia"/>
                <w:kern w:val="0"/>
                <w:szCs w:val="21"/>
              </w:rPr>
              <w:t>1.0μg/L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镉</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无火焰原子吸收分光光度法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GB/T 5750.6-2006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原子吸收分光光度计</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TAS-990AFG</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0.5</w:t>
            </w:r>
            <w:r>
              <w:rPr>
                <w:rFonts w:cs="Times New Roman" w:asciiTheme="minorEastAsia" w:hAnsiTheme="minorEastAsia"/>
                <w:szCs w:val="21"/>
              </w:rPr>
              <w:t>μg/L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92"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铬（六价）</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二苯碳酰二肼</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rPr>
              <w:t>GB/T 5750.6-2006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双光束紫外可见分光光度计 TU-1900</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0.004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91"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铅</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无火焰原子吸收分光光度法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GB/T 5750.6-2006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 xml:space="preserve">原子吸收分光光度计 </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TAS-990AFG</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2.5μg/L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总大肠菌群</w:t>
            </w:r>
          </w:p>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（CFU/100L）</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滤膜法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GB/T 5750.12-2006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电热恒温培养箱DHP-9162B</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1570"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细菌总数（CFU/L）</w:t>
            </w:r>
          </w:p>
        </w:tc>
        <w:tc>
          <w:tcPr>
            <w:tcW w:w="2061"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平皿计数法</w:t>
            </w:r>
          </w:p>
        </w:tc>
        <w:tc>
          <w:tcPr>
            <w:tcW w:w="1984" w:type="dxa"/>
            <w:vAlign w:val="center"/>
          </w:tcPr>
          <w:p>
            <w:pPr>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GB/T 5750.12-2006</w:t>
            </w:r>
          </w:p>
        </w:tc>
        <w:tc>
          <w:tcPr>
            <w:tcW w:w="2034"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电热恒温培养箱DHP-9162B</w:t>
            </w:r>
          </w:p>
        </w:tc>
        <w:tc>
          <w:tcPr>
            <w:tcW w:w="1169" w:type="dxa"/>
            <w:vAlign w:val="center"/>
          </w:tcPr>
          <w:p>
            <w:pPr>
              <w:adjustRightInd w:val="0"/>
              <w:snapToGrid w:val="0"/>
              <w:jc w:val="center"/>
              <w:textAlignment w:val="center"/>
              <w:rPr>
                <w:rFonts w:cs="Times New Roman" w:asciiTheme="minorEastAsia" w:hAnsiTheme="minorEastAsia"/>
                <w:kern w:val="0"/>
                <w:szCs w:val="21"/>
              </w:rPr>
            </w:pPr>
            <w:r>
              <w:rPr>
                <w:rFonts w:cs="Times New Roman" w:asciiTheme="minorEastAsia" w:hAnsiTheme="minorEastAsia"/>
                <w:kern w:val="0"/>
                <w:szCs w:val="21"/>
              </w:rPr>
              <w:t>/</w:t>
            </w:r>
          </w:p>
        </w:tc>
      </w:tr>
    </w:tbl>
    <w:p>
      <w:pPr>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6</w:t>
      </w:r>
      <w:r>
        <w:rPr>
          <w:rFonts w:cs="Times New Roman" w:asciiTheme="minorEastAsia" w:hAnsiTheme="minorEastAsia"/>
          <w:color w:val="000000"/>
          <w:sz w:val="24"/>
          <w:szCs w:val="24"/>
        </w:rPr>
        <w:t xml:space="preserve">、监测时间及频率 </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2019年3月3日至3月4日</w:t>
      </w:r>
      <w:r>
        <w:rPr>
          <w:rFonts w:hint="eastAsia" w:cs="Times New Roman" w:asciiTheme="minorEastAsia" w:hAnsiTheme="minorEastAsia"/>
          <w:color w:val="000000"/>
          <w:sz w:val="24"/>
          <w:szCs w:val="24"/>
        </w:rPr>
        <w:t>，</w:t>
      </w:r>
      <w:r>
        <w:rPr>
          <w:rFonts w:cs="Times New Roman" w:asciiTheme="minorEastAsia" w:hAnsiTheme="minorEastAsia"/>
          <w:sz w:val="24"/>
          <w:szCs w:val="24"/>
        </w:rPr>
        <w:t>河南松筠检测技术有限公司</w:t>
      </w:r>
      <w:r>
        <w:rPr>
          <w:rFonts w:cs="Times New Roman" w:asciiTheme="minorEastAsia" w:hAnsiTheme="minorEastAsia"/>
          <w:color w:val="000000"/>
          <w:sz w:val="24"/>
          <w:szCs w:val="24"/>
        </w:rPr>
        <w:t>对</w:t>
      </w:r>
      <w:r>
        <w:rPr>
          <w:rFonts w:hint="eastAsia" w:cs="Times New Roman" w:asciiTheme="minorEastAsia" w:hAnsiTheme="minorEastAsia"/>
          <w:sz w:val="24"/>
          <w:szCs w:val="24"/>
        </w:rPr>
        <w:t>西平县天顺再生资源有限公司年产3万吨塑料颗粒项目</w:t>
      </w:r>
      <w:r>
        <w:rPr>
          <w:rFonts w:cs="Times New Roman" w:asciiTheme="minorEastAsia" w:hAnsiTheme="minorEastAsia"/>
          <w:color w:val="000000"/>
          <w:sz w:val="24"/>
          <w:szCs w:val="24"/>
        </w:rPr>
        <w:t>所在区域地下水环境质量现状进行了监测，一次性连续监测2天，每天采样1次，报1组有效数据。</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7、监测结果及分析</w:t>
      </w:r>
    </w:p>
    <w:bookmarkEnd w:id="61"/>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本次地下水质量现状监测结果统计见表4.3-4。</w:t>
      </w:r>
    </w:p>
    <w:p>
      <w:pPr>
        <w:widowControl/>
        <w:adjustRightInd w:val="0"/>
        <w:snapToGrid w:val="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表4.3-4    地下水质量现状监测结果统计表</w:t>
      </w:r>
    </w:p>
    <w:tbl>
      <w:tblPr>
        <w:tblStyle w:val="27"/>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309"/>
        <w:gridCol w:w="1024"/>
        <w:gridCol w:w="1097"/>
        <w:gridCol w:w="1096"/>
        <w:gridCol w:w="1139"/>
        <w:gridCol w:w="1018"/>
        <w:gridCol w:w="1153"/>
        <w:gridCol w:w="116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监测点位</w:t>
            </w:r>
          </w:p>
        </w:tc>
        <w:tc>
          <w:tcPr>
            <w:tcW w:w="2121" w:type="dxa"/>
            <w:gridSpan w:val="2"/>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袁庄</w:t>
            </w:r>
          </w:p>
        </w:tc>
        <w:tc>
          <w:tcPr>
            <w:tcW w:w="2235" w:type="dxa"/>
            <w:gridSpan w:val="2"/>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徐魏庄</w:t>
            </w:r>
          </w:p>
        </w:tc>
        <w:tc>
          <w:tcPr>
            <w:tcW w:w="2171" w:type="dxa"/>
            <w:gridSpan w:val="2"/>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樊庄</w:t>
            </w:r>
          </w:p>
        </w:tc>
        <w:tc>
          <w:tcPr>
            <w:tcW w:w="1168" w:type="dxa"/>
            <w:vMerge w:val="restar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标准值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监测因子</w:t>
            </w:r>
          </w:p>
        </w:tc>
        <w:tc>
          <w:tcPr>
            <w:tcW w:w="102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监测值</w:t>
            </w:r>
          </w:p>
        </w:tc>
        <w:tc>
          <w:tcPr>
            <w:tcW w:w="1097"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标准指数</w:t>
            </w:r>
          </w:p>
        </w:tc>
        <w:tc>
          <w:tcPr>
            <w:tcW w:w="109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监测值</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标准指数</w:t>
            </w:r>
          </w:p>
        </w:tc>
        <w:tc>
          <w:tcPr>
            <w:tcW w:w="101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监测值</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标准指数</w:t>
            </w:r>
          </w:p>
        </w:tc>
        <w:tc>
          <w:tcPr>
            <w:tcW w:w="1168" w:type="dxa"/>
            <w:vMerge w:val="continue"/>
            <w:vAlign w:val="center"/>
          </w:tcPr>
          <w:p>
            <w:pPr>
              <w:adjustRightInd w:val="0"/>
              <w:snapToGrid w:val="0"/>
              <w:jc w:val="center"/>
              <w:rPr>
                <w:rFonts w:cs="Times New Roman" w:asciiTheme="minorEastAsia" w:hAnsiTheme="minorEastAsia"/>
                <w:color w:val="000000"/>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pH值</w:t>
            </w:r>
          </w:p>
        </w:tc>
        <w:tc>
          <w:tcPr>
            <w:tcW w:w="102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7.37</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0.247</w:t>
            </w:r>
          </w:p>
        </w:tc>
        <w:tc>
          <w:tcPr>
            <w:tcW w:w="109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7.20</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0.133</w:t>
            </w:r>
          </w:p>
        </w:tc>
        <w:tc>
          <w:tcPr>
            <w:tcW w:w="101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7.33</w:t>
            </w:r>
          </w:p>
        </w:tc>
        <w:tc>
          <w:tcPr>
            <w:tcW w:w="1153"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0.220</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6.5～8.5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K</w:t>
            </w:r>
            <w:r>
              <w:rPr>
                <w:rFonts w:cs="Times New Roman" w:asciiTheme="minorEastAsia" w:hAnsiTheme="minorEastAsia"/>
                <w:szCs w:val="21"/>
                <w:vertAlign w:val="superscript"/>
              </w:rPr>
              <w:t>+</w:t>
            </w:r>
          </w:p>
        </w:tc>
        <w:tc>
          <w:tcPr>
            <w:tcW w:w="102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0.40</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0.07</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0.07</w:t>
            </w:r>
          </w:p>
        </w:tc>
        <w:tc>
          <w:tcPr>
            <w:tcW w:w="1153"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szCs w:val="21"/>
              </w:rPr>
              <w:t>Na</w:t>
            </w:r>
            <w:r>
              <w:rPr>
                <w:rFonts w:cs="Times New Roman" w:asciiTheme="minorEastAsia" w:hAnsiTheme="minorEastAsia"/>
                <w:szCs w:val="21"/>
                <w:vertAlign w:val="superscript"/>
              </w:rPr>
              <w:t>+</w:t>
            </w:r>
          </w:p>
        </w:tc>
        <w:tc>
          <w:tcPr>
            <w:tcW w:w="1024"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43.1</w:t>
            </w:r>
          </w:p>
        </w:tc>
        <w:tc>
          <w:tcPr>
            <w:tcW w:w="1097" w:type="dxa"/>
            <w:vAlign w:val="center"/>
          </w:tcPr>
          <w:p>
            <w:pPr>
              <w:widowControl/>
              <w:adjustRightInd w:val="0"/>
              <w:snapToGrid w:val="0"/>
              <w:jc w:val="center"/>
              <w:textAlignment w:val="center"/>
              <w:rPr>
                <w:rFonts w:cs="Times New Roman" w:asciiTheme="minorEastAsia" w:hAnsiTheme="minorEastAsia"/>
                <w:bCs/>
                <w:color w:val="000000"/>
                <w:szCs w:val="21"/>
              </w:rPr>
            </w:pPr>
            <w:r>
              <w:rPr>
                <w:rFonts w:cs="Times New Roman" w:asciiTheme="minorEastAsia" w:hAnsiTheme="minorEastAsia"/>
                <w:bCs/>
                <w:color w:val="000000"/>
                <w:szCs w:val="21"/>
              </w:rPr>
              <w:t>0.216</w:t>
            </w:r>
          </w:p>
        </w:tc>
        <w:tc>
          <w:tcPr>
            <w:tcW w:w="1096"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38.1</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0.191</w:t>
            </w:r>
          </w:p>
        </w:tc>
        <w:tc>
          <w:tcPr>
            <w:tcW w:w="101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42.0</w:t>
            </w:r>
          </w:p>
        </w:tc>
        <w:tc>
          <w:tcPr>
            <w:tcW w:w="1153"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0.210</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szCs w:val="21"/>
              </w:rPr>
              <w:t>Ca</w:t>
            </w:r>
            <w:r>
              <w:rPr>
                <w:rFonts w:cs="Times New Roman" w:asciiTheme="minorEastAsia" w:hAnsiTheme="minorEastAsia"/>
                <w:szCs w:val="21"/>
                <w:vertAlign w:val="superscript"/>
              </w:rPr>
              <w:t>2+</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47.6</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48.4</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52.5</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szCs w:val="21"/>
              </w:rPr>
              <w:t>Mg</w:t>
            </w:r>
            <w:r>
              <w:rPr>
                <w:rFonts w:cs="Times New Roman" w:asciiTheme="minorEastAsia" w:hAnsiTheme="minorEastAsia"/>
                <w:szCs w:val="21"/>
                <w:vertAlign w:val="superscript"/>
              </w:rPr>
              <w:t>2+</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22.8</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27.1</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23.0</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szCs w:val="21"/>
              </w:rPr>
              <w:t>CO</w:t>
            </w:r>
            <w:r>
              <w:rPr>
                <w:rFonts w:cs="Times New Roman" w:asciiTheme="minorEastAsia" w:hAnsiTheme="minorEastAsia"/>
                <w:szCs w:val="21"/>
                <w:vertAlign w:val="subscript"/>
              </w:rPr>
              <w:t>3</w:t>
            </w:r>
            <w:r>
              <w:rPr>
                <w:rFonts w:cs="Times New Roman" w:asciiTheme="minorEastAsia" w:hAnsiTheme="minorEastAsia"/>
                <w:szCs w:val="21"/>
                <w:vertAlign w:val="superscript"/>
              </w:rPr>
              <w:t>2-</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szCs w:val="21"/>
              </w:rPr>
              <w:t>HCO</w:t>
            </w:r>
            <w:r>
              <w:rPr>
                <w:rFonts w:cs="Times New Roman" w:asciiTheme="minorEastAsia" w:hAnsiTheme="minorEastAsia"/>
                <w:szCs w:val="21"/>
                <w:vertAlign w:val="subscript"/>
              </w:rPr>
              <w:t>3</w:t>
            </w:r>
            <w:r>
              <w:rPr>
                <w:rFonts w:cs="Times New Roman" w:asciiTheme="minorEastAsia" w:hAnsiTheme="minorEastAsia"/>
                <w:szCs w:val="21"/>
                <w:vertAlign w:val="superscript"/>
              </w:rPr>
              <w:t>-</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5.49</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5.62</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5.70</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szCs w:val="21"/>
              </w:rPr>
              <w:t>Cl</w:t>
            </w:r>
            <w:r>
              <w:rPr>
                <w:rFonts w:cs="Times New Roman" w:asciiTheme="minorEastAsia" w:hAnsiTheme="minorEastAsia"/>
                <w:szCs w:val="21"/>
                <w:vertAlign w:val="superscript"/>
              </w:rPr>
              <w:t>-</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6.62</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0.026</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6.81</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0.027</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7.95</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0.032</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bCs/>
                <w:color w:val="000000"/>
                <w:szCs w:val="21"/>
              </w:rPr>
            </w:pPr>
            <w:r>
              <w:rPr>
                <w:rFonts w:cs="Times New Roman" w:asciiTheme="minorEastAsia" w:hAnsiTheme="minorEastAsia"/>
                <w:szCs w:val="21"/>
              </w:rPr>
              <w:t>SO</w:t>
            </w:r>
            <w:r>
              <w:rPr>
                <w:rFonts w:cs="Times New Roman" w:asciiTheme="minorEastAsia" w:hAnsiTheme="minorEastAsia"/>
                <w:szCs w:val="21"/>
                <w:vertAlign w:val="subscript"/>
              </w:rPr>
              <w:t>4</w:t>
            </w:r>
            <w:r>
              <w:rPr>
                <w:rFonts w:cs="Times New Roman" w:asciiTheme="minorEastAsia" w:hAnsiTheme="minorEastAsia"/>
                <w:szCs w:val="21"/>
                <w:vertAlign w:val="superscript"/>
              </w:rPr>
              <w:t>2-</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28.6</w:t>
            </w:r>
          </w:p>
        </w:tc>
        <w:tc>
          <w:tcPr>
            <w:tcW w:w="1097" w:type="dxa"/>
            <w:vAlign w:val="center"/>
          </w:tcPr>
          <w:p>
            <w:pPr>
              <w:widowControl/>
              <w:adjustRightInd w:val="0"/>
              <w:snapToGrid w:val="0"/>
              <w:jc w:val="center"/>
              <w:textAlignment w:val="center"/>
              <w:rPr>
                <w:rFonts w:cs="Times New Roman" w:asciiTheme="minorEastAsia" w:hAnsiTheme="minorEastAsia"/>
                <w:bCs/>
                <w:color w:val="000000"/>
                <w:szCs w:val="21"/>
              </w:rPr>
            </w:pPr>
            <w:r>
              <w:rPr>
                <w:rFonts w:cs="Times New Roman" w:asciiTheme="minorEastAsia" w:hAnsiTheme="minorEastAsia"/>
                <w:bCs/>
                <w:color w:val="000000"/>
                <w:szCs w:val="21"/>
              </w:rPr>
              <w:t>0.114</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25.5</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0.102</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24.7</w:t>
            </w:r>
          </w:p>
        </w:tc>
        <w:tc>
          <w:tcPr>
            <w:tcW w:w="1153"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0.099</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氨氮</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亚硝酸盐</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0.005</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bCs/>
                <w:szCs w:val="21"/>
              </w:rPr>
              <w:t>0.005</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0.004</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0.004</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0.003</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bCs/>
                <w:szCs w:val="21"/>
              </w:rPr>
              <w:t>0.003</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szCs w:val="21"/>
              </w:rPr>
            </w:pPr>
            <w:r>
              <w:rPr>
                <w:rFonts w:cs="Times New Roman" w:asciiTheme="minorEastAsia" w:hAnsiTheme="minorEastAsia"/>
                <w:kern w:val="0"/>
                <w:szCs w:val="21"/>
                <w:lang w:bidi="ar"/>
              </w:rPr>
              <w:t>硝酸盐</w:t>
            </w:r>
          </w:p>
        </w:tc>
        <w:tc>
          <w:tcPr>
            <w:tcW w:w="1024"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szCs w:val="21"/>
              </w:rPr>
              <w:t>/</w:t>
            </w:r>
          </w:p>
        </w:tc>
        <w:tc>
          <w:tcPr>
            <w:tcW w:w="1096" w:type="dxa"/>
            <w:vAlign w:val="center"/>
          </w:tcPr>
          <w:p>
            <w:pPr>
              <w:adjustRightInd w:val="0"/>
              <w:snapToGrid w:val="0"/>
              <w:jc w:val="center"/>
              <w:textAlignment w:val="center"/>
              <w:rPr>
                <w:rFonts w:cs="Times New Roman" w:asciiTheme="minorEastAsia" w:hAnsiTheme="minorEastAsia"/>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018"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挥发性酚类</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总硬度</w:t>
            </w:r>
          </w:p>
        </w:tc>
        <w:tc>
          <w:tcPr>
            <w:tcW w:w="1024"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214</w:t>
            </w:r>
          </w:p>
        </w:tc>
        <w:tc>
          <w:tcPr>
            <w:tcW w:w="1097"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0.476</w:t>
            </w:r>
          </w:p>
        </w:tc>
        <w:tc>
          <w:tcPr>
            <w:tcW w:w="1096"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234</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0.520</w:t>
            </w:r>
          </w:p>
        </w:tc>
        <w:tc>
          <w:tcPr>
            <w:tcW w:w="1018"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227</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0.504</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≤450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溶解性总</w:t>
            </w:r>
          </w:p>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固体</w:t>
            </w:r>
          </w:p>
        </w:tc>
        <w:tc>
          <w:tcPr>
            <w:tcW w:w="1024"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362</w:t>
            </w:r>
          </w:p>
        </w:tc>
        <w:tc>
          <w:tcPr>
            <w:tcW w:w="1097"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0.362</w:t>
            </w:r>
          </w:p>
        </w:tc>
        <w:tc>
          <w:tcPr>
            <w:tcW w:w="1096"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355</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0.355</w:t>
            </w:r>
          </w:p>
        </w:tc>
        <w:tc>
          <w:tcPr>
            <w:tcW w:w="1018"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371</w:t>
            </w:r>
          </w:p>
        </w:tc>
        <w:tc>
          <w:tcPr>
            <w:tcW w:w="1153"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0.371</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耗氧量</w:t>
            </w:r>
          </w:p>
        </w:tc>
        <w:tc>
          <w:tcPr>
            <w:tcW w:w="1024"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0.40</w:t>
            </w:r>
          </w:p>
        </w:tc>
        <w:tc>
          <w:tcPr>
            <w:tcW w:w="1097"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0.133</w:t>
            </w:r>
          </w:p>
        </w:tc>
        <w:tc>
          <w:tcPr>
            <w:tcW w:w="1096"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0.47</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0.157</w:t>
            </w:r>
          </w:p>
        </w:tc>
        <w:tc>
          <w:tcPr>
            <w:tcW w:w="1018"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0.44</w:t>
            </w:r>
          </w:p>
        </w:tc>
        <w:tc>
          <w:tcPr>
            <w:tcW w:w="1153"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0.147</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氯化物</w:t>
            </w:r>
          </w:p>
        </w:tc>
        <w:tc>
          <w:tcPr>
            <w:tcW w:w="1024"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7.55</w:t>
            </w:r>
          </w:p>
        </w:tc>
        <w:tc>
          <w:tcPr>
            <w:tcW w:w="1097"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0.0755</w:t>
            </w:r>
          </w:p>
        </w:tc>
        <w:tc>
          <w:tcPr>
            <w:tcW w:w="1096"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7.24</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0.0724</w:t>
            </w:r>
          </w:p>
        </w:tc>
        <w:tc>
          <w:tcPr>
            <w:tcW w:w="1018"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8.05</w:t>
            </w:r>
          </w:p>
        </w:tc>
        <w:tc>
          <w:tcPr>
            <w:tcW w:w="1153"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0.0805</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kern w:val="0"/>
                <w:szCs w:val="21"/>
                <w:lang w:bidi="ar"/>
              </w:rPr>
            </w:pPr>
            <w:r>
              <w:rPr>
                <w:rFonts w:cs="Times New Roman" w:asciiTheme="minorEastAsia" w:hAnsiTheme="minorEastAsia"/>
                <w:kern w:val="0"/>
                <w:szCs w:val="21"/>
                <w:lang w:bidi="ar"/>
              </w:rPr>
              <w:t>氟化物</w:t>
            </w:r>
          </w:p>
        </w:tc>
        <w:tc>
          <w:tcPr>
            <w:tcW w:w="1024"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0.3</w:t>
            </w:r>
          </w:p>
        </w:tc>
        <w:tc>
          <w:tcPr>
            <w:tcW w:w="1097"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bCs/>
                <w:szCs w:val="21"/>
              </w:rPr>
              <w:t>0.3</w:t>
            </w:r>
          </w:p>
        </w:tc>
        <w:tc>
          <w:tcPr>
            <w:tcW w:w="1096"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0.3</w:t>
            </w:r>
          </w:p>
        </w:tc>
        <w:tc>
          <w:tcPr>
            <w:tcW w:w="1139"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bCs/>
                <w:szCs w:val="21"/>
              </w:rPr>
              <w:t>0.3</w:t>
            </w:r>
          </w:p>
        </w:tc>
        <w:tc>
          <w:tcPr>
            <w:tcW w:w="1018" w:type="dxa"/>
            <w:vAlign w:val="center"/>
          </w:tcPr>
          <w:p>
            <w:pPr>
              <w:adjustRightInd w:val="0"/>
              <w:snapToGrid w:val="0"/>
              <w:jc w:val="center"/>
              <w:textAlignment w:val="center"/>
              <w:rPr>
                <w:rFonts w:cs="Times New Roman" w:asciiTheme="minorEastAsia" w:hAnsiTheme="minorEastAsia"/>
                <w:bCs/>
                <w:szCs w:val="21"/>
              </w:rPr>
            </w:pPr>
            <w:r>
              <w:rPr>
                <w:rFonts w:cs="Times New Roman" w:asciiTheme="minorEastAsia" w:hAnsiTheme="minorEastAsia"/>
                <w:bCs/>
                <w:szCs w:val="21"/>
              </w:rPr>
              <w:t>0.3</w:t>
            </w:r>
          </w:p>
        </w:tc>
        <w:tc>
          <w:tcPr>
            <w:tcW w:w="1153"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bCs/>
                <w:szCs w:val="21"/>
              </w:rPr>
              <w:t>0.3</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氰化物</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砷</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汞</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widowControl/>
              <w:adjustRightInd w:val="0"/>
              <w:snapToGrid w:val="0"/>
              <w:jc w:val="center"/>
              <w:textAlignment w:val="center"/>
              <w:rPr>
                <w:rFonts w:cs="Times New Roman" w:asciiTheme="minorEastAsia" w:hAnsiTheme="minorEastAsia"/>
                <w:bCs/>
                <w:color w:val="000000"/>
                <w:szCs w:val="21"/>
              </w:rPr>
            </w:pPr>
            <w:r>
              <w:rPr>
                <w:rFonts w:cs="Times New Roman" w:asciiTheme="minorEastAsia" w:hAnsiTheme="minorEastAsia"/>
                <w:color w:val="000000"/>
                <w:szCs w:val="21"/>
              </w:rPr>
              <w:t>/</w:t>
            </w:r>
            <w:r>
              <w:rPr>
                <w:rFonts w:cs="Times New Roman" w:asciiTheme="minorEastAsia" w:hAnsiTheme="minorEastAsia"/>
                <w:color w:val="000000"/>
                <w:kern w:val="0"/>
                <w:szCs w:val="21"/>
                <w:lang w:bidi="ar"/>
              </w:rPr>
              <w:t xml:space="preserve"> </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w:t>
            </w:r>
            <w:r>
              <w:rPr>
                <w:rFonts w:cs="Times New Roman" w:asciiTheme="minorEastAsia" w:hAnsiTheme="minorEastAsia"/>
                <w:color w:val="000000"/>
                <w:kern w:val="0"/>
                <w:szCs w:val="21"/>
                <w:lang w:bidi="ar"/>
              </w:rPr>
              <w:t xml:space="preserve"> </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六价铬</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铅</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widowControl/>
              <w:adjustRightInd w:val="0"/>
              <w:snapToGrid w:val="0"/>
              <w:jc w:val="center"/>
              <w:textAlignment w:val="center"/>
              <w:rPr>
                <w:rFonts w:cs="Times New Roman" w:asciiTheme="minorEastAsia" w:hAnsiTheme="minorEastAsia"/>
                <w:bCs/>
                <w:color w:val="000000"/>
                <w:szCs w:val="21"/>
              </w:rPr>
            </w:pPr>
            <w:r>
              <w:rPr>
                <w:rFonts w:cs="Times New Roman" w:asciiTheme="minorEastAsia" w:hAnsiTheme="minorEastAsia"/>
                <w:color w:val="000000"/>
                <w:szCs w:val="21"/>
              </w:rPr>
              <w:t>/</w:t>
            </w:r>
            <w:r>
              <w:rPr>
                <w:rFonts w:cs="Times New Roman" w:asciiTheme="minorEastAsia" w:hAnsiTheme="minorEastAsia"/>
                <w:color w:val="000000"/>
                <w:kern w:val="0"/>
                <w:szCs w:val="21"/>
                <w:lang w:bidi="ar"/>
              </w:rPr>
              <w:t xml:space="preserve"> </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镉</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铁</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锰</w:t>
            </w:r>
          </w:p>
        </w:tc>
        <w:tc>
          <w:tcPr>
            <w:tcW w:w="1024"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097" w:type="dxa"/>
            <w:vAlign w:val="center"/>
          </w:tcPr>
          <w:p>
            <w:pPr>
              <w:adjustRightInd w:val="0"/>
              <w:snapToGrid w:val="0"/>
              <w:jc w:val="center"/>
              <w:rPr>
                <w:rFonts w:cs="Times New Roman" w:asciiTheme="minorEastAsia" w:hAnsiTheme="minorEastAsia"/>
                <w:bCs/>
                <w:color w:val="000000"/>
                <w:szCs w:val="21"/>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39"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bCs/>
                <w:szCs w:val="21"/>
              </w:rPr>
              <w:t>未检出</w:t>
            </w:r>
          </w:p>
        </w:tc>
        <w:tc>
          <w:tcPr>
            <w:tcW w:w="1153"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总大肠菌群</w:t>
            </w:r>
          </w:p>
        </w:tc>
        <w:tc>
          <w:tcPr>
            <w:tcW w:w="1024"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未检出</w:t>
            </w:r>
          </w:p>
        </w:tc>
        <w:tc>
          <w:tcPr>
            <w:tcW w:w="1097"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未检出</w:t>
            </w:r>
          </w:p>
        </w:tc>
        <w:tc>
          <w:tcPr>
            <w:tcW w:w="1139"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未检出</w:t>
            </w:r>
          </w:p>
        </w:tc>
        <w:tc>
          <w:tcPr>
            <w:tcW w:w="1153"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细菌总数</w:t>
            </w:r>
          </w:p>
        </w:tc>
        <w:tc>
          <w:tcPr>
            <w:tcW w:w="1024"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22</w:t>
            </w:r>
          </w:p>
        </w:tc>
        <w:tc>
          <w:tcPr>
            <w:tcW w:w="1097"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color w:val="000000"/>
                <w:kern w:val="0"/>
                <w:szCs w:val="21"/>
                <w:lang w:bidi="ar"/>
              </w:rPr>
              <w:t>0.22</w:t>
            </w:r>
          </w:p>
        </w:tc>
        <w:tc>
          <w:tcPr>
            <w:tcW w:w="1096"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66</w:t>
            </w:r>
          </w:p>
        </w:tc>
        <w:tc>
          <w:tcPr>
            <w:tcW w:w="1139"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color w:val="000000"/>
                <w:kern w:val="0"/>
                <w:szCs w:val="21"/>
                <w:lang w:bidi="ar"/>
              </w:rPr>
              <w:t>0.66</w:t>
            </w:r>
          </w:p>
        </w:tc>
        <w:tc>
          <w:tcPr>
            <w:tcW w:w="1018"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28</w:t>
            </w:r>
          </w:p>
        </w:tc>
        <w:tc>
          <w:tcPr>
            <w:tcW w:w="1153" w:type="dxa"/>
            <w:vAlign w:val="center"/>
          </w:tcPr>
          <w:p>
            <w:pPr>
              <w:widowControl/>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color w:val="000000"/>
                <w:kern w:val="0"/>
                <w:szCs w:val="21"/>
                <w:lang w:bidi="ar"/>
              </w:rPr>
              <w:t>0.28</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井深</w:t>
            </w:r>
          </w:p>
        </w:tc>
        <w:tc>
          <w:tcPr>
            <w:tcW w:w="1024"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21</w:t>
            </w:r>
          </w:p>
        </w:tc>
        <w:tc>
          <w:tcPr>
            <w:tcW w:w="1097"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21</w:t>
            </w:r>
          </w:p>
        </w:tc>
        <w:tc>
          <w:tcPr>
            <w:tcW w:w="1139"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40</w:t>
            </w:r>
          </w:p>
        </w:tc>
        <w:tc>
          <w:tcPr>
            <w:tcW w:w="1153"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kern w:val="0"/>
                <w:szCs w:val="21"/>
                <w:lang w:bidi="ar"/>
              </w:rPr>
              <w:t>水位</w:t>
            </w:r>
          </w:p>
        </w:tc>
        <w:tc>
          <w:tcPr>
            <w:tcW w:w="1024"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56</w:t>
            </w:r>
          </w:p>
        </w:tc>
        <w:tc>
          <w:tcPr>
            <w:tcW w:w="1097"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56</w:t>
            </w:r>
          </w:p>
        </w:tc>
        <w:tc>
          <w:tcPr>
            <w:tcW w:w="1139"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54</w:t>
            </w:r>
          </w:p>
        </w:tc>
        <w:tc>
          <w:tcPr>
            <w:tcW w:w="1153"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168" w:type="dxa"/>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09"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水温</w:t>
            </w:r>
          </w:p>
        </w:tc>
        <w:tc>
          <w:tcPr>
            <w:tcW w:w="1024"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15.3</w:t>
            </w:r>
          </w:p>
        </w:tc>
        <w:tc>
          <w:tcPr>
            <w:tcW w:w="1097"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96"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15.3</w:t>
            </w:r>
          </w:p>
        </w:tc>
        <w:tc>
          <w:tcPr>
            <w:tcW w:w="1139"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018" w:type="dxa"/>
            <w:vAlign w:val="center"/>
          </w:tcPr>
          <w:p>
            <w:pPr>
              <w:adjustRightInd w:val="0"/>
              <w:snapToGrid w:val="0"/>
              <w:jc w:val="center"/>
              <w:textAlignment w:val="center"/>
              <w:rPr>
                <w:rFonts w:cs="Times New Roman" w:asciiTheme="minorEastAsia" w:hAnsiTheme="minorEastAsia"/>
                <w:color w:val="000000"/>
                <w:kern w:val="0"/>
                <w:szCs w:val="21"/>
                <w:lang w:bidi="ar"/>
              </w:rPr>
            </w:pPr>
            <w:r>
              <w:rPr>
                <w:rFonts w:cs="Times New Roman" w:asciiTheme="minorEastAsia" w:hAnsiTheme="minorEastAsia"/>
                <w:bCs/>
                <w:szCs w:val="21"/>
              </w:rPr>
              <w:t>15.0</w:t>
            </w:r>
          </w:p>
        </w:tc>
        <w:tc>
          <w:tcPr>
            <w:tcW w:w="1153" w:type="dxa"/>
            <w:vAlign w:val="center"/>
          </w:tcPr>
          <w:p>
            <w:pPr>
              <w:adjustRightInd w:val="0"/>
              <w:snapToGrid w:val="0"/>
              <w:jc w:val="center"/>
              <w:rPr>
                <w:rFonts w:cs="Times New Roman" w:asciiTheme="minorEastAsia" w:hAnsiTheme="minorEastAsia"/>
                <w:color w:val="000000"/>
                <w:kern w:val="0"/>
                <w:szCs w:val="21"/>
                <w:lang w:bidi="ar"/>
              </w:rPr>
            </w:pPr>
            <w:r>
              <w:rPr>
                <w:rFonts w:cs="Times New Roman" w:asciiTheme="minorEastAsia" w:hAnsiTheme="minorEastAsia"/>
                <w:color w:val="000000"/>
                <w:szCs w:val="21"/>
              </w:rPr>
              <w:t>/</w:t>
            </w:r>
          </w:p>
        </w:tc>
        <w:tc>
          <w:tcPr>
            <w:tcW w:w="1168" w:type="dxa"/>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w:t>
            </w:r>
          </w:p>
        </w:tc>
      </w:tr>
    </w:tbl>
    <w:p>
      <w:pPr>
        <w:adjustRightInd w:val="0"/>
        <w:snapToGrid w:val="0"/>
        <w:spacing w:before="156" w:beforeLines="50" w:line="360" w:lineRule="auto"/>
        <w:ind w:firstLine="480" w:firstLineChars="200"/>
        <w:rPr>
          <w:rFonts w:cs="Times New Roman" w:asciiTheme="minorEastAsia" w:hAnsiTheme="minorEastAsia"/>
          <w:sz w:val="24"/>
          <w:szCs w:val="24"/>
        </w:rPr>
      </w:pPr>
      <w:r>
        <w:rPr>
          <w:rFonts w:cs="Times New Roman" w:asciiTheme="minorEastAsia" w:hAnsiTheme="minorEastAsia"/>
          <w:color w:val="000000"/>
          <w:sz w:val="24"/>
          <w:szCs w:val="24"/>
        </w:rPr>
        <w:t>由表4.3-4监测统计结果可以看出，本项目所在区域地下水监测点各监测因子监测值均能满足《地下水质量标准》（GB/T14848-2017）</w:t>
      </w:r>
      <w:r>
        <w:rPr>
          <w:rFonts w:cs="Times New Roman" w:asciiTheme="minorEastAsia" w:hAnsiTheme="minorEastAsia"/>
          <w:color w:val="000000"/>
          <w:sz w:val="24"/>
          <w:szCs w:val="24"/>
        </w:rPr>
        <w:fldChar w:fldCharType="begin"/>
      </w:r>
      <w:r>
        <w:rPr>
          <w:rFonts w:cs="Times New Roman" w:asciiTheme="minorEastAsia" w:hAnsiTheme="minorEastAsia"/>
          <w:color w:val="000000"/>
          <w:sz w:val="24"/>
          <w:szCs w:val="24"/>
        </w:rPr>
        <w:instrText xml:space="preserve"> = 3 \* ROMAN \* MERGEFORMAT </w:instrText>
      </w:r>
      <w:r>
        <w:rPr>
          <w:rFonts w:cs="Times New Roman" w:asciiTheme="minorEastAsia" w:hAnsiTheme="minorEastAsia"/>
          <w:color w:val="000000"/>
          <w:sz w:val="24"/>
          <w:szCs w:val="24"/>
        </w:rPr>
        <w:fldChar w:fldCharType="separate"/>
      </w:r>
      <w:r>
        <w:rPr>
          <w:rFonts w:cs="Times New Roman" w:asciiTheme="minorEastAsia" w:hAnsiTheme="minorEastAsia"/>
          <w:color w:val="000000"/>
          <w:sz w:val="24"/>
          <w:szCs w:val="24"/>
        </w:rPr>
        <w:t>III</w:t>
      </w:r>
      <w:r>
        <w:rPr>
          <w:rFonts w:cs="Times New Roman" w:asciiTheme="minorEastAsia" w:hAnsiTheme="minorEastAsia"/>
          <w:color w:val="000000"/>
          <w:sz w:val="24"/>
          <w:szCs w:val="24"/>
        </w:rPr>
        <w:fldChar w:fldCharType="end"/>
      </w:r>
      <w:r>
        <w:rPr>
          <w:rFonts w:cs="Times New Roman" w:asciiTheme="minorEastAsia" w:hAnsiTheme="minorEastAsia"/>
          <w:color w:val="000000"/>
          <w:sz w:val="24"/>
          <w:szCs w:val="24"/>
        </w:rPr>
        <w:t>类标准的要求，地下水水质相对较好</w:t>
      </w:r>
      <w:r>
        <w:rPr>
          <w:rFonts w:cs="Times New Roman" w:asciiTheme="minorEastAsia" w:hAnsiTheme="minorEastAsia"/>
          <w:sz w:val="24"/>
          <w:szCs w:val="24"/>
        </w:rPr>
        <w:t>。</w:t>
      </w:r>
      <w:r>
        <w:rPr>
          <w:rFonts w:cs="Times New Roman" w:asciiTheme="minorEastAsia" w:hAnsiTheme="minorEastAsia"/>
          <w:color w:val="000000"/>
          <w:sz w:val="24"/>
          <w:szCs w:val="24"/>
        </w:rPr>
        <w:t>根据表4.3-4监测结果，</w:t>
      </w:r>
      <w:r>
        <w:rPr>
          <w:rFonts w:cs="Times New Roman" w:asciiTheme="minorEastAsia" w:hAnsiTheme="minorEastAsia"/>
          <w:sz w:val="24"/>
          <w:szCs w:val="24"/>
        </w:rPr>
        <w:t>本项目所在区域地下水化学类型判断如下：</w:t>
      </w:r>
    </w:p>
    <w:p>
      <w:pPr>
        <w:widowControl/>
        <w:snapToGrid w:val="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表4.3-5    地下水毫克当量统计一览表</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8"/>
        <w:gridCol w:w="1147"/>
        <w:gridCol w:w="1076"/>
        <w:gridCol w:w="825"/>
        <w:gridCol w:w="960"/>
        <w:gridCol w:w="963"/>
        <w:gridCol w:w="1099"/>
        <w:gridCol w:w="961"/>
        <w:gridCol w:w="10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5" w:type="dxa"/>
            <w:gridSpan w:val="2"/>
            <w:tcBorders>
              <w:tl2br w:val="single" w:color="auto" w:sz="4" w:space="0"/>
            </w:tcBorders>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 xml:space="preserve">       监测内容</w:t>
            </w:r>
          </w:p>
          <w:p>
            <w:pPr>
              <w:adjustRightInd w:val="0"/>
              <w:snapToGrid w:val="0"/>
              <w:rPr>
                <w:rFonts w:cs="Times New Roman" w:asciiTheme="minorEastAsia" w:hAnsiTheme="minorEastAsia"/>
                <w:szCs w:val="21"/>
              </w:rPr>
            </w:pPr>
            <w:r>
              <w:rPr>
                <w:rFonts w:cs="Times New Roman" w:asciiTheme="minorEastAsia" w:hAnsiTheme="minorEastAsia"/>
                <w:szCs w:val="21"/>
              </w:rPr>
              <w:t>监测点位</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K</w:t>
            </w:r>
            <w:r>
              <w:rPr>
                <w:rFonts w:cs="Times New Roman" w:asciiTheme="minorEastAsia" w:hAnsiTheme="minorEastAsia"/>
                <w:szCs w:val="21"/>
                <w:vertAlign w:val="superscript"/>
              </w:rPr>
              <w:t>+</w:t>
            </w:r>
            <w:r>
              <w:rPr>
                <w:rFonts w:cs="Times New Roman" w:asciiTheme="minorEastAsia" w:hAnsiTheme="minorEastAsia"/>
                <w:szCs w:val="21"/>
              </w:rPr>
              <w:t>+Na</w:t>
            </w:r>
            <w:r>
              <w:rPr>
                <w:rFonts w:cs="Times New Roman" w:asciiTheme="minorEastAsia" w:hAnsiTheme="minorEastAsia"/>
                <w:szCs w:val="21"/>
                <w:vertAlign w:val="superscript"/>
              </w:rPr>
              <w:t>+</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Ca</w:t>
            </w:r>
            <w:r>
              <w:rPr>
                <w:rFonts w:cs="Times New Roman" w:asciiTheme="minorEastAsia" w:hAnsiTheme="minorEastAsia"/>
                <w:szCs w:val="21"/>
                <w:vertAlign w:val="superscript"/>
              </w:rPr>
              <w:t>2+</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Mg</w:t>
            </w:r>
            <w:r>
              <w:rPr>
                <w:rFonts w:cs="Times New Roman" w:asciiTheme="minorEastAsia" w:hAnsiTheme="minorEastAsia"/>
                <w:szCs w:val="21"/>
                <w:vertAlign w:val="superscript"/>
              </w:rPr>
              <w:t>2+</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CO</w:t>
            </w:r>
            <w:r>
              <w:rPr>
                <w:rFonts w:cs="Times New Roman" w:asciiTheme="minorEastAsia" w:hAnsiTheme="minorEastAsia"/>
                <w:szCs w:val="21"/>
                <w:vertAlign w:val="subscript"/>
              </w:rPr>
              <w:t>3</w:t>
            </w:r>
            <w:r>
              <w:rPr>
                <w:rFonts w:cs="Times New Roman" w:asciiTheme="minorEastAsia" w:hAnsiTheme="minorEastAsia"/>
                <w:szCs w:val="21"/>
                <w:vertAlign w:val="superscript"/>
              </w:rPr>
              <w:t>2-</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HCO</w:t>
            </w:r>
            <w:r>
              <w:rPr>
                <w:rFonts w:cs="Times New Roman" w:asciiTheme="minorEastAsia" w:hAnsiTheme="minorEastAsia"/>
                <w:szCs w:val="21"/>
                <w:vertAlign w:val="subscript"/>
              </w:rPr>
              <w:t>3</w:t>
            </w:r>
            <w:r>
              <w:rPr>
                <w:rFonts w:cs="Times New Roman" w:asciiTheme="minorEastAsia" w:hAnsiTheme="minorEastAsia"/>
                <w:szCs w:val="21"/>
                <w:vertAlign w:val="superscript"/>
              </w:rPr>
              <w:t>-</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Cl</w:t>
            </w:r>
            <w:r>
              <w:rPr>
                <w:rFonts w:cs="Times New Roman" w:asciiTheme="minorEastAsia" w:hAnsiTheme="minorEastAsia"/>
                <w:szCs w:val="21"/>
                <w:vertAlign w:val="superscript"/>
              </w:rPr>
              <w:t>-</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SO</w:t>
            </w:r>
            <w:r>
              <w:rPr>
                <w:rFonts w:cs="Times New Roman" w:asciiTheme="minorEastAsia" w:hAnsiTheme="minorEastAsia"/>
                <w:szCs w:val="21"/>
                <w:vertAlign w:val="subscript"/>
              </w:rPr>
              <w:t>4</w:t>
            </w:r>
            <w:r>
              <w:rPr>
                <w:rFonts w:cs="Times New Roman" w:asciiTheme="minorEastAsia" w:hAnsiTheme="minorEastAsia"/>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5" w:type="dxa"/>
            <w:gridSpan w:val="2"/>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分子量</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62</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40</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24</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60</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61</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35.5</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袁庄</w:t>
            </w:r>
          </w:p>
        </w:tc>
        <w:tc>
          <w:tcPr>
            <w:tcW w:w="1147"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毫克当量</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1.15</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0.87</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3.16</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0.05</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2.06</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vMerge w:val="continue"/>
            <w:vAlign w:val="center"/>
          </w:tcPr>
          <w:p>
            <w:pPr>
              <w:adjustRightInd w:val="0"/>
              <w:snapToGrid w:val="0"/>
              <w:jc w:val="center"/>
              <w:rPr>
                <w:rFonts w:cs="Times New Roman" w:asciiTheme="minorEastAsia" w:hAnsiTheme="minorEastAsia"/>
                <w:szCs w:val="21"/>
              </w:rPr>
            </w:pPr>
          </w:p>
        </w:tc>
        <w:tc>
          <w:tcPr>
            <w:tcW w:w="1147"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百分比</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22</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17</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61</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69</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徐魏庄</w:t>
            </w:r>
          </w:p>
        </w:tc>
        <w:tc>
          <w:tcPr>
            <w:tcW w:w="1147"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毫克当量</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1.67</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0.98</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3.46</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0.08</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2.12</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vMerge w:val="continue"/>
            <w:vAlign w:val="center"/>
          </w:tcPr>
          <w:p>
            <w:pPr>
              <w:adjustRightInd w:val="0"/>
              <w:snapToGrid w:val="0"/>
              <w:jc w:val="center"/>
              <w:rPr>
                <w:rFonts w:cs="Times New Roman" w:asciiTheme="minorEastAsia" w:hAnsiTheme="minorEastAsia"/>
                <w:szCs w:val="21"/>
              </w:rPr>
            </w:pPr>
          </w:p>
        </w:tc>
        <w:tc>
          <w:tcPr>
            <w:tcW w:w="1147"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百分比</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27</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16</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57</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53</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樊庄</w:t>
            </w:r>
          </w:p>
        </w:tc>
        <w:tc>
          <w:tcPr>
            <w:tcW w:w="1147"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毫克当量</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1.39</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0.84</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3.39</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0.08</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2.08</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8" w:type="dxa"/>
            <w:vMerge w:val="continue"/>
            <w:vAlign w:val="center"/>
          </w:tcPr>
          <w:p>
            <w:pPr>
              <w:adjustRightInd w:val="0"/>
              <w:snapToGrid w:val="0"/>
              <w:jc w:val="center"/>
              <w:rPr>
                <w:rFonts w:cs="Times New Roman" w:asciiTheme="minorEastAsia" w:hAnsiTheme="minorEastAsia"/>
                <w:szCs w:val="21"/>
              </w:rPr>
            </w:pPr>
          </w:p>
        </w:tc>
        <w:tc>
          <w:tcPr>
            <w:tcW w:w="1147"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百分比</w:t>
            </w:r>
          </w:p>
        </w:tc>
        <w:tc>
          <w:tcPr>
            <w:tcW w:w="1076"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25</w:t>
            </w:r>
          </w:p>
        </w:tc>
        <w:tc>
          <w:tcPr>
            <w:tcW w:w="82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15</w:t>
            </w:r>
          </w:p>
        </w:tc>
        <w:tc>
          <w:tcPr>
            <w:tcW w:w="960"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60</w:t>
            </w:r>
          </w:p>
        </w:tc>
        <w:tc>
          <w:tcPr>
            <w:tcW w:w="963"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w:t>
            </w:r>
          </w:p>
        </w:tc>
        <w:tc>
          <w:tcPr>
            <w:tcW w:w="1099"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w:t>
            </w:r>
          </w:p>
        </w:tc>
        <w:tc>
          <w:tcPr>
            <w:tcW w:w="961"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53</w:t>
            </w:r>
          </w:p>
        </w:tc>
        <w:tc>
          <w:tcPr>
            <w:tcW w:w="106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45</w:t>
            </w:r>
          </w:p>
        </w:tc>
      </w:tr>
    </w:tbl>
    <w:p>
      <w:pPr>
        <w:adjustRightInd w:val="0"/>
        <w:snapToGrid w:val="0"/>
        <w:spacing w:before="156" w:beforeLines="50" w:line="360" w:lineRule="auto"/>
        <w:ind w:firstLine="480" w:firstLineChars="200"/>
        <w:rPr>
          <w:rFonts w:cs="Times New Roman" w:asciiTheme="minorEastAsia" w:hAnsiTheme="minorEastAsia"/>
          <w:b/>
          <w:color w:val="000000"/>
          <w:sz w:val="24"/>
          <w:szCs w:val="24"/>
        </w:rPr>
      </w:pPr>
      <w:r>
        <w:rPr>
          <w:rFonts w:cs="Times New Roman" w:asciiTheme="minorEastAsia" w:hAnsiTheme="minorEastAsia"/>
          <w:sz w:val="24"/>
          <w:szCs w:val="24"/>
        </w:rPr>
        <w:t>根据K</w:t>
      </w:r>
      <w:r>
        <w:rPr>
          <w:rFonts w:cs="Times New Roman" w:asciiTheme="minorEastAsia" w:hAnsiTheme="minorEastAsia"/>
          <w:sz w:val="24"/>
          <w:szCs w:val="24"/>
          <w:vertAlign w:val="superscript"/>
        </w:rPr>
        <w:t>+</w:t>
      </w:r>
      <w:r>
        <w:rPr>
          <w:rFonts w:cs="Times New Roman" w:asciiTheme="minorEastAsia" w:hAnsiTheme="minorEastAsia"/>
          <w:sz w:val="24"/>
          <w:szCs w:val="24"/>
        </w:rPr>
        <w:t>+Na</w:t>
      </w:r>
      <w:r>
        <w:rPr>
          <w:rFonts w:cs="Times New Roman" w:asciiTheme="minorEastAsia" w:hAnsiTheme="minorEastAsia"/>
          <w:sz w:val="24"/>
          <w:szCs w:val="24"/>
          <w:vertAlign w:val="superscript"/>
        </w:rPr>
        <w:t>+</w:t>
      </w:r>
      <w:r>
        <w:rPr>
          <w:rFonts w:cs="Times New Roman" w:asciiTheme="minorEastAsia" w:hAnsiTheme="minorEastAsia"/>
          <w:sz w:val="24"/>
          <w:szCs w:val="24"/>
        </w:rPr>
        <w:t>、Ca</w:t>
      </w:r>
      <w:r>
        <w:rPr>
          <w:rFonts w:cs="Times New Roman" w:asciiTheme="minorEastAsia" w:hAnsiTheme="minorEastAsia"/>
          <w:sz w:val="24"/>
          <w:szCs w:val="24"/>
          <w:vertAlign w:val="superscript"/>
        </w:rPr>
        <w:t>2+</w:t>
      </w:r>
      <w:r>
        <w:rPr>
          <w:rFonts w:cs="Times New Roman" w:asciiTheme="minorEastAsia" w:hAnsiTheme="minorEastAsia"/>
          <w:sz w:val="24"/>
          <w:szCs w:val="24"/>
        </w:rPr>
        <w:t>、Mg</w:t>
      </w:r>
      <w:r>
        <w:rPr>
          <w:rFonts w:cs="Times New Roman" w:asciiTheme="minorEastAsia" w:hAnsiTheme="minorEastAsia"/>
          <w:sz w:val="24"/>
          <w:szCs w:val="24"/>
          <w:vertAlign w:val="superscript"/>
        </w:rPr>
        <w:t>2+</w:t>
      </w:r>
      <w:r>
        <w:rPr>
          <w:rFonts w:cs="Times New Roman" w:asciiTheme="minorEastAsia" w:hAnsiTheme="minorEastAsia"/>
          <w:sz w:val="24"/>
          <w:szCs w:val="24"/>
        </w:rPr>
        <w:t>、CO</w:t>
      </w:r>
      <w:r>
        <w:rPr>
          <w:rFonts w:cs="Times New Roman" w:asciiTheme="minorEastAsia" w:hAnsiTheme="minorEastAsia"/>
          <w:sz w:val="24"/>
          <w:szCs w:val="24"/>
          <w:vertAlign w:val="subscript"/>
        </w:rPr>
        <w:t>3</w:t>
      </w:r>
      <w:r>
        <w:rPr>
          <w:rFonts w:cs="Times New Roman" w:asciiTheme="minorEastAsia" w:hAnsiTheme="minorEastAsia"/>
          <w:sz w:val="24"/>
          <w:szCs w:val="24"/>
          <w:vertAlign w:val="superscript"/>
        </w:rPr>
        <w:t>2-</w:t>
      </w:r>
      <w:r>
        <w:rPr>
          <w:rFonts w:cs="Times New Roman" w:asciiTheme="minorEastAsia" w:hAnsiTheme="minorEastAsia"/>
          <w:sz w:val="24"/>
          <w:szCs w:val="24"/>
        </w:rPr>
        <w:t>、HCO</w:t>
      </w:r>
      <w:r>
        <w:rPr>
          <w:rFonts w:cs="Times New Roman" w:asciiTheme="minorEastAsia" w:hAnsiTheme="minorEastAsia"/>
          <w:sz w:val="24"/>
          <w:szCs w:val="24"/>
          <w:vertAlign w:val="subscript"/>
        </w:rPr>
        <w:t>3</w:t>
      </w:r>
      <w:r>
        <w:rPr>
          <w:rFonts w:cs="Times New Roman" w:asciiTheme="minorEastAsia" w:hAnsiTheme="minorEastAsia"/>
          <w:sz w:val="24"/>
          <w:szCs w:val="24"/>
          <w:vertAlign w:val="superscript"/>
        </w:rPr>
        <w:t>-</w:t>
      </w:r>
      <w:r>
        <w:rPr>
          <w:rFonts w:cs="Times New Roman" w:asciiTheme="minorEastAsia" w:hAnsiTheme="minorEastAsia"/>
          <w:sz w:val="24"/>
          <w:szCs w:val="24"/>
        </w:rPr>
        <w:t>、Cl</w:t>
      </w:r>
      <w:r>
        <w:rPr>
          <w:rFonts w:cs="Times New Roman" w:asciiTheme="minorEastAsia" w:hAnsiTheme="minorEastAsia"/>
          <w:sz w:val="24"/>
          <w:szCs w:val="24"/>
          <w:vertAlign w:val="superscript"/>
        </w:rPr>
        <w:t>-</w:t>
      </w:r>
      <w:r>
        <w:rPr>
          <w:rFonts w:cs="Times New Roman" w:asciiTheme="minorEastAsia" w:hAnsiTheme="minorEastAsia"/>
          <w:sz w:val="24"/>
          <w:szCs w:val="24"/>
        </w:rPr>
        <w:t>、SO</w:t>
      </w:r>
      <w:r>
        <w:rPr>
          <w:rFonts w:cs="Times New Roman" w:asciiTheme="minorEastAsia" w:hAnsiTheme="minorEastAsia"/>
          <w:sz w:val="24"/>
          <w:szCs w:val="24"/>
          <w:vertAlign w:val="subscript"/>
        </w:rPr>
        <w:t>4</w:t>
      </w:r>
      <w:r>
        <w:rPr>
          <w:rFonts w:cs="Times New Roman" w:asciiTheme="minorEastAsia" w:hAnsiTheme="minorEastAsia"/>
          <w:sz w:val="24"/>
          <w:szCs w:val="24"/>
          <w:vertAlign w:val="superscript"/>
        </w:rPr>
        <w:t>2-</w:t>
      </w:r>
      <w:r>
        <w:rPr>
          <w:rFonts w:cs="Times New Roman" w:asciiTheme="minorEastAsia" w:hAnsiTheme="minorEastAsia"/>
          <w:sz w:val="24"/>
          <w:szCs w:val="24"/>
        </w:rPr>
        <w:t>监测结果，同时根据苏卡列夫编号原则，含量大于25meq%的阴离子和阳离子进行组合，本项目所在区域地下水化学类型为SO</w:t>
      </w:r>
      <w:r>
        <w:rPr>
          <w:rFonts w:cs="Times New Roman" w:asciiTheme="minorEastAsia" w:hAnsiTheme="minorEastAsia"/>
          <w:sz w:val="24"/>
          <w:szCs w:val="24"/>
          <w:vertAlign w:val="subscript"/>
        </w:rPr>
        <w:t>4</w:t>
      </w:r>
      <w:r>
        <w:rPr>
          <w:rFonts w:cs="Times New Roman" w:asciiTheme="minorEastAsia" w:hAnsiTheme="minorEastAsia"/>
          <w:sz w:val="24"/>
          <w:szCs w:val="24"/>
          <w:vertAlign w:val="superscript"/>
        </w:rPr>
        <w:t>2-</w:t>
      </w:r>
      <w:r>
        <w:rPr>
          <w:rFonts w:cs="Times New Roman" w:asciiTheme="minorEastAsia" w:hAnsiTheme="minorEastAsia"/>
          <w:sz w:val="24"/>
          <w:szCs w:val="24"/>
        </w:rPr>
        <w:t>—Cl</w:t>
      </w:r>
      <w:r>
        <w:rPr>
          <w:rFonts w:cs="Times New Roman" w:asciiTheme="minorEastAsia" w:hAnsiTheme="minorEastAsia"/>
          <w:sz w:val="24"/>
          <w:szCs w:val="24"/>
          <w:vertAlign w:val="superscript"/>
        </w:rPr>
        <w:t>-</w:t>
      </w:r>
      <w:r>
        <w:rPr>
          <w:rFonts w:cs="Times New Roman" w:asciiTheme="minorEastAsia" w:hAnsiTheme="minorEastAsia"/>
          <w:sz w:val="24"/>
          <w:szCs w:val="24"/>
        </w:rPr>
        <w:t>—Mg</w:t>
      </w:r>
      <w:r>
        <w:rPr>
          <w:rFonts w:cs="Times New Roman" w:asciiTheme="minorEastAsia" w:hAnsiTheme="minorEastAsia"/>
          <w:sz w:val="24"/>
          <w:szCs w:val="24"/>
          <w:vertAlign w:val="superscript"/>
        </w:rPr>
        <w:t>2+</w:t>
      </w:r>
      <w:r>
        <w:rPr>
          <w:rFonts w:cs="Times New Roman" w:asciiTheme="minorEastAsia" w:hAnsiTheme="minorEastAsia"/>
          <w:sz w:val="24"/>
          <w:szCs w:val="24"/>
        </w:rPr>
        <w:t>型。</w:t>
      </w:r>
    </w:p>
    <w:p>
      <w:pPr>
        <w:keepNext/>
        <w:keepLines/>
        <w:adjustRightInd w:val="0"/>
        <w:snapToGrid w:val="0"/>
        <w:spacing w:before="156" w:beforeLines="50" w:line="360" w:lineRule="auto"/>
        <w:outlineLvl w:val="1"/>
        <w:rPr>
          <w:rFonts w:cs="Times New Roman" w:asciiTheme="minorEastAsia" w:hAnsiTheme="minorEastAsia"/>
          <w:b/>
          <w:sz w:val="28"/>
          <w:szCs w:val="24"/>
        </w:rPr>
      </w:pPr>
      <w:bookmarkStart w:id="62" w:name="_Toc1221"/>
      <w:r>
        <w:rPr>
          <w:rFonts w:cs="Times New Roman" w:asciiTheme="minorEastAsia" w:hAnsiTheme="minorEastAsia"/>
          <w:b/>
          <w:sz w:val="28"/>
          <w:szCs w:val="24"/>
        </w:rPr>
        <w:t>4.4 声环境</w:t>
      </w:r>
      <w:r>
        <w:rPr>
          <w:rFonts w:hint="eastAsia" w:cs="Times New Roman" w:asciiTheme="minorEastAsia" w:hAnsiTheme="minorEastAsia"/>
          <w:b/>
          <w:sz w:val="28"/>
          <w:szCs w:val="24"/>
        </w:rPr>
        <w:t>质量</w:t>
      </w:r>
      <w:r>
        <w:rPr>
          <w:rFonts w:cs="Times New Roman" w:asciiTheme="minorEastAsia" w:hAnsiTheme="minorEastAsia"/>
          <w:b/>
          <w:sz w:val="28"/>
          <w:szCs w:val="24"/>
        </w:rPr>
        <w:t>现状监测与评价</w:t>
      </w:r>
      <w:bookmarkEnd w:id="62"/>
    </w:p>
    <w:p>
      <w:pPr>
        <w:adjustRightInd w:val="0"/>
        <w:snapToGrid w:val="0"/>
        <w:spacing w:line="360" w:lineRule="auto"/>
        <w:ind w:firstLine="480" w:firstLineChars="200"/>
        <w:rPr>
          <w:rFonts w:cs="Times New Roman" w:asciiTheme="minorEastAsia" w:hAnsiTheme="minorEastAsia"/>
          <w:b/>
          <w:bCs/>
          <w:sz w:val="24"/>
          <w:szCs w:val="24"/>
        </w:rPr>
      </w:pPr>
      <w:r>
        <w:rPr>
          <w:rFonts w:cs="Times New Roman" w:asciiTheme="minorEastAsia" w:hAnsiTheme="minorEastAsia"/>
          <w:sz w:val="24"/>
          <w:szCs w:val="24"/>
        </w:rPr>
        <w:t>1、监测布点</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根据项目特点，本次评价共设置4个声环境现状监测点，东、西、南、北厂界各1个。</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2、监测方法</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本次环境噪声的监测方法按《声环境质量标准》（GB3096-2008）的规定执行。监测仪器为多功能噪声统计分析仪（AWA6218C），测量前后对声级计进行校正。</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3、监测时间及频率</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河南松筠检测技术有限公司于2019年10月2日至10月3日对本项目拟建厂址四周厂界境噪声进行现场监测；</w:t>
      </w:r>
      <w:r>
        <w:rPr>
          <w:rFonts w:cs="Times New Roman" w:asciiTheme="minorEastAsia" w:hAnsiTheme="minorEastAsia"/>
          <w:sz w:val="24"/>
          <w:szCs w:val="24"/>
        </w:rPr>
        <w:t>连续两天，每天昼夜各一次。</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4、评价标准</w:t>
      </w:r>
    </w:p>
    <w:p>
      <w:pPr>
        <w:adjustRightInd w:val="0"/>
        <w:snapToGrid w:val="0"/>
        <w:spacing w:line="360" w:lineRule="auto"/>
        <w:ind w:firstLine="480" w:firstLineChars="200"/>
        <w:rPr>
          <w:rFonts w:cs="Times New Roman" w:asciiTheme="minorEastAsia" w:hAnsiTheme="minorEastAsia"/>
          <w:bCs/>
          <w:sz w:val="24"/>
          <w:szCs w:val="24"/>
        </w:rPr>
      </w:pPr>
      <w:r>
        <w:rPr>
          <w:rFonts w:cs="Times New Roman" w:asciiTheme="minorEastAsia" w:hAnsiTheme="minorEastAsia"/>
          <w:sz w:val="24"/>
          <w:szCs w:val="24"/>
        </w:rPr>
        <w:t>本次声环境现状评价执行《声环境质量标准》（GB3096-2008）3类标准，详见表4.4-1。</w:t>
      </w:r>
    </w:p>
    <w:p>
      <w:pPr>
        <w:adjustRightInd w:val="0"/>
        <w:snapToGrid w:val="0"/>
        <w:jc w:val="center"/>
        <w:rPr>
          <w:rFonts w:cs="Times New Roman" w:asciiTheme="minorEastAsia" w:hAnsiTheme="minorEastAsia"/>
          <w:b/>
          <w:sz w:val="24"/>
          <w:szCs w:val="21"/>
        </w:rPr>
      </w:pPr>
      <w:r>
        <w:rPr>
          <w:rFonts w:cs="Times New Roman" w:asciiTheme="minorEastAsia" w:hAnsiTheme="minorEastAsia"/>
          <w:b/>
          <w:bCs/>
          <w:sz w:val="24"/>
          <w:szCs w:val="24"/>
        </w:rPr>
        <w:t xml:space="preserve">表4.4-1   声环境质量标准  </w:t>
      </w:r>
      <w:r>
        <w:rPr>
          <w:rFonts w:cs="Times New Roman" w:asciiTheme="minorEastAsia" w:hAnsiTheme="minorEastAsia"/>
          <w:bCs/>
          <w:sz w:val="24"/>
          <w:szCs w:val="24"/>
        </w:rPr>
        <w:t xml:space="preserve"> </w:t>
      </w:r>
      <w:r>
        <w:rPr>
          <w:rFonts w:cs="Times New Roman" w:asciiTheme="minorEastAsia" w:hAnsiTheme="minorEastAsia"/>
          <w:b/>
          <w:sz w:val="24"/>
          <w:szCs w:val="21"/>
        </w:rPr>
        <w:t xml:space="preserve">    </w:t>
      </w:r>
      <w:r>
        <w:rPr>
          <w:rFonts w:cs="Times New Roman" w:asciiTheme="minorEastAsia" w:hAnsiTheme="minorEastAsia"/>
          <w:bCs/>
          <w:sz w:val="24"/>
          <w:szCs w:val="21"/>
        </w:rPr>
        <w:t>单位：dB（A）</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41"/>
        <w:gridCol w:w="1898"/>
        <w:gridCol w:w="1897"/>
        <w:gridCol w:w="23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2841"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bCs/>
                <w:szCs w:val="21"/>
              </w:rPr>
              <w:t>评价标准</w:t>
            </w:r>
          </w:p>
        </w:tc>
        <w:tc>
          <w:tcPr>
            <w:tcW w:w="1898"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bCs/>
                <w:szCs w:val="21"/>
              </w:rPr>
              <w:t>类别</w:t>
            </w:r>
          </w:p>
        </w:tc>
        <w:tc>
          <w:tcPr>
            <w:tcW w:w="1897"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bCs/>
                <w:szCs w:val="21"/>
              </w:rPr>
              <w:t>昼间</w:t>
            </w:r>
          </w:p>
        </w:tc>
        <w:tc>
          <w:tcPr>
            <w:tcW w:w="2368"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bCs/>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2841"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szCs w:val="21"/>
              </w:rPr>
              <w:t>《声环境质量标准》（GB3096-2008）</w:t>
            </w:r>
          </w:p>
        </w:tc>
        <w:tc>
          <w:tcPr>
            <w:tcW w:w="1898"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bCs/>
                <w:szCs w:val="21"/>
              </w:rPr>
              <w:t>3类</w:t>
            </w:r>
          </w:p>
        </w:tc>
        <w:tc>
          <w:tcPr>
            <w:tcW w:w="1897"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bCs/>
                <w:szCs w:val="21"/>
              </w:rPr>
              <w:t>65</w:t>
            </w:r>
          </w:p>
        </w:tc>
        <w:tc>
          <w:tcPr>
            <w:tcW w:w="2368" w:type="dxa"/>
            <w:vAlign w:val="center"/>
          </w:tcPr>
          <w:p>
            <w:pPr>
              <w:adjustRightInd w:val="0"/>
              <w:snapToGrid w:val="0"/>
              <w:jc w:val="center"/>
              <w:rPr>
                <w:rFonts w:cs="Times New Roman" w:asciiTheme="minorEastAsia" w:hAnsiTheme="minorEastAsia"/>
                <w:bCs/>
                <w:szCs w:val="21"/>
              </w:rPr>
            </w:pPr>
            <w:r>
              <w:rPr>
                <w:rFonts w:cs="Times New Roman" w:asciiTheme="minorEastAsia" w:hAnsiTheme="minorEastAsia"/>
                <w:bCs/>
                <w:szCs w:val="21"/>
              </w:rPr>
              <w:t>55</w:t>
            </w:r>
          </w:p>
        </w:tc>
      </w:tr>
    </w:tbl>
    <w:p>
      <w:pPr>
        <w:adjustRightInd w:val="0"/>
        <w:snapToGrid w:val="0"/>
        <w:spacing w:before="156" w:beforeLines="50"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5、监测结果</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声环境质量现状监测结果见表</w:t>
      </w:r>
      <w:r>
        <w:rPr>
          <w:rFonts w:cs="Times New Roman" w:asciiTheme="minorEastAsia" w:hAnsiTheme="minorEastAsia"/>
          <w:bCs/>
          <w:sz w:val="24"/>
          <w:szCs w:val="24"/>
        </w:rPr>
        <w:t>4.4-2</w:t>
      </w:r>
      <w:r>
        <w:rPr>
          <w:rFonts w:cs="Times New Roman" w:asciiTheme="minorEastAsia" w:hAnsiTheme="minorEastAsia"/>
          <w:sz w:val="24"/>
          <w:szCs w:val="24"/>
        </w:rPr>
        <w:t>。</w:t>
      </w:r>
    </w:p>
    <w:p>
      <w:pPr>
        <w:adjustRightInd w:val="0"/>
        <w:snapToGrid w:val="0"/>
        <w:jc w:val="center"/>
        <w:rPr>
          <w:rFonts w:cs="Times New Roman" w:asciiTheme="minorEastAsia" w:hAnsiTheme="minorEastAsia"/>
          <w:b/>
          <w:sz w:val="24"/>
          <w:szCs w:val="24"/>
        </w:rPr>
      </w:pPr>
      <w:r>
        <w:rPr>
          <w:rFonts w:cs="Times New Roman" w:asciiTheme="minorEastAsia" w:hAnsiTheme="minorEastAsia"/>
          <w:b/>
          <w:sz w:val="24"/>
          <w:szCs w:val="24"/>
        </w:rPr>
        <w:t>表</w:t>
      </w:r>
      <w:r>
        <w:rPr>
          <w:rFonts w:cs="Times New Roman" w:asciiTheme="minorEastAsia" w:hAnsiTheme="minorEastAsia"/>
          <w:b/>
          <w:bCs/>
          <w:sz w:val="24"/>
          <w:szCs w:val="24"/>
        </w:rPr>
        <w:t>4.4-2</w:t>
      </w:r>
      <w:r>
        <w:rPr>
          <w:rFonts w:cs="Times New Roman" w:asciiTheme="minorEastAsia" w:hAnsiTheme="minorEastAsia"/>
          <w:b/>
          <w:sz w:val="24"/>
          <w:szCs w:val="24"/>
        </w:rPr>
        <w:t xml:space="preserve">      声环境监测结果统计及分析</w:t>
      </w:r>
    </w:p>
    <w:tbl>
      <w:tblPr>
        <w:tblStyle w:val="27"/>
        <w:tblW w:w="900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092"/>
        <w:gridCol w:w="1789"/>
        <w:gridCol w:w="1701"/>
        <w:gridCol w:w="1931"/>
        <w:gridCol w:w="12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288" w:type="dxa"/>
            <w:gridSpan w:val="2"/>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监测地点</w:t>
            </w:r>
          </w:p>
        </w:tc>
        <w:tc>
          <w:tcPr>
            <w:tcW w:w="3490" w:type="dxa"/>
            <w:gridSpan w:val="2"/>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监测值 [dB(A)]</w:t>
            </w:r>
          </w:p>
        </w:tc>
        <w:tc>
          <w:tcPr>
            <w:tcW w:w="1931"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标准值 [dB(A)]</w:t>
            </w:r>
          </w:p>
        </w:tc>
        <w:tc>
          <w:tcPr>
            <w:tcW w:w="1295"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7" w:hRule="atLeast"/>
        </w:trPr>
        <w:tc>
          <w:tcPr>
            <w:tcW w:w="2288" w:type="dxa"/>
            <w:gridSpan w:val="2"/>
            <w:vMerge w:val="continue"/>
            <w:vAlign w:val="center"/>
          </w:tcPr>
          <w:p>
            <w:pPr>
              <w:adjustRightInd w:val="0"/>
              <w:snapToGrid w:val="0"/>
              <w:jc w:val="center"/>
              <w:rPr>
                <w:rFonts w:cs="Times New Roman" w:asciiTheme="minorEastAsia" w:hAnsiTheme="minorEastAsia"/>
                <w:szCs w:val="21"/>
              </w:rPr>
            </w:pPr>
          </w:p>
        </w:tc>
        <w:tc>
          <w:tcPr>
            <w:tcW w:w="1789"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2019.10.2</w:t>
            </w:r>
          </w:p>
        </w:tc>
        <w:tc>
          <w:tcPr>
            <w:tcW w:w="1701"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2019.10.3</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Merge w:val="continue"/>
            <w:vAlign w:val="center"/>
          </w:tcPr>
          <w:p>
            <w:pPr>
              <w:adjustRightInd w:val="0"/>
              <w:snapToGrid w:val="0"/>
              <w:jc w:val="center"/>
              <w:rPr>
                <w:rFonts w:cs="Times New Roman" w:asciiTheme="minorEastAsia" w:hAnsiTheme="minorEastAsia"/>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1#东厂界</w:t>
            </w: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昼</w:t>
            </w:r>
          </w:p>
        </w:tc>
        <w:tc>
          <w:tcPr>
            <w:tcW w:w="1789"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55.1</w:t>
            </w:r>
          </w:p>
        </w:tc>
        <w:tc>
          <w:tcPr>
            <w:tcW w:w="1701"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56.2</w:t>
            </w:r>
          </w:p>
        </w:tc>
        <w:tc>
          <w:tcPr>
            <w:tcW w:w="1931"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昼65</w:t>
            </w:r>
          </w:p>
          <w:p>
            <w:pPr>
              <w:adjustRightInd w:val="0"/>
              <w:snapToGrid w:val="0"/>
              <w:jc w:val="center"/>
              <w:rPr>
                <w:rFonts w:cs="Times New Roman" w:asciiTheme="minorEastAsia" w:hAnsiTheme="minorEastAsia"/>
                <w:szCs w:val="21"/>
              </w:rPr>
            </w:pPr>
            <w:r>
              <w:rPr>
                <w:rFonts w:cs="Times New Roman" w:asciiTheme="minorEastAsia" w:hAnsiTheme="minorEastAsia"/>
                <w:szCs w:val="21"/>
              </w:rPr>
              <w:t>夜55</w:t>
            </w: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continue"/>
            <w:vAlign w:val="center"/>
          </w:tcPr>
          <w:p>
            <w:pPr>
              <w:adjustRightInd w:val="0"/>
              <w:snapToGrid w:val="0"/>
              <w:jc w:val="center"/>
              <w:rPr>
                <w:rFonts w:cs="Times New Roman" w:asciiTheme="minorEastAsia" w:hAnsiTheme="minorEastAsia"/>
                <w:szCs w:val="21"/>
              </w:rPr>
            </w:pP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夜</w:t>
            </w:r>
          </w:p>
        </w:tc>
        <w:tc>
          <w:tcPr>
            <w:tcW w:w="1789"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42.7</w:t>
            </w:r>
          </w:p>
        </w:tc>
        <w:tc>
          <w:tcPr>
            <w:tcW w:w="1701"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43.3</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2#南厂界</w:t>
            </w: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昼</w:t>
            </w:r>
          </w:p>
        </w:tc>
        <w:tc>
          <w:tcPr>
            <w:tcW w:w="1789"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57.6</w:t>
            </w:r>
          </w:p>
        </w:tc>
        <w:tc>
          <w:tcPr>
            <w:tcW w:w="1701"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56.7</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continue"/>
            <w:vAlign w:val="center"/>
          </w:tcPr>
          <w:p>
            <w:pPr>
              <w:adjustRightInd w:val="0"/>
              <w:snapToGrid w:val="0"/>
              <w:jc w:val="center"/>
              <w:rPr>
                <w:rFonts w:cs="Times New Roman" w:asciiTheme="minorEastAsia" w:hAnsiTheme="minorEastAsia"/>
                <w:szCs w:val="21"/>
              </w:rPr>
            </w:pP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夜</w:t>
            </w:r>
          </w:p>
        </w:tc>
        <w:tc>
          <w:tcPr>
            <w:tcW w:w="1789"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42.2</w:t>
            </w:r>
          </w:p>
        </w:tc>
        <w:tc>
          <w:tcPr>
            <w:tcW w:w="1701"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41.7</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3#西厂界</w:t>
            </w: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昼</w:t>
            </w:r>
          </w:p>
        </w:tc>
        <w:tc>
          <w:tcPr>
            <w:tcW w:w="1789"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57.6</w:t>
            </w:r>
          </w:p>
        </w:tc>
        <w:tc>
          <w:tcPr>
            <w:tcW w:w="1701"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44.8</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continue"/>
            <w:vAlign w:val="center"/>
          </w:tcPr>
          <w:p>
            <w:pPr>
              <w:adjustRightInd w:val="0"/>
              <w:snapToGrid w:val="0"/>
              <w:jc w:val="center"/>
              <w:rPr>
                <w:rFonts w:cs="Times New Roman" w:asciiTheme="minorEastAsia" w:hAnsiTheme="minorEastAsia"/>
                <w:szCs w:val="21"/>
              </w:rPr>
            </w:pP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夜</w:t>
            </w:r>
          </w:p>
        </w:tc>
        <w:tc>
          <w:tcPr>
            <w:tcW w:w="1789" w:type="dxa"/>
            <w:tcBorders>
              <w:bottom w:val="single" w:color="auto" w:sz="4" w:space="0"/>
            </w:tcBorders>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45.3</w:t>
            </w:r>
          </w:p>
        </w:tc>
        <w:tc>
          <w:tcPr>
            <w:tcW w:w="1701" w:type="dxa"/>
            <w:tcBorders>
              <w:bottom w:val="single" w:color="auto" w:sz="4" w:space="0"/>
            </w:tcBorders>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45.7</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restart"/>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4#北厂界</w:t>
            </w: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昼</w:t>
            </w:r>
          </w:p>
        </w:tc>
        <w:tc>
          <w:tcPr>
            <w:tcW w:w="1789" w:type="dxa"/>
            <w:tcBorders>
              <w:top w:val="single" w:color="auto" w:sz="4" w:space="0"/>
            </w:tcBorders>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54.4</w:t>
            </w:r>
          </w:p>
        </w:tc>
        <w:tc>
          <w:tcPr>
            <w:tcW w:w="1701" w:type="dxa"/>
            <w:tcBorders>
              <w:top w:val="single" w:color="auto" w:sz="4" w:space="0"/>
            </w:tcBorders>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53.5</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96" w:type="dxa"/>
            <w:vMerge w:val="continue"/>
            <w:vAlign w:val="center"/>
          </w:tcPr>
          <w:p>
            <w:pPr>
              <w:adjustRightInd w:val="0"/>
              <w:snapToGrid w:val="0"/>
              <w:jc w:val="center"/>
              <w:rPr>
                <w:rFonts w:cs="Times New Roman" w:asciiTheme="minorEastAsia" w:hAnsiTheme="minorEastAsia"/>
                <w:szCs w:val="21"/>
              </w:rPr>
            </w:pPr>
          </w:p>
        </w:tc>
        <w:tc>
          <w:tcPr>
            <w:tcW w:w="1092"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夜</w:t>
            </w:r>
          </w:p>
        </w:tc>
        <w:tc>
          <w:tcPr>
            <w:tcW w:w="1789"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43.5</w:t>
            </w:r>
          </w:p>
        </w:tc>
        <w:tc>
          <w:tcPr>
            <w:tcW w:w="1701" w:type="dxa"/>
            <w:vAlign w:val="center"/>
          </w:tcPr>
          <w:p>
            <w:pPr>
              <w:adjustRightInd w:val="0"/>
              <w:snapToGrid w:val="0"/>
              <w:jc w:val="center"/>
              <w:rPr>
                <w:rFonts w:cs="Times New Roman" w:asciiTheme="minorEastAsia" w:hAnsiTheme="minorEastAsia"/>
                <w:szCs w:val="21"/>
              </w:rPr>
            </w:pPr>
            <w:r>
              <w:rPr>
                <w:rFonts w:hint="eastAsia" w:cs="Times New Roman" w:asciiTheme="minorEastAsia" w:hAnsiTheme="minorEastAsia"/>
                <w:szCs w:val="21"/>
              </w:rPr>
              <w:t>44.6</w:t>
            </w:r>
          </w:p>
        </w:tc>
        <w:tc>
          <w:tcPr>
            <w:tcW w:w="1931" w:type="dxa"/>
            <w:vMerge w:val="continue"/>
            <w:vAlign w:val="center"/>
          </w:tcPr>
          <w:p>
            <w:pPr>
              <w:adjustRightInd w:val="0"/>
              <w:snapToGrid w:val="0"/>
              <w:jc w:val="center"/>
              <w:rPr>
                <w:rFonts w:cs="Times New Roman" w:asciiTheme="minorEastAsia" w:hAnsiTheme="minorEastAsia"/>
                <w:szCs w:val="21"/>
              </w:rPr>
            </w:pPr>
          </w:p>
        </w:tc>
        <w:tc>
          <w:tcPr>
            <w:tcW w:w="1295" w:type="dxa"/>
            <w:vAlign w:val="center"/>
          </w:tcPr>
          <w:p>
            <w:pPr>
              <w:adjustRightInd w:val="0"/>
              <w:snapToGrid w:val="0"/>
              <w:jc w:val="center"/>
              <w:rPr>
                <w:rFonts w:cs="Times New Roman" w:asciiTheme="minorEastAsia" w:hAnsiTheme="minorEastAsia"/>
                <w:szCs w:val="21"/>
              </w:rPr>
            </w:pPr>
            <w:r>
              <w:rPr>
                <w:rFonts w:cs="Times New Roman" w:asciiTheme="minorEastAsia" w:hAnsiTheme="minorEastAsia"/>
                <w:szCs w:val="21"/>
              </w:rPr>
              <w:t>达标</w:t>
            </w:r>
          </w:p>
        </w:tc>
      </w:tr>
    </w:tbl>
    <w:p>
      <w:pPr>
        <w:adjustRightInd w:val="0"/>
        <w:snapToGrid w:val="0"/>
        <w:spacing w:line="480" w:lineRule="exact"/>
        <w:ind w:firstLine="480" w:firstLineChars="200"/>
        <w:rPr>
          <w:rFonts w:cs="Times New Roman" w:asciiTheme="minorEastAsia" w:hAnsiTheme="minorEastAsia"/>
          <w:sz w:val="24"/>
          <w:szCs w:val="24"/>
        </w:rPr>
      </w:pPr>
      <w:r>
        <w:rPr>
          <w:rFonts w:cs="Times New Roman" w:asciiTheme="minorEastAsia" w:hAnsiTheme="minorEastAsia"/>
          <w:sz w:val="24"/>
          <w:szCs w:val="24"/>
        </w:rPr>
        <w:t>6、现状评价结果</w:t>
      </w:r>
    </w:p>
    <w:p>
      <w:pPr>
        <w:adjustRightInd w:val="0"/>
        <w:snapToGrid w:val="0"/>
        <w:spacing w:before="156" w:beforeLines="50"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评价区域的环境噪声现状监测结果表明，东、南、西、北厂界昼夜噪声监测值均能满足</w:t>
      </w:r>
      <w:r>
        <w:rPr>
          <w:rFonts w:cs="Times New Roman" w:asciiTheme="minorEastAsia" w:hAnsiTheme="minorEastAsia"/>
          <w:sz w:val="24"/>
          <w:szCs w:val="24"/>
          <w:lang w:val="zh-CN"/>
        </w:rPr>
        <w:t>《</w:t>
      </w:r>
      <w:r>
        <w:rPr>
          <w:rFonts w:cs="Times New Roman" w:asciiTheme="minorEastAsia" w:hAnsiTheme="minorEastAsia"/>
          <w:sz w:val="24"/>
          <w:szCs w:val="24"/>
        </w:rPr>
        <w:t>声环境质量标准》（GB3096-2008）3类标准，总体来说，项目所在区域声环境质量较好。</w:t>
      </w:r>
    </w:p>
    <w:p>
      <w:pPr>
        <w:keepNext/>
        <w:keepLines/>
        <w:adjustRightInd w:val="0"/>
        <w:snapToGrid w:val="0"/>
        <w:spacing w:before="156" w:beforeLines="50" w:after="120" w:line="360" w:lineRule="auto"/>
        <w:outlineLvl w:val="1"/>
        <w:rPr>
          <w:rFonts w:cs="Times New Roman" w:asciiTheme="minorEastAsia" w:hAnsiTheme="minorEastAsia"/>
          <w:b/>
          <w:color w:val="000000"/>
          <w:sz w:val="28"/>
          <w:szCs w:val="28"/>
        </w:rPr>
      </w:pPr>
      <w:bookmarkStart w:id="63" w:name="_Toc31202"/>
      <w:bookmarkStart w:id="64" w:name="_Toc536088014"/>
      <w:bookmarkStart w:id="65" w:name="_Toc23072"/>
      <w:r>
        <w:rPr>
          <w:rFonts w:cs="Times New Roman" w:asciiTheme="minorEastAsia" w:hAnsiTheme="minorEastAsia"/>
          <w:b/>
          <w:color w:val="000000"/>
          <w:sz w:val="28"/>
          <w:szCs w:val="28"/>
        </w:rPr>
        <w:t>4.5 土壤环境质量现状监测与评价</w:t>
      </w:r>
      <w:bookmarkEnd w:id="63"/>
      <w:bookmarkEnd w:id="64"/>
      <w:bookmarkEnd w:id="65"/>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1、评价因子</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本项目评价选取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45项作为评价因子。</w:t>
      </w: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2、</w:t>
      </w:r>
      <w:r>
        <w:rPr>
          <w:rFonts w:cs="Times New Roman" w:asciiTheme="minorEastAsia" w:hAnsiTheme="minorEastAsia"/>
          <w:color w:val="000000"/>
          <w:sz w:val="24"/>
          <w:szCs w:val="24"/>
        </w:rPr>
        <w:t>评价标准</w:t>
      </w:r>
    </w:p>
    <w:p>
      <w:pPr>
        <w:adjustRightInd w:val="0"/>
        <w:snapToGrid w:val="0"/>
        <w:spacing w:line="360" w:lineRule="auto"/>
        <w:ind w:firstLine="480" w:firstLineChars="200"/>
        <w:rPr>
          <w:rFonts w:cs="Times New Roman" w:asciiTheme="minorEastAsia" w:hAnsiTheme="minorEastAsia"/>
          <w:b/>
          <w:bCs/>
          <w:color w:val="000000"/>
          <w:sz w:val="24"/>
          <w:szCs w:val="24"/>
        </w:rPr>
      </w:pPr>
      <w:r>
        <w:rPr>
          <w:rFonts w:cs="Times New Roman" w:asciiTheme="minorEastAsia" w:hAnsiTheme="minorEastAsia"/>
          <w:color w:val="000000"/>
          <w:sz w:val="24"/>
          <w:szCs w:val="24"/>
        </w:rPr>
        <w:t>本次土壤质量现状监测点位中的拟建厂址所在位置的土壤参照《土壤环境质量 建设用地土壤污染风险管控标准（试行）》（GB36600-2018）第二类用地执行。</w:t>
      </w:r>
    </w:p>
    <w:p>
      <w:pPr>
        <w:adjustRightInd w:val="0"/>
        <w:snapToGrid w:val="0"/>
        <w:spacing w:line="360" w:lineRule="auto"/>
        <w:ind w:firstLine="480" w:firstLineChars="200"/>
        <w:rPr>
          <w:rFonts w:cs="Times New Roman" w:asciiTheme="minorEastAsia" w:hAnsiTheme="minorEastAsia"/>
          <w:color w:val="000000"/>
          <w:sz w:val="24"/>
          <w:szCs w:val="24"/>
        </w:rPr>
      </w:pPr>
      <w:bookmarkStart w:id="66" w:name="_Toc536088018"/>
      <w:r>
        <w:rPr>
          <w:rFonts w:hint="eastAsia" w:cs="Times New Roman" w:asciiTheme="minorEastAsia" w:hAnsiTheme="minorEastAsia"/>
          <w:color w:val="000000"/>
          <w:sz w:val="24"/>
          <w:szCs w:val="24"/>
        </w:rPr>
        <w:t>3</w:t>
      </w:r>
      <w:r>
        <w:rPr>
          <w:rFonts w:cs="Times New Roman" w:asciiTheme="minorEastAsia" w:hAnsiTheme="minorEastAsia"/>
          <w:color w:val="000000"/>
          <w:sz w:val="24"/>
          <w:szCs w:val="24"/>
        </w:rPr>
        <w:t>、评价方法</w:t>
      </w:r>
      <w:bookmarkEnd w:id="66"/>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根据地下水环境质量现状监测结果，采用单项标准指数法对土壤环境质量现状进行评价。单项标准指数法计算公式如下：</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对于一般污染物</w:t>
      </w:r>
    </w:p>
    <w:p>
      <w:pPr>
        <w:widowControl/>
        <w:adjustRightInd w:val="0"/>
        <w:snapToGrid w:val="0"/>
        <w:spacing w:after="156" w:afterLines="50" w:line="360" w:lineRule="auto"/>
        <w:jc w:val="center"/>
        <w:rPr>
          <w:rFonts w:cs="Times New Roman" w:asciiTheme="minorEastAsia" w:hAnsiTheme="minorEastAsia"/>
          <w:color w:val="000000"/>
          <w:sz w:val="24"/>
          <w:szCs w:val="24"/>
        </w:rPr>
      </w:pPr>
      <w:r>
        <w:rPr>
          <w:rFonts w:cs="Times New Roman" w:asciiTheme="minorEastAsia" w:hAnsiTheme="minorEastAsia"/>
          <w:color w:val="000000"/>
          <w:sz w:val="24"/>
          <w:szCs w:val="24"/>
        </w:rPr>
        <w:t>I</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oi</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式中：I</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—第i种污染物的水质指数，无量纲；</w:t>
      </w:r>
    </w:p>
    <w:p>
      <w:pPr>
        <w:adjustRightInd w:val="0"/>
        <w:snapToGrid w:val="0"/>
        <w:spacing w:line="360" w:lineRule="auto"/>
        <w:ind w:firstLine="1200" w:firstLineChars="500"/>
        <w:rPr>
          <w:rFonts w:cs="Times New Roman" w:asciiTheme="minorEastAsia" w:hAnsiTheme="minorEastAsia"/>
          <w:color w:val="000000"/>
          <w:sz w:val="24"/>
          <w:szCs w:val="24"/>
        </w:rPr>
      </w:pPr>
      <w:r>
        <w:rPr>
          <w:rFonts w:cs="Times New Roman" w:asciiTheme="minorEastAsia" w:hAnsiTheme="minorEastAsia"/>
          <w:color w:val="000000"/>
          <w:sz w:val="24"/>
          <w:szCs w:val="24"/>
        </w:rPr>
        <w:t>C</w:t>
      </w:r>
      <w:r>
        <w:rPr>
          <w:rFonts w:cs="Times New Roman" w:asciiTheme="minorEastAsia" w:hAnsiTheme="minorEastAsia"/>
          <w:color w:val="000000"/>
          <w:sz w:val="24"/>
          <w:szCs w:val="24"/>
          <w:vertAlign w:val="subscript"/>
        </w:rPr>
        <w:t>i</w:t>
      </w:r>
      <w:r>
        <w:rPr>
          <w:rFonts w:cs="Times New Roman" w:asciiTheme="minorEastAsia" w:hAnsiTheme="minorEastAsia"/>
          <w:color w:val="000000"/>
          <w:sz w:val="24"/>
          <w:szCs w:val="24"/>
        </w:rPr>
        <w:t>—地下水中第i种污染物的浓度，mg/L；</w:t>
      </w:r>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 xml:space="preserve">            C</w:t>
      </w:r>
      <w:r>
        <w:rPr>
          <w:rFonts w:cs="Times New Roman" w:asciiTheme="minorEastAsia" w:hAnsiTheme="minorEastAsia"/>
          <w:color w:val="000000"/>
          <w:sz w:val="24"/>
          <w:szCs w:val="24"/>
          <w:vertAlign w:val="subscript"/>
        </w:rPr>
        <w:t>oi</w:t>
      </w:r>
      <w:r>
        <w:rPr>
          <w:rFonts w:cs="Times New Roman" w:asciiTheme="minorEastAsia" w:hAnsiTheme="minorEastAsia"/>
          <w:color w:val="000000"/>
          <w:sz w:val="24"/>
          <w:szCs w:val="24"/>
        </w:rPr>
        <w:t>—第i种污染物的评价标准，mg/L。</w:t>
      </w: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4</w:t>
      </w:r>
      <w:r>
        <w:rPr>
          <w:rFonts w:cs="Times New Roman" w:asciiTheme="minorEastAsia" w:hAnsiTheme="minorEastAsia"/>
          <w:color w:val="000000"/>
          <w:sz w:val="24"/>
          <w:szCs w:val="24"/>
        </w:rPr>
        <w:t>、监测方法</w:t>
      </w:r>
    </w:p>
    <w:p>
      <w:pPr>
        <w:widowControl/>
        <w:adjustRightInd w:val="0"/>
        <w:snapToGrid w:val="0"/>
        <w:jc w:val="center"/>
        <w:rPr>
          <w:rFonts w:cs="Times New Roman" w:asciiTheme="minorEastAsia" w:hAnsiTheme="minorEastAsia"/>
          <w:b/>
          <w:color w:val="000000"/>
          <w:sz w:val="24"/>
          <w:szCs w:val="20"/>
        </w:rPr>
      </w:pPr>
      <w:r>
        <w:rPr>
          <w:rFonts w:cs="Times New Roman" w:asciiTheme="minorEastAsia" w:hAnsiTheme="minorEastAsia"/>
          <w:b/>
          <w:color w:val="000000"/>
          <w:sz w:val="24"/>
          <w:szCs w:val="24"/>
        </w:rPr>
        <w:t>表4.5-1        土壤检测方法及方法来源结果一览表</w:t>
      </w:r>
    </w:p>
    <w:tbl>
      <w:tblPr>
        <w:tblStyle w:val="27"/>
        <w:tblW w:w="879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512"/>
        <w:gridCol w:w="1944"/>
        <w:gridCol w:w="1737"/>
        <w:gridCol w:w="2111"/>
        <w:gridCol w:w="149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overflowPunct w:val="0"/>
              <w:topLinePunct/>
              <w:adjustRightInd w:val="0"/>
              <w:snapToGrid w:val="0"/>
              <w:jc w:val="center"/>
              <w:rPr>
                <w:rFonts w:cs="Times New Roman" w:asciiTheme="minorEastAsia" w:hAnsiTheme="minorEastAsia"/>
                <w:bCs/>
                <w:color w:val="000000"/>
                <w:kern w:val="0"/>
                <w:szCs w:val="21"/>
                <w:vertAlign w:val="superscript"/>
              </w:rPr>
            </w:pPr>
            <w:r>
              <w:rPr>
                <w:rFonts w:cs="Times New Roman" w:asciiTheme="minorEastAsia" w:hAnsiTheme="minorEastAsia"/>
                <w:bCs/>
                <w:color w:val="000000"/>
                <w:kern w:val="0"/>
                <w:szCs w:val="21"/>
              </w:rPr>
              <w:t>项目</w:t>
            </w:r>
          </w:p>
        </w:tc>
        <w:tc>
          <w:tcPr>
            <w:tcW w:w="194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检测方法</w:t>
            </w:r>
          </w:p>
        </w:tc>
        <w:tc>
          <w:tcPr>
            <w:tcW w:w="1737"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方法标准号或来源</w:t>
            </w:r>
          </w:p>
        </w:tc>
        <w:tc>
          <w:tcPr>
            <w:tcW w:w="2111"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使用仪器</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检出限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原子荧光法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GB/T 22105.2-2008</w:t>
            </w:r>
          </w:p>
        </w:tc>
        <w:tc>
          <w:tcPr>
            <w:tcW w:w="2111"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原子荧光光度计AFS-230E</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0.01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镉</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石墨炉原子吸收</w:t>
            </w:r>
          </w:p>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分光光度法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GB/T 17141-1997</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原子吸收分光光度计TAS-990AFG</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0.01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铬（六价）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碱消解/火焰原子吸收分光光度法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687-2014</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原子吸收分光光度计TAS-990AFG</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2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铜</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火焰原子吸收</w:t>
            </w:r>
          </w:p>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分光光度法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GB/T 17138-1997</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原子吸收分光光度计TAS-990AFG</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1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铅</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石墨炉原子吸收</w:t>
            </w:r>
          </w:p>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分光光度法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GB/T 17141-1997</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原子吸收分光光度计TAS-990AFG</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0.1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汞</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原子荧光法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GB/T 22105.1-2008</w:t>
            </w:r>
          </w:p>
        </w:tc>
        <w:tc>
          <w:tcPr>
            <w:tcW w:w="2111"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szCs w:val="21"/>
              </w:rPr>
              <w:t>原子荧光光度计AFS-230E</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0.002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镍</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火焰原子吸收</w:t>
            </w:r>
          </w:p>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分光光度法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GB/T 17139-1997</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原子吸收分光光度计TAS-990AFG</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5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四氯化碳</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氯仿</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氯甲烷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1,1-二氯乙烷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1,2-二氯乙烷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1,1-二氯乙烯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顺-1,2-二氯乙烯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反-1,2-二氯乙烯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二氯甲烷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1,2-二氯丙烷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1,1,1,2-四氯乙烷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1,1,2,2-四氯乙烷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四氯乙烯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1,1,1-三氯乙烷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1,1,2-三氯乙烷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三氯乙烯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1,2,3-三氯丙烷</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氯乙烯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吹扫捕集/气相色谱-质谱法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735-2015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3.9×10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1,2-二氯苯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3.6×10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1,4二氯苯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4.3×10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乙苯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4.6×10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苯乙烯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3.0×10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甲苯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3.2×10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间二甲苯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4.4×10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对二甲苯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3.5×10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邻二甲苯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顶空/气相色谱法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742-2015</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气相色谱仪GC9790</w:t>
            </w:r>
            <w:r>
              <w:rPr>
                <w:rFonts w:hint="eastAsia" w:cs="宋体" w:asciiTheme="minorEastAsia" w:hAnsiTheme="minorEastAsia"/>
                <w:color w:val="000000"/>
                <w:szCs w:val="21"/>
              </w:rPr>
              <w:t>Ⅱ</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4.7×10</w:t>
            </w:r>
            <w:r>
              <w:rPr>
                <w:rFonts w:cs="Times New Roman" w:asciiTheme="minorEastAsia" w:hAnsiTheme="minorEastAsia"/>
                <w:bCs/>
                <w:color w:val="000000"/>
                <w:kern w:val="0"/>
                <w:szCs w:val="21"/>
                <w:vertAlign w:val="superscript"/>
              </w:rPr>
              <w:t>-3</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硝基苯</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834-2017</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0.09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苯胺</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834-2017</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0.1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2-氯酚</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气相色谱-质谱法</w:t>
            </w:r>
          </w:p>
        </w:tc>
        <w:tc>
          <w:tcPr>
            <w:tcW w:w="1737"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HJ 834-2017</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气相色谱-质谱联用仪 7890B/5977B</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0.06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苯并[a]蒽</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苯并[a]芘</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4×10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苯并[b]荧蒽</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5×10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苯并[k]荧蒽</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4×10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䓛</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二苯并[a,h]蒽</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5×10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茚并[1,2,3-cd] 芘</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5×10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51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萘</w:t>
            </w:r>
          </w:p>
        </w:tc>
        <w:tc>
          <w:tcPr>
            <w:tcW w:w="1944"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高效液相色谱法</w:t>
            </w:r>
          </w:p>
        </w:tc>
        <w:tc>
          <w:tcPr>
            <w:tcW w:w="1737" w:type="dxa"/>
            <w:vAlign w:val="center"/>
          </w:tcPr>
          <w:p>
            <w:pPr>
              <w:widowControl/>
              <w:overflowPunct w:val="0"/>
              <w:topLinePunct/>
              <w:adjustRightInd w:val="0"/>
              <w:snapToGrid w:val="0"/>
              <w:jc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HJ 784-2016</w:t>
            </w:r>
          </w:p>
        </w:tc>
        <w:tc>
          <w:tcPr>
            <w:tcW w:w="2111"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液相色谱仪Waters2695</w:t>
            </w:r>
          </w:p>
        </w:tc>
        <w:tc>
          <w:tcPr>
            <w:tcW w:w="1494" w:type="dxa"/>
            <w:vAlign w:val="center"/>
          </w:tcPr>
          <w:p>
            <w:pPr>
              <w:widowControl/>
              <w:overflowPunct w:val="0"/>
              <w:topLinePunct/>
              <w:adjustRightInd w:val="0"/>
              <w:snapToGrid w:val="0"/>
              <w:jc w:val="center"/>
              <w:rPr>
                <w:rFonts w:cs="Times New Roman" w:asciiTheme="minorEastAsia" w:hAnsiTheme="minorEastAsia"/>
                <w:bCs/>
                <w:color w:val="000000"/>
                <w:kern w:val="0"/>
                <w:szCs w:val="21"/>
              </w:rPr>
            </w:pPr>
            <w:r>
              <w:rPr>
                <w:rFonts w:cs="Times New Roman" w:asciiTheme="minorEastAsia" w:hAnsiTheme="minorEastAsia"/>
                <w:bCs/>
                <w:color w:val="000000"/>
                <w:kern w:val="0"/>
                <w:szCs w:val="21"/>
              </w:rPr>
              <w:t>3×10</w:t>
            </w:r>
            <w:r>
              <w:rPr>
                <w:rFonts w:cs="Times New Roman" w:asciiTheme="minorEastAsia" w:hAnsiTheme="minorEastAsia"/>
                <w:bCs/>
                <w:color w:val="000000"/>
                <w:kern w:val="0"/>
                <w:szCs w:val="21"/>
                <w:vertAlign w:val="superscript"/>
              </w:rPr>
              <w:t>-4</w:t>
            </w:r>
            <w:r>
              <w:rPr>
                <w:rFonts w:cs="Times New Roman" w:asciiTheme="minorEastAsia" w:hAnsiTheme="minorEastAsia"/>
                <w:bCs/>
                <w:color w:val="000000"/>
                <w:kern w:val="0"/>
                <w:szCs w:val="21"/>
              </w:rPr>
              <w:t xml:space="preserve"> mg/kg</w:t>
            </w:r>
          </w:p>
        </w:tc>
      </w:tr>
    </w:tbl>
    <w:p>
      <w:pPr>
        <w:adjustRightInd w:val="0"/>
        <w:snapToGrid w:val="0"/>
        <w:spacing w:line="360" w:lineRule="auto"/>
        <w:ind w:firstLine="480" w:firstLineChars="200"/>
        <w:rPr>
          <w:rFonts w:cs="Times New Roman" w:asciiTheme="minorEastAsia" w:hAnsiTheme="minorEastAsia"/>
          <w:color w:val="000000"/>
          <w:sz w:val="24"/>
          <w:szCs w:val="24"/>
        </w:rPr>
      </w:pPr>
    </w:p>
    <w:p>
      <w:pPr>
        <w:adjustRightInd w:val="0"/>
        <w:snapToGrid w:val="0"/>
        <w:spacing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4</w:t>
      </w:r>
      <w:r>
        <w:rPr>
          <w:rFonts w:cs="Times New Roman" w:asciiTheme="minorEastAsia" w:hAnsiTheme="minorEastAsia"/>
          <w:color w:val="000000"/>
          <w:sz w:val="24"/>
          <w:szCs w:val="24"/>
        </w:rPr>
        <w:t>、监测布点</w:t>
      </w:r>
    </w:p>
    <w:p>
      <w:pPr>
        <w:adjustRightInd w:val="0"/>
        <w:snapToGrid w:val="0"/>
        <w:spacing w:line="360" w:lineRule="auto"/>
        <w:ind w:firstLine="480" w:firstLineChars="200"/>
        <w:rPr>
          <w:rFonts w:cs="Times New Roman" w:asciiTheme="minorEastAsia" w:hAnsiTheme="minorEastAsia"/>
          <w:color w:val="000000"/>
          <w:sz w:val="24"/>
          <w:szCs w:val="24"/>
          <w:u w:val="single"/>
        </w:rPr>
      </w:pPr>
      <w:r>
        <w:rPr>
          <w:rFonts w:cs="Times New Roman" w:asciiTheme="minorEastAsia" w:hAnsiTheme="minorEastAsia"/>
          <w:color w:val="000000"/>
          <w:sz w:val="24"/>
          <w:szCs w:val="24"/>
          <w:u w:val="single"/>
        </w:rPr>
        <w:t>本次评价共设置1个土壤</w:t>
      </w:r>
      <w:r>
        <w:rPr>
          <w:rFonts w:hint="eastAsia" w:cs="Times New Roman" w:asciiTheme="minorEastAsia" w:hAnsiTheme="minorEastAsia"/>
          <w:color w:val="000000"/>
          <w:sz w:val="24"/>
          <w:szCs w:val="24"/>
          <w:u w:val="single"/>
        </w:rPr>
        <w:t>补充监测</w:t>
      </w:r>
      <w:r>
        <w:rPr>
          <w:rFonts w:cs="Times New Roman" w:asciiTheme="minorEastAsia" w:hAnsiTheme="minorEastAsia"/>
          <w:color w:val="000000"/>
          <w:sz w:val="24"/>
          <w:szCs w:val="24"/>
          <w:u w:val="single"/>
        </w:rPr>
        <w:t>采样点，位于</w:t>
      </w:r>
      <w:r>
        <w:rPr>
          <w:rFonts w:hint="eastAsia" w:cs="Times New Roman" w:asciiTheme="minorEastAsia" w:hAnsiTheme="minorEastAsia"/>
          <w:color w:val="000000"/>
          <w:sz w:val="24"/>
          <w:szCs w:val="24"/>
          <w:u w:val="single"/>
        </w:rPr>
        <w:t>本次项目</w:t>
      </w:r>
      <w:r>
        <w:rPr>
          <w:rFonts w:cs="Times New Roman" w:asciiTheme="minorEastAsia" w:hAnsiTheme="minorEastAsia"/>
          <w:color w:val="000000"/>
          <w:sz w:val="24"/>
          <w:szCs w:val="24"/>
          <w:u w:val="single"/>
        </w:rPr>
        <w:t>拟建厂址所在地。</w:t>
      </w:r>
      <w:r>
        <w:rPr>
          <w:rFonts w:hint="eastAsia" w:cs="Times New Roman" w:asciiTheme="minorEastAsia" w:hAnsiTheme="minorEastAsia"/>
          <w:color w:val="000000"/>
          <w:sz w:val="24"/>
          <w:szCs w:val="24"/>
          <w:u w:val="single"/>
        </w:rPr>
        <w:t>根据《西平县天顺再生资源有限公司年产3万吨塑料颗粒项目环境影响评价报告书》中的补充监测报告数据统计资料（2019年3月），本次评价引用西平县天顺再生资源有限公司厂址区监测点作为本项目厂界外土壤调查监测点，位于本项目区西北侧1.18km。</w:t>
      </w:r>
    </w:p>
    <w:p>
      <w:pPr>
        <w:widowControl/>
        <w:adjustRightInd w:val="0"/>
        <w:snapToGrid w:val="0"/>
        <w:spacing w:before="156" w:beforeLines="50" w:line="360" w:lineRule="auto"/>
        <w:ind w:firstLine="480" w:firstLineChars="200"/>
        <w:rPr>
          <w:rFonts w:cs="Times New Roman" w:asciiTheme="minorEastAsia" w:hAnsiTheme="minorEastAsia"/>
          <w:color w:val="000000"/>
          <w:sz w:val="24"/>
          <w:szCs w:val="24"/>
        </w:rPr>
      </w:pPr>
      <w:r>
        <w:rPr>
          <w:rFonts w:hint="eastAsia" w:cs="Times New Roman" w:asciiTheme="minorEastAsia" w:hAnsiTheme="minorEastAsia"/>
          <w:color w:val="000000"/>
          <w:sz w:val="24"/>
          <w:szCs w:val="24"/>
        </w:rPr>
        <w:t>5</w:t>
      </w:r>
      <w:r>
        <w:rPr>
          <w:rFonts w:cs="Times New Roman" w:asciiTheme="minorEastAsia" w:hAnsiTheme="minorEastAsia"/>
          <w:color w:val="000000"/>
          <w:sz w:val="24"/>
          <w:szCs w:val="24"/>
        </w:rPr>
        <w:t>、监测时间及频率</w:t>
      </w:r>
    </w:p>
    <w:p>
      <w:pPr>
        <w:adjustRightInd w:val="0"/>
        <w:snapToGrid w:val="0"/>
        <w:spacing w:line="360" w:lineRule="auto"/>
        <w:ind w:firstLine="480" w:firstLineChars="200"/>
        <w:rPr>
          <w:rFonts w:cs="Times New Roman" w:asciiTheme="minorEastAsia" w:hAnsiTheme="minorEastAsia"/>
          <w:color w:val="000000"/>
          <w:sz w:val="24"/>
          <w:szCs w:val="24"/>
          <w:u w:val="single"/>
        </w:rPr>
      </w:pPr>
      <w:r>
        <w:rPr>
          <w:rFonts w:hint="eastAsia" w:cs="Times New Roman" w:asciiTheme="minorEastAsia" w:hAnsiTheme="minorEastAsia"/>
          <w:color w:val="000000"/>
          <w:sz w:val="24"/>
          <w:szCs w:val="24"/>
          <w:u w:val="single"/>
        </w:rPr>
        <w:t>河南松筠检测技术有限公司2019年3月3日西平县天顺再生资源有限公司年产3万吨塑料颗粒项目厂址区进行了土壤表层采样；</w:t>
      </w:r>
      <w:r>
        <w:rPr>
          <w:rFonts w:cs="Times New Roman" w:asciiTheme="minorEastAsia" w:hAnsiTheme="minorEastAsia"/>
          <w:sz w:val="24"/>
          <w:szCs w:val="24"/>
          <w:u w:val="single"/>
        </w:rPr>
        <w:t xml:space="preserve"> 201</w:t>
      </w:r>
      <w:r>
        <w:rPr>
          <w:rFonts w:hint="eastAsia" w:cs="Times New Roman" w:asciiTheme="minorEastAsia" w:hAnsiTheme="minorEastAsia"/>
          <w:sz w:val="24"/>
          <w:szCs w:val="24"/>
          <w:u w:val="single"/>
        </w:rPr>
        <w:t>9</w:t>
      </w:r>
      <w:r>
        <w:rPr>
          <w:rFonts w:cs="Times New Roman" w:asciiTheme="minorEastAsia" w:hAnsiTheme="minorEastAsia"/>
          <w:sz w:val="24"/>
          <w:szCs w:val="24"/>
          <w:u w:val="single"/>
        </w:rPr>
        <w:t>年10月</w:t>
      </w:r>
      <w:r>
        <w:rPr>
          <w:rFonts w:hint="eastAsia" w:cs="Times New Roman" w:asciiTheme="minorEastAsia" w:hAnsiTheme="minorEastAsia"/>
          <w:sz w:val="24"/>
          <w:szCs w:val="24"/>
          <w:u w:val="single"/>
        </w:rPr>
        <w:t>2</w:t>
      </w:r>
      <w:r>
        <w:rPr>
          <w:rFonts w:cs="Times New Roman" w:asciiTheme="minorEastAsia" w:hAnsiTheme="minorEastAsia"/>
          <w:sz w:val="24"/>
          <w:szCs w:val="24"/>
          <w:u w:val="single"/>
        </w:rPr>
        <w:t>日</w:t>
      </w:r>
      <w:r>
        <w:rPr>
          <w:rFonts w:hint="eastAsia" w:cs="Times New Roman" w:asciiTheme="minorEastAsia" w:hAnsiTheme="minorEastAsia"/>
          <w:color w:val="000000"/>
          <w:sz w:val="24"/>
          <w:szCs w:val="24"/>
          <w:u w:val="single"/>
        </w:rPr>
        <w:t>对</w:t>
      </w:r>
      <w:r>
        <w:rPr>
          <w:rFonts w:cs="Times New Roman" w:asciiTheme="minorEastAsia" w:hAnsiTheme="minorEastAsia"/>
          <w:color w:val="000000"/>
          <w:sz w:val="24"/>
          <w:szCs w:val="24"/>
          <w:u w:val="single"/>
        </w:rPr>
        <w:t>本项目拟建厂址</w:t>
      </w:r>
      <w:r>
        <w:rPr>
          <w:rFonts w:hint="eastAsia" w:cs="Times New Roman" w:asciiTheme="minorEastAsia" w:hAnsiTheme="minorEastAsia"/>
          <w:color w:val="000000"/>
          <w:sz w:val="24"/>
          <w:szCs w:val="24"/>
          <w:u w:val="single"/>
        </w:rPr>
        <w:t>区</w:t>
      </w:r>
      <w:r>
        <w:rPr>
          <w:rFonts w:cs="Times New Roman" w:asciiTheme="minorEastAsia" w:hAnsiTheme="minorEastAsia"/>
          <w:color w:val="000000"/>
          <w:sz w:val="24"/>
          <w:szCs w:val="24"/>
          <w:u w:val="single"/>
        </w:rPr>
        <w:t>采集表层土壤样品，</w:t>
      </w:r>
      <w:r>
        <w:rPr>
          <w:rFonts w:hint="eastAsia" w:cs="Times New Roman" w:asciiTheme="minorEastAsia" w:hAnsiTheme="minorEastAsia"/>
          <w:color w:val="000000"/>
          <w:sz w:val="24"/>
          <w:szCs w:val="24"/>
          <w:u w:val="single"/>
        </w:rPr>
        <w:t>各</w:t>
      </w:r>
      <w:r>
        <w:rPr>
          <w:rFonts w:cs="Times New Roman" w:asciiTheme="minorEastAsia" w:hAnsiTheme="minorEastAsia"/>
          <w:color w:val="000000"/>
          <w:sz w:val="24"/>
          <w:szCs w:val="24"/>
          <w:u w:val="single"/>
        </w:rPr>
        <w:t>检测一次。</w:t>
      </w:r>
    </w:p>
    <w:p>
      <w:pPr>
        <w:adjustRightInd w:val="0"/>
        <w:snapToGrid w:val="0"/>
        <w:spacing w:line="360" w:lineRule="auto"/>
        <w:ind w:firstLine="480" w:firstLineChars="200"/>
        <w:rPr>
          <w:rFonts w:cs="Times New Roman" w:asciiTheme="minorEastAsia" w:hAnsiTheme="minorEastAsia"/>
          <w:color w:val="000000"/>
          <w:sz w:val="24"/>
          <w:szCs w:val="24"/>
        </w:rPr>
      </w:pPr>
      <w:bookmarkStart w:id="67" w:name="_Toc536088019"/>
      <w:r>
        <w:rPr>
          <w:rFonts w:hint="eastAsia" w:cs="Times New Roman" w:asciiTheme="minorEastAsia" w:hAnsiTheme="minorEastAsia"/>
          <w:color w:val="000000"/>
          <w:sz w:val="24"/>
          <w:szCs w:val="24"/>
        </w:rPr>
        <w:t>6</w:t>
      </w:r>
      <w:r>
        <w:rPr>
          <w:rFonts w:cs="Times New Roman" w:asciiTheme="minorEastAsia" w:hAnsiTheme="minorEastAsia"/>
          <w:color w:val="000000"/>
          <w:sz w:val="24"/>
          <w:szCs w:val="24"/>
        </w:rPr>
        <w:t>、监测结果统计与评价</w:t>
      </w:r>
      <w:bookmarkEnd w:id="67"/>
    </w:p>
    <w:p>
      <w:pPr>
        <w:adjustRightInd w:val="0"/>
        <w:snapToGrid w:val="0"/>
        <w:spacing w:line="360" w:lineRule="auto"/>
        <w:ind w:firstLine="480" w:firstLineChars="200"/>
        <w:rPr>
          <w:rFonts w:cs="Times New Roman" w:asciiTheme="minorEastAsia" w:hAnsiTheme="minorEastAsia"/>
          <w:color w:val="000000"/>
          <w:sz w:val="24"/>
          <w:szCs w:val="24"/>
        </w:rPr>
      </w:pPr>
      <w:r>
        <w:rPr>
          <w:rFonts w:cs="Times New Roman" w:asciiTheme="minorEastAsia" w:hAnsiTheme="minorEastAsia"/>
          <w:color w:val="000000"/>
          <w:sz w:val="24"/>
          <w:szCs w:val="24"/>
        </w:rPr>
        <w:t>土壤环境现状监测结果统计见表4.5-2。</w:t>
      </w:r>
    </w:p>
    <w:p>
      <w:pPr>
        <w:widowControl/>
        <w:adjustRightInd w:val="0"/>
        <w:snapToGrid w:val="0"/>
        <w:jc w:val="center"/>
        <w:rPr>
          <w:rFonts w:cs="Times New Roman" w:asciiTheme="minorEastAsia" w:hAnsiTheme="minorEastAsia"/>
          <w:b/>
          <w:color w:val="000000"/>
          <w:sz w:val="24"/>
          <w:szCs w:val="24"/>
        </w:rPr>
      </w:pPr>
      <w:r>
        <w:rPr>
          <w:rFonts w:cs="Times New Roman" w:asciiTheme="minorEastAsia" w:hAnsiTheme="minorEastAsia"/>
          <w:b/>
          <w:color w:val="000000"/>
          <w:sz w:val="24"/>
          <w:szCs w:val="24"/>
        </w:rPr>
        <w:t>表4.5-2       土壤环境质量现状监测结果统计</w:t>
      </w:r>
    </w:p>
    <w:tbl>
      <w:tblPr>
        <w:tblStyle w:val="27"/>
        <w:tblW w:w="9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32"/>
        <w:gridCol w:w="1278"/>
        <w:gridCol w:w="1984"/>
        <w:gridCol w:w="2126"/>
        <w:gridCol w:w="12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Merge w:val="restar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检测项目</w:t>
            </w:r>
          </w:p>
        </w:tc>
        <w:tc>
          <w:tcPr>
            <w:tcW w:w="1278" w:type="dxa"/>
            <w:vMerge w:val="restar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单位</w:t>
            </w:r>
          </w:p>
        </w:tc>
        <w:tc>
          <w:tcPr>
            <w:tcW w:w="4110" w:type="dxa"/>
            <w:gridSpan w:val="2"/>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监测值</w:t>
            </w:r>
          </w:p>
        </w:tc>
        <w:tc>
          <w:tcPr>
            <w:tcW w:w="1284" w:type="dxa"/>
            <w:vMerge w:val="restart"/>
            <w:vAlign w:val="center"/>
          </w:tcPr>
          <w:p>
            <w:pPr>
              <w:adjustRightInd w:val="0"/>
              <w:snapToGrid w:val="0"/>
              <w:jc w:val="center"/>
              <w:rPr>
                <w:rFonts w:cs="Times New Roman" w:asciiTheme="minorEastAsia" w:hAnsiTheme="minorEastAsia"/>
                <w:color w:val="000000"/>
                <w:szCs w:val="21"/>
              </w:rPr>
            </w:pPr>
            <w:r>
              <w:rPr>
                <w:rFonts w:cs="Times New Roman" w:asciiTheme="minorEastAsia" w:hAnsiTheme="minorEastAsia"/>
                <w:color w:val="000000"/>
                <w:szCs w:val="21"/>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Merge w:val="continue"/>
            <w:vAlign w:val="center"/>
          </w:tcPr>
          <w:p>
            <w:pPr>
              <w:widowControl/>
              <w:adjustRightInd w:val="0"/>
              <w:snapToGrid w:val="0"/>
              <w:jc w:val="center"/>
              <w:rPr>
                <w:rFonts w:cs="Times New Roman" w:asciiTheme="minorEastAsia" w:hAnsiTheme="minorEastAsia"/>
                <w:color w:val="000000"/>
                <w:szCs w:val="21"/>
              </w:rPr>
            </w:pPr>
          </w:p>
        </w:tc>
        <w:tc>
          <w:tcPr>
            <w:tcW w:w="1278" w:type="dxa"/>
            <w:vMerge w:val="continue"/>
            <w:vAlign w:val="center"/>
          </w:tcPr>
          <w:p>
            <w:pPr>
              <w:widowControl/>
              <w:adjustRightInd w:val="0"/>
              <w:snapToGrid w:val="0"/>
              <w:jc w:val="center"/>
              <w:rPr>
                <w:rFonts w:cs="Times New Roman" w:asciiTheme="minorEastAsia" w:hAnsiTheme="minorEastAsia"/>
                <w:color w:val="000000"/>
                <w:szCs w:val="21"/>
              </w:rPr>
            </w:pPr>
          </w:p>
        </w:tc>
        <w:tc>
          <w:tcPr>
            <w:tcW w:w="1984"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本项目厂址区</w:t>
            </w:r>
          </w:p>
        </w:tc>
        <w:tc>
          <w:tcPr>
            <w:tcW w:w="2126" w:type="dxa"/>
            <w:vAlign w:val="center"/>
          </w:tcPr>
          <w:p>
            <w:pPr>
              <w:widowControl/>
              <w:adjustRightInd w:val="0"/>
              <w:snapToGrid w:val="0"/>
              <w:jc w:val="center"/>
              <w:rPr>
                <w:rFonts w:cs="Times New Roman" w:asciiTheme="minorEastAsia" w:hAnsiTheme="minorEastAsia"/>
                <w:color w:val="000000"/>
                <w:szCs w:val="21"/>
              </w:rPr>
            </w:pPr>
            <w:r>
              <w:rPr>
                <w:rFonts w:hint="eastAsia" w:cs="Times New Roman" w:asciiTheme="minorEastAsia" w:hAnsiTheme="minorEastAsia"/>
                <w:color w:val="000000"/>
                <w:szCs w:val="21"/>
              </w:rPr>
              <w:t>西平县天顺再生资源有限公司厂址区</w:t>
            </w:r>
          </w:p>
        </w:tc>
        <w:tc>
          <w:tcPr>
            <w:tcW w:w="1284" w:type="dxa"/>
            <w:vMerge w:val="continue"/>
            <w:vAlign w:val="center"/>
          </w:tcPr>
          <w:p>
            <w:pPr>
              <w:widowControl/>
              <w:adjustRightInd w:val="0"/>
              <w:snapToGrid w:val="0"/>
              <w:jc w:val="center"/>
              <w:rPr>
                <w:rFonts w:cs="Times New Roman" w:asciiTheme="minorEastAsia" w:hAnsiTheme="minorEastAsia"/>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8.92</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1.03</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镉</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0.13</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0.50</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铬（六价）</w:t>
            </w:r>
          </w:p>
        </w:tc>
        <w:tc>
          <w:tcPr>
            <w:tcW w:w="1278"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铜</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31</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29</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18000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铅</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24.2</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16.6</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汞</w:t>
            </w:r>
          </w:p>
        </w:tc>
        <w:tc>
          <w:tcPr>
            <w:tcW w:w="1278"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0.016</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0.017</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镍</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39</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hint="eastAsia" w:cs="Times New Roman" w:asciiTheme="minorEastAsia" w:hAnsiTheme="minorEastAsia"/>
                <w:color w:val="000000"/>
                <w:kern w:val="0"/>
                <w:szCs w:val="21"/>
              </w:rPr>
              <w:t>37</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四氯化碳</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氯仿</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氯甲烷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1,1-二氯乙烷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1,2-二氯乙烷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1,1-二氯乙烯</w:t>
            </w:r>
          </w:p>
        </w:tc>
        <w:tc>
          <w:tcPr>
            <w:tcW w:w="1278"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顺-1,2-二氯乙烯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反-1,2-二氯乙烯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二氯甲烷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616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1,2-二氯丙烷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1,1,1,2-四氯乙烷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1,1,2,2-四氯乙烷</w:t>
            </w:r>
          </w:p>
        </w:tc>
        <w:tc>
          <w:tcPr>
            <w:tcW w:w="1278"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四氯乙烯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1,1,1-三氯乙烷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840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1,1,2-三氯乙烷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三氯乙烯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1,2,3-三氯丙烷</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氯乙烯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w:t>
            </w:r>
          </w:p>
        </w:tc>
        <w:tc>
          <w:tcPr>
            <w:tcW w:w="1278"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氯苯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1,2-二氯苯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1,4二氯苯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乙苯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苯乙烯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1290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甲苯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间二甲苯+对二甲苯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570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邻二甲苯</w:t>
            </w:r>
          </w:p>
        </w:tc>
        <w:tc>
          <w:tcPr>
            <w:tcW w:w="1278"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硝基苯</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苯胺</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2-氯酚</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2256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苯并[a]蒽</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苯并[a]芘</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苯并[b]荧蒽</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苯并[k]荧蒽</w:t>
            </w:r>
          </w:p>
        </w:tc>
        <w:tc>
          <w:tcPr>
            <w:tcW w:w="1278" w:type="dxa"/>
            <w:vAlign w:val="center"/>
          </w:tcPr>
          <w:p>
            <w:pPr>
              <w:widowControl/>
              <w:adjustRightInd w:val="0"/>
              <w:snapToGrid w:val="0"/>
              <w:jc w:val="center"/>
              <w:rPr>
                <w:rFonts w:cs="Times New Roman" w:asciiTheme="minorEastAsia" w:hAnsiTheme="minorEastAsia"/>
                <w:bCs/>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䓛</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1293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二苯并[a,h]蒽</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茚并[1,2,3-cd] 芘</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萘</w:t>
            </w:r>
          </w:p>
        </w:tc>
        <w:tc>
          <w:tcPr>
            <w:tcW w:w="1278" w:type="dxa"/>
            <w:vAlign w:val="center"/>
          </w:tcPr>
          <w:p>
            <w:pPr>
              <w:widowControl/>
              <w:adjustRightInd w:val="0"/>
              <w:snapToGrid w:val="0"/>
              <w:jc w:val="center"/>
              <w:rPr>
                <w:rFonts w:cs="Times New Roman" w:asciiTheme="minorEastAsia" w:hAnsiTheme="minorEastAsia"/>
                <w:color w:val="000000"/>
                <w:szCs w:val="21"/>
              </w:rPr>
            </w:pPr>
            <w:r>
              <w:rPr>
                <w:rFonts w:cs="Times New Roman" w:asciiTheme="minorEastAsia" w:hAnsiTheme="minorEastAsia"/>
                <w:bCs/>
                <w:color w:val="000000"/>
                <w:szCs w:val="21"/>
              </w:rPr>
              <w:t>mg/kg</w:t>
            </w:r>
          </w:p>
        </w:tc>
        <w:tc>
          <w:tcPr>
            <w:tcW w:w="19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2126"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w:t>
            </w:r>
          </w:p>
        </w:tc>
        <w:tc>
          <w:tcPr>
            <w:tcW w:w="1284" w:type="dxa"/>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2" w:type="dxa"/>
            <w:vAlign w:val="center"/>
          </w:tcPr>
          <w:p>
            <w:pPr>
              <w:widowControl/>
              <w:adjustRightInd w:val="0"/>
              <w:snapToGrid w:val="0"/>
              <w:jc w:val="center"/>
              <w:textAlignment w:val="center"/>
              <w:rPr>
                <w:rFonts w:cs="Times New Roman" w:asciiTheme="minorEastAsia" w:hAnsiTheme="minorEastAsia"/>
                <w:color w:val="000000"/>
                <w:szCs w:val="21"/>
              </w:rPr>
            </w:pPr>
            <w:r>
              <w:rPr>
                <w:rFonts w:cs="Times New Roman" w:asciiTheme="minorEastAsia" w:hAnsiTheme="minorEastAsia"/>
                <w:color w:val="000000"/>
                <w:szCs w:val="21"/>
              </w:rPr>
              <w:t>备注</w:t>
            </w:r>
          </w:p>
        </w:tc>
        <w:tc>
          <w:tcPr>
            <w:tcW w:w="6672" w:type="dxa"/>
            <w:gridSpan w:val="4"/>
            <w:vAlign w:val="center"/>
          </w:tcPr>
          <w:p>
            <w:pPr>
              <w:widowControl/>
              <w:adjustRightInd w:val="0"/>
              <w:snapToGrid w:val="0"/>
              <w:jc w:val="center"/>
              <w:textAlignment w:val="center"/>
              <w:rPr>
                <w:rFonts w:cs="Times New Roman" w:asciiTheme="minorEastAsia" w:hAnsiTheme="minorEastAsia"/>
                <w:color w:val="000000"/>
                <w:kern w:val="0"/>
                <w:szCs w:val="21"/>
              </w:rPr>
            </w:pPr>
            <w:r>
              <w:rPr>
                <w:rFonts w:cs="Times New Roman" w:asciiTheme="minorEastAsia" w:hAnsiTheme="minorEastAsia"/>
                <w:color w:val="000000"/>
                <w:kern w:val="0"/>
                <w:szCs w:val="21"/>
              </w:rPr>
              <w:t>“未检出”表示检测结果小于方法检出限</w:t>
            </w:r>
          </w:p>
        </w:tc>
      </w:tr>
    </w:tbl>
    <w:p>
      <w:pPr>
        <w:adjustRightInd w:val="0"/>
        <w:snapToGrid w:val="0"/>
        <w:spacing w:before="156" w:beforeLines="50"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由表4.5-2可知，本项目拟建厂址</w:t>
      </w:r>
      <w:r>
        <w:rPr>
          <w:rFonts w:hint="eastAsia" w:cs="Times New Roman" w:asciiTheme="minorEastAsia" w:hAnsiTheme="minorEastAsia"/>
          <w:sz w:val="24"/>
          <w:szCs w:val="24"/>
        </w:rPr>
        <w:t>及周边</w:t>
      </w:r>
      <w:r>
        <w:rPr>
          <w:rFonts w:cs="Times New Roman" w:asciiTheme="minorEastAsia" w:hAnsiTheme="minorEastAsia"/>
          <w:sz w:val="24"/>
          <w:szCs w:val="24"/>
        </w:rPr>
        <w:t>土壤环境各项监测因子均能满足《土壤环境质量  建设用地土壤污染风险管控标准》（GB36600-2018）表1筛选值（第二类用地）要求。</w:t>
      </w: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keepNext/>
        <w:keepLines/>
        <w:adjustRightInd w:val="0"/>
        <w:snapToGrid w:val="0"/>
        <w:spacing w:before="312" w:beforeLines="100" w:after="312" w:afterLines="100" w:line="360" w:lineRule="auto"/>
        <w:jc w:val="center"/>
        <w:outlineLvl w:val="0"/>
        <w:rPr>
          <w:rFonts w:cs="Times New Roman" w:asciiTheme="minorEastAsia" w:hAnsiTheme="minorEastAsia"/>
          <w:b/>
          <w:color w:val="0D0D0D" w:themeColor="text1" w:themeTint="F2"/>
          <w:kern w:val="44"/>
          <w:sz w:val="36"/>
          <w:szCs w:val="24"/>
          <w14:textFill>
            <w14:solidFill>
              <w14:schemeClr w14:val="tx1">
                <w14:lumMod w14:val="95000"/>
                <w14:lumOff w14:val="5000"/>
              </w14:schemeClr>
            </w14:solidFill>
          </w14:textFill>
        </w:rPr>
      </w:pPr>
      <w:bookmarkStart w:id="68" w:name="_Toc16874"/>
      <w:r>
        <w:rPr>
          <w:rFonts w:cs="Times New Roman" w:asciiTheme="minorEastAsia" w:hAnsiTheme="minorEastAsia"/>
          <w:b/>
          <w:color w:val="0D0D0D" w:themeColor="text1" w:themeTint="F2"/>
          <w:kern w:val="44"/>
          <w:sz w:val="36"/>
          <w:szCs w:val="24"/>
          <w14:textFill>
            <w14:solidFill>
              <w14:schemeClr w14:val="tx1">
                <w14:lumMod w14:val="95000"/>
                <w14:lumOff w14:val="5000"/>
              </w14:schemeClr>
            </w14:solidFill>
          </w14:textFill>
        </w:rPr>
        <w:t>第五章  环境影响预测与评价</w:t>
      </w:r>
      <w:bookmarkEnd w:id="68"/>
    </w:p>
    <w:p>
      <w:pPr>
        <w:keepNext/>
        <w:keepLines/>
        <w:adjustRightInd w:val="0"/>
        <w:snapToGrid w:val="0"/>
        <w:spacing w:before="156" w:beforeLines="50" w:after="156" w:afterLines="50" w:line="520" w:lineRule="exact"/>
        <w:outlineLvl w:val="1"/>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pPr>
      <w:bookmarkStart w:id="69" w:name="_Toc489812808"/>
      <w:bookmarkStart w:id="70" w:name="_Toc27927"/>
      <w:r>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5.1 施工期环境影响</w:t>
      </w:r>
      <w:bookmarkEnd w:id="69"/>
      <w:r>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分析</w:t>
      </w:r>
      <w:bookmarkEnd w:id="70"/>
      <w:r>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 xml:space="preserve"> </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本项目施工内容主要包括场地平整，土建、附属设施的新建、设备安装等。施工期间对环境的影响主要是扬尘、废水、施工噪声、建筑垃圾及生态影响等。</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5.1.1 施工期扬尘影响分析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本项目施工期废气主要为施工扬尘，施工扬尘主要来自以下几个方面：</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begin"/>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instrText xml:space="preserve"> = 1 \* GB3 </w:instrTex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separate"/>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①</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end"/>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运输车辆运行时产生的道路扬尘；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begin"/>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instrText xml:space="preserve"> = 2 \* GB3 </w:instrTex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separate"/>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②</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end"/>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车辆运输过程中散落的砂石、土等材料产生的二次扬尘；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begin"/>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instrText xml:space="preserve"> = 3 \* GB3 </w:instrTex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separate"/>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③</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end"/>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露天堆放的建材及裸露的施工区表层产生的扬尘；</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begin"/>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instrText xml:space="preserve"> = 4 \* GB3 </w:instrTex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separate"/>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fldChar w:fldCharType="end"/>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建材的装卸、搅拌过程中产生的扬尘。</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扬尘对附近的大气环境和居民带来不利的影响，因此必须采取合理可行的控制措施，尽量减轻污染程度，缩小影响范围。其主要对策有：</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（1）对施工现场进行科学管理，砂石料应统一堆放，水泥应设专门库房堆放，减少搬运环节，搬运时轻举轻放，防止包装袋破裂。</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（2）开挖时，对作业面适当喷水，使其保持一定的湿度，以减少扬尘量。而且建筑材料和建筑垃圾应及时运走。</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施工场地、施工道路的扬尘可用洒水和清扫措施予以抑止。如果只洒水清扫，可使扬尘量减少70%~80%，如洒水清扫后再洒水，抑尘效率达90%以上。有关试验表明，在施工场地每天洒水抑尘作业4~5次，其扬尘造成的TSP污染距离可缩小到20~50m范围内。</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（3）谨防运输车辆装载过满，并采取遮盖、密闭措施，减少其沿途抛洒，并及时清扫散落在路面的泥土和灰尘，</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清洗</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轮胎，定时洒水压尘，减少运输过程中的扬尘。</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（4）施工现场要围栏或部分围栏，减少施工扬尘扩散范围。</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（5）风速过大时停止施工，对堆放的砂石等建筑材料进行遮盖处理。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通过采取以上防治措施，施工弃土及时回填，砂料、石灰、水泥等堆放时应采用篷布遮盖，运输道路采取洒水等措施后，厂界周围环境空气质量可以满足二级标准要求。项目周围500m范围内无敏感点，距项目边界最近敏感点为南侧1300m处的伊庄，项目施工扬尘不会对周边敏感点造成太大影响。</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5.1.2 施工期噪声影响分析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1、施工期噪声种类及源强</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施工期的噪声主要可分为机械噪声、施工作业噪声和施工车辆噪声。机械噪声主要由施工机械所造成，如挖土机、推土机、振捣棒等，多为点声源；施工作业噪声主要指一些零星的敲打声、装卸车辆的撞击声、吆喝声、拆装模板的撞击声等，多为瞬间噪声；施工车辆的噪声属于交通噪声。在这些施工噪声中对周围声环境影响最大的是机械噪声。主要施工机械的噪声源强见表5.1-1。</w:t>
      </w:r>
    </w:p>
    <w:p>
      <w:pPr>
        <w:adjustRightInd w:val="0"/>
        <w:snapToGrid w:val="0"/>
        <w:jc w:val="center"/>
        <w:rPr>
          <w:rFonts w:cs="Times New Roman" w:asciiTheme="minorEastAsia" w:hAnsiTheme="minorEastAsia"/>
          <w:b/>
          <w:color w:val="0D0D0D" w:themeColor="text1" w:themeTint="F2"/>
          <w:sz w:val="24"/>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1"/>
          <w14:textFill>
            <w14:solidFill>
              <w14:schemeClr w14:val="tx1">
                <w14:lumMod w14:val="95000"/>
                <w14:lumOff w14:val="5000"/>
              </w14:schemeClr>
            </w14:solidFill>
          </w14:textFill>
        </w:rPr>
        <w:t>表5.1-1     主要施工机械设备的噪声声级</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18"/>
        <w:gridCol w:w="2836"/>
        <w:gridCol w:w="2340"/>
        <w:gridCol w:w="21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shd w:val="clear" w:color="auto" w:fill="FFFFFF"/>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序号</w:t>
            </w:r>
          </w:p>
        </w:tc>
        <w:tc>
          <w:tcPr>
            <w:tcW w:w="2836" w:type="dxa"/>
            <w:shd w:val="clear" w:color="auto" w:fill="FFFFFF"/>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声源名称</w:t>
            </w:r>
          </w:p>
        </w:tc>
        <w:tc>
          <w:tcPr>
            <w:tcW w:w="2340" w:type="dxa"/>
            <w:shd w:val="clear" w:color="auto" w:fill="FFFFFF"/>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噪声级dB(A)</w:t>
            </w:r>
          </w:p>
        </w:tc>
        <w:tc>
          <w:tcPr>
            <w:tcW w:w="2110" w:type="dxa"/>
            <w:shd w:val="clear" w:color="auto" w:fill="FFFFFF"/>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w:t>
            </w:r>
          </w:p>
        </w:tc>
        <w:tc>
          <w:tcPr>
            <w:tcW w:w="28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挖掘机</w:t>
            </w:r>
          </w:p>
        </w:tc>
        <w:tc>
          <w:tcPr>
            <w:tcW w:w="234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91</w:t>
            </w:r>
          </w:p>
        </w:tc>
        <w:tc>
          <w:tcPr>
            <w:tcW w:w="211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距声源1m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2</w:t>
            </w:r>
          </w:p>
        </w:tc>
        <w:tc>
          <w:tcPr>
            <w:tcW w:w="28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推土机</w:t>
            </w:r>
          </w:p>
        </w:tc>
        <w:tc>
          <w:tcPr>
            <w:tcW w:w="234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90</w:t>
            </w:r>
          </w:p>
        </w:tc>
        <w:tc>
          <w:tcPr>
            <w:tcW w:w="211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距声源1m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3</w:t>
            </w:r>
          </w:p>
        </w:tc>
        <w:tc>
          <w:tcPr>
            <w:tcW w:w="28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振捣棒</w:t>
            </w:r>
          </w:p>
        </w:tc>
        <w:tc>
          <w:tcPr>
            <w:tcW w:w="234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100</w:t>
            </w:r>
          </w:p>
        </w:tc>
        <w:tc>
          <w:tcPr>
            <w:tcW w:w="211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距声源1m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4</w:t>
            </w:r>
          </w:p>
        </w:tc>
        <w:tc>
          <w:tcPr>
            <w:tcW w:w="28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切割机</w:t>
            </w:r>
          </w:p>
        </w:tc>
        <w:tc>
          <w:tcPr>
            <w:tcW w:w="234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95</w:t>
            </w:r>
          </w:p>
        </w:tc>
        <w:tc>
          <w:tcPr>
            <w:tcW w:w="211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距声源1m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5</w:t>
            </w:r>
          </w:p>
        </w:tc>
        <w:tc>
          <w:tcPr>
            <w:tcW w:w="28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电钻</w:t>
            </w:r>
          </w:p>
        </w:tc>
        <w:tc>
          <w:tcPr>
            <w:tcW w:w="234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92</w:t>
            </w:r>
          </w:p>
        </w:tc>
        <w:tc>
          <w:tcPr>
            <w:tcW w:w="211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距声源1m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6</w:t>
            </w:r>
          </w:p>
        </w:tc>
        <w:tc>
          <w:tcPr>
            <w:tcW w:w="28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吊车</w:t>
            </w:r>
          </w:p>
        </w:tc>
        <w:tc>
          <w:tcPr>
            <w:tcW w:w="234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85</w:t>
            </w:r>
          </w:p>
        </w:tc>
        <w:tc>
          <w:tcPr>
            <w:tcW w:w="211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距声源1m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1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7</w:t>
            </w:r>
          </w:p>
        </w:tc>
        <w:tc>
          <w:tcPr>
            <w:tcW w:w="28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载重汽车</w:t>
            </w:r>
          </w:p>
        </w:tc>
        <w:tc>
          <w:tcPr>
            <w:tcW w:w="234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85</w:t>
            </w:r>
          </w:p>
        </w:tc>
        <w:tc>
          <w:tcPr>
            <w:tcW w:w="211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距声源1m</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施工期间施工机械产生的噪声对环境的影响可采用点源预测模式计算，预测公式噪声传播衰减模式为：</w:t>
      </w:r>
    </w:p>
    <w:p>
      <w:pPr>
        <w:adjustRightInd w:val="0"/>
        <w:snapToGrid w:val="0"/>
        <w:spacing w:before="156" w:beforeLines="50" w:after="156" w:afterLines="50" w:line="360" w:lineRule="auto"/>
        <w:jc w:val="cente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L</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A</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(r)=L</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A</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(r</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0</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)-20lg(r/r</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0</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式中</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：L</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A</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(r)-</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距声源</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r</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处的</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A</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声级</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，dB(A)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 xml:space="preserve">      L</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A</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(r</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0</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距声源</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r</w:t>
      </w:r>
      <w:r>
        <w:rPr>
          <w:rFonts w:cs="Times New Roman" w:asciiTheme="minorEastAsia" w:hAnsiTheme="minorEastAsia"/>
          <w:color w:val="0D0D0D" w:themeColor="text1" w:themeTint="F2"/>
          <w:sz w:val="24"/>
          <w:szCs w:val="28"/>
          <w:vertAlign w:val="subscript"/>
          <w:lang w:val="pt-PT"/>
          <w14:textFill>
            <w14:solidFill>
              <w14:schemeClr w14:val="tx1">
                <w14:lumMod w14:val="95000"/>
                <w14:lumOff w14:val="5000"/>
              </w14:schemeClr>
            </w14:solidFill>
          </w14:textFill>
        </w:rPr>
        <w:t>0</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处的</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A</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声级</w:t>
      </w: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，dB(A)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lang w:val="pt-PT"/>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r-预测点距噪声源距离，m</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 xml:space="preserve">      r</w:t>
      </w:r>
      <w:r>
        <w:rPr>
          <w:rFonts w:cs="Times New Roman" w:asciiTheme="minorEastAsia" w:hAnsiTheme="minorEastAsia"/>
          <w:color w:val="0D0D0D" w:themeColor="text1" w:themeTint="F2"/>
          <w:sz w:val="24"/>
          <w:szCs w:val="28"/>
          <w:vertAlign w:val="subscript"/>
          <w14:textFill>
            <w14:solidFill>
              <w14:schemeClr w14:val="tx1">
                <w14:lumMod w14:val="95000"/>
                <w14:lumOff w14:val="5000"/>
              </w14:schemeClr>
            </w14:solidFill>
          </w14:textFill>
        </w:rPr>
        <w:t>0</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-距噪声源的参照距离，m</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主要施工机械噪声随距离的衰减情况见表4.1-2。</w:t>
      </w:r>
    </w:p>
    <w:p>
      <w:pPr>
        <w:adjustRightInd w:val="0"/>
        <w:snapToGrid w:val="0"/>
        <w:spacing w:line="520" w:lineRule="exact"/>
        <w:ind w:right="69" w:rightChars="33"/>
        <w:jc w:val="cente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t>表5.1-2   本项目施工期噪声源强及达标情况一览表</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 xml:space="preserve">         单位：dB（A）</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30"/>
        <w:gridCol w:w="2502"/>
        <w:gridCol w:w="1791"/>
        <w:gridCol w:w="18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Merge w:val="restart"/>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噪声设备</w:t>
            </w:r>
          </w:p>
        </w:tc>
        <w:tc>
          <w:tcPr>
            <w:tcW w:w="2502" w:type="dxa"/>
            <w:vMerge w:val="restart"/>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设备噪声源强dB（A）</w:t>
            </w:r>
          </w:p>
        </w:tc>
        <w:tc>
          <w:tcPr>
            <w:tcW w:w="3672" w:type="dxa"/>
            <w:gridSpan w:val="2"/>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达标距离m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Merge w:val="continue"/>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p>
        </w:tc>
        <w:tc>
          <w:tcPr>
            <w:tcW w:w="2502" w:type="dxa"/>
            <w:vMerge w:val="continue"/>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p>
        </w:tc>
        <w:tc>
          <w:tcPr>
            <w:tcW w:w="1791" w:type="dxa"/>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昼间</w:t>
            </w:r>
          </w:p>
        </w:tc>
        <w:tc>
          <w:tcPr>
            <w:tcW w:w="1881" w:type="dxa"/>
            <w:tcBorders>
              <w:bottom w:val="single" w:color="auto" w:sz="4" w:space="0"/>
            </w:tcBorders>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挖掘机</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91</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11</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推土机</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90</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10</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振捣棒</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100</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31.6</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177.8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切割机</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95</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17.8</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电钻</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92</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12.6</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70.8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吊车</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85</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5.6</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31.6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载重卡车</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85</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5.6</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31.6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830"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设备叠加噪声值</w:t>
            </w:r>
          </w:p>
        </w:tc>
        <w:tc>
          <w:tcPr>
            <w:tcW w:w="2502"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102.46</w:t>
            </w:r>
          </w:p>
        </w:tc>
        <w:tc>
          <w:tcPr>
            <w:tcW w:w="179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42</w:t>
            </w:r>
          </w:p>
        </w:tc>
        <w:tc>
          <w:tcPr>
            <w:tcW w:w="1881"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236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4" w:type="dxa"/>
            <w:gridSpan w:val="4"/>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《建筑施工场界环境噪声排放标准》（GB12523-2011）（昼间70dB(A)、夜间55dB(A)）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9004" w:type="dxa"/>
            <w:gridSpan w:val="4"/>
            <w:vAlign w:val="center"/>
          </w:tcPr>
          <w:p>
            <w:pPr>
              <w:widowControl/>
              <w:adjustRightInd w:val="0"/>
              <w:snapToGrid w:val="0"/>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备注：本项目只在昼间施工，夜间不施工。</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2、施工期声环境影响分析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施工期噪声执行《建筑施工场界环境噪声排放标准》（GB12523-2011），见表5.1-2。从表5.1-2中可看出，施工期最大噪声源振捣棒的昼间噪声超标的情况出现在距声源31.6m范围内，夜间施工噪声超标情况出现在177.8m范围内；施工期设备叠加噪声昼间噪声超标的情况出现在距声源42m范围内，夜间施工噪声超标情况出现在236m范围内。本项目夜间不施工，昼间施工时评价要求高噪声施工设备要合理安排施工位置，远离场界，使场界昼间噪声达标。</w:t>
      </w:r>
    </w:p>
    <w:p>
      <w:pPr>
        <w:adjustRightInd w:val="0"/>
        <w:snapToGrid w:val="0"/>
        <w:spacing w:line="520" w:lineRule="exact"/>
        <w:ind w:right="69" w:rightChars="33"/>
        <w:jc w:val="cente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8"/>
          <w14:textFill>
            <w14:solidFill>
              <w14:schemeClr w14:val="tx1">
                <w14:lumMod w14:val="95000"/>
                <w14:lumOff w14:val="5000"/>
              </w14:schemeClr>
            </w14:solidFill>
          </w14:textFill>
        </w:rPr>
        <w:t xml:space="preserve">表5.1-3      建筑施工场界环境噪声排放限值 </w:t>
      </w:r>
      <w:r>
        <w:rPr>
          <w:rFonts w:cs="Times New Roman" w:asciiTheme="minorEastAsia" w:hAnsiTheme="minorEastAsia"/>
          <w:bCs/>
          <w:color w:val="0D0D0D" w:themeColor="text1" w:themeTint="F2"/>
          <w:sz w:val="24"/>
          <w:szCs w:val="28"/>
          <w14:textFill>
            <w14:solidFill>
              <w14:schemeClr w14:val="tx1">
                <w14:lumMod w14:val="95000"/>
                <w14:lumOff w14:val="5000"/>
              </w14:schemeClr>
            </w14:solidFill>
          </w14:textFill>
        </w:rPr>
        <w:t xml:space="preserve">       单位dB(A)</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436"/>
        <w:gridCol w:w="45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44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昼间</w:t>
            </w:r>
          </w:p>
        </w:tc>
        <w:tc>
          <w:tcPr>
            <w:tcW w:w="456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4436"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70</w:t>
            </w:r>
          </w:p>
        </w:tc>
        <w:tc>
          <w:tcPr>
            <w:tcW w:w="4568" w:type="dxa"/>
            <w:vAlign w:val="center"/>
          </w:tcPr>
          <w:p>
            <w:pPr>
              <w:widowControl/>
              <w:adjustRightInd w:val="0"/>
              <w:snapToGrid w:val="0"/>
              <w:jc w:val="center"/>
              <w:rPr>
                <w:rFonts w:cs="Times New Roman" w:asciiTheme="minorEastAsia" w:hAnsiTheme="minorEastAsia"/>
                <w:color w:val="0D0D0D" w:themeColor="text1" w:themeTint="F2"/>
                <w:kern w:val="0"/>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14:textFill>
                  <w14:solidFill>
                    <w14:schemeClr w14:val="tx1">
                      <w14:lumMod w14:val="95000"/>
                      <w14:lumOff w14:val="5000"/>
                    </w14:schemeClr>
                  </w14:solidFill>
                </w14:textFill>
              </w:rPr>
              <w:t>55</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距项目边界最近的居民点为南侧1300m处的伊庄。施工噪声在经过距离衰减后达到《声环境质量标准》（GB3096-2008）中的1类标准昼间标准要求的最大距离范围为236m，达到夜间标准要求的最大达标范围为746m（本项目夜间不施工）。因此项目施工期噪声对周围敏感点影响较小。</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建议施工单位应合理安排施工时间，施工时应尽量避免在中午（12时至14时）和晚上（22时至次日6时）休息时间进行高噪声施工作业；采取合理的施工方式，优先选用低噪声的施工设备，减少高噪声设备机械的同时运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在采取合理措施后，可尽量减轻项目施工噪声对居民正常生活的影响。加之施工是短时期的，因此施工过程中对区域声环境的影响是暂时的，将随着施工的结束而消失。</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5.1.3 施工期废水影响分析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施工期废水主要为施工人员的生活污水、施工废水等。其中工程施工废水包括施工机械冷却水及洗涤用水、施工现场清洗、建材清洗、混凝土浇筑、养护、</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清洗</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等，这部分废水有一定量的油污和泥沙。施工人员的生活污水含有一定量的有机物。另外，雨季作业场地的地面径流水，含有大量的泥土和高浓度的悬浮物。</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环评要求施工单位在易出现漏油的机械设备下方设集油槽（池），收集后外售处理，并在施工现场设置临时集水池、沉砂池等临时性污水简易处理设施，将施工废水进行处理后用于拌和土和水泥。施工场地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先期建设化粪池</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，生活污水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经化粪池处理后，排放污水管网</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经领取上述措施后，项目施工期废水对环境影响较小。</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5.1.4 施工期固废影响分析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施工期固体废物主要来源于施工过程中产生的建筑垃圾、弃土，以及施工人员产生的生活垃圾。施工期的弃土、建筑垃圾应及时外运，按当地环保要求运至垃圾填埋场；施工期的生活垃圾量很少，定期送至城市垃圾处理场统一处理，预计施工期固体废弃物对周围环境影响不大。</w:t>
      </w:r>
    </w:p>
    <w:p>
      <w:pPr>
        <w:keepNext/>
        <w:keepLines/>
        <w:adjustRightInd w:val="0"/>
        <w:snapToGrid w:val="0"/>
        <w:spacing w:before="156" w:beforeLines="50" w:line="360" w:lineRule="auto"/>
        <w:outlineLvl w:val="1"/>
        <w:rPr>
          <w:rFonts w:cs="Times New Roman" w:asciiTheme="minorEastAsia" w:hAnsiTheme="minorEastAsia"/>
          <w:b/>
          <w:color w:val="0D0D0D" w:themeColor="text1" w:themeTint="F2"/>
          <w:sz w:val="28"/>
          <w:szCs w:val="24"/>
          <w14:textFill>
            <w14:solidFill>
              <w14:schemeClr w14:val="tx1">
                <w14:lumMod w14:val="95000"/>
                <w14:lumOff w14:val="5000"/>
              </w14:schemeClr>
            </w14:solidFill>
          </w14:textFill>
        </w:rPr>
      </w:pPr>
      <w:bookmarkStart w:id="71" w:name="_Toc13873"/>
      <w:r>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5.2 营运期环境影响</w:t>
      </w:r>
      <w:bookmarkEnd w:id="71"/>
      <w:r>
        <w:rPr>
          <w:rFonts w:hint="eastAsia"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预测与分析评价</w:t>
      </w: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5.2.1 大气环境影响预测与评价</w:t>
      </w:r>
    </w:p>
    <w:p>
      <w:pPr>
        <w:tabs>
          <w:tab w:val="left" w:pos="0"/>
        </w:tabs>
        <w:adjustRightInd w:val="0"/>
        <w:snapToGrid w:val="0"/>
        <w:spacing w:line="360" w:lineRule="auto"/>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5.2.1.1气象特征</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1、观测站基本情况</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地面气象资料来自西平县气象局气象观测站观测结果。本项目距西平县气象观测站约为23km，两地受相同气候系统的影响和控制，其常规气象资料可以反映拟建项目区域的基本气候特征，而且地形条件无大差异，可以直接使用该气象站提供的地面气象资料。</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2、项目所在地气候概况</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所在的区域属于亚热带向北温带过度地带，归属北亚热带，处在北亚热带气候区的北缘。由于该地位于北纬中纬度地带，远离海洋，所以一年四季受季风的影响比较明显。冬季常受极地冷空气气团的南下侵袭，空气干燥，寒冷。夏季常常处于太平洋副热带高压后部，容易产生阵性降水，空气湿热，降水量大。由于受地形影响的结果，该地夏季出现暴雨的机率比北部地区要大。暴雨引起自然灾害是其重要的气候特点。春季和秋季为冬夏的过渡时期，气候比较温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3、项目所在地气象特征</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据西平县气象台多年气象资料统计，年平均气温15</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年平均气压1006.9hPa，年平均相对湿度75%，年平均日照时间2186.5h，年平均无霜期228天，年平均降水量938.8mm，年平均蒸发量1509.0mm。近30年各风向频率统计结果见表5.2-2，全年风向频率玫瑰图见图5.2-1。西平县主导风向为西北偏北风（NNW），全年风频达11.16%，冬季最高，为16.9.0%；全年次主导风向为西北风（NE），风频为9.38%。年静风频率为6.02%，秋季最高，为9.62%。西平县年平均风速为1.55m/s，其中春季风速最大为1.77m/s，秋季风速最小，为1.28m/s。从各月统计资料看，12月份风速最大，为1.81m/s，9月份风速最小，为1.17m/s。</w:t>
      </w:r>
    </w:p>
    <w:p>
      <w:pPr>
        <w:tabs>
          <w:tab w:val="left" w:pos="0"/>
        </w:tabs>
        <w:adjustRightInd w:val="0"/>
        <w:snapToGrid w:val="0"/>
        <w:spacing w:line="360" w:lineRule="auto"/>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5.2.1.2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评价因子及评价标准</w:t>
      </w:r>
    </w:p>
    <w:p>
      <w:pPr>
        <w:tabs>
          <w:tab w:val="left" w:pos="0"/>
        </w:tabs>
        <w:adjustRightInd w:val="0"/>
        <w:snapToGrid w:val="0"/>
        <w:spacing w:line="360" w:lineRule="auto"/>
        <w:ind w:firstLine="480" w:firstLineChars="200"/>
        <w:outlineLvl w:val="3"/>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（1）评价</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因子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根据本次工程污染特征和厂区所在区域环境空气质量功能区划，本次大气环境影响评价选取评价因子</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TSP、</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氨、苯并[a]芘及</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非甲烷总烃。</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由于项目二噁英类污染物产生情况具有较大的不确定性，本次评价不再考虑二噁英的环境影响。</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2、评价标准</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本次评价</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PM</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、TSP、</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 w:val="24"/>
          <w:szCs w:val="28"/>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、苯并[a]芘</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选用《环境空气质量标准》（GB 3095-2012）中二级标准小时值</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；非甲烷总烃选用《大气污染物综合排放标准详解》中环境质量标准限值</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氨、</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S选用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《环境影响评价技术导则 大气环境》（HJ/T2.2-2018）附录D浓度参考值。</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具体见表5.2-1。</w:t>
      </w:r>
    </w:p>
    <w:p>
      <w:pPr>
        <w:adjustRightInd w:val="0"/>
        <w:snapToGrid w:val="0"/>
        <w:jc w:val="center"/>
        <w:rPr>
          <w:rFonts w:cs="Times New Roman" w:asciiTheme="minorEastAsia" w:hAnsiTheme="minorEastAsia"/>
          <w:color w:val="0D0D0D" w:themeColor="text1" w:themeTint="F2"/>
          <w:sz w:val="24"/>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表5.2-1   预测评价标准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1"/>
          <w14:textFill>
            <w14:solidFill>
              <w14:schemeClr w14:val="tx1">
                <w14:lumMod w14:val="95000"/>
                <w14:lumOff w14:val="5000"/>
              </w14:schemeClr>
            </w14:solidFill>
          </w14:textFill>
        </w:rPr>
        <w:t>单位：</w:t>
      </w:r>
      <w:r>
        <w:rPr>
          <w:rFonts w:cs="Times New Roman" w:asciiTheme="minorEastAsia" w:hAnsiTheme="minorEastAsia"/>
          <w:bCs/>
          <w:color w:val="0D0D0D" w:themeColor="text1" w:themeTint="F2"/>
          <w:sz w:val="24"/>
          <w:szCs w:val="21"/>
          <w14:textFill>
            <w14:solidFill>
              <w14:schemeClr w14:val="tx1">
                <w14:lumMod w14:val="95000"/>
                <w14:lumOff w14:val="5000"/>
              </w14:schemeClr>
            </w14:solidFill>
          </w14:textFill>
        </w:rPr>
        <w:t>mg/m</w:t>
      </w:r>
      <w:r>
        <w:rPr>
          <w:rFonts w:cs="Times New Roman" w:asciiTheme="minorEastAsia" w:hAnsiTheme="minorEastAsia"/>
          <w:bCs/>
          <w:color w:val="0D0D0D" w:themeColor="text1" w:themeTint="F2"/>
          <w:sz w:val="24"/>
          <w:szCs w:val="21"/>
          <w:vertAlign w:val="superscript"/>
          <w14:textFill>
            <w14:solidFill>
              <w14:schemeClr w14:val="tx1">
                <w14:lumMod w14:val="95000"/>
                <w14:lumOff w14:val="5000"/>
              </w14:schemeClr>
            </w14:solidFill>
          </w14:textFill>
        </w:rPr>
        <w:t>3</w:t>
      </w:r>
    </w:p>
    <w:tbl>
      <w:tblPr>
        <w:tblStyle w:val="27"/>
        <w:tblW w:w="9571"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Layout w:type="fixed"/>
        <w:tblCellMar>
          <w:top w:w="0" w:type="dxa"/>
          <w:left w:w="108" w:type="dxa"/>
          <w:bottom w:w="0" w:type="dxa"/>
          <w:right w:w="108" w:type="dxa"/>
        </w:tblCellMar>
      </w:tblPr>
      <w:tblGrid>
        <w:gridCol w:w="1254"/>
        <w:gridCol w:w="1018"/>
        <w:gridCol w:w="920"/>
        <w:gridCol w:w="992"/>
        <w:gridCol w:w="993"/>
        <w:gridCol w:w="992"/>
        <w:gridCol w:w="992"/>
        <w:gridCol w:w="992"/>
        <w:gridCol w:w="1418"/>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449" w:hRule="atLeast"/>
          <w:jc w:val="center"/>
        </w:trPr>
        <w:tc>
          <w:tcPr>
            <w:tcW w:w="1254"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评价项目</w:t>
            </w:r>
          </w:p>
        </w:tc>
        <w:tc>
          <w:tcPr>
            <w:tcW w:w="1018"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p>
        </w:tc>
        <w:tc>
          <w:tcPr>
            <w:tcW w:w="920"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NO</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p>
        </w:tc>
        <w:tc>
          <w:tcPr>
            <w:tcW w:w="9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PM</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10</w:t>
            </w:r>
          </w:p>
        </w:tc>
        <w:tc>
          <w:tcPr>
            <w:tcW w:w="993"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TSP</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氨</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苯并[a]芘</w:t>
            </w:r>
          </w:p>
        </w:tc>
        <w:tc>
          <w:tcPr>
            <w:tcW w:w="1418"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非甲烷总烃</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449" w:hRule="atLeast"/>
          <w:jc w:val="center"/>
        </w:trPr>
        <w:tc>
          <w:tcPr>
            <w:tcW w:w="1254"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一次值</w:t>
            </w:r>
          </w:p>
        </w:tc>
        <w:tc>
          <w:tcPr>
            <w:tcW w:w="1018"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0.5</w:t>
            </w:r>
          </w:p>
        </w:tc>
        <w:tc>
          <w:tcPr>
            <w:tcW w:w="920"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0.2</w:t>
            </w:r>
          </w:p>
        </w:tc>
        <w:tc>
          <w:tcPr>
            <w:tcW w:w="9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993"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0.01</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0.2</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1418"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2.0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449" w:hRule="atLeast"/>
          <w:jc w:val="center"/>
        </w:trPr>
        <w:tc>
          <w:tcPr>
            <w:tcW w:w="1254"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日平均</w:t>
            </w:r>
          </w:p>
        </w:tc>
        <w:tc>
          <w:tcPr>
            <w:tcW w:w="1018"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920"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992"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0.15</w:t>
            </w:r>
          </w:p>
        </w:tc>
        <w:tc>
          <w:tcPr>
            <w:tcW w:w="993"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0.3</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992"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2.5×10</w:t>
            </w:r>
            <w:r>
              <w:rPr>
                <w:rFonts w:hint="eastAsia" w:cs="Times New Roman" w:asciiTheme="minorEastAsia" w:hAnsiTheme="minorEastAsia"/>
                <w:bCs/>
                <w:color w:val="0D0D0D" w:themeColor="text1" w:themeTint="F2"/>
                <w:szCs w:val="21"/>
                <w:vertAlign w:val="superscript"/>
                <w14:textFill>
                  <w14:solidFill>
                    <w14:schemeClr w14:val="tx1">
                      <w14:lumMod w14:val="95000"/>
                      <w14:lumOff w14:val="5000"/>
                    </w14:schemeClr>
                  </w14:solidFill>
                </w14:textFill>
              </w:rPr>
              <w:t>-6</w:t>
            </w:r>
          </w:p>
        </w:tc>
        <w:tc>
          <w:tcPr>
            <w:tcW w:w="1418" w:type="dxa"/>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r>
    </w:tbl>
    <w:p>
      <w:pPr>
        <w:adjustRightInd w:val="0"/>
        <w:snapToGrid w:val="0"/>
        <w:spacing w:before="156" w:beforeLines="50"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5.2.1.3项目污染物排放情况</w:t>
      </w: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根据工程分析，本项目正常工况及非正常工况下、事故性排放点源排放参数见表5.2-2、5.2-3及续表5.2-3；项目面源排放参数见表5.2-4。</w:t>
      </w: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       本项目有组织废气</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排放源</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排放参数</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表（正常工况）</w:t>
      </w:r>
    </w:p>
    <w:tbl>
      <w:tblPr>
        <w:tblStyle w:val="27"/>
        <w:tblW w:w="876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1051"/>
        <w:gridCol w:w="901"/>
        <w:gridCol w:w="902"/>
        <w:gridCol w:w="1502"/>
        <w:gridCol w:w="1202"/>
        <w:gridCol w:w="601"/>
        <w:gridCol w:w="751"/>
        <w:gridCol w:w="8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52" w:hRule="atLeast"/>
          <w:tblHeader/>
          <w:jc w:val="center"/>
        </w:trPr>
        <w:tc>
          <w:tcPr>
            <w:tcW w:w="1034"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污染源</w:t>
            </w:r>
          </w:p>
        </w:tc>
        <w:tc>
          <w:tcPr>
            <w:tcW w:w="1051"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废气量</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Nm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/h</w:t>
            </w:r>
          </w:p>
        </w:tc>
        <w:tc>
          <w:tcPr>
            <w:tcW w:w="901"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排气筒底座海拔（m）</w:t>
            </w:r>
          </w:p>
        </w:tc>
        <w:tc>
          <w:tcPr>
            <w:tcW w:w="9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城市/</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乡村</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选项</w:t>
            </w:r>
          </w:p>
        </w:tc>
        <w:tc>
          <w:tcPr>
            <w:tcW w:w="15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污染物名称</w:t>
            </w:r>
          </w:p>
        </w:tc>
        <w:tc>
          <w:tcPr>
            <w:tcW w:w="12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速率</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2174" w:type="dxa"/>
            <w:gridSpan w:val="3"/>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排放源参数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92" w:hRule="atLeast"/>
          <w:tblHeader/>
          <w:jc w:val="center"/>
        </w:trPr>
        <w:tc>
          <w:tcPr>
            <w:tcW w:w="1034"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5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2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60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高度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75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直径</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822"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温度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燃烧废气排气筒（1#）</w:t>
            </w:r>
          </w:p>
        </w:tc>
        <w:tc>
          <w:tcPr>
            <w:tcW w:w="105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20000</w:t>
            </w:r>
          </w:p>
        </w:tc>
        <w:tc>
          <w:tcPr>
            <w:tcW w:w="901"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121</w:t>
            </w:r>
          </w:p>
        </w:tc>
        <w:tc>
          <w:tcPr>
            <w:tcW w:w="902"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城市</w:t>
            </w: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0.144</w:t>
            </w:r>
          </w:p>
        </w:tc>
        <w:tc>
          <w:tcPr>
            <w:tcW w:w="60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75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0.85</w:t>
            </w:r>
          </w:p>
        </w:tc>
        <w:tc>
          <w:tcPr>
            <w:tcW w:w="822"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0.555</w:t>
            </w: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22"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22"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0.006</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0.104</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74" w:hRule="atLeast"/>
          <w:jc w:val="center"/>
        </w:trPr>
        <w:tc>
          <w:tcPr>
            <w:tcW w:w="1034"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袋除尘器排气筒（2#、3#）</w:t>
            </w:r>
          </w:p>
        </w:tc>
        <w:tc>
          <w:tcPr>
            <w:tcW w:w="1051"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5000</w:t>
            </w:r>
          </w:p>
        </w:tc>
        <w:tc>
          <w:tcPr>
            <w:tcW w:w="901"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121</w:t>
            </w:r>
          </w:p>
        </w:tc>
        <w:tc>
          <w:tcPr>
            <w:tcW w:w="902"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城市</w:t>
            </w: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0.022</w:t>
            </w:r>
          </w:p>
        </w:tc>
        <w:tc>
          <w:tcPr>
            <w:tcW w:w="601"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15</w:t>
            </w:r>
          </w:p>
        </w:tc>
        <w:tc>
          <w:tcPr>
            <w:tcW w:w="751"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0.5</w:t>
            </w:r>
          </w:p>
        </w:tc>
        <w:tc>
          <w:tcPr>
            <w:tcW w:w="822" w:type="dxa"/>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25</w:t>
            </w:r>
          </w:p>
        </w:tc>
      </w:tr>
    </w:tbl>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       本项目有组织废气</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排放源</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排放参数</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表（非正常工况）</w:t>
      </w:r>
    </w:p>
    <w:tbl>
      <w:tblPr>
        <w:tblStyle w:val="27"/>
        <w:tblW w:w="876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1051"/>
        <w:gridCol w:w="901"/>
        <w:gridCol w:w="902"/>
        <w:gridCol w:w="1502"/>
        <w:gridCol w:w="1202"/>
        <w:gridCol w:w="601"/>
        <w:gridCol w:w="751"/>
        <w:gridCol w:w="8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52" w:hRule="atLeast"/>
          <w:tblHeader/>
          <w:jc w:val="center"/>
        </w:trPr>
        <w:tc>
          <w:tcPr>
            <w:tcW w:w="1034"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污染源</w:t>
            </w:r>
          </w:p>
        </w:tc>
        <w:tc>
          <w:tcPr>
            <w:tcW w:w="1051"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废气量</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Nm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/h</w:t>
            </w:r>
          </w:p>
        </w:tc>
        <w:tc>
          <w:tcPr>
            <w:tcW w:w="901"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排气筒底座海拔（m）</w:t>
            </w:r>
          </w:p>
        </w:tc>
        <w:tc>
          <w:tcPr>
            <w:tcW w:w="9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城市/</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乡村</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选项</w:t>
            </w:r>
          </w:p>
        </w:tc>
        <w:tc>
          <w:tcPr>
            <w:tcW w:w="15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污染物名称</w:t>
            </w:r>
          </w:p>
        </w:tc>
        <w:tc>
          <w:tcPr>
            <w:tcW w:w="12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速率</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2174" w:type="dxa"/>
            <w:gridSpan w:val="3"/>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排放源参数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92" w:hRule="atLeast"/>
          <w:tblHeader/>
          <w:jc w:val="center"/>
        </w:trPr>
        <w:tc>
          <w:tcPr>
            <w:tcW w:w="1034"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5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2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60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高度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75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直径</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822"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温度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燃烧废气排气筒（1#）</w:t>
            </w:r>
          </w:p>
        </w:tc>
        <w:tc>
          <w:tcPr>
            <w:tcW w:w="105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20000</w:t>
            </w:r>
          </w:p>
        </w:tc>
        <w:tc>
          <w:tcPr>
            <w:tcW w:w="901"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121</w:t>
            </w:r>
          </w:p>
        </w:tc>
        <w:tc>
          <w:tcPr>
            <w:tcW w:w="902"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城市</w:t>
            </w: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0.144</w:t>
            </w:r>
          </w:p>
        </w:tc>
        <w:tc>
          <w:tcPr>
            <w:tcW w:w="60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75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0.85</w:t>
            </w:r>
          </w:p>
        </w:tc>
        <w:tc>
          <w:tcPr>
            <w:tcW w:w="822"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0.555</w:t>
            </w: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22"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22"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0.021</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0.52</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5.6</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bl>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续</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       本项目有组织废气</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排放源</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排放参数</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表（事故性排放）</w:t>
      </w:r>
    </w:p>
    <w:tbl>
      <w:tblPr>
        <w:tblStyle w:val="27"/>
        <w:tblW w:w="876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1051"/>
        <w:gridCol w:w="901"/>
        <w:gridCol w:w="902"/>
        <w:gridCol w:w="1502"/>
        <w:gridCol w:w="1202"/>
        <w:gridCol w:w="601"/>
        <w:gridCol w:w="751"/>
        <w:gridCol w:w="8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52" w:hRule="atLeast"/>
          <w:tblHeader/>
          <w:jc w:val="center"/>
        </w:trPr>
        <w:tc>
          <w:tcPr>
            <w:tcW w:w="1034"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污染源</w:t>
            </w:r>
          </w:p>
        </w:tc>
        <w:tc>
          <w:tcPr>
            <w:tcW w:w="1051"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废气量</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Nm</w:t>
            </w:r>
            <w:r>
              <w:rPr>
                <w:rFonts w:cs="Times New Roman" w:asciiTheme="minorEastAsia" w:hAnsiTheme="minorEastAsia"/>
                <w:b/>
                <w:bCs/>
                <w:color w:val="0D0D0D" w:themeColor="text1" w:themeTint="F2"/>
                <w:sz w:val="18"/>
                <w:szCs w:val="18"/>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/h</w:t>
            </w:r>
          </w:p>
        </w:tc>
        <w:tc>
          <w:tcPr>
            <w:tcW w:w="901"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排气筒底座海拔（m）</w:t>
            </w:r>
          </w:p>
        </w:tc>
        <w:tc>
          <w:tcPr>
            <w:tcW w:w="9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城市/</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乡村</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选项</w:t>
            </w:r>
          </w:p>
        </w:tc>
        <w:tc>
          <w:tcPr>
            <w:tcW w:w="15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污染物名称</w:t>
            </w:r>
          </w:p>
        </w:tc>
        <w:tc>
          <w:tcPr>
            <w:tcW w:w="1202" w:type="dxa"/>
            <w:vMerge w:val="restart"/>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w:t>
            </w: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速率</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2174" w:type="dxa"/>
            <w:gridSpan w:val="3"/>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排放源参数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892" w:hRule="atLeast"/>
          <w:tblHeader/>
          <w:jc w:val="center"/>
        </w:trPr>
        <w:tc>
          <w:tcPr>
            <w:tcW w:w="1034"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5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1202" w:type="dxa"/>
            <w:vMerge w:val="continue"/>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p>
        </w:tc>
        <w:tc>
          <w:tcPr>
            <w:tcW w:w="60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高度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751"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直径</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m</w:t>
            </w:r>
          </w:p>
        </w:tc>
        <w:tc>
          <w:tcPr>
            <w:tcW w:w="822" w:type="dxa"/>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温度</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bCs/>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燃烧废气排气筒（1#）</w:t>
            </w:r>
          </w:p>
        </w:tc>
        <w:tc>
          <w:tcPr>
            <w:tcW w:w="105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20000</w:t>
            </w:r>
          </w:p>
        </w:tc>
        <w:tc>
          <w:tcPr>
            <w:tcW w:w="901"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121</w:t>
            </w:r>
          </w:p>
        </w:tc>
        <w:tc>
          <w:tcPr>
            <w:tcW w:w="902" w:type="dxa"/>
            <w:vMerge w:val="restart"/>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城市</w:t>
            </w: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2.876</w:t>
            </w:r>
          </w:p>
        </w:tc>
        <w:tc>
          <w:tcPr>
            <w:tcW w:w="60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20</w:t>
            </w:r>
          </w:p>
        </w:tc>
        <w:tc>
          <w:tcPr>
            <w:tcW w:w="751"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0.85</w:t>
            </w:r>
          </w:p>
        </w:tc>
        <w:tc>
          <w:tcPr>
            <w:tcW w:w="822" w:type="dxa"/>
            <w:vMerge w:val="restart"/>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5.553</w:t>
            </w: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22"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0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60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51"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822" w:type="dxa"/>
            <w:vMerge w:val="continue"/>
            <w:vAlign w:val="center"/>
          </w:tcPr>
          <w:p>
            <w:pPr>
              <w:widowControl/>
              <w:adjustRightInd w:val="0"/>
              <w:snapToGrid w:val="0"/>
              <w:jc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1.04</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8" w:hRule="atLeast"/>
          <w:jc w:val="center"/>
        </w:trPr>
        <w:tc>
          <w:tcPr>
            <w:tcW w:w="1034"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0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20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1.4×10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-5</w:t>
            </w:r>
          </w:p>
        </w:tc>
        <w:tc>
          <w:tcPr>
            <w:tcW w:w="60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51"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22" w:type="dxa"/>
            <w:vMerge w:val="continue"/>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bl>
    <w:p>
      <w:pPr>
        <w:adjustRightInd w:val="0"/>
        <w:snapToGrid w:val="0"/>
        <w:spacing w:before="156" w:beforeLines="50"/>
        <w:jc w:val="cente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-4         本项目无组织废气排放</w:t>
      </w:r>
      <w:r>
        <w:rPr>
          <w:rFonts w:hint="eastAsia"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源</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参数</w:t>
      </w:r>
    </w:p>
    <w:tbl>
      <w:tblPr>
        <w:tblStyle w:val="27"/>
        <w:tblW w:w="886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24"/>
        <w:gridCol w:w="1253"/>
        <w:gridCol w:w="1866"/>
        <w:gridCol w:w="1677"/>
        <w:gridCol w:w="23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31" w:hRule="atLeast"/>
          <w:jc w:val="center"/>
        </w:trPr>
        <w:tc>
          <w:tcPr>
            <w:tcW w:w="1724" w:type="dxa"/>
            <w:vMerge w:val="restart"/>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排放单元</w:t>
            </w:r>
          </w:p>
        </w:tc>
        <w:tc>
          <w:tcPr>
            <w:tcW w:w="1253" w:type="dxa"/>
            <w:vMerge w:val="restart"/>
            <w:tcBorders>
              <w:left w:val="single" w:color="auto" w:sz="4" w:space="0"/>
            </w:tcBorders>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城市/乡村</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选项</w:t>
            </w:r>
          </w:p>
        </w:tc>
        <w:tc>
          <w:tcPr>
            <w:tcW w:w="1866" w:type="dxa"/>
            <w:vMerge w:val="restart"/>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污染物</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名称</w:t>
            </w:r>
          </w:p>
        </w:tc>
        <w:tc>
          <w:tcPr>
            <w:tcW w:w="1677" w:type="dxa"/>
            <w:vMerge w:val="restart"/>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排放</w:t>
            </w: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源强</w:t>
            </w:r>
          </w:p>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kg/h</w:t>
            </w:r>
          </w:p>
        </w:tc>
        <w:tc>
          <w:tcPr>
            <w:tcW w:w="2343" w:type="dxa"/>
            <w:tcMar>
              <w:left w:w="57" w:type="dxa"/>
              <w:right w:w="57" w:type="dxa"/>
            </w:tcMar>
            <w:vAlign w:val="center"/>
          </w:tcPr>
          <w:p>
            <w:pPr>
              <w:adjustRightInd w:val="0"/>
              <w:snapToGrid w:val="0"/>
              <w:jc w:val="cente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面源参数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0" w:hRule="atLeast"/>
          <w:jc w:val="center"/>
        </w:trPr>
        <w:tc>
          <w:tcPr>
            <w:tcW w:w="1724"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53" w:type="dxa"/>
            <w:vMerge w:val="continue"/>
            <w:tcBorders>
              <w:lef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866" w:type="dxa"/>
            <w:vMerge w:val="continue"/>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677"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343"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8"/>
                <w:szCs w:val="18"/>
                <w14:textFill>
                  <w14:solidFill>
                    <w14:schemeClr w14:val="tx1">
                      <w14:lumMod w14:val="95000"/>
                      <w14:lumOff w14:val="5000"/>
                    </w14:schemeClr>
                  </w14:solidFill>
                </w14:textFill>
              </w:rPr>
              <w:t>长×宽×高m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23" w:hRule="atLeast"/>
          <w:jc w:val="center"/>
        </w:trPr>
        <w:tc>
          <w:tcPr>
            <w:tcW w:w="1724"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裂解油</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储罐区</w:t>
            </w:r>
          </w:p>
        </w:tc>
        <w:tc>
          <w:tcPr>
            <w:tcW w:w="1253" w:type="dxa"/>
            <w:tcBorders>
              <w:lef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城市</w:t>
            </w:r>
          </w:p>
        </w:tc>
        <w:tc>
          <w:tcPr>
            <w:tcW w:w="1866"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677"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0443</w:t>
            </w:r>
          </w:p>
        </w:tc>
        <w:tc>
          <w:tcPr>
            <w:tcW w:w="2343"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2" w:hRule="atLeast"/>
          <w:jc w:val="center"/>
        </w:trPr>
        <w:tc>
          <w:tcPr>
            <w:tcW w:w="1724" w:type="dxa"/>
            <w:vMerge w:val="restart"/>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裂解</w:t>
            </w:r>
          </w:p>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车间</w:t>
            </w:r>
          </w:p>
        </w:tc>
        <w:tc>
          <w:tcPr>
            <w:tcW w:w="1253" w:type="dxa"/>
            <w:vMerge w:val="restart"/>
            <w:tcBorders>
              <w:lef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城市</w:t>
            </w:r>
          </w:p>
        </w:tc>
        <w:tc>
          <w:tcPr>
            <w:tcW w:w="1866"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1677"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0.194</w:t>
            </w:r>
          </w:p>
        </w:tc>
        <w:tc>
          <w:tcPr>
            <w:tcW w:w="2343" w:type="dxa"/>
            <w:vMerge w:val="restart"/>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5" w:hRule="atLeast"/>
          <w:jc w:val="center"/>
        </w:trPr>
        <w:tc>
          <w:tcPr>
            <w:tcW w:w="1724"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53" w:type="dxa"/>
            <w:vMerge w:val="continue"/>
            <w:tcBorders>
              <w:lef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866"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677"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04</w:t>
            </w:r>
          </w:p>
        </w:tc>
        <w:tc>
          <w:tcPr>
            <w:tcW w:w="2343" w:type="dxa"/>
            <w:vMerge w:val="continue"/>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1724" w:type="dxa"/>
            <w:vMerge w:val="continue"/>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53" w:type="dxa"/>
            <w:vMerge w:val="continue"/>
            <w:tcBorders>
              <w:lef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866"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677"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027</w:t>
            </w:r>
          </w:p>
        </w:tc>
        <w:tc>
          <w:tcPr>
            <w:tcW w:w="2343" w:type="dxa"/>
            <w:vMerge w:val="continue"/>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1724"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产品库</w:t>
            </w:r>
          </w:p>
        </w:tc>
        <w:tc>
          <w:tcPr>
            <w:tcW w:w="1253" w:type="dxa"/>
            <w:tcBorders>
              <w:lef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城市</w:t>
            </w:r>
          </w:p>
        </w:tc>
        <w:tc>
          <w:tcPr>
            <w:tcW w:w="1866"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1677" w:type="dxa"/>
            <w:tcBorders>
              <w:right w:val="single" w:color="auto" w:sz="4" w:space="0"/>
            </w:tcBorders>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0.024</w:t>
            </w:r>
          </w:p>
        </w:tc>
        <w:tc>
          <w:tcPr>
            <w:tcW w:w="2343" w:type="dxa"/>
            <w:tcMar>
              <w:left w:w="57" w:type="dxa"/>
              <w:right w:w="57" w:type="dxa"/>
            </w:tcMar>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4.5</w:t>
            </w:r>
          </w:p>
        </w:tc>
      </w:tr>
    </w:tbl>
    <w:p>
      <w:pPr>
        <w:adjustRightInd w:val="0"/>
        <w:snapToGrid w:val="0"/>
        <w:spacing w:before="156" w:beforeLines="50"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5.2.1.4评价工作等级</w:t>
      </w:r>
    </w:p>
    <w:p>
      <w:pPr>
        <w:adjustRightInd w:val="0"/>
        <w:snapToGrid w:val="0"/>
        <w:spacing w:before="156" w:beforeLines="50"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选择《环境影响评价技术导则 大气环境》（ HJ 2.2-2018）中推荐估算模型ARESCREEN 对本项目建成后全厂的大气环境评价工作进行分级。结合项目的工程分析结果，选择正常排放的主要污染物及排放参数，计算各污染物的最大地面空气质量浓度占标率（Pmax）和最远影响距离（D10%），然后按评价工作分级判据进行分级。</w:t>
      </w: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利用估算模型ARESCREEN</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分别计算</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正常工况下项目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各污染源污染因子最大地面浓度占质量标准值的比率 Pi。估算模式预测参数见表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估算模式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计算结果见表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5.2-6及5.2-7</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表</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w:t>
      </w:r>
      <w:r>
        <w:rPr>
          <w:rFonts w:cs="Times New Roman" w:asciiTheme="minorEastAsia" w:hAnsiTheme="minorEastAsia"/>
          <w:b/>
          <w:bCs/>
          <w:color w:val="0D0D0D" w:themeColor="text1" w:themeTint="F2"/>
          <w:sz w:val="24"/>
          <w:szCs w:val="24"/>
          <w14:textFill>
            <w14:solidFill>
              <w14:schemeClr w14:val="tx1">
                <w14:lumMod w14:val="95000"/>
                <w14:lumOff w14:val="5000"/>
              </w14:schemeClr>
            </w14:solidFill>
          </w14:textFill>
        </w:rPr>
        <w:t xml:space="preserve">   估算模型气象参数表</w:t>
      </w:r>
    </w:p>
    <w:tbl>
      <w:tblPr>
        <w:tblStyle w:val="2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12"/>
        <w:gridCol w:w="3075"/>
        <w:gridCol w:w="33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7" w:type="dxa"/>
            <w:gridSpan w:val="2"/>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参数</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2" w:type="dxa"/>
            <w:vMerge w:val="restart"/>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城市/农村选项</w:t>
            </w:r>
          </w:p>
        </w:tc>
        <w:tc>
          <w:tcPr>
            <w:tcW w:w="30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城市/农村</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2" w:type="dxa"/>
            <w:vMerge w:val="continue"/>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30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人口数（城市选项时）</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7" w:type="dxa"/>
            <w:gridSpan w:val="2"/>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最高环境温度/</w:t>
            </w:r>
            <w:r>
              <w:rPr>
                <w:rFonts w:hint="eastAsia" w:cs="宋体"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39.4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7" w:type="dxa"/>
            <w:gridSpan w:val="2"/>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最低环境温度/</w:t>
            </w:r>
            <w:r>
              <w:rPr>
                <w:rFonts w:hint="eastAsia" w:cs="宋体"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-10.2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7" w:type="dxa"/>
            <w:gridSpan w:val="2"/>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土地利用类型</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7" w:type="dxa"/>
            <w:gridSpan w:val="2"/>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区域湿度条件</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中等湿度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2" w:type="dxa"/>
            <w:vMerge w:val="restart"/>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是否考虑地形</w:t>
            </w:r>
          </w:p>
        </w:tc>
        <w:tc>
          <w:tcPr>
            <w:tcW w:w="30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考虑地形</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是</w:t>
            </w:r>
            <w:r>
              <w:rPr>
                <w:rFonts w:hint="eastAsia" w:ascii="MS Mincho" w:hAnsi="MS Mincho" w:eastAsia="MS Mincho" w:cs="MS Mincho"/>
                <w:bCs/>
                <w:color w:val="0D0D0D" w:themeColor="text1" w:themeTint="F2"/>
                <w:szCs w:val="21"/>
                <w14:textFill>
                  <w14:solidFill>
                    <w14:schemeClr w14:val="tx1">
                      <w14:lumMod w14:val="95000"/>
                      <w14:lumOff w14:val="5000"/>
                    </w14:schemeClr>
                  </w14:solidFill>
                </w14:textFill>
              </w:rPr>
              <w:t>☑</w:t>
            </w: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 xml:space="preserve">  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2" w:type="dxa"/>
            <w:vMerge w:val="continue"/>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30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地形数据分辨率/m</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2" w:type="dxa"/>
            <w:vMerge w:val="restart"/>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是否考虑岸线熏烟</w:t>
            </w:r>
          </w:p>
        </w:tc>
        <w:tc>
          <w:tcPr>
            <w:tcW w:w="30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考虑岸线熏烟</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是□  否</w:t>
            </w:r>
            <w:r>
              <w:rPr>
                <w:rFonts w:hint="eastAsia" w:ascii="MS Mincho" w:hAnsi="MS Mincho" w:eastAsia="MS Mincho" w:cs="MS Mincho"/>
                <w:bCs/>
                <w:color w:val="0D0D0D" w:themeColor="text1" w:themeTint="F2"/>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2" w:type="dxa"/>
            <w:vMerge w:val="continue"/>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30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岸线距离/km</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2" w:type="dxa"/>
            <w:vMerge w:val="continue"/>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30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岸线方向/°</w:t>
            </w:r>
          </w:p>
        </w:tc>
        <w:tc>
          <w:tcPr>
            <w:tcW w:w="3375" w:type="dxa"/>
            <w:vAlign w:val="center"/>
          </w:tcPr>
          <w:p>
            <w:pPr>
              <w:adjustRightInd w:val="0"/>
              <w:snapToGrid w:val="0"/>
              <w:ind w:firstLine="420" w:firstLineChars="20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r>
    </w:tbl>
    <w:p>
      <w:pPr>
        <w:adjustRightInd w:val="0"/>
        <w:snapToGrid w:val="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sectPr>
          <w:headerReference r:id="rId9" w:type="default"/>
          <w:footerReference r:id="rId10" w:type="default"/>
          <w:pgSz w:w="11906" w:h="16838"/>
          <w:pgMar w:top="1440" w:right="1800" w:bottom="1440" w:left="1800" w:header="851" w:footer="992" w:gutter="0"/>
          <w:cols w:space="425" w:num="1"/>
          <w:docGrid w:type="lines" w:linePitch="312" w:charSpace="0"/>
        </w:sect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表5.2-6   正常工况下燃烧废气处理装置排气筒（1#等效排气筒）估算模型计算结果表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1105"/>
        <w:gridCol w:w="779"/>
        <w:gridCol w:w="1108"/>
        <w:gridCol w:w="774"/>
        <w:gridCol w:w="1108"/>
        <w:gridCol w:w="777"/>
        <w:gridCol w:w="1004"/>
        <w:gridCol w:w="896"/>
        <w:gridCol w:w="1004"/>
        <w:gridCol w:w="882"/>
        <w:gridCol w:w="1004"/>
        <w:gridCol w:w="879"/>
        <w:gridCol w:w="1004"/>
        <w:gridCol w:w="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Merge w:val="restar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下风向距离/m</w:t>
            </w:r>
          </w:p>
        </w:tc>
        <w:tc>
          <w:tcPr>
            <w:tcW w:w="4645" w:type="pct"/>
            <w:gridSpan w:val="14"/>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燃烧废气处理装置排气筒（1#等效排气筒）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55"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66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PM</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10</w:t>
            </w:r>
          </w:p>
        </w:tc>
        <w:tc>
          <w:tcPr>
            <w:tcW w:w="664"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2</w:t>
            </w:r>
          </w:p>
        </w:tc>
        <w:tc>
          <w:tcPr>
            <w:tcW w:w="66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NOx</w:t>
            </w:r>
          </w:p>
        </w:tc>
        <w:tc>
          <w:tcPr>
            <w:tcW w:w="670"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S</w:t>
            </w:r>
          </w:p>
        </w:tc>
        <w:tc>
          <w:tcPr>
            <w:tcW w:w="66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氨</w:t>
            </w:r>
          </w:p>
        </w:tc>
        <w:tc>
          <w:tcPr>
            <w:tcW w:w="664"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非甲烷总烃</w:t>
            </w:r>
          </w:p>
        </w:tc>
        <w:tc>
          <w:tcPr>
            <w:tcW w:w="652"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苯并[a]芘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55"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390"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75"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9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73"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9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7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6"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0"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98"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9.22E-20</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3.55E-19</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3.52E-19</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3.84E-21</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1.60E-20</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6.66E-20</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1.79E-24</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1.61E-06</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6.21E-06</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6.15E-06</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6.71E-08</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2.80E-07</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1.16E-06</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3.13E-11</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8.06E-04</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3.11E-03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0.62</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3.08E-03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3.36E-05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1.40E-04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5.82E-04</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1.57E-08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1.95E-03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7.50E-03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7.44E-03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8.11E-05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3.38E-04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1.41E-03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3.79E-08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0.56</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9.65E-03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1.93</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9.56E-03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1.04E-04</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4.34E-04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1.81E-03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4.87E-08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105</w:t>
            </w:r>
          </w:p>
        </w:tc>
        <w:tc>
          <w:tcPr>
            <w:tcW w:w="390"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2.51E-03</w:t>
            </w:r>
          </w:p>
        </w:tc>
        <w:tc>
          <w:tcPr>
            <w:tcW w:w="275"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0.56</w:t>
            </w:r>
          </w:p>
        </w:tc>
        <w:tc>
          <w:tcPr>
            <w:tcW w:w="391"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9.69E-03</w:t>
            </w:r>
          </w:p>
        </w:tc>
        <w:tc>
          <w:tcPr>
            <w:tcW w:w="273"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1.94</w:t>
            </w:r>
          </w:p>
        </w:tc>
        <w:tc>
          <w:tcPr>
            <w:tcW w:w="391"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9.60E-03</w:t>
            </w:r>
          </w:p>
        </w:tc>
        <w:tc>
          <w:tcPr>
            <w:tcW w:w="274"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w:t>
            </w:r>
          </w:p>
        </w:tc>
        <w:tc>
          <w:tcPr>
            <w:tcW w:w="354"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1.05E-04</w:t>
            </w:r>
          </w:p>
        </w:tc>
        <w:tc>
          <w:tcPr>
            <w:tcW w:w="316"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1.05</w:t>
            </w:r>
          </w:p>
        </w:tc>
        <w:tc>
          <w:tcPr>
            <w:tcW w:w="354"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4.37E-04</w:t>
            </w:r>
          </w:p>
        </w:tc>
        <w:tc>
          <w:tcPr>
            <w:tcW w:w="311"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0.87</w:t>
            </w:r>
          </w:p>
        </w:tc>
        <w:tc>
          <w:tcPr>
            <w:tcW w:w="354"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1.82E-03</w:t>
            </w:r>
          </w:p>
        </w:tc>
        <w:tc>
          <w:tcPr>
            <w:tcW w:w="310"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0.15</w:t>
            </w:r>
          </w:p>
        </w:tc>
        <w:tc>
          <w:tcPr>
            <w:tcW w:w="354"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4.89E-08</w:t>
            </w:r>
          </w:p>
        </w:tc>
        <w:tc>
          <w:tcPr>
            <w:tcW w:w="298" w:type="pct"/>
            <w:vAlign w:val="bottom"/>
          </w:tcPr>
          <w:p>
            <w:pPr>
              <w:jc w:val="right"/>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125</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2.47E-03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9.51E-03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9.42E-03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1.03E-04</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1.03</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4.28E-04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0.86</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1.78E-03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4.80E-08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2.42E-03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0.54</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9.34E-03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1.87</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9.26E-03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4.63</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1.01E-04</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4.21E-04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1.75E-03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4.71E-08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175</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2.26E-03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8.70E-03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1.74</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8.62E-03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9.40E-05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3.92E-04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1.63E-03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4.39E-08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2.09E-03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0.46</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8.05E-03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1.61</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7.97E-03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8.70E-05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3.62E-04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1.51E-03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0.13</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4.06E-08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225</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1.94E-03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7.48E-03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7.41E-03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8.08E-05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3.37E-04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1.40E-03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3.77E-08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1.94E-03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7.47E-03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1.49</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7.40E-03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8.08E-05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3.37E-04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1.40E-03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3.77E-08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1.91E-03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7.37E-03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1.47</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7.31E-03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7.97E-05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3.32E-04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0.66</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1.38E-03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3.72E-08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1.84E-03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0.41</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7.08E-03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1.42</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7.01E-03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7.65E-05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3.19E-04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1.33E-03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3.57E-08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1.44E-03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0.32</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5.54E-03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1.11</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5.49E-03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5.99E-05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1.04E-03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2.80E-08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1.52E-03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0.34</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5.86E-03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5.81E-03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6.34E-05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0.63</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2.64E-04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0.53</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1.10E-03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2.96E-08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1.53E-03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0.34</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5.90E-03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1.18</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5.84E-03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6.37E-05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2.66E-04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0.53</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1.10E-03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2.97E-08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1.47E-03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0.33</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5.66E-03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1.13</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5.61E-03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6.12E-05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2.55E-04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1.06E-03</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2.86E-08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1.38E-03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0.31</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5.32E-03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5.28E-03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5.75E-05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2.40E-04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9.97E-04</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2.69E-08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1.29E-03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0.29</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4.96E-03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0.99</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4.91E-03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2.46</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5.36E-05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2.23E-04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9.29E-04</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1.19E-03</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0.27</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4.60E-03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0.92</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4.55E-03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2.28</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4.97E-05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2.07E-04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8.61E-04</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2.32E-08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8.30E-04</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3.20E-03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0.64</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3.17E-03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3.46E-05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1.44E-04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0.29</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6.00E-04</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1.61E-08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6.10E-04</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2.35E-03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0.47</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2.33E-03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2.54E-05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0.25</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1.06E-04</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4.41E-04</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1.19E-08</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2500</w:t>
            </w:r>
          </w:p>
        </w:tc>
        <w:tc>
          <w:tcPr>
            <w:tcW w:w="39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4.78E-04</w:t>
            </w:r>
          </w:p>
        </w:tc>
        <w:tc>
          <w:tcPr>
            <w:tcW w:w="275"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0.11</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1.84E-03</w:t>
            </w:r>
          </w:p>
        </w:tc>
        <w:tc>
          <w:tcPr>
            <w:tcW w:w="273"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0.37</w:t>
            </w:r>
          </w:p>
        </w:tc>
        <w:tc>
          <w:tcPr>
            <w:tcW w:w="39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1.82E-03</w:t>
            </w:r>
          </w:p>
        </w:tc>
        <w:tc>
          <w:tcPr>
            <w:tcW w:w="27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0.91</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1.99E-05</w:t>
            </w:r>
          </w:p>
        </w:tc>
        <w:tc>
          <w:tcPr>
            <w:tcW w:w="316"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8.29E-05</w:t>
            </w:r>
          </w:p>
        </w:tc>
        <w:tc>
          <w:tcPr>
            <w:tcW w:w="311"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0.17</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3.45E-04</w:t>
            </w:r>
          </w:p>
        </w:tc>
        <w:tc>
          <w:tcPr>
            <w:tcW w:w="310"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c>
          <w:tcPr>
            <w:tcW w:w="354"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9.29E-09</w:t>
            </w:r>
          </w:p>
        </w:tc>
        <w:tc>
          <w:tcPr>
            <w:tcW w:w="298" w:type="pct"/>
            <w:vAlign w:val="bottom"/>
          </w:tcPr>
          <w:p>
            <w:pPr>
              <w:jc w:val="right"/>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355"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下风向最大质量浓度及占标率</w:t>
            </w:r>
          </w:p>
        </w:tc>
        <w:tc>
          <w:tcPr>
            <w:tcW w:w="39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2.51E-03</w:t>
            </w:r>
          </w:p>
        </w:tc>
        <w:tc>
          <w:tcPr>
            <w:tcW w:w="275"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0.56</w:t>
            </w:r>
          </w:p>
        </w:tc>
        <w:tc>
          <w:tcPr>
            <w:tcW w:w="39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9.69E-03</w:t>
            </w:r>
          </w:p>
        </w:tc>
        <w:tc>
          <w:tcPr>
            <w:tcW w:w="273"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1.94</w:t>
            </w:r>
          </w:p>
        </w:tc>
        <w:tc>
          <w:tcPr>
            <w:tcW w:w="39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9.60E-03</w:t>
            </w:r>
          </w:p>
        </w:tc>
        <w:tc>
          <w:tcPr>
            <w:tcW w:w="27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1.05E-04</w:t>
            </w:r>
          </w:p>
        </w:tc>
        <w:tc>
          <w:tcPr>
            <w:tcW w:w="316"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1.05</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4.37E-04</w:t>
            </w:r>
          </w:p>
        </w:tc>
        <w:tc>
          <w:tcPr>
            <w:tcW w:w="31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0.87</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1.82E-03</w:t>
            </w:r>
          </w:p>
        </w:tc>
        <w:tc>
          <w:tcPr>
            <w:tcW w:w="31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0.15</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4.89E-08</w:t>
            </w:r>
          </w:p>
        </w:tc>
        <w:tc>
          <w:tcPr>
            <w:tcW w:w="298"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10%</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最远距离/m</w:t>
            </w:r>
          </w:p>
        </w:tc>
        <w:tc>
          <w:tcPr>
            <w:tcW w:w="66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4"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70"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4"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52"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bl>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表5.2-7    正常工况下袋除尘器排气筒（2#、3#）和无组织排放污染源估算模型计算结果表</w:t>
      </w:r>
    </w:p>
    <w:tbl>
      <w:tblPr>
        <w:tblStyle w:val="27"/>
        <w:tblW w:w="51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386"/>
        <w:gridCol w:w="1006"/>
        <w:gridCol w:w="1351"/>
        <w:gridCol w:w="897"/>
        <w:gridCol w:w="1407"/>
        <w:gridCol w:w="845"/>
        <w:gridCol w:w="1265"/>
        <w:gridCol w:w="845"/>
        <w:gridCol w:w="1407"/>
        <w:gridCol w:w="921"/>
        <w:gridCol w:w="1139"/>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Merge w:val="restar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下风向距离/m</w:t>
            </w:r>
          </w:p>
        </w:tc>
        <w:tc>
          <w:tcPr>
            <w:tcW w:w="813" w:type="pct"/>
            <w:gridSpan w:val="2"/>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袋除尘器排气筒（2#、3#）</w:t>
            </w:r>
          </w:p>
        </w:tc>
        <w:tc>
          <w:tcPr>
            <w:tcW w:w="2246" w:type="pct"/>
            <w:gridSpan w:val="6"/>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热裂解生产厂房（1#面源）</w:t>
            </w:r>
          </w:p>
        </w:tc>
        <w:tc>
          <w:tcPr>
            <w:tcW w:w="791"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裂解油储罐区（2#面源）</w:t>
            </w:r>
          </w:p>
        </w:tc>
        <w:tc>
          <w:tcPr>
            <w:tcW w:w="716"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产品库（3#面源）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434"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813" w:type="pct"/>
            <w:gridSpan w:val="2"/>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PM</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10</w:t>
            </w:r>
          </w:p>
        </w:tc>
        <w:tc>
          <w:tcPr>
            <w:tcW w:w="764"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TSP</w:t>
            </w:r>
          </w:p>
        </w:tc>
        <w:tc>
          <w:tcPr>
            <w:tcW w:w="76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非甲烷总烃</w:t>
            </w:r>
          </w:p>
        </w:tc>
        <w:tc>
          <w:tcPr>
            <w:tcW w:w="717"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S</w:t>
            </w:r>
          </w:p>
        </w:tc>
        <w:tc>
          <w:tcPr>
            <w:tcW w:w="791"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非甲烷总烃</w:t>
            </w:r>
          </w:p>
        </w:tc>
        <w:tc>
          <w:tcPr>
            <w:tcW w:w="716"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34"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47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42"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59"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05"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78"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87"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30"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87"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78"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3"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87"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29"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1.99E-17</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1.96E-02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2.17</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2.72E-03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0.23</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4.03E-05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1.15E-02</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0.95</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8.60E-03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1.13E-05</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2.22E-02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2.47</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3.10E-03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0.26</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4.59E-05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0.46</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1.65E-02</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1.37</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1.27E-02</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28</w:t>
            </w:r>
          </w:p>
        </w:tc>
        <w:tc>
          <w:tcPr>
            <w:tcW w:w="471"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42"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59"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05"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78"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87"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30"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87"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78" w:type="pct"/>
            <w:vAlign w:val="bottom"/>
          </w:tcPr>
          <w:p>
            <w:pPr>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1.66E-02</w:t>
            </w:r>
          </w:p>
        </w:tc>
        <w:tc>
          <w:tcPr>
            <w:tcW w:w="313" w:type="pct"/>
            <w:vAlign w:val="bottom"/>
          </w:tcPr>
          <w:p>
            <w:pPr>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1.38</w:t>
            </w:r>
          </w:p>
        </w:tc>
        <w:tc>
          <w:tcPr>
            <w:tcW w:w="38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1.28E-02</w:t>
            </w:r>
          </w:p>
        </w:tc>
        <w:tc>
          <w:tcPr>
            <w:tcW w:w="329"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5.26E-04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2.57E-02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2.86</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3.58E-03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5.30E-05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0.53</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1.40E-02</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1.16</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1.07E-02</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7.94E-04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2.84E-02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3.15</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3.95E-03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0.33</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5.85E-05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0.58</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1.19E-02</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9.23E-03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8.14E-04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2.85E-02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3.16</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3.96E-03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0.33</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5.87E-05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0.59</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9.27E-03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0.77</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7.64E-03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104</w:t>
            </w:r>
          </w:p>
        </w:tc>
        <w:tc>
          <w:tcPr>
            <w:tcW w:w="47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8.17E-04</w:t>
            </w:r>
          </w:p>
        </w:tc>
        <w:tc>
          <w:tcPr>
            <w:tcW w:w="342"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0.18</w:t>
            </w:r>
          </w:p>
        </w:tc>
        <w:tc>
          <w:tcPr>
            <w:tcW w:w="459"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05"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78"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87"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30"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87"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78"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13"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87"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29"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106</w:t>
            </w:r>
          </w:p>
        </w:tc>
        <w:tc>
          <w:tcPr>
            <w:tcW w:w="471"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42"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459"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2.87E-02</w:t>
            </w:r>
          </w:p>
        </w:tc>
        <w:tc>
          <w:tcPr>
            <w:tcW w:w="305"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3.19</w:t>
            </w:r>
          </w:p>
        </w:tc>
        <w:tc>
          <w:tcPr>
            <w:tcW w:w="478"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4.00E-03</w:t>
            </w:r>
          </w:p>
        </w:tc>
        <w:tc>
          <w:tcPr>
            <w:tcW w:w="28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0.33</w:t>
            </w:r>
          </w:p>
        </w:tc>
        <w:tc>
          <w:tcPr>
            <w:tcW w:w="43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5.93E-05</w:t>
            </w:r>
          </w:p>
        </w:tc>
        <w:tc>
          <w:tcPr>
            <w:tcW w:w="28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0.59</w:t>
            </w:r>
          </w:p>
        </w:tc>
        <w:tc>
          <w:tcPr>
            <w:tcW w:w="478"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13"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87"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329"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125</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7.61E-04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0.17</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2.77E-02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3.08</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3.85E-03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0.32</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5.71E-05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0.57</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7.77E-03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0.65</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6.29E-03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6.84E-04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2.58E-02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2.87</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3.59E-03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5.32E-05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0.53</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6.79E-03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0.57</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5.26E-03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175</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6.57E-04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2.35E-02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2.62</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3.28E-03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0.27</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4.85E-05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0.49</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5.96E-03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4.46E-03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6.52E-04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2.13E-02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2.37</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2.97E-03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0.25</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4.39E-05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0.44</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5.27E-03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0.44</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3.85E-03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4.57E-04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1.46E-02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1.62</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2.03E-03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0.17</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3.01E-05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3.47E-03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0.29</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2.46E-03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4.69E-04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1.06E-02</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1.18</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1.48E-03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2.19E-05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0.22</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2.55E-03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0.21</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1.76E-03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4.33E-04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8.35E-03</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0.93</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1.16E-03</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1.72E-05</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0.17</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1.98E-03</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0.16</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1.33E-03</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2.46E-04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0.05</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3.65E-03</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0.41</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5.08E-04</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7.52E-06</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0.08</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8.37E-04</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0.07</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5.30E-04</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1.60E-04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2.16E-03</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0.24</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3.00E-04</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4.44E-06</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4.92E-04</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3.07E-04</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1.15E-04</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1.47E-03</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0.16</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2.05E-04</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3.04E-06</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3.36E-04</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0.03</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2.08E-04</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3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2500</w:t>
            </w:r>
          </w:p>
        </w:tc>
        <w:tc>
          <w:tcPr>
            <w:tcW w:w="47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8.77E-05</w:t>
            </w:r>
          </w:p>
        </w:tc>
        <w:tc>
          <w:tcPr>
            <w:tcW w:w="34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w:t>
            </w:r>
          </w:p>
        </w:tc>
        <w:tc>
          <w:tcPr>
            <w:tcW w:w="45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1.09E-03</w:t>
            </w:r>
          </w:p>
        </w:tc>
        <w:tc>
          <w:tcPr>
            <w:tcW w:w="30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0.12</w:t>
            </w:r>
          </w:p>
        </w:tc>
        <w:tc>
          <w:tcPr>
            <w:tcW w:w="47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1.52E-04</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0.01</w:t>
            </w:r>
          </w:p>
        </w:tc>
        <w:tc>
          <w:tcPr>
            <w:tcW w:w="43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2.25E-06</w:t>
            </w:r>
          </w:p>
        </w:tc>
        <w:tc>
          <w:tcPr>
            <w:tcW w:w="2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w:t>
            </w:r>
          </w:p>
        </w:tc>
        <w:tc>
          <w:tcPr>
            <w:tcW w:w="478"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2.49E-04</w:t>
            </w:r>
          </w:p>
        </w:tc>
        <w:tc>
          <w:tcPr>
            <w:tcW w:w="313" w:type="pct"/>
            <w:vAlign w:val="bottom"/>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w:t>
            </w:r>
          </w:p>
        </w:tc>
        <w:tc>
          <w:tcPr>
            <w:tcW w:w="38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1.53E-04</w:t>
            </w:r>
          </w:p>
        </w:tc>
        <w:tc>
          <w:tcPr>
            <w:tcW w:w="329"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434"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下风向最大质量浓度及占标率</w:t>
            </w:r>
          </w:p>
        </w:tc>
        <w:tc>
          <w:tcPr>
            <w:tcW w:w="47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8.17E-04</w:t>
            </w:r>
          </w:p>
        </w:tc>
        <w:tc>
          <w:tcPr>
            <w:tcW w:w="342"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0.18</w:t>
            </w:r>
          </w:p>
        </w:tc>
        <w:tc>
          <w:tcPr>
            <w:tcW w:w="459"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2.87E-02</w:t>
            </w:r>
          </w:p>
        </w:tc>
        <w:tc>
          <w:tcPr>
            <w:tcW w:w="305"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3.19</w:t>
            </w:r>
          </w:p>
        </w:tc>
        <w:tc>
          <w:tcPr>
            <w:tcW w:w="478"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4.00E-03</w:t>
            </w:r>
          </w:p>
        </w:tc>
        <w:tc>
          <w:tcPr>
            <w:tcW w:w="28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0.33</w:t>
            </w:r>
          </w:p>
        </w:tc>
        <w:tc>
          <w:tcPr>
            <w:tcW w:w="43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5.93E-05</w:t>
            </w:r>
          </w:p>
        </w:tc>
        <w:tc>
          <w:tcPr>
            <w:tcW w:w="28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0.59</w:t>
            </w:r>
          </w:p>
        </w:tc>
        <w:tc>
          <w:tcPr>
            <w:tcW w:w="478" w:type="pct"/>
            <w:vAlign w:val="center"/>
          </w:tcPr>
          <w:p>
            <w:pP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1.66E-02</w:t>
            </w:r>
          </w:p>
        </w:tc>
        <w:tc>
          <w:tcPr>
            <w:tcW w:w="313" w:type="pct"/>
            <w:vAlign w:val="center"/>
          </w:tcPr>
          <w:p>
            <w:pP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1.38</w:t>
            </w:r>
          </w:p>
        </w:tc>
        <w:tc>
          <w:tcPr>
            <w:tcW w:w="38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1.28E-02</w:t>
            </w:r>
          </w:p>
        </w:tc>
        <w:tc>
          <w:tcPr>
            <w:tcW w:w="329"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34"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10%</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最远距离/m</w:t>
            </w:r>
          </w:p>
        </w:tc>
        <w:tc>
          <w:tcPr>
            <w:tcW w:w="813"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64"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6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17"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91"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16"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由以上</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ARESCREEN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估算模式对各污染源污染物的计算可知，项目正常工况下大气污染物排放最大占标率因子为燃烧废气1#等效排气筒排放NOx，</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Pmax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为4.8</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10%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未出现。</w:t>
      </w:r>
    </w:p>
    <w:p>
      <w:pPr>
        <w:spacing w:line="520" w:lineRule="exact"/>
        <w:ind w:firstLine="480"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根据《环境影响评价技术导则大气环境》（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HJ 2.2-2018</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）中评价工作分级方法，本项目最大占标率因子1%≤Pmax＜10%，因此，</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本项目大气环境影响评价等级为二级。</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表5.2-8   评价等级判别表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6"/>
        <w:gridCol w:w="61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vAlign w:val="center"/>
          </w:tcPr>
          <w:p>
            <w:pPr>
              <w:spacing w:line="240" w:lineRule="atLeast"/>
              <w:jc w:val="center"/>
              <w:rPr>
                <w:rFonts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b/>
                <w:color w:val="0D0D0D" w:themeColor="text1" w:themeTint="F2"/>
                <w:szCs w:val="21"/>
                <w14:textFill>
                  <w14:solidFill>
                    <w14:schemeClr w14:val="tx1">
                      <w14:lumMod w14:val="95000"/>
                      <w14:lumOff w14:val="5000"/>
                    </w14:schemeClr>
                  </w14:solidFill>
                </w14:textFill>
              </w:rPr>
              <w:t>评价工作等级</w:t>
            </w:r>
          </w:p>
        </w:tc>
        <w:tc>
          <w:tcPr>
            <w:tcW w:w="6146" w:type="dxa"/>
            <w:vAlign w:val="center"/>
          </w:tcPr>
          <w:p>
            <w:pPr>
              <w:spacing w:line="240" w:lineRule="atLeast"/>
              <w:jc w:val="center"/>
              <w:rPr>
                <w:rFonts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b/>
                <w:color w:val="0D0D0D" w:themeColor="text1" w:themeTint="F2"/>
                <w:szCs w:val="21"/>
                <w14:textFill>
                  <w14:solidFill>
                    <w14:schemeClr w14:val="tx1">
                      <w14:lumMod w14:val="95000"/>
                      <w14:lumOff w14:val="5000"/>
                    </w14:schemeClr>
                  </w14:solidFill>
                </w14:textFill>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一级评价</w:t>
            </w:r>
          </w:p>
        </w:tc>
        <w:tc>
          <w:tcPr>
            <w:tcW w:w="614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二级评价</w:t>
            </w:r>
          </w:p>
        </w:tc>
        <w:tc>
          <w:tcPr>
            <w:tcW w:w="614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三级评价</w:t>
            </w:r>
          </w:p>
        </w:tc>
        <w:tc>
          <w:tcPr>
            <w:tcW w:w="614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Pmax＜1%</w:t>
            </w:r>
          </w:p>
        </w:tc>
      </w:tr>
    </w:tbl>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依据《环境影响评价技术导则大气环境》（HJ2.2-2018）有关规定，</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二</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级评价项目可不进行进一步预测与评价，只对污染物排放量进行核算。</w:t>
      </w:r>
    </w:p>
    <w:p>
      <w:pPr>
        <w:spacing w:line="360" w:lineRule="auto"/>
        <w:ind w:firstLine="480" w:firstLineChars="200"/>
        <w:rPr>
          <w:rFonts w:asciiTheme="minorEastAsia" w:hAnsiTheme="minorEastAsia"/>
          <w:color w:val="0D0D0D" w:themeColor="text1" w:themeTint="F2"/>
          <w:kern w:val="0"/>
          <w:sz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u w:val="single"/>
          <w14:textFill>
            <w14:solidFill>
              <w14:schemeClr w14:val="tx1">
                <w14:lumMod w14:val="95000"/>
                <w14:lumOff w14:val="5000"/>
              </w14:schemeClr>
            </w14:solidFill>
          </w14:textFill>
        </w:rPr>
        <w:t>由上估算模式计算结果可知，项目运行期燃烧废气处理装置等效排气筒（1#）排放污染物对环境空气质量小时浓度贡献值最大占标率4.8%；碳黑尘袋除尘器排气筒（2#.3#，排放工况一致）排放污染物对环境空气质量小时浓度贡献值最大占标率0.18%；生产车间无组织排放污染物对环境空气质量小时浓度贡献值最大占标率3.19%；储罐区无组织排放污染物对环境空气质量小时浓度贡献值最大占标率1.38%；产品库无组织排放污染物对环境空气质量小时浓度贡献值最大占标率1.42%。项目各污染源正常排放下各污染物短期浓度贡献值的最大浓度占标率均满足≤100%的要求，因此，项目运营期正常工况下大气环境影响可以接受。</w:t>
      </w:r>
    </w:p>
    <w:p>
      <w:pPr>
        <w:spacing w:line="360" w:lineRule="auto"/>
        <w:rPr>
          <w:rFonts w:asciiTheme="minorEastAsia" w:hAnsiTheme="minorEastAsia"/>
          <w:color w:val="0D0D0D" w:themeColor="text1" w:themeTint="F2"/>
          <w:kern w:val="0"/>
          <w:sz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5.2.1.5</w:t>
      </w: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非正常排放及事故性排放环境影响分析</w:t>
      </w:r>
    </w:p>
    <w:p>
      <w:pPr>
        <w:spacing w:line="360" w:lineRule="auto"/>
        <w:ind w:firstLine="480" w:firstLineChars="200"/>
        <w:rPr>
          <w:rFonts w:asciiTheme="minorEastAsia" w:hAnsiTheme="minorEastAsia"/>
          <w:color w:val="0D0D0D" w:themeColor="text1" w:themeTint="F2"/>
          <w:kern w:val="0"/>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根据工程分析，结合项目特点，营运期因环保设施故障等因素，而造成大气污染物非正常工况排放或事故性排放，污染物排放对周边大气环境造成一定的影响。因此，本次评价针对项目燃烧废气处理设施非正常工况下排放和事故性排放，</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对</w:t>
      </w: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大气环境影响情况进行预测，因上述工况持续时间较短，本次仅对污染物小时贡献值进行预测分析。预测模型选取采用《环境影响评价技术导则-大气环境》（HJ2.2-2018）推荐的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ARESCREEN </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估算模式</w:t>
      </w: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w:t>
      </w:r>
    </w:p>
    <w:p>
      <w:pPr>
        <w:spacing w:line="360" w:lineRule="auto"/>
        <w:ind w:firstLine="480" w:firstLineChars="200"/>
        <w:rPr>
          <w:rFonts w:asciiTheme="minorEastAsia" w:hAnsiTheme="minorEastAsia"/>
          <w:color w:val="0D0D0D" w:themeColor="text1" w:themeTint="F2"/>
          <w:kern w:val="0"/>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项目非正常工况排放和事故性排放，大气污染物排放环境影响预测结果见下表5.2-9及续表5.2-9。</w:t>
      </w:r>
    </w:p>
    <w:p>
      <w:pPr>
        <w:spacing w:line="360" w:lineRule="auto"/>
        <w:ind w:firstLine="480" w:firstLineChars="200"/>
        <w:rPr>
          <w:rFonts w:asciiTheme="minorEastAsia" w:hAnsiTheme="minorEastAsia"/>
          <w:color w:val="0D0D0D" w:themeColor="text1" w:themeTint="F2"/>
          <w:kern w:val="0"/>
          <w:sz w:val="24"/>
          <w14:textFill>
            <w14:solidFill>
              <w14:schemeClr w14:val="tx1">
                <w14:lumMod w14:val="95000"/>
                <w14:lumOff w14:val="5000"/>
              </w14:schemeClr>
            </w14:solidFill>
          </w14:textFill>
        </w:rPr>
        <w:sectPr>
          <w:pgSz w:w="11906" w:h="16838"/>
          <w:pgMar w:top="1440" w:right="1800" w:bottom="1440" w:left="1800" w:header="851" w:footer="992" w:gutter="0"/>
          <w:cols w:space="425" w:num="1"/>
          <w:docGrid w:type="lines" w:linePitch="312" w:charSpace="0"/>
        </w:sect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表5.2-9   非正常排放工况下项目燃烧废气处理装置排气筒小时浓度贡献值估算模型计算结果表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8"/>
        <w:gridCol w:w="1107"/>
        <w:gridCol w:w="780"/>
        <w:gridCol w:w="1111"/>
        <w:gridCol w:w="774"/>
        <w:gridCol w:w="1111"/>
        <w:gridCol w:w="777"/>
        <w:gridCol w:w="1004"/>
        <w:gridCol w:w="896"/>
        <w:gridCol w:w="1004"/>
        <w:gridCol w:w="882"/>
        <w:gridCol w:w="1004"/>
        <w:gridCol w:w="879"/>
        <w:gridCol w:w="987"/>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Merge w:val="restar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下风向距离/m</w:t>
            </w:r>
          </w:p>
        </w:tc>
        <w:tc>
          <w:tcPr>
            <w:tcW w:w="4644" w:type="pct"/>
            <w:gridSpan w:val="14"/>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燃烧废气处理装置排气筒（1#等效排气筒）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356"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666"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PM</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10</w:t>
            </w:r>
          </w:p>
        </w:tc>
        <w:tc>
          <w:tcPr>
            <w:tcW w:w="66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2</w:t>
            </w:r>
          </w:p>
        </w:tc>
        <w:tc>
          <w:tcPr>
            <w:tcW w:w="666"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NOx</w:t>
            </w:r>
          </w:p>
        </w:tc>
        <w:tc>
          <w:tcPr>
            <w:tcW w:w="670"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S</w:t>
            </w:r>
          </w:p>
        </w:tc>
        <w:tc>
          <w:tcPr>
            <w:tcW w:w="66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氨</w:t>
            </w:r>
          </w:p>
        </w:tc>
        <w:tc>
          <w:tcPr>
            <w:tcW w:w="664"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非甲烷总烃</w:t>
            </w:r>
          </w:p>
        </w:tc>
        <w:tc>
          <w:tcPr>
            <w:tcW w:w="648"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苯并[a]芘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56"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39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75"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92"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73"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92"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27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6"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0"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48"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00"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9.22E-20</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3.55E-19</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3.52E-19</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1.34E-20</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1.60E-20</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3.33E-19</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3.59E-24</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1.61E-06</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6.21E-06</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6.15E-06</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2.35E-07</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2.80E-07</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5.82E-06</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6.27E-11</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8.06E-04</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3.11E-03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0.62</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3.08E-03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1.18E-04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1.40E-04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2.91E-03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0.24</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3.14E-08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1.95E-03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7.50E-03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7.44E-03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2.84E-04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3.38E-04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7.03E-03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0.59</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7.57E-08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0.56</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9.65E-03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1.93</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9.56E-03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3.65E-04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3.65</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4.34E-04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0.87</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9.04E-03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0.75</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9.73E-08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105</w:t>
            </w:r>
          </w:p>
        </w:tc>
        <w:tc>
          <w:tcPr>
            <w:tcW w:w="39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2.51E-03</w:t>
            </w:r>
          </w:p>
        </w:tc>
        <w:tc>
          <w:tcPr>
            <w:tcW w:w="275"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0.56</w:t>
            </w:r>
          </w:p>
        </w:tc>
        <w:tc>
          <w:tcPr>
            <w:tcW w:w="392"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9.69E-03</w:t>
            </w:r>
          </w:p>
        </w:tc>
        <w:tc>
          <w:tcPr>
            <w:tcW w:w="273"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1.94</w:t>
            </w:r>
          </w:p>
        </w:tc>
        <w:tc>
          <w:tcPr>
            <w:tcW w:w="392"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9.60E-03</w:t>
            </w:r>
          </w:p>
        </w:tc>
        <w:tc>
          <w:tcPr>
            <w:tcW w:w="27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3.67E-04</w:t>
            </w:r>
          </w:p>
        </w:tc>
        <w:tc>
          <w:tcPr>
            <w:tcW w:w="316"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3.67</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4.37E-04</w:t>
            </w:r>
          </w:p>
        </w:tc>
        <w:tc>
          <w:tcPr>
            <w:tcW w:w="31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0.87</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9.08E-03</w:t>
            </w:r>
          </w:p>
        </w:tc>
        <w:tc>
          <w:tcPr>
            <w:tcW w:w="31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0.76</w:t>
            </w:r>
          </w:p>
        </w:tc>
        <w:tc>
          <w:tcPr>
            <w:tcW w:w="348"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9.78E-08</w:t>
            </w:r>
          </w:p>
        </w:tc>
        <w:tc>
          <w:tcPr>
            <w:tcW w:w="30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125</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2.47E-03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9.51E-03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9.42E-03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3.60E-04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4.28E-04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0.86</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8.91E-03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0.74</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9.59E-08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2.42E-03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0.54</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9.34E-03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1.87</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9.26E-03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3.54E-04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4.21E-04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8.75E-03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0.73</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9.43E-08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175</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2.26E-03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8.70E-03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1.74</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8.62E-03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3.29E-04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3.29</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3.92E-04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8.15E-03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0.68</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8.78E-08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2.09E-03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0.46</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8.05E-03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1.61</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7.97E-03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3.99</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3.04E-04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3.62E-04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7.54E-03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0.63</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8.12E-08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1.84E-03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0.41</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7.08E-03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1.42</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7.01E-03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2.68E-04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3.19E-04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6.63E-03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7.14E-08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1.44E-03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0.32</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5.54E-03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1.11</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5.49E-03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2.10E-04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5.19E-03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5.59E-08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1.52E-03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0.34</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5.86E-03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5.81E-03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2.22E-04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2.64E-04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5.49E-03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0.46</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5.91E-08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1.53E-03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0.34</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5.90E-03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1.18</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5.84E-03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2.23E-04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2.66E-04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5.52E-03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0.46</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5.95E-08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1.47E-03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0.33</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5.66E-03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1.13</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5.61E-03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2.14E-04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2.55E-04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5.31E-03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0.44</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5.71E-08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1.38E-03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0.31</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5.32E-03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5.28E-03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2.01E-04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2.40E-04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4.99E-03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0.42</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5.37E-08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1.29E-03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0.29</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4.96E-03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0.99</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4.91E-03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2.46</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1.88E-04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2.23E-04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0.45</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4.64E-03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0.39</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1.19E-03</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0.27</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4.60E-03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0.92</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4.55E-03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2.28</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1.74E-04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1.74</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2.07E-04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4.31E-03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0.36</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4.64E-08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8.30E-04</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3.20E-03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0.64</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3.17E-03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1.59</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1.21E-04</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1.44E-04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0.29</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3.00E-03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0.25</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3.23E-08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6.10E-04</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2.35E-03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0.47</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2.33E-03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8.90E-05</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0.89</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1.06E-04</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2.20E-03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0.18</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2.37E-08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35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2500</w:t>
            </w:r>
          </w:p>
        </w:tc>
        <w:tc>
          <w:tcPr>
            <w:tcW w:w="39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4.78E-04</w:t>
            </w:r>
          </w:p>
        </w:tc>
        <w:tc>
          <w:tcPr>
            <w:tcW w:w="27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0.11</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1.84E-03</w:t>
            </w:r>
          </w:p>
        </w:tc>
        <w:tc>
          <w:tcPr>
            <w:tcW w:w="27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0.37</w:t>
            </w:r>
          </w:p>
        </w:tc>
        <w:tc>
          <w:tcPr>
            <w:tcW w:w="392"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1.82E-03</w:t>
            </w:r>
          </w:p>
        </w:tc>
        <w:tc>
          <w:tcPr>
            <w:tcW w:w="27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0.91</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6.97E-05</w:t>
            </w:r>
          </w:p>
        </w:tc>
        <w:tc>
          <w:tcPr>
            <w:tcW w:w="31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8.29E-05</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0.17</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1.72E-03</w:t>
            </w:r>
          </w:p>
        </w:tc>
        <w:tc>
          <w:tcPr>
            <w:tcW w:w="31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w:t>
            </w:r>
          </w:p>
        </w:tc>
        <w:tc>
          <w:tcPr>
            <w:tcW w:w="348"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1.86E-08</w:t>
            </w:r>
          </w:p>
        </w:tc>
        <w:tc>
          <w:tcPr>
            <w:tcW w:w="30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356"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下风向最大质量浓度及占标率</w:t>
            </w:r>
          </w:p>
        </w:tc>
        <w:tc>
          <w:tcPr>
            <w:tcW w:w="39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2.51E-03</w:t>
            </w:r>
          </w:p>
        </w:tc>
        <w:tc>
          <w:tcPr>
            <w:tcW w:w="275"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0.56</w:t>
            </w:r>
          </w:p>
        </w:tc>
        <w:tc>
          <w:tcPr>
            <w:tcW w:w="392"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9.69E-03</w:t>
            </w:r>
          </w:p>
        </w:tc>
        <w:tc>
          <w:tcPr>
            <w:tcW w:w="273"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1.94</w:t>
            </w:r>
          </w:p>
        </w:tc>
        <w:tc>
          <w:tcPr>
            <w:tcW w:w="392"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9.60E-03</w:t>
            </w:r>
          </w:p>
        </w:tc>
        <w:tc>
          <w:tcPr>
            <w:tcW w:w="27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3.67E-04</w:t>
            </w:r>
          </w:p>
        </w:tc>
        <w:tc>
          <w:tcPr>
            <w:tcW w:w="316"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3.67</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4.37E-04</w:t>
            </w:r>
          </w:p>
        </w:tc>
        <w:tc>
          <w:tcPr>
            <w:tcW w:w="31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0.87</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9.08E-03</w:t>
            </w:r>
          </w:p>
        </w:tc>
        <w:tc>
          <w:tcPr>
            <w:tcW w:w="31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0.76</w:t>
            </w:r>
          </w:p>
        </w:tc>
        <w:tc>
          <w:tcPr>
            <w:tcW w:w="348"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9.78E-08</w:t>
            </w:r>
          </w:p>
        </w:tc>
        <w:tc>
          <w:tcPr>
            <w:tcW w:w="30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6"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10%</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最远距离/m</w:t>
            </w:r>
          </w:p>
        </w:tc>
        <w:tc>
          <w:tcPr>
            <w:tcW w:w="666"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6"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70"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64"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648"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bl>
    <w:p>
      <w:pPr>
        <w:spacing w:line="360" w:lineRule="auto"/>
        <w:ind w:firstLine="480" w:firstLineChars="200"/>
        <w:rPr>
          <w:rFonts w:asciiTheme="minorEastAsia" w:hAnsiTheme="minorEastAsia"/>
          <w:color w:val="0D0D0D" w:themeColor="text1" w:themeTint="F2"/>
          <w:kern w:val="0"/>
          <w:sz w:val="24"/>
          <w14:textFill>
            <w14:solidFill>
              <w14:schemeClr w14:val="tx1">
                <w14:lumMod w14:val="95000"/>
                <w14:lumOff w14:val="5000"/>
              </w14:schemeClr>
            </w14:solidFill>
          </w14:textFill>
        </w:rPr>
      </w:pPr>
    </w:p>
    <w:p>
      <w:pPr>
        <w:spacing w:line="360" w:lineRule="auto"/>
        <w:ind w:firstLine="480" w:firstLineChars="200"/>
        <w:rPr>
          <w:rFonts w:asciiTheme="minorEastAsia" w:hAnsiTheme="minorEastAsia"/>
          <w:color w:val="0D0D0D" w:themeColor="text1" w:themeTint="F2"/>
          <w:kern w:val="0"/>
          <w:sz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u w:val="single"/>
          <w14:textFill>
            <w14:solidFill>
              <w14:schemeClr w14:val="tx1">
                <w14:lumMod w14:val="95000"/>
                <w14:lumOff w14:val="5000"/>
              </w14:schemeClr>
            </w14:solidFill>
          </w14:textFill>
        </w:rPr>
        <w:t>由上估算模式预测结果可知，非正常排放工况下，项目燃烧废气处理装置排气筒排放污染物对环境空气质量小时浓度贡献值最大占标率为4.8%，可满足≤100%的要求，环境影响可以接受。但是，与正常排放工况比较，非正常排放工况下，H</w:t>
      </w:r>
      <w:r>
        <w:rPr>
          <w:rFonts w:hint="eastAsia" w:asciiTheme="minorEastAsia" w:hAnsiTheme="minorEastAsia"/>
          <w:color w:val="0D0D0D" w:themeColor="text1" w:themeTint="F2"/>
          <w:kern w:val="0"/>
          <w:sz w:val="24"/>
          <w:u w:val="single"/>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24"/>
          <w:u w:val="single"/>
          <w14:textFill>
            <w14:solidFill>
              <w14:schemeClr w14:val="tx1">
                <w14:lumMod w14:val="95000"/>
                <w14:lumOff w14:val="5000"/>
              </w14:schemeClr>
            </w14:solidFill>
          </w14:textFill>
        </w:rPr>
        <w:t>S、非甲烷总烃、苯并[a]芘等污染物排放对环境空气质量小时浓度贡献值及环境影响程度有所增加，因此，评价要求项目运营期加强废气治理设置运行管理，保证处理设施正常运行，避免出现非正常排放情况。</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续表5.2-9  事故排放工况下项目燃烧废气处理装置排气筒小时浓度贡献值估算模型计算结果表</w:t>
      </w:r>
    </w:p>
    <w:tbl>
      <w:tblPr>
        <w:tblStyle w:val="27"/>
        <w:tblW w:w="46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1177"/>
        <w:gridCol w:w="830"/>
        <w:gridCol w:w="1182"/>
        <w:gridCol w:w="823"/>
        <w:gridCol w:w="1182"/>
        <w:gridCol w:w="828"/>
        <w:gridCol w:w="1068"/>
        <w:gridCol w:w="955"/>
        <w:gridCol w:w="1219"/>
        <w:gridCol w:w="936"/>
        <w:gridCol w:w="1050"/>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Merge w:val="restar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下风向距离/m</w:t>
            </w:r>
          </w:p>
        </w:tc>
        <w:tc>
          <w:tcPr>
            <w:tcW w:w="4594" w:type="pct"/>
            <w:gridSpan w:val="1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燃烧废气处理装置排气筒（1#等效排气筒）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406"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759"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PM</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10</w:t>
            </w:r>
          </w:p>
        </w:tc>
        <w:tc>
          <w:tcPr>
            <w:tcW w:w="758"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2</w:t>
            </w:r>
          </w:p>
        </w:tc>
        <w:tc>
          <w:tcPr>
            <w:tcW w:w="760"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NOx</w:t>
            </w:r>
          </w:p>
        </w:tc>
        <w:tc>
          <w:tcPr>
            <w:tcW w:w="76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b/>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S</w:t>
            </w:r>
          </w:p>
        </w:tc>
        <w:tc>
          <w:tcPr>
            <w:tcW w:w="815"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非甲烷总烃</w:t>
            </w:r>
          </w:p>
        </w:tc>
        <w:tc>
          <w:tcPr>
            <w:tcW w:w="737" w:type="pct"/>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苯并[a]芘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406" w:type="pct"/>
            <w:vMerge w:val="continue"/>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445"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47"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47"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13"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0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6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461"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54"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c>
          <w:tcPr>
            <w:tcW w:w="397"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预测质量浓度（mg/m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340" w:type="pct"/>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1.84E-18</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3.56E-18</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1.76E-18</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1.92E-20</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6.66E-19</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8.97E-24</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3.22E-05</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6.21E-05</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3.08E-05</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3.35E-07</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1.16E-05</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1.57E-10</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1.61E-02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3.58</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3.11E-02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6.22</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1.54E-02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7.7</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1.68E-04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1.68</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5.82E-03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0.49</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7.84E-08</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3.89E-02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8.64</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7.51E-02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15.02</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3.72E-02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18.59</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4.05E-04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4.05</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1.41E-02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1.89E-07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11.11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9.65E-02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19.3</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4.78E-02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23.9</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5.21E-04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5.21</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1.81E-02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1.51</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2.43E-07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105</w:t>
            </w:r>
          </w:p>
        </w:tc>
        <w:tc>
          <w:tcPr>
            <w:tcW w:w="445"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5.02E-02</w:t>
            </w:r>
          </w:p>
        </w:tc>
        <w:tc>
          <w:tcPr>
            <w:tcW w:w="31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11.16</w:t>
            </w:r>
          </w:p>
        </w:tc>
        <w:tc>
          <w:tcPr>
            <w:tcW w:w="44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9.70E-02</w:t>
            </w:r>
          </w:p>
        </w:tc>
        <w:tc>
          <w:tcPr>
            <w:tcW w:w="31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19.4</w:t>
            </w:r>
          </w:p>
        </w:tc>
        <w:tc>
          <w:tcPr>
            <w:tcW w:w="44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4.80E-02</w:t>
            </w:r>
          </w:p>
        </w:tc>
        <w:tc>
          <w:tcPr>
            <w:tcW w:w="313"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24.01</w:t>
            </w:r>
          </w:p>
        </w:tc>
        <w:tc>
          <w:tcPr>
            <w:tcW w:w="40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5.24E-04</w:t>
            </w:r>
          </w:p>
        </w:tc>
        <w:tc>
          <w:tcPr>
            <w:tcW w:w="36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5.24</w:t>
            </w:r>
          </w:p>
        </w:tc>
        <w:tc>
          <w:tcPr>
            <w:tcW w:w="46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1.82E-02</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1.51</w:t>
            </w:r>
          </w:p>
        </w:tc>
        <w:tc>
          <w:tcPr>
            <w:tcW w:w="39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2.45E-07</w:t>
            </w:r>
          </w:p>
        </w:tc>
        <w:tc>
          <w:tcPr>
            <w:tcW w:w="34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125</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4.93E-02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10.95</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9.51E-02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19.03</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4.71E-02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23.55</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5.14E-04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5.14</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1.78E-02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1.48</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2.40E-07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4.84E-02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10.76</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9.35E-02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18.7</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4.63E-02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23.15</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5.05E-04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5.05</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1.75E-02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1.46</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2.36E-07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175</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4.51E-02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10.02</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8.70E-02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17.41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4.31E-02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21.55</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4.70E-04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1.63E-02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1.36</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2.19E-07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4.17E-02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9.26</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8.05E-02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3.99E-02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19.93</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4.35E-04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4.35</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1.51E-02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1.26</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2.03E-07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3.67E-02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8.15</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7.08E-02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14.17</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3.51E-02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17.54</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3.82E-04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3.82</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1.33E-02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1.11</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1.79E-07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2.87E-02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6.38</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5.54E-02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11.09</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2.74E-02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13.72</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2.99E-04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2.99</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1.04E-02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0.87</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1.40E-07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3.04E-02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6.75</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5.86E-02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11.73</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2.90E-02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14.52</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3.17E-04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3.17</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1.10E-02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0.92</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1.48E-07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3.05E-02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6.79</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5.90E-02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11.8</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2.92E-02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14.61</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3.18E-04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3.18</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1.10E-02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0.92</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1.49E-07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2.93E-02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6.52</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5.67E-02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11.33</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2.81E-02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14.03</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3.06E-04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3.06</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1.06E-02</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0.88</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1.43E-07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2.76E-02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6.13</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5.33E-02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10.65</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2.64E-02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13.19</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2.88E-04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2.88</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9.98E-03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0.83</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1.34E-07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2.57E-02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5.71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4.96E-02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9.92</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2.46E-02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12.28</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2.68E-04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2.68</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9.29E-03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0.77</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1.25E-07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2.38E-02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5.29</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4.60E-02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9.2</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2.28E-02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11.39</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2.48E-04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2.48</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8.61E-03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0.72</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1.16E-07</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1.66E-02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3.68</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3.20E-02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6.4</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1.59E-02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7.93</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1.73E-04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1.73</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6.00E-03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8.07E-08</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1.22E-02</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2.35E-02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4.71</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1.17E-02</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5.83</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1.27E-04</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1.27</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4.41E-03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0.37</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5.93E-08</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06"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2500</w:t>
            </w:r>
          </w:p>
        </w:tc>
        <w:tc>
          <w:tcPr>
            <w:tcW w:w="445"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9.54E-03</w:t>
            </w:r>
          </w:p>
        </w:tc>
        <w:tc>
          <w:tcPr>
            <w:tcW w:w="31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2.12</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1.84E-02</w:t>
            </w:r>
          </w:p>
        </w:tc>
        <w:tc>
          <w:tcPr>
            <w:tcW w:w="31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3.68</w:t>
            </w:r>
          </w:p>
        </w:tc>
        <w:tc>
          <w:tcPr>
            <w:tcW w:w="44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9.12E-03</w:t>
            </w:r>
          </w:p>
        </w:tc>
        <w:tc>
          <w:tcPr>
            <w:tcW w:w="313"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4.56</w:t>
            </w:r>
          </w:p>
        </w:tc>
        <w:tc>
          <w:tcPr>
            <w:tcW w:w="40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9.95E-05</w:t>
            </w:r>
          </w:p>
        </w:tc>
        <w:tc>
          <w:tcPr>
            <w:tcW w:w="3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0.99</w:t>
            </w:r>
          </w:p>
        </w:tc>
        <w:tc>
          <w:tcPr>
            <w:tcW w:w="461"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3.45E-03</w:t>
            </w:r>
          </w:p>
        </w:tc>
        <w:tc>
          <w:tcPr>
            <w:tcW w:w="354"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0.29</w:t>
            </w:r>
          </w:p>
        </w:tc>
        <w:tc>
          <w:tcPr>
            <w:tcW w:w="397"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4.64E-08</w:t>
            </w:r>
          </w:p>
        </w:tc>
        <w:tc>
          <w:tcPr>
            <w:tcW w:w="340" w:type="pct"/>
            <w:vAlign w:val="center"/>
          </w:tcPr>
          <w:p>
            <w:pPr>
              <w:jc w:val="center"/>
              <w:rPr>
                <w:rFonts w:cs="宋体"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406"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下风向最大质量浓度及占标率</w:t>
            </w:r>
          </w:p>
        </w:tc>
        <w:tc>
          <w:tcPr>
            <w:tcW w:w="445"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5.02E-02</w:t>
            </w:r>
          </w:p>
        </w:tc>
        <w:tc>
          <w:tcPr>
            <w:tcW w:w="31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11.16</w:t>
            </w:r>
          </w:p>
        </w:tc>
        <w:tc>
          <w:tcPr>
            <w:tcW w:w="44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9.70E-02</w:t>
            </w:r>
          </w:p>
        </w:tc>
        <w:tc>
          <w:tcPr>
            <w:tcW w:w="31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19.4</w:t>
            </w:r>
          </w:p>
        </w:tc>
        <w:tc>
          <w:tcPr>
            <w:tcW w:w="44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4.80E-02</w:t>
            </w:r>
          </w:p>
        </w:tc>
        <w:tc>
          <w:tcPr>
            <w:tcW w:w="313"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24.01</w:t>
            </w:r>
          </w:p>
        </w:tc>
        <w:tc>
          <w:tcPr>
            <w:tcW w:w="40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5.24E-04</w:t>
            </w:r>
          </w:p>
        </w:tc>
        <w:tc>
          <w:tcPr>
            <w:tcW w:w="36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5.24</w:t>
            </w:r>
          </w:p>
        </w:tc>
        <w:tc>
          <w:tcPr>
            <w:tcW w:w="461"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1.82E-02</w:t>
            </w:r>
          </w:p>
        </w:tc>
        <w:tc>
          <w:tcPr>
            <w:tcW w:w="354"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1.51</w:t>
            </w:r>
          </w:p>
        </w:tc>
        <w:tc>
          <w:tcPr>
            <w:tcW w:w="397"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2.45E-07</w:t>
            </w:r>
          </w:p>
        </w:tc>
        <w:tc>
          <w:tcPr>
            <w:tcW w:w="340" w:type="pct"/>
            <w:vAlign w:val="center"/>
          </w:tcPr>
          <w:p>
            <w:pPr>
              <w:jc w:val="center"/>
              <w:rPr>
                <w:rFonts w:cs="宋体"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406" w:type="pc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10%</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最远距离/m</w:t>
            </w:r>
          </w:p>
        </w:tc>
        <w:tc>
          <w:tcPr>
            <w:tcW w:w="759"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58"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60"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6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815"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737" w:type="pct"/>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w:t>
            </w:r>
          </w:p>
        </w:tc>
      </w:tr>
    </w:tbl>
    <w:p>
      <w:pPr>
        <w:spacing w:line="360" w:lineRule="auto"/>
        <w:ind w:firstLine="480" w:firstLineChars="200"/>
        <w:rPr>
          <w:rFonts w:asciiTheme="minorEastAsia" w:hAnsiTheme="minorEastAsia"/>
          <w:color w:val="0D0D0D" w:themeColor="text1" w:themeTint="F2"/>
          <w:kern w:val="0"/>
          <w:sz w:val="24"/>
          <w14:textFill>
            <w14:solidFill>
              <w14:schemeClr w14:val="tx1">
                <w14:lumMod w14:val="95000"/>
                <w14:lumOff w14:val="5000"/>
              </w14:schemeClr>
            </w14:solidFill>
          </w14:textFill>
        </w:rPr>
      </w:pPr>
    </w:p>
    <w:p>
      <w:pPr>
        <w:spacing w:line="360" w:lineRule="auto"/>
        <w:ind w:firstLine="480" w:firstLineChars="200"/>
        <w:rPr>
          <w:rFonts w:asciiTheme="minorEastAsia" w:hAnsiTheme="minorEastAsia"/>
          <w:color w:val="0D0D0D" w:themeColor="text1" w:themeTint="F2"/>
          <w:kern w:val="0"/>
          <w:sz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u w:val="single"/>
          <w14:textFill>
            <w14:solidFill>
              <w14:schemeClr w14:val="tx1">
                <w14:lumMod w14:val="95000"/>
                <w14:lumOff w14:val="5000"/>
              </w14:schemeClr>
            </w14:solidFill>
          </w14:textFill>
        </w:rPr>
        <w:t>由上估算模式预测结果可知，事故性排放工况下，项目燃烧废气处理装置排气筒排放污染物对环境空气质量小时浓度贡献值最大占标率为24.01%，可满足≤100%的要求，环境影响可以接受。但是，与正常排放工况比较，事故排放工况下，污染物排放对环境空气质量小时浓度贡献值及环境影响程度增加幅度较大，对大气环境的影响比较明显。因此，评价要求项目运营期加强废气治理设置运行管理，保证处理设施正常运行，避免出现事故性排放。</w:t>
      </w:r>
    </w:p>
    <w:p>
      <w:pPr>
        <w:spacing w:line="360" w:lineRule="auto"/>
        <w:ind w:firstLine="480" w:firstLineChars="200"/>
        <w:rPr>
          <w:rFonts w:asciiTheme="minorEastAsia" w:hAnsiTheme="minorEastAsia"/>
          <w:color w:val="0D0D0D" w:themeColor="text1" w:themeTint="F2"/>
          <w:kern w:val="0"/>
          <w:sz w:val="24"/>
          <w14:textFill>
            <w14:solidFill>
              <w14:schemeClr w14:val="tx1">
                <w14:lumMod w14:val="95000"/>
                <w14:lumOff w14:val="5000"/>
              </w14:schemeClr>
            </w14:solidFill>
          </w14:textFill>
        </w:rPr>
      </w:pPr>
    </w:p>
    <w:p>
      <w:pPr>
        <w:spacing w:line="360" w:lineRule="auto"/>
        <w:rPr>
          <w:rFonts w:asciiTheme="minorEastAsia" w:hAnsiTheme="minorEastAsia"/>
          <w:color w:val="0D0D0D" w:themeColor="text1" w:themeTint="F2"/>
          <w:kern w:val="0"/>
          <w:sz w:val="24"/>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p>
      <w:pPr>
        <w:adjustRightInd w:val="0"/>
        <w:snapToGrid w:val="0"/>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5.2.1.6</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无组织</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厂界</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影响分析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本项目无组织废气排放源对厂界的影响预测情况见表5.2-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无组织废气对各厂界影响预测情况</w:t>
      </w:r>
    </w:p>
    <w:tbl>
      <w:tblPr>
        <w:tblStyle w:val="27"/>
        <w:tblW w:w="90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25"/>
        <w:gridCol w:w="1810"/>
        <w:gridCol w:w="2126"/>
        <w:gridCol w:w="28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225" w:type="dxa"/>
            <w:vMerge w:val="restart"/>
            <w:tcBorders>
              <w:top w:val="single" w:color="auto" w:sz="12" w:space="0"/>
            </w:tcBorders>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项目</w:t>
            </w:r>
          </w:p>
        </w:tc>
        <w:tc>
          <w:tcPr>
            <w:tcW w:w="6779" w:type="dxa"/>
            <w:gridSpan w:val="3"/>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污染物及预测浓度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225" w:type="dxa"/>
            <w:vMerge w:val="continue"/>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p>
        </w:tc>
        <w:tc>
          <w:tcPr>
            <w:tcW w:w="1810" w:type="dxa"/>
            <w:tcBorders>
              <w:top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颗粒物</w:t>
            </w:r>
            <w: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mg/m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t>）</w:t>
            </w:r>
          </w:p>
        </w:tc>
        <w:tc>
          <w:tcPr>
            <w:tcW w:w="2126" w:type="dxa"/>
            <w:tcBorders>
              <w:top w:val="single" w:color="auto" w:sz="4" w:space="0"/>
            </w:tcBorders>
            <w:vAlign w:val="center"/>
          </w:tcPr>
          <w:p>
            <w:pPr>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S</w:t>
            </w:r>
            <w: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mg/m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t>）</w:t>
            </w:r>
          </w:p>
        </w:tc>
        <w:tc>
          <w:tcPr>
            <w:tcW w:w="2843"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非甲烷总烃</w:t>
            </w:r>
            <w: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t>（</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mg/m</w:t>
            </w:r>
            <w:r>
              <w:rPr>
                <w:rFonts w:cs="Times New Roman"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25" w:type="dxa"/>
            <w:vAlign w:val="center"/>
          </w:tcPr>
          <w:p>
            <w:pPr>
              <w:widowControl/>
              <w:adjustRightInd w:val="0"/>
              <w:snapToGrid w:val="0"/>
              <w:jc w:val="cente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东厂界</w:t>
            </w:r>
          </w:p>
        </w:tc>
        <w:tc>
          <w:tcPr>
            <w:tcW w:w="1810" w:type="dxa"/>
            <w:vAlign w:val="center"/>
          </w:tcPr>
          <w:p>
            <w:pPr>
              <w:widowControl/>
              <w:adjustRightInd w:val="0"/>
              <w:snapToGrid w:val="0"/>
              <w:jc w:val="center"/>
              <w:textAlignment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0.03143</w:t>
            </w:r>
          </w:p>
        </w:tc>
        <w:tc>
          <w:tcPr>
            <w:tcW w:w="2126" w:type="dxa"/>
            <w:vAlign w:val="center"/>
          </w:tcPr>
          <w:p>
            <w:pPr>
              <w:adjustRightInd w:val="0"/>
              <w:snapToGrid w:val="0"/>
              <w:jc w:val="center"/>
              <w:textAlignment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0.000046</w:t>
            </w:r>
          </w:p>
        </w:tc>
        <w:tc>
          <w:tcPr>
            <w:tcW w:w="2843" w:type="dxa"/>
            <w:vAlign w:val="center"/>
          </w:tcPr>
          <w:p>
            <w:pPr>
              <w:widowControl/>
              <w:adjustRightInd w:val="0"/>
              <w:snapToGrid w:val="0"/>
              <w:jc w:val="center"/>
              <w:textAlignment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0.0113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25" w:type="dxa"/>
            <w:vAlign w:val="center"/>
          </w:tcPr>
          <w:p>
            <w:pPr>
              <w:widowControl/>
              <w:adjustRightInd w:val="0"/>
              <w:snapToGrid w:val="0"/>
              <w:jc w:val="center"/>
              <w:rPr>
                <w:rFonts w:cs="Times New Roman" w:asciiTheme="minorEastAsia" w:hAnsiTheme="minorEastAsia"/>
                <w:bCs/>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西厂界</w:t>
            </w:r>
          </w:p>
        </w:tc>
        <w:tc>
          <w:tcPr>
            <w:tcW w:w="1810" w:type="dxa"/>
            <w:vAlign w:val="center"/>
          </w:tcPr>
          <w:p>
            <w:pPr>
              <w:widowControl/>
              <w:adjustRightInd w:val="0"/>
              <w:snapToGrid w:val="0"/>
              <w:jc w:val="center"/>
              <w:textAlignment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0.03469</w:t>
            </w:r>
          </w:p>
        </w:tc>
        <w:tc>
          <w:tcPr>
            <w:tcW w:w="2126" w:type="dxa"/>
            <w:vAlign w:val="center"/>
          </w:tcPr>
          <w:p>
            <w:pPr>
              <w:adjustRightInd w:val="0"/>
              <w:snapToGrid w:val="0"/>
              <w:jc w:val="center"/>
              <w:textAlignment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0.000059</w:t>
            </w:r>
          </w:p>
        </w:tc>
        <w:tc>
          <w:tcPr>
            <w:tcW w:w="2843" w:type="dxa"/>
            <w:vAlign w:val="center"/>
          </w:tcPr>
          <w:p>
            <w:pPr>
              <w:widowControl/>
              <w:adjustRightInd w:val="0"/>
              <w:snapToGrid w:val="0"/>
              <w:jc w:val="center"/>
              <w:textAlignment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0.01837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25" w:type="dxa"/>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南厂界</w:t>
            </w:r>
          </w:p>
        </w:tc>
        <w:tc>
          <w:tcPr>
            <w:tcW w:w="1810"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0.02984</w:t>
            </w:r>
          </w:p>
        </w:tc>
        <w:tc>
          <w:tcPr>
            <w:tcW w:w="2126" w:type="dxa"/>
            <w:vAlign w:val="center"/>
          </w:tcPr>
          <w:p>
            <w:pPr>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0.000051</w:t>
            </w:r>
          </w:p>
        </w:tc>
        <w:tc>
          <w:tcPr>
            <w:tcW w:w="2843"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0.01848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25" w:type="dxa"/>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北厂界</w:t>
            </w:r>
          </w:p>
        </w:tc>
        <w:tc>
          <w:tcPr>
            <w:tcW w:w="1810"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0.02977</w:t>
            </w:r>
          </w:p>
        </w:tc>
        <w:tc>
          <w:tcPr>
            <w:tcW w:w="2126" w:type="dxa"/>
            <w:vAlign w:val="center"/>
          </w:tcPr>
          <w:p>
            <w:pPr>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0.000057</w:t>
            </w:r>
          </w:p>
        </w:tc>
        <w:tc>
          <w:tcPr>
            <w:tcW w:w="2843" w:type="dxa"/>
            <w:vAlign w:val="center"/>
          </w:tcPr>
          <w:p>
            <w:pPr>
              <w:widowControl/>
              <w:adjustRightInd w:val="0"/>
              <w:snapToGrid w:val="0"/>
              <w:jc w:val="center"/>
              <w:textAlignment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0.01275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225" w:type="dxa"/>
            <w:vAlign w:val="center"/>
          </w:tcPr>
          <w:p>
            <w:pPr>
              <w:widowControl/>
              <w:adjustRightInd w:val="0"/>
              <w:snapToGrid w:val="0"/>
              <w:jc w:val="cente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Cs w:val="21"/>
                <w14:textFill>
                  <w14:solidFill>
                    <w14:schemeClr w14:val="tx1">
                      <w14:lumMod w14:val="95000"/>
                      <w14:lumOff w14:val="5000"/>
                    </w14:schemeClr>
                  </w14:solidFill>
                </w14:textFill>
              </w:rPr>
              <w:t>标准限值</w:t>
            </w: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（mg/m</w:t>
            </w:r>
            <w:r>
              <w:rPr>
                <w:rFonts w:hint="eastAsia" w:cs="Times New Roman" w:asciiTheme="minorEastAsia" w:hAnsiTheme="minorEastAsia"/>
                <w:bCs/>
                <w:color w:val="0D0D0D" w:themeColor="text1" w:themeTint="F2"/>
                <w:szCs w:val="21"/>
                <w:vertAlign w:val="superscript"/>
                <w14:textFill>
                  <w14:solidFill>
                    <w14:schemeClr w14:val="tx1">
                      <w14:lumMod w14:val="95000"/>
                      <w14:lumOff w14:val="5000"/>
                    </w14:schemeClr>
                  </w14:solidFill>
                </w14:textFill>
              </w:rPr>
              <w:t>3</w:t>
            </w:r>
            <w:r>
              <w:rPr>
                <w:rFonts w:hint="eastAsia" w:cs="Times New Roman" w:asciiTheme="minorEastAsia" w:hAnsiTheme="minorEastAsia"/>
                <w:bCs/>
                <w:color w:val="0D0D0D" w:themeColor="text1" w:themeTint="F2"/>
                <w:szCs w:val="21"/>
                <w14:textFill>
                  <w14:solidFill>
                    <w14:schemeClr w14:val="tx1">
                      <w14:lumMod w14:val="95000"/>
                      <w14:lumOff w14:val="5000"/>
                    </w14:schemeClr>
                  </w14:solidFill>
                </w14:textFill>
              </w:rPr>
              <w:t>）</w:t>
            </w:r>
          </w:p>
        </w:tc>
        <w:tc>
          <w:tcPr>
            <w:tcW w:w="1810" w:type="dxa"/>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2126" w:type="dxa"/>
            <w:vAlign w:val="center"/>
          </w:tcPr>
          <w:p>
            <w:pPr>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0.06</w:t>
            </w:r>
          </w:p>
        </w:tc>
        <w:tc>
          <w:tcPr>
            <w:tcW w:w="2843" w:type="dxa"/>
            <w:vAlign w:val="center"/>
          </w:tcPr>
          <w:p>
            <w:pPr>
              <w:widowControl/>
              <w:adjustRightInd w:val="0"/>
              <w:snapToGrid w:val="0"/>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2.0</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由表5.2-8预测结果可知，项目运营后，各厂界</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颗粒物</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的预测浓度均能够满足</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《大气污染物综合排放标准》（GB16297-1996）表2限值</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要求，各厂界H</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 xml:space="preserve">S的预测浓度均能够满足《恶臭污染物排放标准》（GB14554-93）表1二级标准的要求，各厂界非甲烷总烃的预测浓度能够满足豫环攻坚办[2017]162号《关于全省开展工业企业挥发性有机物专项治理工作中排放建议值的通知》中其他行业建议限值要求。综上所述，项目厂界无组织废气能够达标排放。 </w:t>
      </w:r>
    </w:p>
    <w:p>
      <w:pPr>
        <w:spacing w:line="360" w:lineRule="auto"/>
        <w:rPr>
          <w:rFonts w:asciiTheme="minorEastAsia" w:hAnsiTheme="minorEastAsia"/>
          <w:color w:val="0D0D0D" w:themeColor="text1" w:themeTint="F2"/>
          <w:kern w:val="0"/>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5.2.1.7</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防护距离计算与设置</w:t>
      </w:r>
    </w:p>
    <w:p>
      <w:pPr>
        <w:spacing w:line="520" w:lineRule="exact"/>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（1）大气环境防护距离</w:t>
      </w:r>
    </w:p>
    <w:p>
      <w:pPr>
        <w:spacing w:line="520" w:lineRule="exact"/>
        <w:ind w:firstLine="482"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A</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大气环境防护距离计算</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根据估算模式计算结果，正常工况下，项目大气污染物排放对环境空气质量小时浓度贡献值最大占标率4.8%，厂界外无超标点，因此，本项目无需设置大气环境防护距离。</w:t>
      </w:r>
    </w:p>
    <w:p>
      <w:pPr>
        <w:spacing w:line="520" w:lineRule="exact"/>
        <w:ind w:firstLine="482"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B</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、卫生防护距离计算</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《制定地方大气污染物排放标准的技术方法》（GB3840-91）中相关规定，有害气体无组织排放卫生防护距离按下式进行计算：</w:t>
      </w:r>
    </w:p>
    <w:p>
      <w:pPr>
        <w:spacing w:line="520" w:lineRule="exact"/>
        <w:jc w:val="center"/>
        <w:outlineLvl w:val="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Q</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 (BL</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+0.25r</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0.5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·L</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D</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A</w:t>
      </w:r>
    </w:p>
    <w:p>
      <w:pPr>
        <w:spacing w:line="520" w:lineRule="exac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其中：Q</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 xml:space="preserve">c </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—工业企业有害气体无组织排放量可达到的控制水平（</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k</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g/h）；</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—标准浓度限值（mg/Nm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S取值0.01mg/m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，非甲烷总烃取值2.0mg/m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；TSP取值0.9mg/m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520" w:lineRule="exact"/>
        <w:ind w:firstLine="600" w:firstLineChars="250"/>
        <w:outlineLvl w:val="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L—工业企业所需卫生防护距离（m）；</w:t>
      </w:r>
    </w:p>
    <w:p>
      <w:pPr>
        <w:spacing w:line="520" w:lineRule="exact"/>
        <w:ind w:firstLine="720" w:firstLineChars="3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R —有害气体无组织排放源所在生产单元的等效半径（m），根据该生产单元占地面积S计算，R=（S/∏）</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0.5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520" w:lineRule="exact"/>
        <w:ind w:firstLine="720" w:firstLineChars="3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A、B、C、D—卫生防护距离计算系数。</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由气象资料可知，</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西平县</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年平均风速为1.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7</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m/s，查取卫生防护距离计算系数表可知，A值为400、B值为0.01、C值为1.85、D值为0.78；将无组织排放源强、面积等参数带入上述计算公式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进行计算，项目个面源各污染物卫生防护距离计算结果如下表5.2-11。</w:t>
      </w:r>
    </w:p>
    <w:p>
      <w:pPr>
        <w:spacing w:line="520" w:lineRule="exact"/>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表5.2-11 项目生产车间各无组织排放污染物卫生防护距离计算结果表</w:t>
      </w:r>
    </w:p>
    <w:tbl>
      <w:tblPr>
        <w:tblStyle w:val="9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5"/>
        <w:gridCol w:w="2028"/>
        <w:gridCol w:w="1468"/>
        <w:gridCol w:w="1826"/>
        <w:gridCol w:w="1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73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面源</w:t>
            </w: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类别</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TSP</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非甲烷总烃</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H</w:t>
            </w:r>
            <w:r>
              <w:rPr>
                <w:rFonts w:hint="eastAsia" w:cs="Times New Roman" w:asciiTheme="minorEastAsia" w:hAnsiTheme="minorEastAsia"/>
                <w:color w:val="0D0D0D" w:themeColor="text1" w:themeTint="F2"/>
                <w:szCs w:val="21"/>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35" w:type="dxa"/>
            <w:vMerge w:val="restart"/>
            <w:vAlign w:val="center"/>
          </w:tcPr>
          <w:p>
            <w:pPr>
              <w:spacing w:line="240" w:lineRule="atLeast"/>
              <w:ind w:firstLine="210" w:firstLineChars="10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热裂解车间</w:t>
            </w:r>
          </w:p>
        </w:tc>
        <w:tc>
          <w:tcPr>
            <w:tcW w:w="2028" w:type="dxa"/>
            <w:vAlign w:val="center"/>
          </w:tcPr>
          <w:p>
            <w:pPr>
              <w:spacing w:line="240" w:lineRule="atLeast"/>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排放源强（kg/h）</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0.194</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0.027</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735" w:type="dxa"/>
            <w:vMerge w:val="continue"/>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L计算结果（m）</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5.809</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0.167</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35" w:type="dxa"/>
            <w:vMerge w:val="continue"/>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L提级后（m）</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35" w:type="dxa"/>
            <w:vMerge w:val="continue"/>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L综合提级后（m）</w:t>
            </w:r>
          </w:p>
        </w:tc>
        <w:tc>
          <w:tcPr>
            <w:tcW w:w="4759" w:type="dxa"/>
            <w:gridSpan w:val="3"/>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35" w:type="dxa"/>
            <w:vMerge w:val="restart"/>
            <w:vAlign w:val="center"/>
          </w:tcPr>
          <w:p>
            <w:pPr>
              <w:spacing w:line="240" w:lineRule="atLeast"/>
              <w:ind w:firstLine="210" w:firstLineChars="10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燃料油储罐区</w:t>
            </w:r>
          </w:p>
        </w:tc>
        <w:tc>
          <w:tcPr>
            <w:tcW w:w="2028" w:type="dxa"/>
            <w:vAlign w:val="center"/>
          </w:tcPr>
          <w:p>
            <w:pPr>
              <w:spacing w:line="240" w:lineRule="atLeast"/>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排放源强（kg/h）</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0.0443</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735" w:type="dxa"/>
            <w:vMerge w:val="continue"/>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L计算结果（m）</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0.314</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35" w:type="dxa"/>
            <w:vMerge w:val="continue"/>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L提级后（m）</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35" w:type="dxa"/>
            <w:vMerge w:val="restart"/>
            <w:vAlign w:val="center"/>
          </w:tcPr>
          <w:p>
            <w:pPr>
              <w:spacing w:line="240" w:lineRule="atLeast"/>
              <w:ind w:firstLine="210" w:firstLineChars="10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粗碳黑产品库</w:t>
            </w:r>
          </w:p>
        </w:tc>
        <w:tc>
          <w:tcPr>
            <w:tcW w:w="2028" w:type="dxa"/>
            <w:vAlign w:val="center"/>
          </w:tcPr>
          <w:p>
            <w:pPr>
              <w:spacing w:line="240" w:lineRule="atLeast"/>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排放源强（kg/h）</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0.024</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735" w:type="dxa"/>
            <w:vMerge w:val="continue"/>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L计算结果（m）</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0.339</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35" w:type="dxa"/>
            <w:vMerge w:val="continue"/>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202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L提级后（m）</w:t>
            </w:r>
          </w:p>
        </w:tc>
        <w:tc>
          <w:tcPr>
            <w:tcW w:w="1468"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826"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c>
          <w:tcPr>
            <w:tcW w:w="1465" w:type="dxa"/>
            <w:vAlign w:val="center"/>
          </w:tcPr>
          <w:p>
            <w:pPr>
              <w:spacing w:line="240" w:lineRule="atLeast"/>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w:t>
            </w:r>
          </w:p>
        </w:tc>
      </w:tr>
    </w:tbl>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上表计算结果分析，项目无组织排放源各污染因子卫生防护距离提级后均为50m；根据《制定地方大气污染物排放标准的技术方法》规定，“无组织排放多种有害气体的工业企业，按Qc/Cm的最大值计算其所需卫生防护距离；但当按两种或两种以上的有害气体的Qc/Cm值计算的卫生防护距离在同一级别时，该类工业企业的卫生防护距离级别应该高一级”，项目热裂解车间排放2种以上污染因子，卫生防护距离级别应该高一级，设置为100m，其他面源设置50m。</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根据项目厂区布局，结合各面源卫生防护距离设置要求，项目厂界外卫生防护距离设置情况为：东厂界80m，南厂界80m，西厂界30m，北厂界30m。</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根据现场调查，项目厂界外卫生防护距离范围内无学校、村庄、医院等现状环境敏感点。评价建议在本项目卫生防护距离内不得规划布局新的环境敏感点。  </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本项目卫生防护距离包络线图见下图5.2-1。</w:t>
      </w:r>
    </w:p>
    <w:p>
      <w:pPr>
        <w:spacing w:line="360" w:lineRule="auto"/>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anchor distT="0" distB="0" distL="114300" distR="114300" simplePos="0" relativeHeight="252072960" behindDoc="0" locked="0" layoutInCell="1" allowOverlap="1">
            <wp:simplePos x="0" y="0"/>
            <wp:positionH relativeFrom="column">
              <wp:posOffset>-152400</wp:posOffset>
            </wp:positionH>
            <wp:positionV relativeFrom="paragraph">
              <wp:posOffset>209550</wp:posOffset>
            </wp:positionV>
            <wp:extent cx="5520690" cy="4257675"/>
            <wp:effectExtent l="0" t="0" r="3810" b="952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41" cstate="print">
                      <a:extLst>
                        <a:ext uri="{28A0092B-C50C-407E-A947-70E740481C1C}">
                          <a14:useLocalDpi xmlns:a14="http://schemas.microsoft.com/office/drawing/2010/main" val="0"/>
                        </a:ext>
                      </a:extLst>
                    </a:blip>
                    <a:srcRect t="3085" r="-26" b="11111"/>
                    <a:stretch>
                      <a:fillRect/>
                    </a:stretch>
                  </pic:blipFill>
                  <pic:spPr>
                    <a:xfrm>
                      <a:off x="0" y="0"/>
                      <a:ext cx="5520686" cy="4257675"/>
                    </a:xfrm>
                    <a:prstGeom prst="rect">
                      <a:avLst/>
                    </a:prstGeom>
                    <a:noFill/>
                    <a:ln>
                      <a:noFill/>
                    </a:ln>
                  </pic:spPr>
                </pic:pic>
              </a:graphicData>
            </a:graphic>
          </wp:anchor>
        </w:drawing>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图5.2-1   项目卫生防护距离包络图</w:t>
      </w:r>
    </w:p>
    <w:p>
      <w:pPr>
        <w:spacing w:line="360" w:lineRule="auto"/>
        <w:rPr>
          <w:rFonts w:asciiTheme="minorEastAsia" w:hAnsiTheme="minorEastAsia"/>
          <w:color w:val="0D0D0D" w:themeColor="text1" w:themeTint="F2"/>
          <w:kern w:val="0"/>
          <w:sz w:val="24"/>
          <w14:textFill>
            <w14:solidFill>
              <w14:schemeClr w14:val="tx1">
                <w14:lumMod w14:val="95000"/>
                <w14:lumOff w14:val="5000"/>
              </w14:schemeClr>
            </w14:solidFill>
          </w14:textFill>
        </w:rPr>
        <w:sectPr>
          <w:pgSz w:w="11906" w:h="16838"/>
          <w:pgMar w:top="1440" w:right="1800" w:bottom="1440" w:left="1800" w:header="851" w:footer="992" w:gutter="0"/>
          <w:cols w:space="425" w:num="1"/>
          <w:docGrid w:type="lines" w:linePitch="312" w:charSpace="0"/>
        </w:sectPr>
      </w:pP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5.2.1.8污染物排放量核算</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（1）正常工况下有组织排放量核算</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根据工程分析，本项目有组织排气筒仅有工艺废气处理装置排气筒，为主要排放口，排放量核算见下表5.2-12。</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5.2-12   大气污染物有组织排放量核算表</w:t>
      </w:r>
    </w:p>
    <w:tbl>
      <w:tblPr>
        <w:tblStyle w:val="9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0"/>
        <w:gridCol w:w="1279"/>
        <w:gridCol w:w="2125"/>
        <w:gridCol w:w="1636"/>
        <w:gridCol w:w="1342"/>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序号</w:t>
            </w:r>
          </w:p>
        </w:tc>
        <w:tc>
          <w:tcPr>
            <w:tcW w:w="1279"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排放口编号</w:t>
            </w:r>
          </w:p>
        </w:tc>
        <w:tc>
          <w:tcPr>
            <w:tcW w:w="2125"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污染物</w:t>
            </w:r>
          </w:p>
        </w:tc>
        <w:tc>
          <w:tcPr>
            <w:tcW w:w="1636"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核算排放浓度（mg/m</w:t>
            </w:r>
            <w:r>
              <w:rPr>
                <w:rFonts w:hint="eastAsia" w:cs="Times New Roman"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1342"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核算排放速率（kg/h）</w:t>
            </w:r>
          </w:p>
        </w:tc>
        <w:tc>
          <w:tcPr>
            <w:tcW w:w="1610"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6"/>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主要排放口（燃烧废气处理装置排气筒）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279" w:type="dxa"/>
            <w:vMerge w:val="restart"/>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Y1</w:t>
            </w: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7.19</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0.144</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27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27.77</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0.555</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w:t>
            </w:r>
          </w:p>
        </w:tc>
        <w:tc>
          <w:tcPr>
            <w:tcW w:w="127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w:t>
            </w:r>
          </w:p>
        </w:tc>
        <w:tc>
          <w:tcPr>
            <w:tcW w:w="127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0.3</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0.006</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w:t>
            </w:r>
          </w:p>
        </w:tc>
        <w:tc>
          <w:tcPr>
            <w:tcW w:w="127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w:t>
            </w:r>
          </w:p>
        </w:tc>
        <w:tc>
          <w:tcPr>
            <w:tcW w:w="127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5.2</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0.104</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w:t>
            </w:r>
          </w:p>
        </w:tc>
        <w:tc>
          <w:tcPr>
            <w:tcW w:w="127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636"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6"/>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一般排放口（车间收集碳黑尘袋除尘器排气筒）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w:t>
            </w:r>
          </w:p>
        </w:tc>
        <w:tc>
          <w:tcPr>
            <w:tcW w:w="1279"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Y2</w:t>
            </w: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颗粒物（碳黑尘）</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4.38</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0.022</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w:t>
            </w:r>
          </w:p>
        </w:tc>
        <w:tc>
          <w:tcPr>
            <w:tcW w:w="1279"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Y3</w:t>
            </w:r>
          </w:p>
        </w:tc>
        <w:tc>
          <w:tcPr>
            <w:tcW w:w="212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颗粒物（碳黑尘）</w:t>
            </w:r>
          </w:p>
        </w:tc>
        <w:tc>
          <w:tcPr>
            <w:tcW w:w="163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4.38</w:t>
            </w:r>
          </w:p>
        </w:tc>
        <w:tc>
          <w:tcPr>
            <w:tcW w:w="13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0.022</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809" w:type="dxa"/>
            <w:gridSpan w:val="2"/>
            <w:vMerge w:val="restart"/>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有组织排放总计</w:t>
            </w:r>
          </w:p>
        </w:tc>
        <w:tc>
          <w:tcPr>
            <w:tcW w:w="510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610" w:type="dxa"/>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1.352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gridSpan w:val="2"/>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510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gridSpan w:val="2"/>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510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gridSpan w:val="2"/>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510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gridSpan w:val="2"/>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510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gridSpan w:val="2"/>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510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09" w:type="dxa"/>
            <w:gridSpan w:val="2"/>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510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6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4</w:t>
            </w:r>
          </w:p>
        </w:tc>
      </w:tr>
    </w:tbl>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（2）无组织排放量核算</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根据工程分析，本项目无组织排放源主要为热裂解生产车间、燃料油储罐区及产品库，无组织排放量核算见下表5.2-13。</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5.2-13  大气污染物无组织排放量核算表</w:t>
      </w:r>
    </w:p>
    <w:tbl>
      <w:tblPr>
        <w:tblStyle w:val="9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623"/>
        <w:gridCol w:w="623"/>
        <w:gridCol w:w="980"/>
        <w:gridCol w:w="1391"/>
        <w:gridCol w:w="2304"/>
        <w:gridCol w:w="1093"/>
        <w:gridCol w:w="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20" w:type="dxa"/>
            <w:vMerge w:val="restart"/>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序号</w:t>
            </w:r>
          </w:p>
        </w:tc>
        <w:tc>
          <w:tcPr>
            <w:tcW w:w="709" w:type="dxa"/>
            <w:vMerge w:val="restart"/>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排放口编号</w:t>
            </w:r>
          </w:p>
        </w:tc>
        <w:tc>
          <w:tcPr>
            <w:tcW w:w="709" w:type="dxa"/>
            <w:vMerge w:val="restart"/>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产污环节</w:t>
            </w:r>
          </w:p>
        </w:tc>
        <w:tc>
          <w:tcPr>
            <w:tcW w:w="1134" w:type="dxa"/>
            <w:vMerge w:val="restart"/>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污染物</w:t>
            </w:r>
          </w:p>
        </w:tc>
        <w:tc>
          <w:tcPr>
            <w:tcW w:w="1701" w:type="dxa"/>
            <w:vMerge w:val="restart"/>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主要污染防治措施</w:t>
            </w:r>
          </w:p>
        </w:tc>
        <w:tc>
          <w:tcPr>
            <w:tcW w:w="3685" w:type="dxa"/>
            <w:gridSpan w:val="2"/>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国家或地方污染物排放标准</w:t>
            </w:r>
          </w:p>
        </w:tc>
        <w:tc>
          <w:tcPr>
            <w:tcW w:w="988" w:type="dxa"/>
            <w:vMerge w:val="restart"/>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620" w:type="dxa"/>
            <w:vMerge w:val="continue"/>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709" w:type="dxa"/>
            <w:vMerge w:val="continue"/>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709" w:type="dxa"/>
            <w:vMerge w:val="continue"/>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1134" w:type="dxa"/>
            <w:vMerge w:val="continue"/>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1701" w:type="dxa"/>
            <w:vMerge w:val="continue"/>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p>
        </w:tc>
        <w:tc>
          <w:tcPr>
            <w:tcW w:w="2551"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标准名称</w:t>
            </w:r>
          </w:p>
        </w:tc>
        <w:tc>
          <w:tcPr>
            <w:tcW w:w="1134" w:type="dxa"/>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浓度限值（mg/m</w:t>
            </w:r>
            <w:r>
              <w:rPr>
                <w:rFonts w:hint="eastAsia" w:cs="Times New Roman"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988" w:type="dxa"/>
            <w:vMerge w:val="continue"/>
            <w:vAlign w:val="center"/>
          </w:tcPr>
          <w:p>
            <w:pPr>
              <w:adjustRightInd w:val="0"/>
              <w:snapToGrid w:val="0"/>
              <w:spacing w:line="24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62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709" w:type="dxa"/>
            <w:vMerge w:val="restart"/>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S1</w:t>
            </w:r>
          </w:p>
        </w:tc>
        <w:tc>
          <w:tcPr>
            <w:tcW w:w="709" w:type="dxa"/>
            <w:vMerge w:val="restart"/>
            <w:vAlign w:val="center"/>
          </w:tcPr>
          <w:p>
            <w:pPr>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生产</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车间</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1701"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密闭设备、设置集气罩集气处理及车间自然沉降等</w:t>
            </w:r>
          </w:p>
        </w:tc>
        <w:tc>
          <w:tcPr>
            <w:tcW w:w="255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《大气污染物综合排放标准》（GB16297-1996）表 2</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肉眼看不见</w:t>
            </w:r>
          </w:p>
        </w:tc>
        <w:tc>
          <w:tcPr>
            <w:tcW w:w="988" w:type="dxa"/>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62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70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09" w:type="dxa"/>
            <w:vMerge w:val="continue"/>
            <w:vAlign w:val="center"/>
          </w:tcPr>
          <w:p>
            <w:pPr>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70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55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《恶臭污染物排放标准》（</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GB14554-93</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）二级</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0.06</w:t>
            </w:r>
          </w:p>
        </w:tc>
        <w:tc>
          <w:tcPr>
            <w:tcW w:w="988" w:type="dxa"/>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w:t>
            </w:r>
          </w:p>
        </w:tc>
        <w:tc>
          <w:tcPr>
            <w:tcW w:w="709" w:type="dxa"/>
            <w:vMerge w:val="continue"/>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09" w:type="dxa"/>
            <w:vMerge w:val="continue"/>
            <w:vAlign w:val="center"/>
          </w:tcPr>
          <w:p>
            <w:pPr>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70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55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豫环攻坚办[2017]162号厂界排放建议值</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988" w:type="dxa"/>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62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w:t>
            </w:r>
          </w:p>
        </w:tc>
        <w:tc>
          <w:tcPr>
            <w:tcW w:w="709"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S2</w:t>
            </w:r>
          </w:p>
        </w:tc>
        <w:tc>
          <w:tcPr>
            <w:tcW w:w="709" w:type="dxa"/>
            <w:vAlign w:val="center"/>
          </w:tcPr>
          <w:p>
            <w:pPr>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产品库</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170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产品袋装储存</w:t>
            </w:r>
          </w:p>
        </w:tc>
        <w:tc>
          <w:tcPr>
            <w:tcW w:w="255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《大气污染物综合排放标准》（GB16297-1996）表 2</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肉眼看不见</w:t>
            </w:r>
          </w:p>
        </w:tc>
        <w:tc>
          <w:tcPr>
            <w:tcW w:w="988" w:type="dxa"/>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620"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w:t>
            </w:r>
          </w:p>
        </w:tc>
        <w:tc>
          <w:tcPr>
            <w:tcW w:w="709" w:type="dxa"/>
            <w:vAlign w:val="center"/>
          </w:tcPr>
          <w:p>
            <w:pPr>
              <w:adjustRightInd w:val="0"/>
              <w:snapToGrid w:val="0"/>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S3</w:t>
            </w:r>
          </w:p>
        </w:tc>
        <w:tc>
          <w:tcPr>
            <w:tcW w:w="709" w:type="dxa"/>
            <w:vAlign w:val="center"/>
          </w:tcPr>
          <w:p>
            <w:pPr>
              <w:spacing w:line="24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燃料油储罐区</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70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平衡鹤管装车、储罐配套氮封装置及油气回收系统等</w:t>
            </w:r>
          </w:p>
        </w:tc>
        <w:tc>
          <w:tcPr>
            <w:tcW w:w="255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豫环攻坚办[2017]162号厂界排放建议值</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988" w:type="dxa"/>
            <w:vAlign w:val="center"/>
          </w:tcPr>
          <w:p>
            <w:pPr>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46" w:type="dxa"/>
            <w:gridSpan w:val="8"/>
            <w:vAlign w:val="center"/>
          </w:tcPr>
          <w:p>
            <w:pPr>
              <w:spacing w:line="240" w:lineRule="atLeast"/>
              <w:jc w:val="center"/>
              <w:rPr>
                <w:rFonts w:asciiTheme="minorEastAsia" w:hAnsiTheme="minorEastAsia"/>
                <w:color w:val="0D0D0D" w:themeColor="text1" w:themeTint="F2"/>
                <w:sz w:val="18"/>
                <w:szCs w:val="18"/>
                <w:lang w:val="de-D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val="de-DE"/>
                <w14:textFill>
                  <w14:solidFill>
                    <w14:schemeClr w14:val="tx1">
                      <w14:lumMod w14:val="95000"/>
                      <w14:lumOff w14:val="5000"/>
                    </w14:schemeClr>
                  </w14:solidFill>
                </w14:textFill>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2" w:type="dxa"/>
            <w:gridSpan w:val="4"/>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val="de-DE"/>
                <w14:textFill>
                  <w14:solidFill>
                    <w14:schemeClr w14:val="tx1">
                      <w14:lumMod w14:val="95000"/>
                      <w14:lumOff w14:val="5000"/>
                    </w14:schemeClr>
                  </w14:solidFill>
                </w14:textFill>
              </w:rPr>
              <w:t>无组织排放总计（t/a）</w:t>
            </w:r>
          </w:p>
        </w:tc>
        <w:tc>
          <w:tcPr>
            <w:tcW w:w="4252"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颗粒物（碳黑尘）</w:t>
            </w:r>
          </w:p>
        </w:tc>
        <w:tc>
          <w:tcPr>
            <w:tcW w:w="2122" w:type="dxa"/>
            <w:gridSpan w:val="2"/>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1.575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2" w:type="dxa"/>
            <w:gridSpan w:val="4"/>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4252"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2122" w:type="dxa"/>
            <w:gridSpan w:val="2"/>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2" w:type="dxa"/>
            <w:gridSpan w:val="4"/>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4252"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2122" w:type="dxa"/>
            <w:gridSpan w:val="2"/>
            <w:vAlign w:val="center"/>
          </w:tcPr>
          <w:p>
            <w:pPr>
              <w:widowControl/>
              <w:jc w:val="center"/>
              <w:textAlignment w:val="cente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0.514</w:t>
            </w:r>
          </w:p>
        </w:tc>
      </w:tr>
    </w:tbl>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（3）正常工况下全厂大气污染物年排放量核算</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本项目大气污染物排放量包括项目各有组织排放源和无组织排放源在正常排放条件下的预测排放量之和，具体见表</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5</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.2-14。</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5.2-14  大气污染物年排放量核算表</w:t>
      </w:r>
    </w:p>
    <w:tbl>
      <w:tblPr>
        <w:tblStyle w:val="9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2552"/>
        <w:gridCol w:w="4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b/>
                <w:color w:val="0D0D0D" w:themeColor="text1" w:themeTint="F2"/>
                <w:szCs w:val="21"/>
                <w14:textFill>
                  <w14:solidFill>
                    <w14:schemeClr w14:val="tx1">
                      <w14:lumMod w14:val="95000"/>
                      <w14:lumOff w14:val="5000"/>
                    </w14:schemeClr>
                  </w14:solidFill>
                </w14:textFill>
              </w:rPr>
              <w:t>序号</w:t>
            </w:r>
          </w:p>
        </w:tc>
        <w:tc>
          <w:tcPr>
            <w:tcW w:w="2552" w:type="dxa"/>
            <w:vAlign w:val="center"/>
          </w:tcPr>
          <w:p>
            <w:pPr>
              <w:spacing w:line="240" w:lineRule="atLeast"/>
              <w:jc w:val="center"/>
              <w:rPr>
                <w:rFonts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b/>
                <w:color w:val="0D0D0D" w:themeColor="text1" w:themeTint="F2"/>
                <w:szCs w:val="21"/>
                <w14:textFill>
                  <w14:solidFill>
                    <w14:schemeClr w14:val="tx1">
                      <w14:lumMod w14:val="95000"/>
                      <w14:lumOff w14:val="5000"/>
                    </w14:schemeClr>
                  </w14:solidFill>
                </w14:textFill>
              </w:rPr>
              <w:t>污染物</w:t>
            </w:r>
          </w:p>
        </w:tc>
        <w:tc>
          <w:tcPr>
            <w:tcW w:w="4586" w:type="dxa"/>
            <w:vAlign w:val="center"/>
          </w:tcPr>
          <w:p>
            <w:pPr>
              <w:spacing w:line="240" w:lineRule="atLeast"/>
              <w:jc w:val="center"/>
              <w:rPr>
                <w:rFonts w:asciiTheme="minorEastAsia" w:hAnsiTheme="minorEastAsia"/>
                <w:b/>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b/>
                <w:color w:val="0D0D0D" w:themeColor="text1" w:themeTint="F2"/>
                <w:szCs w:val="21"/>
                <w14:textFill>
                  <w14:solidFill>
                    <w14:schemeClr w14:val="tx1">
                      <w14:lumMod w14:val="95000"/>
                      <w14:lumOff w14:val="5000"/>
                    </w14:schemeClr>
                  </w14:solidFill>
                </w14:textFill>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2.927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3</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4</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6</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7</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0.2</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w:t>
            </w:r>
          </w:p>
        </w:tc>
        <w:tc>
          <w:tcPr>
            <w:tcW w:w="25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TVOCs (合计)</w:t>
            </w:r>
          </w:p>
        </w:tc>
        <w:tc>
          <w:tcPr>
            <w:tcW w:w="4586"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1.264</w:t>
            </w:r>
          </w:p>
        </w:tc>
      </w:tr>
    </w:tbl>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（4）非正常工况下大气污染物排放量核算</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根据工程分析，工程非正常排放主要发生在燃烧废气处理设施出现故障，处理效率下降，非甲烷总烃、H</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S、苯并[a]芘等污染物排放高于正常工况；非正常排放工况排放量核算见表5.2-15。</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5.2-15   污染源非正常排放量核算表</w:t>
      </w:r>
    </w:p>
    <w:tbl>
      <w:tblPr>
        <w:tblStyle w:val="94"/>
        <w:tblW w:w="90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803"/>
        <w:gridCol w:w="1429"/>
        <w:gridCol w:w="1298"/>
        <w:gridCol w:w="1168"/>
        <w:gridCol w:w="1039"/>
        <w:gridCol w:w="909"/>
        <w:gridCol w:w="944"/>
        <w:gridCol w:w="10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437"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序号</w:t>
            </w:r>
          </w:p>
        </w:tc>
        <w:tc>
          <w:tcPr>
            <w:tcW w:w="803"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污染源</w:t>
            </w:r>
          </w:p>
        </w:tc>
        <w:tc>
          <w:tcPr>
            <w:tcW w:w="1429"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非正常排放原因</w:t>
            </w:r>
          </w:p>
        </w:tc>
        <w:tc>
          <w:tcPr>
            <w:tcW w:w="1298"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污染物</w:t>
            </w:r>
          </w:p>
        </w:tc>
        <w:tc>
          <w:tcPr>
            <w:tcW w:w="1168"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非正常排放浓度（mg/m</w:t>
            </w:r>
            <w:r>
              <w:rPr>
                <w:rFonts w:hint="eastAsia" w:asciiTheme="minorEastAsia" w:hAnsiTheme="minorEastAsia"/>
                <w:b/>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1039"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非正常排放速率（g/h）</w:t>
            </w:r>
          </w:p>
        </w:tc>
        <w:tc>
          <w:tcPr>
            <w:tcW w:w="909"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单次持续时间（h）</w:t>
            </w:r>
          </w:p>
        </w:tc>
        <w:tc>
          <w:tcPr>
            <w:tcW w:w="944"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年发生频次（次）</w:t>
            </w:r>
          </w:p>
        </w:tc>
        <w:tc>
          <w:tcPr>
            <w:tcW w:w="1022"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应对</w:t>
            </w:r>
          </w:p>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3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803"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Y1，燃烧废气处理设施排气筒</w:t>
            </w:r>
          </w:p>
        </w:tc>
        <w:tc>
          <w:tcPr>
            <w:tcW w:w="1429"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工艺废气处理装置出现故障，未及时更换吸附饱和活性炭</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 xml:space="preserve"> </w:t>
            </w:r>
          </w:p>
        </w:tc>
        <w:tc>
          <w:tcPr>
            <w:tcW w:w="12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16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7.19</w:t>
            </w:r>
          </w:p>
        </w:tc>
        <w:tc>
          <w:tcPr>
            <w:tcW w:w="10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0.144</w:t>
            </w:r>
          </w:p>
        </w:tc>
        <w:tc>
          <w:tcPr>
            <w:tcW w:w="909"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2.0</w:t>
            </w:r>
          </w:p>
        </w:tc>
        <w:tc>
          <w:tcPr>
            <w:tcW w:w="944"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1-2</w:t>
            </w:r>
          </w:p>
        </w:tc>
        <w:tc>
          <w:tcPr>
            <w:tcW w:w="1022"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紧急抢修设施及停止生产等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3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2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116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27.77</w:t>
            </w:r>
          </w:p>
        </w:tc>
        <w:tc>
          <w:tcPr>
            <w:tcW w:w="10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0.555</w:t>
            </w:r>
          </w:p>
        </w:tc>
        <w:tc>
          <w:tcPr>
            <w:tcW w:w="90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944"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02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3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2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16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27.5</w:t>
            </w:r>
          </w:p>
        </w:tc>
        <w:tc>
          <w:tcPr>
            <w:tcW w:w="10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0.55</w:t>
            </w:r>
          </w:p>
        </w:tc>
        <w:tc>
          <w:tcPr>
            <w:tcW w:w="90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944"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02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3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2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16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1.05</w:t>
            </w:r>
          </w:p>
        </w:tc>
        <w:tc>
          <w:tcPr>
            <w:tcW w:w="10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0.021</w:t>
            </w:r>
          </w:p>
        </w:tc>
        <w:tc>
          <w:tcPr>
            <w:tcW w:w="90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944"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02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3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2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w:t>
            </w:r>
          </w:p>
        </w:tc>
        <w:tc>
          <w:tcPr>
            <w:tcW w:w="116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c>
          <w:tcPr>
            <w:tcW w:w="10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0.1</w:t>
            </w:r>
          </w:p>
        </w:tc>
        <w:tc>
          <w:tcPr>
            <w:tcW w:w="90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944"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02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3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2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16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26</w:t>
            </w:r>
          </w:p>
        </w:tc>
        <w:tc>
          <w:tcPr>
            <w:tcW w:w="10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0.52</w:t>
            </w:r>
          </w:p>
        </w:tc>
        <w:tc>
          <w:tcPr>
            <w:tcW w:w="90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944"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02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43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0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2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168"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0.28</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p>
        </w:tc>
        <w:tc>
          <w:tcPr>
            <w:tcW w:w="10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5.6</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tc>
        <w:tc>
          <w:tcPr>
            <w:tcW w:w="90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944"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02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r>
    </w:tbl>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5.2.1.9监测计划</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按照《环境影响评价技术导则大气环境》（HJ 2.2-2018）的规定，本项目运营期大气污染源及环境空气质量监测计划见下表5.2-16-5.2-18。</w:t>
      </w:r>
    </w:p>
    <w:p>
      <w:pPr>
        <w:spacing w:line="360" w:lineRule="auto"/>
        <w:ind w:firstLine="48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表5.2-16    有组织废气监测方案</w:t>
      </w:r>
    </w:p>
    <w:tbl>
      <w:tblPr>
        <w:tblStyle w:val="94"/>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2410"/>
        <w:gridCol w:w="1559"/>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监测点位</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监测指标</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监测频次</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燃烧废气处理装置排气筒（1#）</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1次/季度</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《燃煤电厂大气污染物排放标准》（DB41/1424-2017）表1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1次/季度</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《恶臭污染物排放标准》（GB14554-93）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w:t>
            </w:r>
          </w:p>
        </w:tc>
        <w:tc>
          <w:tcPr>
            <w:tcW w:w="1559"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1次/季度</w:t>
            </w:r>
          </w:p>
        </w:tc>
        <w:tc>
          <w:tcPr>
            <w:tcW w:w="3260"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《工业炉窑大气污染物排放标准》（DB41/1066-2020）表2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烟气黑度</w:t>
            </w: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3260"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1次/季度</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豫环攻坚办[2017]162号排放建议值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52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1次/季度</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《石油化学工业污染物排放标准》（GB31571-2015）表6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车间碳黑尘袋除尘排气筒</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1次/半年</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《大气污染物综合排放标准》（GB16297-1996）表2</w:t>
            </w:r>
          </w:p>
        </w:tc>
      </w:tr>
    </w:tbl>
    <w:p>
      <w:pPr>
        <w:spacing w:line="360" w:lineRule="auto"/>
        <w:ind w:firstLine="48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表5.2-17    无组织废气监测方案</w:t>
      </w:r>
    </w:p>
    <w:tbl>
      <w:tblPr>
        <w:tblStyle w:val="94"/>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2410"/>
        <w:gridCol w:w="1559"/>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监测点位</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监测指标</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监测频次</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6"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厂界外1m</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碳黑尘</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1次/半年</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《大气污染物综合排放标准》（GB16297-1996）表2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2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1次/半年</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豫环攻坚办[2017]162号排放建议值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2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硫化氢</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1次/半年</w:t>
            </w:r>
          </w:p>
        </w:tc>
        <w:tc>
          <w:tcPr>
            <w:tcW w:w="326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《恶臭污染物排放标准》（GB14554-93）</w:t>
            </w:r>
          </w:p>
        </w:tc>
      </w:tr>
    </w:tbl>
    <w:p>
      <w:pPr>
        <w:spacing w:line="360" w:lineRule="auto"/>
        <w:ind w:firstLine="48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表5.2-18    环境质量监测方案</w:t>
      </w:r>
    </w:p>
    <w:tbl>
      <w:tblPr>
        <w:tblStyle w:val="94"/>
        <w:tblW w:w="8405"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1876"/>
        <w:gridCol w:w="1134"/>
        <w:gridCol w:w="4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24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监测点位</w:t>
            </w:r>
          </w:p>
        </w:tc>
        <w:tc>
          <w:tcPr>
            <w:tcW w:w="187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监测指标</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监测频次</w:t>
            </w:r>
          </w:p>
        </w:tc>
        <w:tc>
          <w:tcPr>
            <w:tcW w:w="41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1243"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项目区上风向200m、下风向500m各1个监测点</w:t>
            </w:r>
          </w:p>
        </w:tc>
        <w:tc>
          <w:tcPr>
            <w:tcW w:w="187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、NOx、苯并[a]芘</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1次/年</w:t>
            </w:r>
          </w:p>
        </w:tc>
        <w:tc>
          <w:tcPr>
            <w:tcW w:w="41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《环境空气质量标准》（GB3095-2012）表1中二级标准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91" w:hRule="atLeast"/>
        </w:trPr>
        <w:tc>
          <w:tcPr>
            <w:tcW w:w="124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87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硫化氢、氨</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1次/年</w:t>
            </w:r>
          </w:p>
        </w:tc>
        <w:tc>
          <w:tcPr>
            <w:tcW w:w="41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《环境影响评价技术导则  大气环境》（HJ2.2-2018）附录D中表D.1质量浓度参考值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7" w:hRule="atLeast"/>
        </w:trPr>
        <w:tc>
          <w:tcPr>
            <w:tcW w:w="1243"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87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1次/年</w:t>
            </w:r>
          </w:p>
        </w:tc>
        <w:tc>
          <w:tcPr>
            <w:tcW w:w="415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《大气污染物综合排放标准详解》短期浓度参考值</w:t>
            </w:r>
          </w:p>
        </w:tc>
      </w:tr>
    </w:tbl>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5.2.1.10大气环境影响评价结论</w:t>
      </w:r>
    </w:p>
    <w:p>
      <w:pPr>
        <w:spacing w:line="360" w:lineRule="auto"/>
        <w:ind w:firstLine="480" w:firstLineChars="20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t>1</w:t>
      </w: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）非达标区环境可接受性</w:t>
      </w:r>
    </w:p>
    <w:p>
      <w:pPr>
        <w:spacing w:line="360" w:lineRule="auto"/>
        <w:ind w:firstLine="480" w:firstLineChars="20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根据《环境影响评价技术导则大气环境》（HJ 2.2-2018）ARESCREEN 估算模式计算结果可知，正常及非正常工况下，项目各大气污染源污染物排放小时浓度最大占标率因子为NO</w:t>
      </w:r>
      <w:r>
        <w:rPr>
          <w:rFonts w:hint="eastAsia"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，Pmax 为4.8%，满足≤100%的要求；大气污染物排放对周边环境影响较小，环境影响可以接受。</w:t>
      </w:r>
    </w:p>
    <w:p>
      <w:pPr>
        <w:spacing w:line="360" w:lineRule="auto"/>
        <w:ind w:firstLine="480" w:firstLineChars="20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事故性排放下，项目燃烧废气处理设施排气筒污染物排放对环境空气质量小时浓度贡献值最大占标率为24.01%；与正常工况比较，污染物排放对大气环境的影响程度明显增加。本次评价要求，企业在日常生产运行过程中，必须加强生产设备及废气治理设施运行管理，严格按照规范程序作业，及时检查检修维护工艺废气处理设施，确保处于良好运行状态；避免出现非正常排放情况，同时，应制定切实可行的废气事故排放应急处置预案，及时排除故障，减轻事故排放对周边大气环境的影响。</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）防护距离设置</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本项目无需设置大气环境防护距离。</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依据《制定地方大气污染物排放标准的技术方法》(GB/T3840-1991)卫生防护距离确定方法，项目</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设置</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卫生防护距离为</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东厂界80m，南厂界80m，西厂界30m，北厂界30m。</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设防范围内无</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现状环境</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敏感点存在</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评价</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建议防护距离范围内不得规划建设新的环境敏感点。</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）污染物排放量核算结果</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根据总量控制要求，评价建议项目运营期大气污染物排放总量控制指标为：颗粒物2.927t/a，SO</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4.0t/a、NOx 3.96t/a、VOCs 1.264t/a；其他特征污染物为：硫化氢0.046t/a，氨0.72t/a，苯并[a]芘</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0.2×10</w:t>
      </w:r>
      <w:r>
        <w:rPr>
          <w:rFonts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-4</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t/a。</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4</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）大气环境影响评价自查表</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本次大气环境影响评价完成后，对大气环境影响评价主要内容与结论进行自查，详见下表5.2-19。</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5.2-19   大气环境影响评价自查表</w:t>
      </w:r>
    </w:p>
    <w:tbl>
      <w:tblPr>
        <w:tblStyle w:val="94"/>
        <w:tblW w:w="93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998"/>
        <w:gridCol w:w="806"/>
        <w:gridCol w:w="427"/>
        <w:gridCol w:w="169"/>
        <w:gridCol w:w="143"/>
        <w:gridCol w:w="426"/>
        <w:gridCol w:w="281"/>
        <w:gridCol w:w="664"/>
        <w:gridCol w:w="47"/>
        <w:gridCol w:w="709"/>
        <w:gridCol w:w="445"/>
        <w:gridCol w:w="263"/>
        <w:gridCol w:w="424"/>
        <w:gridCol w:w="285"/>
        <w:gridCol w:w="478"/>
        <w:gridCol w:w="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952" w:type="dxa"/>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工作内容</w:t>
            </w:r>
          </w:p>
        </w:tc>
        <w:tc>
          <w:tcPr>
            <w:tcW w:w="6409" w:type="dxa"/>
            <w:gridSpan w:val="15"/>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54"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评价等级及范围</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评价等级</w:t>
            </w:r>
          </w:p>
        </w:tc>
        <w:tc>
          <w:tcPr>
            <w:tcW w:w="1971"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一级□</w:t>
            </w:r>
          </w:p>
        </w:tc>
        <w:tc>
          <w:tcPr>
            <w:tcW w:w="2146"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二级</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2292"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评价范围</w:t>
            </w:r>
          </w:p>
        </w:tc>
        <w:tc>
          <w:tcPr>
            <w:tcW w:w="1971"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边长=50km□</w:t>
            </w:r>
          </w:p>
        </w:tc>
        <w:tc>
          <w:tcPr>
            <w:tcW w:w="2146"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边长=5~50km</w:t>
            </w:r>
            <w:bookmarkStart w:id="72" w:name="OLE_LINK3"/>
            <w:bookmarkStart w:id="73" w:name="OLE_LINK4"/>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bookmarkEnd w:id="72"/>
            <w:bookmarkEnd w:id="73"/>
          </w:p>
        </w:tc>
        <w:tc>
          <w:tcPr>
            <w:tcW w:w="2292"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边长=5km</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54"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评价因子</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排放量</w:t>
            </w:r>
          </w:p>
        </w:tc>
        <w:tc>
          <w:tcPr>
            <w:tcW w:w="1971"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≥2000t/a□</w:t>
            </w:r>
          </w:p>
        </w:tc>
        <w:tc>
          <w:tcPr>
            <w:tcW w:w="2146"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500~2000t/a□</w:t>
            </w:r>
          </w:p>
        </w:tc>
        <w:tc>
          <w:tcPr>
            <w:tcW w:w="2292"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评价因子</w:t>
            </w:r>
          </w:p>
        </w:tc>
        <w:tc>
          <w:tcPr>
            <w:tcW w:w="4380" w:type="dxa"/>
            <w:gridSpan w:val="11"/>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基本污染物（PM</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10</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、PM</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2.5</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、CO、O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其他污染物（TSP、非甲烷总烃、H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S、氨、苯并[a]芘等）</w:t>
            </w:r>
          </w:p>
        </w:tc>
        <w:tc>
          <w:tcPr>
            <w:tcW w:w="2029"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包括二次PM2.5□</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不包括二次PM2.5</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5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评价标准</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评价标准</w:t>
            </w:r>
          </w:p>
        </w:tc>
        <w:tc>
          <w:tcPr>
            <w:tcW w:w="1971"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国家标准</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2409"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地方标准□</w:t>
            </w:r>
          </w:p>
        </w:tc>
        <w:tc>
          <w:tcPr>
            <w:tcW w:w="709"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附录D</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1320"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其他标准</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54"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现状评价</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环境功能区</w:t>
            </w:r>
          </w:p>
        </w:tc>
        <w:tc>
          <w:tcPr>
            <w:tcW w:w="1971"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一类区□</w:t>
            </w:r>
          </w:p>
        </w:tc>
        <w:tc>
          <w:tcPr>
            <w:tcW w:w="2146"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二类区</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2292"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评价基准年</w:t>
            </w:r>
          </w:p>
        </w:tc>
        <w:tc>
          <w:tcPr>
            <w:tcW w:w="6409" w:type="dxa"/>
            <w:gridSpan w:val="1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（2018）年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环境空气质量现状调查数据里来源</w:t>
            </w:r>
          </w:p>
        </w:tc>
        <w:tc>
          <w:tcPr>
            <w:tcW w:w="1402"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长期例行监测数据□</w:t>
            </w:r>
          </w:p>
        </w:tc>
        <w:tc>
          <w:tcPr>
            <w:tcW w:w="2978" w:type="dxa"/>
            <w:gridSpan w:val="8"/>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主管部门发布的数据</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2029"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现状补充监测</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现状评价</w:t>
            </w:r>
          </w:p>
        </w:tc>
        <w:tc>
          <w:tcPr>
            <w:tcW w:w="2916" w:type="dxa"/>
            <w:gridSpan w:val="7"/>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达标区□</w:t>
            </w:r>
          </w:p>
        </w:tc>
        <w:tc>
          <w:tcPr>
            <w:tcW w:w="3493" w:type="dxa"/>
            <w:gridSpan w:val="8"/>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不达标区</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95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污染源</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调查</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调查内容</w:t>
            </w:r>
          </w:p>
        </w:tc>
        <w:tc>
          <w:tcPr>
            <w:tcW w:w="2252"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本项目正常排放源</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本项目非正常排放源</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现有污染源□</w:t>
            </w:r>
          </w:p>
        </w:tc>
        <w:tc>
          <w:tcPr>
            <w:tcW w:w="142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拟替代的污染源□</w:t>
            </w:r>
          </w:p>
        </w:tc>
        <w:tc>
          <w:tcPr>
            <w:tcW w:w="1417"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其他在建、拟建项目污染源□</w:t>
            </w:r>
          </w:p>
        </w:tc>
        <w:tc>
          <w:tcPr>
            <w:tcW w:w="1320"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954"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大气环境影响预测与评价</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预测模型</w:t>
            </w:r>
          </w:p>
        </w:tc>
        <w:tc>
          <w:tcPr>
            <w:tcW w:w="80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AERMOD</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596"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ADMS□</w:t>
            </w:r>
          </w:p>
        </w:tc>
        <w:tc>
          <w:tcPr>
            <w:tcW w:w="85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AUSTA2000□</w:t>
            </w:r>
          </w:p>
        </w:tc>
        <w:tc>
          <w:tcPr>
            <w:tcW w:w="142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EDMS/AEDT□</w:t>
            </w:r>
          </w:p>
        </w:tc>
        <w:tc>
          <w:tcPr>
            <w:tcW w:w="70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CALPUFF□</w:t>
            </w:r>
          </w:p>
        </w:tc>
        <w:tc>
          <w:tcPr>
            <w:tcW w:w="1187"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网格模型□</w:t>
            </w:r>
          </w:p>
        </w:tc>
        <w:tc>
          <w:tcPr>
            <w:tcW w:w="8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预测范围</w:t>
            </w:r>
          </w:p>
        </w:tc>
        <w:tc>
          <w:tcPr>
            <w:tcW w:w="1971"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边长≥50km□</w:t>
            </w:r>
          </w:p>
        </w:tc>
        <w:tc>
          <w:tcPr>
            <w:tcW w:w="2409"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边长=5~50km□</w:t>
            </w:r>
          </w:p>
        </w:tc>
        <w:tc>
          <w:tcPr>
            <w:tcW w:w="2029"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边长=5km</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预测因子</w:t>
            </w:r>
          </w:p>
        </w:tc>
        <w:tc>
          <w:tcPr>
            <w:tcW w:w="3672"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预测因子（颗粒物、SO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、NOx、非甲烷总烃、H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S、氨、苯并[a]芘等）</w:t>
            </w:r>
          </w:p>
        </w:tc>
        <w:tc>
          <w:tcPr>
            <w:tcW w:w="2737"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包括二次PM2.5□</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不包括二次PM2.5</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正常排放短期浓度贡献值</w:t>
            </w:r>
          </w:p>
        </w:tc>
        <w:tc>
          <w:tcPr>
            <w:tcW w:w="3672"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本项目</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最大占标率≤100%</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2737"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本项目</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最大占标率＞100%□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正常排放年均浓度贡献值</w:t>
            </w:r>
          </w:p>
        </w:tc>
        <w:tc>
          <w:tcPr>
            <w:tcW w:w="1233"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一类区</w:t>
            </w:r>
          </w:p>
        </w:tc>
        <w:tc>
          <w:tcPr>
            <w:tcW w:w="2439" w:type="dxa"/>
            <w:gridSpan w:val="7"/>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本项目</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最大占标率≤10%□</w:t>
            </w:r>
          </w:p>
        </w:tc>
        <w:tc>
          <w:tcPr>
            <w:tcW w:w="2737"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本项目</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最大占标率＞10%□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33"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二类区</w:t>
            </w:r>
          </w:p>
        </w:tc>
        <w:tc>
          <w:tcPr>
            <w:tcW w:w="2439" w:type="dxa"/>
            <w:gridSpan w:val="7"/>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本项目</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最大占标率≤30%□</w:t>
            </w:r>
          </w:p>
        </w:tc>
        <w:tc>
          <w:tcPr>
            <w:tcW w:w="2737"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本项目</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最大占标率＞30%□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非正常排放1h浓度贡献值</w:t>
            </w:r>
          </w:p>
        </w:tc>
        <w:tc>
          <w:tcPr>
            <w:tcW w:w="1545"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非正常持续时长（0.5）h</w:t>
            </w:r>
          </w:p>
        </w:tc>
        <w:tc>
          <w:tcPr>
            <w:tcW w:w="2127"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非正常</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占标率≤100%</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2737"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非正常</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保证率日平均浓度和年平均浓度叠加值</w:t>
            </w:r>
          </w:p>
        </w:tc>
        <w:tc>
          <w:tcPr>
            <w:tcW w:w="3672"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叠加</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达标□</w:t>
            </w:r>
          </w:p>
        </w:tc>
        <w:tc>
          <w:tcPr>
            <w:tcW w:w="2737"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叠加</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区域环境质量的整体变化情况</w:t>
            </w:r>
          </w:p>
        </w:tc>
        <w:tc>
          <w:tcPr>
            <w:tcW w:w="3672"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k≤-20%□</w:t>
            </w:r>
          </w:p>
        </w:tc>
        <w:tc>
          <w:tcPr>
            <w:tcW w:w="2737" w:type="dxa"/>
            <w:gridSpan w:val="6"/>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K</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954"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环境监测</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计划</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污染源监测</w:t>
            </w:r>
          </w:p>
        </w:tc>
        <w:tc>
          <w:tcPr>
            <w:tcW w:w="3672"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监测因子：（</w:t>
            </w:r>
            <w:r>
              <w:rPr>
                <w:rFonts w:hint="eastAsia" w:cs="宋体" w:asciiTheme="minorEastAsia" w:hAnsiTheme="minorEastAsia"/>
                <w:color w:val="0D0D0D" w:themeColor="text1" w:themeTint="F2"/>
                <w:kern w:val="0"/>
                <w:sz w:val="18"/>
                <w:szCs w:val="18"/>
                <w14:textFill>
                  <w14:solidFill>
                    <w14:schemeClr w14:val="tx1">
                      <w14:lumMod w14:val="95000"/>
                      <w14:lumOff w14:val="5000"/>
                    </w14:schemeClr>
                  </w14:solidFill>
                </w14:textFill>
              </w:rPr>
              <w:t>颗粒物</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、碳黑尘、SO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、NOx、非甲烷总烃、H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S、氨、苯并[a]芘、二噁英等）</w:t>
            </w:r>
          </w:p>
        </w:tc>
        <w:tc>
          <w:tcPr>
            <w:tcW w:w="1895"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有组织废气监测</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无组织废气监测</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8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环境质量监测</w:t>
            </w:r>
          </w:p>
        </w:tc>
        <w:tc>
          <w:tcPr>
            <w:tcW w:w="3672"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监测因子：（颗粒物、SO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、NOx、非甲烷总烃、H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S、氨、苯并[a]芘等）</w:t>
            </w:r>
          </w:p>
        </w:tc>
        <w:tc>
          <w:tcPr>
            <w:tcW w:w="1895"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监测点位数（2）</w:t>
            </w:r>
          </w:p>
        </w:tc>
        <w:tc>
          <w:tcPr>
            <w:tcW w:w="84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54"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评价结论</w:t>
            </w: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环境影响</w:t>
            </w:r>
          </w:p>
        </w:tc>
        <w:tc>
          <w:tcPr>
            <w:tcW w:w="6409" w:type="dxa"/>
            <w:gridSpan w:val="1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可以接受</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 xml:space="preserve">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大气环境防护距离</w:t>
            </w:r>
          </w:p>
        </w:tc>
        <w:tc>
          <w:tcPr>
            <w:tcW w:w="6409" w:type="dxa"/>
            <w:gridSpan w:val="1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距各厂界最远（0）m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5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污染源年排放量</w:t>
            </w:r>
          </w:p>
        </w:tc>
        <w:tc>
          <w:tcPr>
            <w:tcW w:w="1402"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：（4.0）t/a</w:t>
            </w:r>
          </w:p>
        </w:tc>
        <w:tc>
          <w:tcPr>
            <w:tcW w:w="1561"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NOx：（3.96）t/a</w:t>
            </w:r>
          </w:p>
        </w:tc>
        <w:tc>
          <w:tcPr>
            <w:tcW w:w="1841"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颗粒物：（2.927）t/a</w:t>
            </w:r>
          </w:p>
        </w:tc>
        <w:tc>
          <w:tcPr>
            <w:tcW w:w="1605"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VOCs（1.264）t/a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9361" w:type="dxa"/>
            <w:gridSpan w:val="17"/>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注：“□”为勾选项，填“√”；“（  ）”为内容填写</w:t>
            </w:r>
          </w:p>
        </w:tc>
      </w:tr>
    </w:tbl>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5.2.2 地表水环境影响分析</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《环境影响评价技术导则 地面水环境》(HJ2.3-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2018</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，本次地表水环境影响评价为水污染影响型。</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5.2.2.1评价等级及内容</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水污染影响型建设项目根据排放方式和废水排放量划分评价等级，本次项目生产废水及生活污水经厂区一体化污水处理装置处理后，通过集聚区污水管网排放西平县城市排放污水厂处理。</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根据导则</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HJ2.3-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2018表1可知，本次项目地表水评价等级为</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三级B</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，仅进行水污染控制和水环境影响减缓措施有效性评价。</w:t>
      </w:r>
    </w:p>
    <w:p>
      <w:pPr>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5.2.2.2 地表水环境影响分析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（1）水污染控制措施和水环境影响减缓措施有效性分析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工程厂区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采用雨污</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、污污分流、清污分流排水</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制</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其中，冷却系统排放少量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作为清下水，可直接通过厂区排污口排放集聚区污水管网系统；回收裂解油系统含油废水及不凝气水封装置检修废水雾化后进入余气燃烧装置焚烧处理；厂区洗车废水经沉淀后全部循环利用，不外排。燃烧废气处理系统排放废水、厂区初期雨水分别经隔油预处理后，一同隔油化粪池预处理后的生活污水进入厂区一体化污水处理设施处理达标后，通过污水管网排入城市污水处理厂进一步处理后排放地表水体</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红澍河</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燃烧废气处理系统排放废水、厂区生产区初期雨水及生活污水产生总量8190m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/a，平均约27.3m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经预处理后进入厂区一体化污水处理系统处理后，排放西平县第三污水处理厂处理。一体化处理设施设计处理规模为40m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/d，处理工艺为“调节池+气浮池+接触氧化池+絮凝沉淀池+二沉池+清水池+达标排放”。</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根据工程分析，项目</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废水经</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厂区一体化污水处理设施</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处理后</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，各类污染物排放浓度均可</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能够满足《污水综合排放标准》（GB8978-1996）表4三级标准及西平县第三污水处理厂进水水质要求</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，经污水厂处理后，排放废水达到一级A标准，排放地表水体；项目废水不直接进入地表水体，废水排放量较小，对红澍河水环境影响不大</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因此，评价认为项目水污染控制措施控制措施和水环境影响减缓措施比较有效。</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（2）项目废水排放污水厂可行性分析</w:t>
      </w:r>
    </w:p>
    <w:p>
      <w:pPr>
        <w:adjustRightInd w:val="0"/>
        <w:snapToGrid w:val="0"/>
        <w:spacing w:line="360" w:lineRule="auto"/>
        <w:ind w:firstLine="720" w:firstLineChars="3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①</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从项目厂址上分析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西平县第三污水处理厂建设在县城东南郊，在红澍河北岸、原油粘厂北侧、紧靠西平――重渠公路东侧的区域，</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设计</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规模为5万m</w:t>
      </w:r>
      <w:r>
        <w:rPr>
          <w:rFonts w:cs="Times New Roman" w:asciiTheme="minorEastAsia" w:hAnsiTheme="minorEastAsia"/>
          <w:color w:val="0D0D0D" w:themeColor="text1" w:themeTint="F2"/>
          <w:sz w:val="24"/>
          <w:szCs w:val="20"/>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/d，服务范围为洪河以东的东城区全部的工业废水和生活污水，即东至东环路、南到红澍河以南延伸500m、西到107国道、北面以洪河为界。</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本项目选址位于西平县第三污水处理厂</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南侧约850m处</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，在</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污水厂</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收水范围内之内</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，周边污水收集管网建设比较完善，废水可以顺利进入污水厂处理</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②</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从水量上分析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西平县</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第三</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污水处理厂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处理规模为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万m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次</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工程外排废水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最大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量为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27.3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/d，仅占污水处理厂总处理水量的</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0.11</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%，污水处理厂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处理能力能够满足</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排放</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处理需求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③</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从水质上分析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本项目外排废水水质与</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西平县第三污水处理厂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进水水质及《污水综合排放标准》表4三级标准对比情况见表5.2-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20</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排放</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水质与污水厂进水控制标准对比表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1398"/>
        <w:gridCol w:w="1761"/>
        <w:gridCol w:w="1393"/>
        <w:gridCol w:w="1606"/>
        <w:gridCol w:w="1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3" w:type="dxa"/>
            <w:gridSpan w:val="3"/>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项目排水情况</w:t>
            </w:r>
          </w:p>
        </w:tc>
        <w:tc>
          <w:tcPr>
            <w:tcW w:w="2999" w:type="dxa"/>
            <w:gridSpan w:val="2"/>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污水厂进水控制要求</w:t>
            </w:r>
          </w:p>
        </w:tc>
        <w:tc>
          <w:tcPr>
            <w:tcW w:w="1030" w:type="dxa"/>
            <w:vMerge w:val="restart"/>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满足情况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废水排放量（m</w:t>
            </w:r>
            <w:r>
              <w:rPr>
                <w:rFonts w:hint="eastAsia" w:cs="Times New Roman" w:asciiTheme="minorEastAsia" w:hAnsiTheme="minorEastAsia" w:eastAsiaTheme="minorEastAsia"/>
                <w:bCs/>
                <w:color w:val="0D0D0D" w:themeColor="text1" w:themeTint="F2"/>
                <w:kern w:val="0"/>
                <w:sz w:val="21"/>
                <w:szCs w:val="21"/>
                <w:vertAlign w:val="superscript"/>
                <w14:textFill>
                  <w14:solidFill>
                    <w14:schemeClr w14:val="tx1">
                      <w14:lumMod w14:val="95000"/>
                      <w14:lumOff w14:val="5000"/>
                    </w14:schemeClr>
                  </w14:solidFill>
                </w14:textFill>
              </w:rPr>
              <w:t>3</w:t>
            </w: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/d）</w:t>
            </w:r>
          </w:p>
        </w:tc>
        <w:tc>
          <w:tcPr>
            <w:tcW w:w="1398"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污染物</w:t>
            </w:r>
          </w:p>
        </w:tc>
        <w:tc>
          <w:tcPr>
            <w:tcW w:w="1761"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排放浓度（mg/L）</w:t>
            </w:r>
          </w:p>
        </w:tc>
        <w:tc>
          <w:tcPr>
            <w:tcW w:w="1393"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处理规模（m</w:t>
            </w:r>
            <w:r>
              <w:rPr>
                <w:rFonts w:hint="eastAsia" w:cs="Times New Roman" w:asciiTheme="minorEastAsia" w:hAnsiTheme="minorEastAsia" w:eastAsiaTheme="minorEastAsia"/>
                <w:bCs/>
                <w:color w:val="0D0D0D" w:themeColor="text1" w:themeTint="F2"/>
                <w:kern w:val="0"/>
                <w:sz w:val="21"/>
                <w:szCs w:val="21"/>
                <w:vertAlign w:val="superscript"/>
                <w14:textFill>
                  <w14:solidFill>
                    <w14:schemeClr w14:val="tx1">
                      <w14:lumMod w14:val="95000"/>
                      <w14:lumOff w14:val="5000"/>
                    </w14:schemeClr>
                  </w14:solidFill>
                </w14:textFill>
              </w:rPr>
              <w:t>3</w:t>
            </w: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/d）</w:t>
            </w:r>
          </w:p>
        </w:tc>
        <w:tc>
          <w:tcPr>
            <w:tcW w:w="1606"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进水控制浓度（mg/L）</w:t>
            </w:r>
          </w:p>
        </w:tc>
        <w:tc>
          <w:tcPr>
            <w:tcW w:w="1030" w:type="dxa"/>
            <w:vMerge w:val="continue"/>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27.3</w:t>
            </w: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COD</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88.03 </w:t>
            </w:r>
          </w:p>
        </w:tc>
        <w:tc>
          <w:tcPr>
            <w:tcW w:w="1393" w:type="dxa"/>
            <w:vMerge w:val="restart"/>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25000</w:t>
            </w: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350</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BOD</w:t>
            </w:r>
            <w:r>
              <w:rPr>
                <w:rFonts w:hint="eastAsia" w:cs="Times New Roman" w:asciiTheme="minorEastAsia" w:hAnsiTheme="minorEastAsia" w:eastAsiaTheme="minorEastAsia"/>
                <w:color w:val="0D0D0D" w:themeColor="text1" w:themeTint="F2"/>
                <w:kern w:val="0"/>
                <w:sz w:val="21"/>
                <w:szCs w:val="21"/>
                <w:vertAlign w:val="subscript"/>
                <w:lang w:bidi="ar"/>
                <w14:textFill>
                  <w14:solidFill>
                    <w14:schemeClr w14:val="tx1">
                      <w14:lumMod w14:val="95000"/>
                      <w14:lumOff w14:val="5000"/>
                    </w14:schemeClr>
                  </w14:solidFill>
                </w14:textFill>
              </w:rPr>
              <w:t>5</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56.9 </w:t>
            </w:r>
          </w:p>
        </w:tc>
        <w:tc>
          <w:tcPr>
            <w:tcW w:w="13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150</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氨氮</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12.45 </w:t>
            </w:r>
          </w:p>
        </w:tc>
        <w:tc>
          <w:tcPr>
            <w:tcW w:w="13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35</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总磷</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0.24 </w:t>
            </w:r>
          </w:p>
        </w:tc>
        <w:tc>
          <w:tcPr>
            <w:tcW w:w="13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210</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SS</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39.19 </w:t>
            </w:r>
          </w:p>
        </w:tc>
        <w:tc>
          <w:tcPr>
            <w:tcW w:w="13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30</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硫化物</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1.47 </w:t>
            </w:r>
          </w:p>
        </w:tc>
        <w:tc>
          <w:tcPr>
            <w:tcW w:w="13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石油类</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6.11 </w:t>
            </w:r>
          </w:p>
        </w:tc>
        <w:tc>
          <w:tcPr>
            <w:tcW w:w="13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4"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398"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动植物油</w:t>
            </w:r>
          </w:p>
        </w:tc>
        <w:tc>
          <w:tcPr>
            <w:tcW w:w="1761" w:type="dxa"/>
            <w:vAlign w:val="bottom"/>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 xml:space="preserve">3.17 </w:t>
            </w:r>
          </w:p>
        </w:tc>
        <w:tc>
          <w:tcPr>
            <w:tcW w:w="1393" w:type="dxa"/>
            <w:vMerge w:val="continue"/>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p>
        </w:tc>
        <w:tc>
          <w:tcPr>
            <w:tcW w:w="1606" w:type="dxa"/>
            <w:vAlign w:val="center"/>
          </w:tcPr>
          <w:p>
            <w:pPr>
              <w:widowControl/>
              <w:adjustRightInd w:val="0"/>
              <w:snapToGrid w:val="0"/>
              <w:spacing w:line="240" w:lineRule="atLeast"/>
              <w:jc w:val="center"/>
              <w:rPr>
                <w:rFonts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kern w:val="0"/>
                <w:sz w:val="21"/>
                <w:szCs w:val="21"/>
                <w:lang w:bidi="ar"/>
                <w14:textFill>
                  <w14:solidFill>
                    <w14:schemeClr w14:val="tx1">
                      <w14:lumMod w14:val="95000"/>
                      <w14:lumOff w14:val="5000"/>
                    </w14:schemeClr>
                  </w14:solidFill>
                </w14:textFill>
              </w:rPr>
              <w:t>100</w:t>
            </w:r>
          </w:p>
        </w:tc>
        <w:tc>
          <w:tcPr>
            <w:tcW w:w="1030" w:type="dxa"/>
            <w:vAlign w:val="center"/>
          </w:tcPr>
          <w:p>
            <w:pPr>
              <w:adjustRightInd w:val="0"/>
              <w:snapToGrid w:val="0"/>
              <w:spacing w:line="240" w:lineRule="atLeast"/>
              <w:jc w:val="center"/>
              <w:rPr>
                <w:rFonts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pPr>
            <w:r>
              <w:rPr>
                <w:rFonts w:hint="eastAsia" w:cs="Times New Roman" w:asciiTheme="minorEastAsia" w:hAnsiTheme="minorEastAsia" w:eastAsiaTheme="minorEastAsia"/>
                <w:bCs/>
                <w:color w:val="0D0D0D" w:themeColor="text1" w:themeTint="F2"/>
                <w:kern w:val="0"/>
                <w:sz w:val="21"/>
                <w:szCs w:val="21"/>
                <w14:textFill>
                  <w14:solidFill>
                    <w14:schemeClr w14:val="tx1">
                      <w14:lumMod w14:val="95000"/>
                      <w14:lumOff w14:val="5000"/>
                    </w14:schemeClr>
                  </w14:solidFill>
                </w14:textFill>
              </w:rPr>
              <w:t>满足</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由表5.2-</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20</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可以看出，项目外排废水水质各项指标均能够满足《污水综合排放标准》（GB8978-1996）表4三级标准及西平县第三污水处理厂进水水质要求。</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综上所述，</w:t>
      </w: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从项目厂址位置、水量和水质来看，本项目</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废水分别经</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厂区污水处理设施</w:t>
      </w:r>
      <w:r>
        <w:rPr>
          <w:rFonts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处理后</w:t>
      </w:r>
      <w:r>
        <w:rPr>
          <w:rFonts w:hint="eastAsia" w:cs="Times New Roman" w:asciiTheme="minorEastAsia" w:hAnsiTheme="minorEastAsia"/>
          <w:color w:val="0D0D0D" w:themeColor="text1" w:themeTint="F2"/>
          <w:kern w:val="0"/>
          <w:sz w:val="24"/>
          <w:szCs w:val="24"/>
          <w:u w:val="single"/>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进入西平县第三污水处理厂进行深度处理，</w:t>
      </w: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对</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污水处理厂</w:t>
      </w: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的</w:t>
      </w: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正常</w:t>
      </w: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运行</w:t>
      </w: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不会造成冲击</w:t>
      </w: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影响。</w:t>
      </w: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因此，评价认为项目废水</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处理达标后</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进入西平县第三污水处理厂进行处理</w:t>
      </w:r>
      <w:r>
        <w:rPr>
          <w:rFonts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是可行的。</w:t>
      </w:r>
    </w:p>
    <w:p>
      <w:pPr>
        <w:adjustRightInd w:val="0"/>
        <w:snapToGrid w:val="0"/>
        <w:spacing w:line="360" w:lineRule="auto"/>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5.2.2.3</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污染物排放量核算</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sectPr>
          <w:pgSz w:w="11906" w:h="16838"/>
          <w:pgMar w:top="1440" w:right="1800" w:bottom="1440" w:left="1800" w:header="851" w:footer="992" w:gutter="0"/>
          <w:cols w:space="425" w:num="1"/>
          <w:docGrid w:type="lines" w:linePitch="312" w:charSpace="0"/>
        </w:sectPr>
      </w:pP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项目营运期废水类别、污染物及污染治理设施和水污染物排放信息等情况详见下表5.2-21--5.2-25。</w:t>
      </w: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表5.2-21   废水类别、污染物及污染治理设施信息表</w:t>
      </w:r>
    </w:p>
    <w:tbl>
      <w:tblPr>
        <w:tblStyle w:val="9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701"/>
        <w:gridCol w:w="2268"/>
        <w:gridCol w:w="1275"/>
        <w:gridCol w:w="709"/>
        <w:gridCol w:w="992"/>
        <w:gridCol w:w="1418"/>
        <w:gridCol w:w="1843"/>
        <w:gridCol w:w="850"/>
        <w:gridCol w:w="1418"/>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34"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序号</w:t>
            </w:r>
          </w:p>
        </w:tc>
        <w:tc>
          <w:tcPr>
            <w:tcW w:w="1701"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废水类别</w:t>
            </w:r>
          </w:p>
        </w:tc>
        <w:tc>
          <w:tcPr>
            <w:tcW w:w="2268"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污染物种类</w:t>
            </w:r>
          </w:p>
        </w:tc>
        <w:tc>
          <w:tcPr>
            <w:tcW w:w="127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排放去向</w:t>
            </w:r>
          </w:p>
        </w:tc>
        <w:tc>
          <w:tcPr>
            <w:tcW w:w="709"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排放规律</w:t>
            </w:r>
          </w:p>
        </w:tc>
        <w:tc>
          <w:tcPr>
            <w:tcW w:w="425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污染治理设施</w:t>
            </w:r>
          </w:p>
        </w:tc>
        <w:tc>
          <w:tcPr>
            <w:tcW w:w="850"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排放口编号</w:t>
            </w:r>
          </w:p>
        </w:tc>
        <w:tc>
          <w:tcPr>
            <w:tcW w:w="1418"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排放口设置是否符合要求</w:t>
            </w:r>
          </w:p>
        </w:tc>
        <w:tc>
          <w:tcPr>
            <w:tcW w:w="1166"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34"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70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268"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70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设施编号</w:t>
            </w:r>
          </w:p>
        </w:tc>
        <w:tc>
          <w:tcPr>
            <w:tcW w:w="141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设施名称</w:t>
            </w:r>
          </w:p>
        </w:tc>
        <w:tc>
          <w:tcPr>
            <w:tcW w:w="184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治理设施工艺</w:t>
            </w:r>
          </w:p>
        </w:tc>
        <w:tc>
          <w:tcPr>
            <w:tcW w:w="850"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8"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6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70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生产、生活污水</w:t>
            </w:r>
          </w:p>
        </w:tc>
        <w:tc>
          <w:tcPr>
            <w:tcW w:w="226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COD、BOD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5</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、SS、氨氮、总磷、石油类、硫化物、动植物油等</w:t>
            </w:r>
          </w:p>
        </w:tc>
        <w:tc>
          <w:tcPr>
            <w:tcW w:w="127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进入城市污水处理厂</w:t>
            </w:r>
          </w:p>
        </w:tc>
        <w:tc>
          <w:tcPr>
            <w:tcW w:w="70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连续</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41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一体化污水处理设施</w:t>
            </w:r>
          </w:p>
        </w:tc>
        <w:tc>
          <w:tcPr>
            <w:tcW w:w="184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物理+生化</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41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是</w:t>
            </w:r>
          </w:p>
        </w:tc>
        <w:tc>
          <w:tcPr>
            <w:tcW w:w="1166"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企业总排口</w:t>
            </w:r>
          </w:p>
        </w:tc>
      </w:tr>
    </w:tbl>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表5.2-22  废水间接排放口基本信息表</w:t>
      </w:r>
    </w:p>
    <w:tbl>
      <w:tblPr>
        <w:tblStyle w:val="9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851"/>
        <w:gridCol w:w="1559"/>
        <w:gridCol w:w="1559"/>
        <w:gridCol w:w="1276"/>
        <w:gridCol w:w="1276"/>
        <w:gridCol w:w="992"/>
        <w:gridCol w:w="992"/>
        <w:gridCol w:w="1418"/>
        <w:gridCol w:w="1417"/>
        <w:gridCol w:w="2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序号</w:t>
            </w:r>
          </w:p>
        </w:tc>
        <w:tc>
          <w:tcPr>
            <w:tcW w:w="851"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排放口</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编号</w:t>
            </w:r>
          </w:p>
        </w:tc>
        <w:tc>
          <w:tcPr>
            <w:tcW w:w="311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排放口地理位置</w:t>
            </w:r>
          </w:p>
        </w:tc>
        <w:tc>
          <w:tcPr>
            <w:tcW w:w="1276"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废水排放量（万t/a）</w:t>
            </w:r>
          </w:p>
        </w:tc>
        <w:tc>
          <w:tcPr>
            <w:tcW w:w="1276"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排放去向</w:t>
            </w:r>
          </w:p>
        </w:tc>
        <w:tc>
          <w:tcPr>
            <w:tcW w:w="992"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排放规律</w:t>
            </w:r>
          </w:p>
        </w:tc>
        <w:tc>
          <w:tcPr>
            <w:tcW w:w="992"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间歇排放时段</w:t>
            </w:r>
          </w:p>
        </w:tc>
        <w:tc>
          <w:tcPr>
            <w:tcW w:w="4994"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经度</w:t>
            </w:r>
          </w:p>
        </w:tc>
        <w:tc>
          <w:tcPr>
            <w:tcW w:w="15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纬度</w:t>
            </w: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名称</w:t>
            </w:r>
          </w:p>
        </w:tc>
        <w:tc>
          <w:tcPr>
            <w:tcW w:w="141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污染物种类</w:t>
            </w:r>
          </w:p>
        </w:tc>
        <w:tc>
          <w:tcPr>
            <w:tcW w:w="21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国家或地方污染物排放浓度限值（mg/L）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851"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559"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114°3′6.20″</w:t>
            </w:r>
          </w:p>
        </w:tc>
        <w:tc>
          <w:tcPr>
            <w:tcW w:w="1559"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33°21′6.89″</w:t>
            </w:r>
          </w:p>
        </w:tc>
        <w:tc>
          <w:tcPr>
            <w:tcW w:w="1276"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0.204</w:t>
            </w:r>
          </w:p>
        </w:tc>
        <w:tc>
          <w:tcPr>
            <w:tcW w:w="1276"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城市污水处理厂</w:t>
            </w:r>
          </w:p>
        </w:tc>
        <w:tc>
          <w:tcPr>
            <w:tcW w:w="992"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连续</w:t>
            </w:r>
          </w:p>
        </w:tc>
        <w:tc>
          <w:tcPr>
            <w:tcW w:w="992"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418"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西平县第三污水处理厂</w:t>
            </w:r>
          </w:p>
        </w:tc>
        <w:tc>
          <w:tcPr>
            <w:tcW w:w="141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COD</w:t>
            </w:r>
          </w:p>
        </w:tc>
        <w:tc>
          <w:tcPr>
            <w:tcW w:w="21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8"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BOD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5</w:t>
            </w:r>
          </w:p>
        </w:tc>
        <w:tc>
          <w:tcPr>
            <w:tcW w:w="21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8"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氨氮</w:t>
            </w:r>
          </w:p>
        </w:tc>
        <w:tc>
          <w:tcPr>
            <w:tcW w:w="21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8"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总磷</w:t>
            </w:r>
          </w:p>
        </w:tc>
        <w:tc>
          <w:tcPr>
            <w:tcW w:w="21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851"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276"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8"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SS</w:t>
            </w:r>
          </w:p>
        </w:tc>
        <w:tc>
          <w:tcPr>
            <w:tcW w:w="215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r>
    </w:tbl>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表5.2-23   废水污染物排放执行标准表</w:t>
      </w:r>
    </w:p>
    <w:tbl>
      <w:tblPr>
        <w:tblStyle w:val="9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1559"/>
        <w:gridCol w:w="2127"/>
        <w:gridCol w:w="7371"/>
        <w:gridCol w:w="2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序号</w:t>
            </w:r>
          </w:p>
        </w:tc>
        <w:tc>
          <w:tcPr>
            <w:tcW w:w="1559"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排放口编号</w:t>
            </w:r>
          </w:p>
        </w:tc>
        <w:tc>
          <w:tcPr>
            <w:tcW w:w="2127"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污染物种类</w:t>
            </w:r>
          </w:p>
        </w:tc>
        <w:tc>
          <w:tcPr>
            <w:tcW w:w="9671" w:type="dxa"/>
            <w:gridSpan w:val="2"/>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7371"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名称</w:t>
            </w:r>
          </w:p>
        </w:tc>
        <w:tc>
          <w:tcPr>
            <w:tcW w:w="2300"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w:t>
            </w:r>
          </w:p>
        </w:tc>
        <w:tc>
          <w:tcPr>
            <w:tcW w:w="1559"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w:t>
            </w: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COD</w:t>
            </w:r>
          </w:p>
        </w:tc>
        <w:tc>
          <w:tcPr>
            <w:tcW w:w="7371"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《污水综合排放标准》（GB8978-1996）表4三级标准及西平县第三污水处理厂进水水质控制标准</w:t>
            </w: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BOD</w:t>
            </w:r>
            <w:r>
              <w:rPr>
                <w:rFonts w:hint="eastAsia" w:asciiTheme="minorEastAsia" w:hAnsiTheme="minorEastAsia"/>
                <w:color w:val="0D0D0D" w:themeColor="text1" w:themeTint="F2"/>
                <w:szCs w:val="21"/>
                <w:vertAlign w:val="subscript"/>
                <w:lang w:bidi="ar"/>
                <w14:textFill>
                  <w14:solidFill>
                    <w14:schemeClr w14:val="tx1">
                      <w14:lumMod w14:val="95000"/>
                      <w14:lumOff w14:val="5000"/>
                    </w14:schemeClr>
                  </w14:solidFill>
                </w14:textFill>
              </w:rPr>
              <w:t>5</w:t>
            </w:r>
          </w:p>
        </w:tc>
        <w:tc>
          <w:tcPr>
            <w:tcW w:w="7371"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氨氮</w:t>
            </w:r>
          </w:p>
        </w:tc>
        <w:tc>
          <w:tcPr>
            <w:tcW w:w="7371"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SS</w:t>
            </w:r>
          </w:p>
        </w:tc>
        <w:tc>
          <w:tcPr>
            <w:tcW w:w="7371"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石油类</w:t>
            </w:r>
          </w:p>
        </w:tc>
        <w:tc>
          <w:tcPr>
            <w:tcW w:w="7371"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硫化物</w:t>
            </w:r>
          </w:p>
        </w:tc>
        <w:tc>
          <w:tcPr>
            <w:tcW w:w="7371"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总磷</w:t>
            </w:r>
          </w:p>
        </w:tc>
        <w:tc>
          <w:tcPr>
            <w:tcW w:w="7371"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59"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127"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动植物油</w:t>
            </w:r>
          </w:p>
        </w:tc>
        <w:tc>
          <w:tcPr>
            <w:tcW w:w="7371"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2300"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100</w:t>
            </w:r>
          </w:p>
        </w:tc>
      </w:tr>
    </w:tbl>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表5.2-24   废水污染物排放信息表（新建项目）</w:t>
      </w:r>
    </w:p>
    <w:tbl>
      <w:tblPr>
        <w:tblStyle w:val="9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1512"/>
        <w:gridCol w:w="1338"/>
        <w:gridCol w:w="1701"/>
        <w:gridCol w:w="1843"/>
        <w:gridCol w:w="1843"/>
        <w:gridCol w:w="1701"/>
        <w:gridCol w:w="1701"/>
        <w:gridCol w:w="1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序号</w:t>
            </w:r>
          </w:p>
        </w:tc>
        <w:tc>
          <w:tcPr>
            <w:tcW w:w="8237" w:type="dxa"/>
            <w:gridSpan w:val="5"/>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项目厂区排放口</w:t>
            </w:r>
          </w:p>
        </w:tc>
        <w:tc>
          <w:tcPr>
            <w:tcW w:w="5135" w:type="dxa"/>
            <w:gridSpan w:val="3"/>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城市污水处理厂排放口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排放口编号</w:t>
            </w:r>
          </w:p>
        </w:tc>
        <w:tc>
          <w:tcPr>
            <w:tcW w:w="1338"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污染物种类</w:t>
            </w:r>
          </w:p>
        </w:tc>
        <w:tc>
          <w:tcPr>
            <w:tcW w:w="1701"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排放浓度（mg/L）</w:t>
            </w:r>
          </w:p>
        </w:tc>
        <w:tc>
          <w:tcPr>
            <w:tcW w:w="1843"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日排放量（kg/d）</w:t>
            </w:r>
          </w:p>
        </w:tc>
        <w:tc>
          <w:tcPr>
            <w:tcW w:w="1843"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年排放量（t/a）</w:t>
            </w:r>
          </w:p>
        </w:tc>
        <w:tc>
          <w:tcPr>
            <w:tcW w:w="1701"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排放浓度（mg/L）</w:t>
            </w:r>
          </w:p>
        </w:tc>
        <w:tc>
          <w:tcPr>
            <w:tcW w:w="1701"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日排放量（kg/d）</w:t>
            </w:r>
          </w:p>
        </w:tc>
        <w:tc>
          <w:tcPr>
            <w:tcW w:w="1733" w:type="dxa"/>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w:t>
            </w:r>
          </w:p>
        </w:tc>
        <w:tc>
          <w:tcPr>
            <w:tcW w:w="1512" w:type="dxa"/>
            <w:vMerge w:val="restart"/>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w:t>
            </w:r>
          </w:p>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（8190m</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Cs w:val="21"/>
                <w14:textFill>
                  <w14:solidFill>
                    <w14:schemeClr w14:val="tx1">
                      <w14:lumMod w14:val="95000"/>
                      <w14:lumOff w14:val="5000"/>
                    </w14:schemeClr>
                  </w14:solidFill>
                </w14:textFill>
              </w:rPr>
              <w:t>/a）</w:t>
            </w: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COD</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88.03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2.403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0.721</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50</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1.365</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BOD</w:t>
            </w:r>
            <w:r>
              <w:rPr>
                <w:rFonts w:hint="eastAsia" w:asciiTheme="minorEastAsia" w:hAnsiTheme="minorEastAsia"/>
                <w:color w:val="0D0D0D" w:themeColor="text1" w:themeTint="F2"/>
                <w:szCs w:val="21"/>
                <w:vertAlign w:val="subscript"/>
                <w:lang w:bidi="ar"/>
                <w14:textFill>
                  <w14:solidFill>
                    <w14:schemeClr w14:val="tx1">
                      <w14:lumMod w14:val="95000"/>
                      <w14:lumOff w14:val="5000"/>
                    </w14:schemeClr>
                  </w14:solidFill>
                </w14:textFill>
              </w:rPr>
              <w:t>5</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56.9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1.553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0.466</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10</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0.273</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氨氮</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12.45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0.34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0.102</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5</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0.137</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总磷</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0.24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0.007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0.002</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0.5</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0.014</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SS</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39.19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1.07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0.321</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硫化物</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1.47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0.04</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0.012</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石油类</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6.11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0.167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0.05</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512" w:type="dxa"/>
            <w:vMerge w:val="continue"/>
            <w:vAlign w:val="center"/>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p>
        </w:tc>
        <w:tc>
          <w:tcPr>
            <w:tcW w:w="1338" w:type="dxa"/>
            <w:vAlign w:val="center"/>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动植物油</w:t>
            </w:r>
          </w:p>
        </w:tc>
        <w:tc>
          <w:tcPr>
            <w:tcW w:w="1701"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3.17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 xml:space="preserve">0.087 </w:t>
            </w:r>
          </w:p>
        </w:tc>
        <w:tc>
          <w:tcPr>
            <w:tcW w:w="1843" w:type="dxa"/>
            <w:vAlign w:val="bottom"/>
          </w:tcPr>
          <w:p>
            <w:pPr>
              <w:widowControl/>
              <w:adjustRightInd w:val="0"/>
              <w:snapToGrid w:val="0"/>
              <w:spacing w:line="240" w:lineRule="atLeast"/>
              <w:jc w:val="center"/>
              <w:rPr>
                <w:rFonts w:asciiTheme="minorEastAsia" w:hAnsiTheme="minorEastAsia"/>
                <w:color w:val="0D0D0D" w:themeColor="text1" w:themeTint="F2"/>
                <w:szCs w:val="21"/>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lang w:bidi="ar"/>
                <w14:textFill>
                  <w14:solidFill>
                    <w14:schemeClr w14:val="tx1">
                      <w14:lumMod w14:val="95000"/>
                      <w14:lumOff w14:val="5000"/>
                    </w14:schemeClr>
                  </w14:solidFill>
                </w14:textFill>
              </w:rPr>
              <w:t>0.026</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01"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c>
          <w:tcPr>
            <w:tcW w:w="1733" w:type="dxa"/>
          </w:tcPr>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w:t>
            </w:r>
          </w:p>
        </w:tc>
      </w:tr>
    </w:tbl>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2" w:firstLineChars="20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表5.2-25   环境监测计划及记录信息表</w:t>
      </w:r>
    </w:p>
    <w:tbl>
      <w:tblPr>
        <w:tblStyle w:val="9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167"/>
        <w:gridCol w:w="2410"/>
        <w:gridCol w:w="992"/>
        <w:gridCol w:w="2439"/>
        <w:gridCol w:w="2239"/>
        <w:gridCol w:w="1701"/>
        <w:gridCol w:w="23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78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序号</w:t>
            </w:r>
          </w:p>
        </w:tc>
        <w:tc>
          <w:tcPr>
            <w:tcW w:w="116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排放口编号</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污染物名称</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监测设施</w:t>
            </w:r>
          </w:p>
        </w:tc>
        <w:tc>
          <w:tcPr>
            <w:tcW w:w="24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自动监测设施的安装、运行、维护及相关管理要求</w:t>
            </w:r>
          </w:p>
        </w:tc>
        <w:tc>
          <w:tcPr>
            <w:tcW w:w="22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手工监测采样方法及个数</w:t>
            </w:r>
          </w:p>
        </w:tc>
        <w:tc>
          <w:tcPr>
            <w:tcW w:w="170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手工监测频次</w:t>
            </w:r>
          </w:p>
        </w:tc>
        <w:tc>
          <w:tcPr>
            <w:tcW w:w="235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手工监测方法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78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16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2410" w:type="dxa"/>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COD、氨氮、BOD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5</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、SS、总磷、石油类、硫化物、动植物油</w:t>
            </w:r>
          </w:p>
        </w:tc>
        <w:tc>
          <w:tcPr>
            <w:tcW w:w="992"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手工</w:t>
            </w:r>
          </w:p>
        </w:tc>
        <w:tc>
          <w:tcPr>
            <w:tcW w:w="24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无要求</w:t>
            </w:r>
          </w:p>
        </w:tc>
        <w:tc>
          <w:tcPr>
            <w:tcW w:w="2239"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3个瞬时样</w:t>
            </w:r>
          </w:p>
        </w:tc>
        <w:tc>
          <w:tcPr>
            <w:tcW w:w="170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1次/半年</w:t>
            </w:r>
          </w:p>
        </w:tc>
        <w:tc>
          <w:tcPr>
            <w:tcW w:w="2357"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按国家规定的环境监测技术方法</w:t>
            </w:r>
          </w:p>
        </w:tc>
      </w:tr>
    </w:tbl>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sectPr>
          <w:pgSz w:w="16838" w:h="11906" w:orient="landscape"/>
          <w:pgMar w:top="1800" w:right="1440" w:bottom="1800" w:left="1440" w:header="851" w:footer="992" w:gutter="0"/>
          <w:cols w:space="425" w:num="1"/>
          <w:docGrid w:type="lines" w:linePitch="312" w:charSpace="0"/>
        </w:sectPr>
      </w:pP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5.2.2.4评价结论</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项目营运期污水处理设施、事故废水收集池等配套设施建设完成后，生产、生活污水经厂区一体化污水处理设备处理后，进入西平县第三污水处理厂处理后排放。项目水污染控制措施和水环境影响减缓措施比较有效。</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（2）地表水环境影响评价自查表</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本次地表水环境影响评价完成后，对地表水环境影响评价主要内容与结论进行自查，详见下表5.2-26。</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5.2-26  地表水环境影响评价自查表</w:t>
      </w:r>
    </w:p>
    <w:tbl>
      <w:tblPr>
        <w:tblStyle w:val="96"/>
        <w:tblW w:w="93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7"/>
        <w:gridCol w:w="1595"/>
        <w:gridCol w:w="1594"/>
        <w:gridCol w:w="398"/>
        <w:gridCol w:w="98"/>
        <w:gridCol w:w="1098"/>
        <w:gridCol w:w="531"/>
        <w:gridCol w:w="1064"/>
        <w:gridCol w:w="796"/>
        <w:gridCol w:w="135"/>
        <w:gridCol w:w="1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62" w:type="dxa"/>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工作内容</w:t>
            </w:r>
          </w:p>
        </w:tc>
        <w:tc>
          <w:tcPr>
            <w:tcW w:w="7359" w:type="dxa"/>
            <w:gridSpan w:val="9"/>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36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影响识别</w:t>
            </w: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影响类型</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水污染影响型</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水环境保护目标</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饮用水源保护区□；饮用水取水口；涉水的自然保护区□；重要湿地□；重点保护与珍稀水生生物的栖息地□；重要水生生物的自然产卵场及索饵场、越冬场和洄游通道、天然渔场等渔业水体□；涉水的风景名胜区□；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影响途径</w:t>
            </w: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水污染影响型</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3719" w:type="dxa"/>
            <w:gridSpan w:val="5"/>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直接排放□；间接排放</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；其他□</w:t>
            </w:r>
          </w:p>
        </w:tc>
        <w:tc>
          <w:tcPr>
            <w:tcW w:w="3640" w:type="dxa"/>
            <w:gridSpan w:val="4"/>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水温□；径流□；水域面积□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影响因子</w:t>
            </w: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持久性污染物□；有毒有害污染物□；非持久性污染物□；pH值□；热污染□；富营养化□；其他□</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水温□；水位（水深）□；流速□；流量□；其他□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62" w:type="dxa"/>
            <w:gridSpan w:val="2"/>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评价等级</w:t>
            </w: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水污染影响型</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62" w:type="dxa"/>
            <w:gridSpan w:val="2"/>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一级□；二级□；三级A□；三级B</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一级□；二级□；三级□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现状调查</w:t>
            </w: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区域污染源</w:t>
            </w: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调查项目</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992"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已建□；在建□；拟建□；其他□</w:t>
            </w:r>
          </w:p>
        </w:tc>
        <w:tc>
          <w:tcPr>
            <w:tcW w:w="1727"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拟替代的污染源□</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排污许可证□；环评□；环保验收□；既有实测□；现场监测□；入河排污口数据□；其他□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受影响水体水环境质量</w:t>
            </w: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调查项目</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丰水期□；平水期□；枯水期</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；冰封期□；春季□；夏季□；秋季□；冬季□</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生态环境保护主管部门</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；补充监测□；其他</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区域水资源开发利用状况</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未开发</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；开发量40%以下□；开发量40%以上□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水文情势调查</w:t>
            </w: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调查项目</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丰水期□；平水期□；枯水期□；冰封期□；春季□；夏季□；秋季□；冬季□</w:t>
            </w:r>
          </w:p>
        </w:tc>
        <w:tc>
          <w:tcPr>
            <w:tcW w:w="3640"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水行政主管部门□；补充监测□；其他□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补充监测</w:t>
            </w: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监测时期</w:t>
            </w:r>
          </w:p>
        </w:tc>
        <w:tc>
          <w:tcPr>
            <w:tcW w:w="1860"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监测因子</w:t>
            </w:r>
          </w:p>
        </w:tc>
        <w:tc>
          <w:tcPr>
            <w:tcW w:w="1780"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3719" w:type="dxa"/>
            <w:gridSpan w:val="5"/>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丰水期□；平水期□；枯水期□；冰封期□；春季□；夏季□；秋季□；冬季□</w:t>
            </w:r>
          </w:p>
        </w:tc>
        <w:tc>
          <w:tcPr>
            <w:tcW w:w="1860"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780"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监测断面或点位个数（/）个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现状评价</w:t>
            </w: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评价范围</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河流：长度（/）km；湖库、河口及近岸海域：面积（/）km</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评价因子</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pH、</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水温、</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化学需氧量（COD）、氨氮（</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-N）</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、总磷等）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评价标准</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河流、湖库、河口：Ⅰ类□；Ⅱ类□；Ⅲ类</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；Ⅳ类□；Ⅴ类□</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近岸海域：第一类□；第二类□；第三类□；第四类□</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规划年评价标准（Ⅲ类）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评价时期</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丰水期□；平水期□；枯水期</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；冰封期□</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春季</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；夏季□；秋季□；冬季</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评价结论</w:t>
            </w:r>
          </w:p>
        </w:tc>
        <w:tc>
          <w:tcPr>
            <w:tcW w:w="5579" w:type="dxa"/>
            <w:gridSpan w:val="7"/>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水环境功能区或水功能区、近岸海域环境功能区水质达标状况：达标□；不达标</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水环境控制单元或断面水质达标状况□：达标□；不达标□</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水环境保护目标质量状况□：达标</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；不达标□</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对照断面、控制断面等代表性断面的水质状况□：达标□：不达标□</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底泥污染评价□</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水资源与开发利用程度及其水文情势评价□</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水环境质量回顾评价□</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流域（区域）水资源（包括水能资源）与开发利用总体状况、生态流量管理要求与现状满足程度、建设项目占用水域空间的水流状况与河湖演变状况□</w:t>
            </w:r>
          </w:p>
        </w:tc>
        <w:tc>
          <w:tcPr>
            <w:tcW w:w="1780"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达标区□</w:t>
            </w:r>
          </w:p>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不达标区</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影响预测</w:t>
            </w: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预测范围</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河流：长度（/）km；湖库、河口及近岸海域：面积（/）km</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预测因子</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预测时期</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丰水期□；平水期□；枯水期□；冰封期□</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春季□；夏季□；秋季□；冬季□</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预测情景</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建设期□；生产运行期□：服务期满后□</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正常工况□；非正常工况□</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污染控制和减缓措施方案□</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预测方法</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数值解□：解析解□；其他□</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导则推荐模式□：其他□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影响评价</w:t>
            </w: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水污染控制和水环境影响减缓措施有效性评价</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区（流）域水环境质量改善目标□；替代削减源□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水环境影响评价</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排放口混合区外满足水环境管理要求□</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水环境功能区或水功能区、近岸海域环境功能区水质达标□</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满足水环境保护目标水域水环境质量要求□</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水环境控制单元或断面水质达标□</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满足重点水污染物排放总量控制指标要求</w:t>
            </w:r>
            <w:r>
              <w:rPr>
                <w:rFonts w:hint="eastAsia" w:cs="MS Mincho"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sz w:val="18"/>
                <w:szCs w:val="18"/>
                <w14:textFill>
                  <w14:solidFill>
                    <w14:schemeClr w14:val="tx1">
                      <w14:lumMod w14:val="95000"/>
                      <w14:lumOff w14:val="5000"/>
                    </w14:schemeClr>
                  </w14:solidFill>
                </w14:textFill>
              </w:rPr>
              <w:t>重点行业建设项目</w:t>
            </w:r>
            <w:r>
              <w:rPr>
                <w:rFonts w:hint="eastAsia" w:cs="MS Mincho"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hint="eastAsia" w:cs="宋体" w:asciiTheme="minorEastAsia" w:hAnsiTheme="minorEastAsia"/>
                <w:color w:val="0D0D0D" w:themeColor="text1" w:themeTint="F2"/>
                <w:sz w:val="18"/>
                <w:szCs w:val="18"/>
                <w14:textFill>
                  <w14:solidFill>
                    <w14:schemeClr w14:val="tx1">
                      <w14:lumMod w14:val="95000"/>
                      <w14:lumOff w14:val="5000"/>
                    </w14:schemeClr>
                  </w14:solidFill>
                </w14:textFill>
              </w:rPr>
              <w:t>主要污染物拝放满足等量或减量替代要求</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满足区（流）域水环境质量改善目标要求</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水文要素影响型建设项目同时应包括水文情势变化评价、主要水文特征值影响评价、生态流量符合性评价□</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对于新设或调整入河（湖库、近岸海域）排放口的建设项目，应包括排放口设置的环境合理性评价□</w:t>
            </w:r>
          </w:p>
          <w:p>
            <w:pPr>
              <w:spacing w:line="240" w:lineRule="atLeas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满足生态保护红线、水环境质量底线、资源利用上线和环境准入清单管理要求</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污染源排放量核算</w:t>
            </w:r>
          </w:p>
        </w:tc>
        <w:tc>
          <w:tcPr>
            <w:tcW w:w="209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污染物名称</w:t>
            </w:r>
          </w:p>
        </w:tc>
        <w:tc>
          <w:tcPr>
            <w:tcW w:w="269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排放量（t/a）</w:t>
            </w:r>
          </w:p>
        </w:tc>
        <w:tc>
          <w:tcPr>
            <w:tcW w:w="2576"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69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576"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替代源排放情况</w:t>
            </w:r>
          </w:p>
        </w:tc>
        <w:tc>
          <w:tcPr>
            <w:tcW w:w="159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污染源名称</w:t>
            </w:r>
          </w:p>
        </w:tc>
        <w:tc>
          <w:tcPr>
            <w:tcW w:w="1594"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排污许可证编号</w:t>
            </w:r>
          </w:p>
        </w:tc>
        <w:tc>
          <w:tcPr>
            <w:tcW w:w="1595"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污染物名称</w:t>
            </w:r>
          </w:p>
        </w:tc>
        <w:tc>
          <w:tcPr>
            <w:tcW w:w="931"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排放量（t/a）</w:t>
            </w:r>
          </w:p>
        </w:tc>
        <w:tc>
          <w:tcPr>
            <w:tcW w:w="164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594"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595"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931"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164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生态流量确定</w:t>
            </w:r>
          </w:p>
        </w:tc>
        <w:tc>
          <w:tcPr>
            <w:tcW w:w="7359" w:type="dxa"/>
            <w:gridSpan w:val="9"/>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生态流量：一般水期（/）m</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/s；鱼类繁殖期（/）m</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/s；其他（/）m</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生态水位：一般水期（/）m；鱼类繁殖期（/）m；其他（/）m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36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防治措施</w:t>
            </w:r>
          </w:p>
        </w:tc>
        <w:tc>
          <w:tcPr>
            <w:tcW w:w="159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环保措施</w:t>
            </w:r>
          </w:p>
        </w:tc>
        <w:tc>
          <w:tcPr>
            <w:tcW w:w="7359"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污水处理设施</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；水文减缓措施□；生态流量保障措施□；区域削减□；依托其他工程措施□；其他□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监测计划</w:t>
            </w:r>
          </w:p>
        </w:tc>
        <w:tc>
          <w:tcPr>
            <w:tcW w:w="209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69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环境质量</w:t>
            </w:r>
          </w:p>
        </w:tc>
        <w:tc>
          <w:tcPr>
            <w:tcW w:w="2576"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监测方式</w:t>
            </w:r>
          </w:p>
        </w:tc>
        <w:tc>
          <w:tcPr>
            <w:tcW w:w="269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手动□；自动□；无监测</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2576"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手动</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；自动□；无监测□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监测点位</w:t>
            </w:r>
          </w:p>
        </w:tc>
        <w:tc>
          <w:tcPr>
            <w:tcW w:w="269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576"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（厂区总排口）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监测因子</w:t>
            </w:r>
          </w:p>
        </w:tc>
        <w:tc>
          <w:tcPr>
            <w:tcW w:w="269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w:t>
            </w:r>
          </w:p>
        </w:tc>
        <w:tc>
          <w:tcPr>
            <w:tcW w:w="2576"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（COD、NH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-N、SS、BOD</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5</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、总磷、硫化物、动植物油）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污染物排放清单（厂区排放口）</w:t>
            </w:r>
          </w:p>
        </w:tc>
        <w:tc>
          <w:tcPr>
            <w:tcW w:w="2090"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污染物</w:t>
            </w:r>
          </w:p>
        </w:tc>
        <w:tc>
          <w:tcPr>
            <w:tcW w:w="2693"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排放量（t/a）</w:t>
            </w:r>
          </w:p>
        </w:tc>
        <w:tc>
          <w:tcPr>
            <w:tcW w:w="2576" w:type="dxa"/>
            <w:gridSpan w:val="3"/>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COD</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0.721</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88.03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BOD</w:t>
            </w:r>
            <w:r>
              <w:rPr>
                <w:rFonts w:hint="eastAsia" w:asciiTheme="minorEastAsia" w:hAnsiTheme="minorEastAsia"/>
                <w:color w:val="0D0D0D" w:themeColor="text1" w:themeTint="F2"/>
                <w:sz w:val="18"/>
                <w:szCs w:val="18"/>
                <w:vertAlign w:val="subscript"/>
                <w:lang w:bidi="ar"/>
                <w14:textFill>
                  <w14:solidFill>
                    <w14:schemeClr w14:val="tx1">
                      <w14:lumMod w14:val="95000"/>
                      <w14:lumOff w14:val="5000"/>
                    </w14:schemeClr>
                  </w14:solidFill>
                </w14:textFill>
              </w:rPr>
              <w:t>5</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0.466</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56.9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氨氮</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0.102</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12.45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SS</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0.002</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0.24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石油类</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0.321</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39.19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硫化物</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0.012</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1.47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总磷</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0.05</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6.11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36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59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2090" w:type="dxa"/>
            <w:gridSpan w:val="3"/>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动植物油</w:t>
            </w:r>
          </w:p>
        </w:tc>
        <w:tc>
          <w:tcPr>
            <w:tcW w:w="2693"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0.026</w:t>
            </w:r>
          </w:p>
        </w:tc>
        <w:tc>
          <w:tcPr>
            <w:tcW w:w="2576" w:type="dxa"/>
            <w:gridSpan w:val="3"/>
            <w:vAlign w:val="bottom"/>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 xml:space="preserve">3.17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962"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评价结论</w:t>
            </w:r>
          </w:p>
        </w:tc>
        <w:tc>
          <w:tcPr>
            <w:tcW w:w="7359" w:type="dxa"/>
            <w:gridSpan w:val="9"/>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可以接受</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9321" w:type="dxa"/>
            <w:gridSpan w:val="11"/>
            <w:vAlign w:val="center"/>
          </w:tcPr>
          <w:p>
            <w:pPr>
              <w:spacing w:line="240" w:lineRule="atLeast"/>
              <w:jc w:val="lef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注：“□”为勾选项，可√；“（  ）”为内容填写项；“备注”为其他补充内容。</w:t>
            </w:r>
          </w:p>
        </w:tc>
      </w:tr>
    </w:tbl>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p>
    <w:p>
      <w:pPr>
        <w:keepNext/>
        <w:keepLines/>
        <w:adjustRightInd w:val="0"/>
        <w:snapToGrid w:val="0"/>
        <w:spacing w:before="156" w:beforeLines="50" w:line="360" w:lineRule="auto"/>
        <w:outlineLvl w:val="2"/>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bookmarkStart w:id="74" w:name="_Toc491511086"/>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5.2.3 地下水环境影响</w:t>
      </w:r>
      <w:bookmarkEnd w:id="74"/>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分析</w:t>
      </w:r>
    </w:p>
    <w:p>
      <w:pPr>
        <w:keepNext/>
        <w:keepLines/>
        <w:spacing w:line="360" w:lineRule="auto"/>
        <w:outlineLvl w:val="3"/>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bookmarkStart w:id="75" w:name="_Toc354648792"/>
      <w:bookmarkStart w:id="76" w:name="_Toc354648148"/>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5.2.3.</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1</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评价等级</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及评价范围</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本项目为废轮胎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处置项目，属于《环境影响评价技术导则地下水环境》（HJ610-2016）中的</w:t>
      </w:r>
      <w:r>
        <w:rPr>
          <w:rFonts w:hint="eastAsia" w:cs="宋体" w:asciiTheme="minorEastAsia" w:hAnsiTheme="minorEastAsia"/>
          <w:snapToGrid w:val="0"/>
          <w:color w:val="0D0D0D" w:themeColor="text1" w:themeTint="F2"/>
          <w:kern w:val="0"/>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根据项目区域地下水文情况，项目地下水环境敏感程度为较敏感。因此，根据《环境影响评价技术导则地下水环境》（HJ610-2016），项目的地下水评价等级为三级，评价范围为建设场地周边6km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tabs>
          <w:tab w:val="left" w:pos="0"/>
        </w:tabs>
        <w:adjustRightInd w:val="0"/>
        <w:snapToGrid w:val="0"/>
        <w:spacing w:line="360" w:lineRule="auto"/>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bookmarkStart w:id="77" w:name="_Toc354648146"/>
      <w:bookmarkStart w:id="78" w:name="_Toc354648790"/>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区域地下水</w:t>
      </w:r>
      <w:bookmarkEnd w:id="77"/>
      <w:bookmarkEnd w:id="78"/>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水文地质条件</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西平县地下水流向呈西北至东南方向。区域属富水亚砂土区，含水层岩性为粉细砂，砾石亚砂土，厚度达47m。地下水储存条件好，埋藏较浅，水量丰富。浅层地下水平均埋深3～5m，单井出水量一般为50～70m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/h。深层地下水平均埋深55～220m，单井出水量一般为80～100m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h。浅层地下水的补、排条件浅层地下水补给来源主要有大气降水入渗补给、农田灌溉回渗补给和地下水迳流补给。测区大面积为平原，天然水力坡度与地面坡度相近，地下水迳流也较缓慢。排泄主要有蒸发、人工开采、河流排泄、迳流排泄。</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项目厂址区域地下水赋存于第四系松散岩石空隙中，地下水流向总体由西南向东北方向，根据含水层的岩性组合结构和富水程度，将含水层划分为富水区、中等富水区和弱富水区。</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含水层岩性主要为上更新统粉土、粉质粘土、淤泥质粉土、粉质粘土夹中细砂、细砂层及全新统粉土、粉质粘土粘性土层组成。浅层含水层富水性分区</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单一，均属于1000~3000m</w:t>
      </w:r>
      <w:r>
        <w:rPr>
          <w:rFonts w:cs="Times New Roman" w:asciiTheme="minorEastAsia" w:hAnsiTheme="minorEastAsia"/>
          <w:color w:val="0D0D0D" w:themeColor="text1" w:themeTint="F2"/>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/d的富水区</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地下水埋深</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.45~</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7</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.3m，水化学类型以HCO</w:t>
      </w:r>
      <w:r>
        <w:rPr>
          <w:rFonts w:cs="Times New Roman" w:asciiTheme="minorEastAsia" w:hAnsiTheme="minorEastAsia"/>
          <w:color w:val="0D0D0D" w:themeColor="text1" w:themeTint="F2"/>
          <w:sz w:val="24"/>
          <w:szCs w:val="28"/>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-Ca型为主，矿化度为158.1~427.0mg/L，属淡水</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浅层地下水的补给主要为大气降水入渗补给、地下径流补给、地表水侧渗补给</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浅层地下水的排泄主要为蒸发排泄、河流排泄、人工开采排泄与越流排泄。中深层含水层组中等富水区分布在西部及东部地区，含水层主要为中更新统泥质中砂、中细砂，下更新统泥质粗中砂、细粉砂等。含水层顶板埋深一般44~73m，累计砂层厚度30~50m，地下水埋深12~22m，水化学类型为HCO</w:t>
      </w:r>
      <w:r>
        <w:rPr>
          <w:rFonts w:cs="Times New Roman" w:asciiTheme="minorEastAsia" w:hAnsiTheme="minorEastAsia"/>
          <w:color w:val="0D0D0D" w:themeColor="text1" w:themeTint="F2"/>
          <w:sz w:val="24"/>
          <w:szCs w:val="28"/>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·Ca·Na·Mg型，矿化度0.5mg/L左右。中深层地下水的补给主要为径流和浅层水的越流补给。中深层地下水的排泄为人工开采排泄。</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地面下8m范围内工程地质情况为：</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杂填土及耕植土：厚度平均1.0m</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粘土：厚度2.0-3.0m，R=180Kpa，Es=7.0Mpa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粘土：厚度1.5-2.5m，R=200Kpa，Es=7.6Mpa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亚粘土：厚度大于3.0m，R=100Kpa，Es=3.9Mpa。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A、富水区（1000～3000m</w:t>
      </w:r>
      <w:r>
        <w:rPr>
          <w:rFonts w:cs="Times New Roman" w:asciiTheme="minorEastAsia" w:hAnsiTheme="minorEastAsia"/>
          <w:color w:val="0D0D0D" w:themeColor="text1" w:themeTint="F2"/>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/d）</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该区位于境内大部分地区，该区含水层厚度大，颗粒粗，构成了区内富水性较高的中深层承压含水岩组，单井涌水量1270.8～3229.2m</w:t>
      </w:r>
      <w:r>
        <w:rPr>
          <w:rFonts w:cs="Times New Roman" w:asciiTheme="minorEastAsia" w:hAnsiTheme="minorEastAsia"/>
          <w:color w:val="0D0D0D" w:themeColor="text1" w:themeTint="F2"/>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/d。</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B、中等富水区（500～1000m</w:t>
      </w:r>
      <w:r>
        <w:rPr>
          <w:rFonts w:cs="Times New Roman" w:asciiTheme="minorEastAsia" w:hAnsiTheme="minorEastAsia"/>
          <w:color w:val="0D0D0D" w:themeColor="text1" w:themeTint="F2"/>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/d）</w:t>
      </w:r>
    </w:p>
    <w:p>
      <w:pPr>
        <w:adjustRightInd w:val="0"/>
        <w:snapToGrid w:val="0"/>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该区含水层单层厚度薄，层数多，颗粒细，单井涌水量900.33～946.8 m</w:t>
      </w:r>
      <w:r>
        <w:rPr>
          <w:rFonts w:cs="Times New Roman" w:asciiTheme="minorEastAsia" w:hAnsiTheme="minorEastAsia"/>
          <w:color w:val="0D0D0D" w:themeColor="text1" w:themeTint="F2"/>
          <w:sz w:val="24"/>
          <w:szCs w:val="28"/>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/d。</w:t>
      </w:r>
    </w:p>
    <w:p>
      <w:pPr>
        <w:adjustRightInd w:val="0"/>
        <w:snapToGrid w:val="0"/>
        <w:spacing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项目评价区</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浅层地下水主要储存在</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粉质粘土、淤泥质粉土、粉质粘土夹中细砂、细砂层</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，含水层厚度</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约9</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14</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7</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0m，水位埋深</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约4.2</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6</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4</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1m，水化学类型以Cl·HCO</w:t>
      </w:r>
      <w:r>
        <w:rPr>
          <w:rFonts w:cs="Times New Roman" w:asciiTheme="minorEastAsia" w:hAnsiTheme="minorEastAsia"/>
          <w:color w:val="0D0D0D" w:themeColor="text1" w:themeTint="F2"/>
          <w:sz w:val="24"/>
          <w:szCs w:val="20"/>
          <w:vertAlign w:val="sub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Ca·Mg型和HCO</w:t>
      </w:r>
      <w:r>
        <w:rPr>
          <w:rFonts w:cs="Times New Roman" w:asciiTheme="minorEastAsia" w:hAnsiTheme="minorEastAsia"/>
          <w:color w:val="0D0D0D" w:themeColor="text1" w:themeTint="F2"/>
          <w:sz w:val="24"/>
          <w:szCs w:val="20"/>
          <w:vertAlign w:val="sub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Ca·Mg型水为主。</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5m降深单井涌水量为</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42</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.9m</w:t>
      </w:r>
      <w:r>
        <w:rPr>
          <w:rFonts w:cs="Times New Roman" w:asciiTheme="minorEastAsia" w:hAnsiTheme="minorEastAsia"/>
          <w:color w:val="0D0D0D" w:themeColor="text1" w:themeTint="F2"/>
          <w:sz w:val="24"/>
          <w:szCs w:val="20"/>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/d，渗透性系数为</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0.2-</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m/d。包气带主要由</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亚粘土、</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粉质粘土组成</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，平均厚度在8.8-10.1m之间，</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垂向渗透系数在2.4</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0"/>
          <w:vertAlign w:val="superscript"/>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～5.</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35</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0"/>
          <w:vertAlign w:val="superscript"/>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cm/s之间，平均值3.</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81</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0"/>
          <w:vertAlign w:val="superscript"/>
          <w14:textFill>
            <w14:solidFill>
              <w14:schemeClr w14:val="tx1">
                <w14:lumMod w14:val="95000"/>
                <w14:lumOff w14:val="5000"/>
              </w14:schemeClr>
            </w14:solidFill>
          </w14:textFill>
        </w:rPr>
        <w:t>-5</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cm/s，包气带防污性能为“中”。</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在水文地质勘探深度范围内，粉质粘土为浅层水隔水底板，层厚4.10-10.80m，分布连续、稳定，隔水效果好，项目区内浅层地下水与中深层地下水基本无水力联系。</w:t>
      </w:r>
    </w:p>
    <w:p>
      <w:pPr>
        <w:spacing w:line="360" w:lineRule="auto"/>
        <w:ind w:firstLine="480" w:firstLineChars="200"/>
        <w:rPr>
          <w:rFonts w:asciiTheme="minorEastAsia" w:hAnsiTheme="minorEastAsia"/>
          <w:color w:val="0D0D0D" w:themeColor="text1" w:themeTint="F2"/>
          <w:sz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项目区</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浅层地下水的补给主要为大气降水入渗补给、地下径流补给、地表水侧渗补给</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地下水以潜流方式</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排泄并</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补给</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红澍河</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地表水</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地下水流向由西北至东南，与地表径流基本一致。</w:t>
      </w:r>
    </w:p>
    <w:p>
      <w:pPr>
        <w:tabs>
          <w:tab w:val="left" w:pos="0"/>
        </w:tabs>
        <w:adjustRightInd w:val="0"/>
        <w:snapToGrid w:val="0"/>
        <w:spacing w:line="360" w:lineRule="auto"/>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评价区域地下水环境质量现状</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区域的地表水现状监测结果表明，项目区域3个监测井的pH、总硬度、溶解性总固体、高锰酸盐指数、硝酸盐氮、亚硝酸盐氮、氨氮、总大肠菌群等监测因子的监测值均未出现超标现象，均可满足《地下水质量标准》（GB/T14848-93）</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类标准要求，总体来说，项目所在区域地下水环境质量较好。说明区域地下水环境质量现状良好。</w:t>
      </w:r>
    </w:p>
    <w:p>
      <w:pPr>
        <w:tabs>
          <w:tab w:val="left" w:pos="0"/>
        </w:tabs>
        <w:adjustRightInd w:val="0"/>
        <w:snapToGrid w:val="0"/>
        <w:spacing w:line="360" w:lineRule="auto"/>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4地下水环境影响分析</w:t>
      </w: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地下水污染途径</w:t>
      </w:r>
    </w:p>
    <w:p>
      <w:pPr>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本项目用水由城市供水管网提供，不需开采地下水，从而不会引起地下水流场或地下水水位的变化。</w:t>
      </w:r>
    </w:p>
    <w:p>
      <w:pPr>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根据工程所处区域的地质情况，本项目可能对下水造成污染的途径主要有：</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污水处理设施</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各处理池</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污水管网污水下渗等对地下水造成的污染</w:t>
      </w:r>
      <w:r>
        <w:rPr>
          <w:rFonts w:hint="eastAsia" w:cs="Times New Roman" w:asciiTheme="minorEastAsia" w:hAnsiTheme="minorEastAsia"/>
          <w:color w:val="0D0D0D" w:themeColor="text1" w:themeTint="F2"/>
          <w:sz w:val="24"/>
          <w:szCs w:val="28"/>
          <w14:textFill>
            <w14:solidFill>
              <w14:schemeClr w14:val="tx1">
                <w14:lumMod w14:val="95000"/>
                <w14:lumOff w14:val="5000"/>
              </w14:schemeClr>
            </w14:solidFill>
          </w14:textFill>
        </w:rPr>
        <w:t>，以及储油罐泄漏对地下水造成污染</w:t>
      </w: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。地下水被污染的途径可分为：间歇入渗型、连续入渗型、越流行和径流型。</w:t>
      </w:r>
    </w:p>
    <w:p>
      <w:pPr>
        <w:tabs>
          <w:tab w:val="left" w:pos="0"/>
        </w:tabs>
        <w:snapToGrid w:val="0"/>
        <w:spacing w:line="360"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表5.2-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27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地下水污染途径一览表</w:t>
      </w:r>
    </w:p>
    <w:tbl>
      <w:tblPr>
        <w:tblStyle w:val="27"/>
        <w:tblW w:w="925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9"/>
        <w:gridCol w:w="3543"/>
        <w:gridCol w:w="2835"/>
        <w:gridCol w:w="19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899" w:type="dxa"/>
            <w:vAlign w:val="center"/>
          </w:tcPr>
          <w:p>
            <w:pPr>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类型</w:t>
            </w:r>
          </w:p>
        </w:tc>
        <w:tc>
          <w:tcPr>
            <w:tcW w:w="3543" w:type="dxa"/>
            <w:vAlign w:val="center"/>
          </w:tcPr>
          <w:p>
            <w:pPr>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污染途径</w:t>
            </w:r>
          </w:p>
        </w:tc>
        <w:tc>
          <w:tcPr>
            <w:tcW w:w="2835" w:type="dxa"/>
            <w:vAlign w:val="center"/>
          </w:tcPr>
          <w:p>
            <w:pPr>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污染来源</w:t>
            </w:r>
          </w:p>
        </w:tc>
        <w:tc>
          <w:tcPr>
            <w:tcW w:w="1975" w:type="dxa"/>
            <w:vAlign w:val="center"/>
          </w:tcPr>
          <w:p>
            <w:pPr>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被污染的含水层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99"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间歇入渗型</w:t>
            </w:r>
          </w:p>
        </w:tc>
        <w:tc>
          <w:tcPr>
            <w:tcW w:w="3543"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降雨对固体废弃物的淋漓</w:t>
            </w:r>
          </w:p>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矿区疏干地带的淋滤和溶解</w:t>
            </w:r>
          </w:p>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灌灌水及降水对农田的淋滤</w:t>
            </w:r>
          </w:p>
        </w:tc>
        <w:tc>
          <w:tcPr>
            <w:tcW w:w="283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工业和生活固体废弃物疏干地带的易溶矿物、农田表层土壤残留的农药、化肥及易溶盐类</w:t>
            </w:r>
          </w:p>
        </w:tc>
        <w:tc>
          <w:tcPr>
            <w:tcW w:w="197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潜水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99"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连续入渗型</w:t>
            </w:r>
          </w:p>
        </w:tc>
        <w:tc>
          <w:tcPr>
            <w:tcW w:w="3543"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渠、坑等污水的渗漏</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受污染地表水的渗漏</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地下排污管道的渗漏</w:t>
            </w:r>
          </w:p>
        </w:tc>
        <w:tc>
          <w:tcPr>
            <w:tcW w:w="283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各种污染水及化学液体</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受污染的地表污水</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各种污水</w:t>
            </w:r>
          </w:p>
        </w:tc>
        <w:tc>
          <w:tcPr>
            <w:tcW w:w="197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潜水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99"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越流型</w:t>
            </w:r>
          </w:p>
        </w:tc>
        <w:tc>
          <w:tcPr>
            <w:tcW w:w="3543"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地下水开采引起的曾间越流</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水文地质天窗的越流</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经井管的越流</w:t>
            </w:r>
          </w:p>
        </w:tc>
        <w:tc>
          <w:tcPr>
            <w:tcW w:w="283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受污染的含水层或天然咸水等</w:t>
            </w:r>
          </w:p>
        </w:tc>
        <w:tc>
          <w:tcPr>
            <w:tcW w:w="197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潜水或承压水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99"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径流型</w:t>
            </w:r>
          </w:p>
        </w:tc>
        <w:tc>
          <w:tcPr>
            <w:tcW w:w="3543"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通过岩溶发育通道的径流</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通过废水处理井的径流</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盐水入侵</w:t>
            </w:r>
          </w:p>
        </w:tc>
        <w:tc>
          <w:tcPr>
            <w:tcW w:w="283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各种污染或被污染的地表水</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p>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各种污水</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海水或地下咸水</w:t>
            </w:r>
          </w:p>
        </w:tc>
        <w:tc>
          <w:tcPr>
            <w:tcW w:w="1975" w:type="dxa"/>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主要是潜水或承压水</w:t>
            </w:r>
          </w:p>
        </w:tc>
      </w:tr>
    </w:tbl>
    <w:p>
      <w:pPr>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t>本项目对地下水的污染主要途径为间歇入渗型和连续入渗型，即通过包气带渗漏污染和通过河流侧渗或垂直渗漏污染地下水。</w:t>
      </w:r>
    </w:p>
    <w:p>
      <w:pPr>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2、地下水污染控制措施</w:t>
      </w:r>
    </w:p>
    <w:p>
      <w:pPr>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工程对地下水污染途径主要是废水或回收油品泄漏进入地下水含水层或与当地地表径流相交后再下渗入地下含水层，其污染源主要为污水处理区的各类水处理池及燃料油储罐区。</w:t>
      </w:r>
    </w:p>
    <w:p>
      <w:pPr>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厂区实施分区防渗，重点对各类废水处理池、储存池及废水收集输送管道，以及储油罐、油品输送管道、涉及油品生产设备等均采取相应的防渗、防泄漏措施；对车间、储罐区、固废暂存间、危废暂存间等建筑物的地面进行必要的防渗处理。</w:t>
      </w:r>
    </w:p>
    <w:p>
      <w:pPr>
        <w:spacing w:line="360" w:lineRule="auto"/>
        <w:ind w:firstLine="480" w:firstLineChars="200"/>
        <w:rPr>
          <w:rFonts w:cs="Times New Roman" w:asciiTheme="minorEastAsia" w:hAnsiTheme="minorEastAsia"/>
          <w:color w:val="0D0D0D" w:themeColor="text1" w:themeTint="F2"/>
          <w:sz w:val="24"/>
          <w:szCs w:val="2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在采取上述分区防渗措施后，能够有效防止对地下水造成污染。</w:t>
      </w:r>
    </w:p>
    <w:p>
      <w:pPr>
        <w:tabs>
          <w:tab w:val="left" w:pos="0"/>
        </w:tabs>
        <w:adjustRightInd w:val="0"/>
        <w:snapToGrid w:val="0"/>
        <w:spacing w:line="360" w:lineRule="auto"/>
        <w:ind w:firstLine="240" w:firstLineChars="100"/>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3、地下水环境影响分析</w:t>
      </w:r>
    </w:p>
    <w:p>
      <w:pPr>
        <w:autoSpaceDE w:val="0"/>
        <w:autoSpaceDN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（1）正常工况下地下水环境影响分析</w:t>
      </w:r>
    </w:p>
    <w:p>
      <w:pPr>
        <w:autoSpaceDE w:val="0"/>
        <w:autoSpaceDN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依据《环境影响评价技术导则-地下水环境》（HJ610-2016）第9.4.2条“已依据GB16889、GB18597、GB18598、GB18599、GB/T50934设计地下水污染防渗措施的建设项目，可不进行正常状况情景下的预测。”因此，工程正常工况对地下水环境影响仅进行简要分析。</w:t>
      </w:r>
    </w:p>
    <w:p>
      <w:pPr>
        <w:autoSpaceDE w:val="0"/>
        <w:autoSpaceDN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建设严格按照设计方案规范施工，切实落实各类防渗措施，运行期不直接向地表水体排放废水，正常工况下污水处理设施不会发生废水泄漏问题。工程储罐区按《石油化工储运系统罐区设计规范》（SH/T3007-2014）的规定进行防渗设计，罐区地基采取严格的防渗措施，各储罐采用防腐防锈的碳钢设备，储罐放置在底座之上，均不直接接触地表；罐区周边设置防泄漏围堰及泄漏收集设施，正常工况下不会发生油品泄漏外溢围堰区或泄漏下渗进入地下水现象。同时，</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项目场地包气带防污性能为中，说明地下水不容易受到污染。若废水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或油品</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发生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一旦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渗漏，污染物不会很快穿过包气带进入浅层地下水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。因此，正常工况下项目运营期对地下水不会造成明显不利影响。</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（2）非正常工况工程对地下水环境影响分析</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 《环境影响评价技术导则  地下水环境》（HJ 610-2016），“地下水环境影响预测时段应选取可能产生地下水污染的关键时段，至少包括污染发生后100d、1000d，服务年限或能反映特征因子迁移规律的其他重要的时间节点”。</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本次评价预测时段选取回收燃料油储罐区泄漏发生后100d、1000d，预测特征污染因子通过地表下渗进入地下水，对地下水环境造成的影响程度。</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1）预测因子选择</w:t>
      </w:r>
    </w:p>
    <w:p>
      <w:pPr>
        <w:autoSpaceDE w:val="0"/>
        <w:autoSpaceDN w:val="0"/>
        <w:spacing w:line="520" w:lineRule="exact"/>
        <w:ind w:firstLine="480"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根据工程分析，项目储罐区泄漏后，对地下水造成影响的污染因子为石油类。根据 《环境影响评价技术导则  地下水环境》（HJ 610-2016）的要求，结合项目泄漏污染物特征，</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本次地下水预测特征污染因子选取石油类。</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2）评价标准</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评价区域地下水执行《地下水质量标准》（GB/T14848-2017）Ⅲ类；根据《环境影响评价技术导则  地下水环境》（HJ 610-2016）8.4.1.1规定，石油类标准限值参考执行</w:t>
      </w:r>
      <w:r>
        <w:rPr>
          <w:rFonts w:cs="Times New Roman" w:asciiTheme="minorEastAsia" w:hAnsiTheme="minorEastAsia"/>
          <w:color w:val="0D0D0D" w:themeColor="text1" w:themeTint="F2"/>
          <w:sz w:val="24"/>
          <w:szCs w:val="24"/>
          <w:lang w:bidi="ar"/>
          <w14:textFill>
            <w14:solidFill>
              <w14:schemeClr w14:val="tx1">
                <w14:lumMod w14:val="95000"/>
                <w14:lumOff w14:val="5000"/>
              </w14:schemeClr>
            </w14:solidFill>
          </w14:textFill>
        </w:rPr>
        <w:t>《地表水环境质量标准》</w:t>
      </w:r>
      <w:r>
        <w:rPr>
          <w:rFonts w:hint="eastAsia" w:cs="Times New Roman" w:asciiTheme="minorEastAsia" w:hAnsiTheme="minorEastAsia"/>
          <w:color w:val="0D0D0D" w:themeColor="text1" w:themeTint="F2"/>
          <w:sz w:val="24"/>
          <w:szCs w:val="24"/>
          <w:lang w:bidi="ar"/>
          <w14:textFill>
            <w14:solidFill>
              <w14:schemeClr w14:val="tx1">
                <w14:lumMod w14:val="95000"/>
                <w14:lumOff w14:val="5000"/>
              </w14:schemeClr>
            </w14:solidFill>
          </w14:textFill>
        </w:rPr>
        <w:t>（GB3838-2002）</w:t>
      </w:r>
      <w:r>
        <w:rPr>
          <w:rFonts w:hint="eastAsia" w:cs="宋体" w:asciiTheme="minorEastAsia" w:hAnsiTheme="minorEastAsia"/>
          <w:color w:val="0D0D0D" w:themeColor="text1" w:themeTint="F2"/>
          <w:sz w:val="24"/>
          <w:szCs w:val="24"/>
          <w:lang w:bidi="ar"/>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lang w:bidi="ar"/>
          <w14:textFill>
            <w14:solidFill>
              <w14:schemeClr w14:val="tx1">
                <w14:lumMod w14:val="95000"/>
                <w14:lumOff w14:val="5000"/>
              </w14:schemeClr>
            </w14:solidFill>
          </w14:textFill>
        </w:rPr>
        <w:t>类水质限值</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≤0.05mg/L。</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3）预测模式及参数确定</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按《环境影响评价技术导则  地下水环境》（HJ 610-2016）的要求，预测方法的选取应根据建设项目工程特征、水文地质条件及资料掌握程度来确定，当数值方法不适用时，可用解析法或其他方法预测。采用解析模型预测污染物在含水层中的扩散时，一般应满足以下条件：</w:t>
      </w:r>
    </w:p>
    <w:p>
      <w:pPr>
        <w:autoSpaceDE w:val="0"/>
        <w:autoSpaceDN w:val="0"/>
        <w:spacing w:line="520" w:lineRule="exact"/>
        <w:ind w:firstLine="600" w:firstLineChars="25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a）污染物的排放对地下水流场没有明显的影响。</w:t>
      </w:r>
    </w:p>
    <w:p>
      <w:pPr>
        <w:autoSpaceDE w:val="0"/>
        <w:autoSpaceDN w:val="0"/>
        <w:spacing w:line="520" w:lineRule="exact"/>
        <w:ind w:firstLine="600" w:firstLineChars="25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b）评价区内含水层的基本参数（如渗透系数、有效孔隙度等）不变或变化很小。</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本项目非正常工况泄漏的燃料油量较小，污染物的排放对地下水流场没有明显的影响，且项目所在评价区内含水层的基本参数变化较小，因此，本次评价采用解析模型预测污染物在含水层中的扩散。</w:t>
      </w:r>
    </w:p>
    <w:p>
      <w:pPr>
        <w:autoSpaceDE w:val="0"/>
        <w:autoSpaceDN w:val="0"/>
        <w:spacing w:line="520" w:lineRule="exact"/>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14:textFill>
            <w14:solidFill>
              <w14:schemeClr w14:val="tx1">
                <w14:lumMod w14:val="95000"/>
                <w14:lumOff w14:val="5000"/>
              </w14:schemeClr>
            </w14:solidFill>
          </w14:textFill>
        </w:rPr>
        <w:drawing>
          <wp:anchor distT="0" distB="0" distL="114300" distR="114300" simplePos="0" relativeHeight="252066816" behindDoc="0" locked="0" layoutInCell="1" allowOverlap="1">
            <wp:simplePos x="0" y="0"/>
            <wp:positionH relativeFrom="column">
              <wp:posOffset>1211580</wp:posOffset>
            </wp:positionH>
            <wp:positionV relativeFrom="paragraph">
              <wp:posOffset>656590</wp:posOffset>
            </wp:positionV>
            <wp:extent cx="2947670" cy="733425"/>
            <wp:effectExtent l="0" t="0" r="5080" b="9525"/>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947670" cy="733425"/>
                    </a:xfrm>
                    <a:prstGeom prst="rect">
                      <a:avLst/>
                    </a:prstGeom>
                  </pic:spPr>
                </pic:pic>
              </a:graphicData>
            </a:graphic>
          </wp:anchor>
        </w:drawing>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油品泄漏选用一维稳定流动一维动力弥散模式（瞬时注入）进行预测及评价，预测模型如下：</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式中：x—距注入点的距离，m；</w:t>
      </w:r>
    </w:p>
    <w:p>
      <w:pPr>
        <w:spacing w:line="520" w:lineRule="exact"/>
        <w:ind w:firstLine="1200" w:firstLineChars="5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t—时间，d；</w:t>
      </w:r>
    </w:p>
    <w:p>
      <w:pPr>
        <w:spacing w:line="520" w:lineRule="exact"/>
        <w:ind w:firstLine="1200" w:firstLineChars="5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C（x，t）—t时刻x处的示踪剂浓度，g/L；</w:t>
      </w:r>
    </w:p>
    <w:p>
      <w:pPr>
        <w:spacing w:line="520" w:lineRule="exact"/>
        <w:ind w:firstLine="1200" w:firstLineChars="5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m—注入示踪剂质量，kg；</w:t>
      </w:r>
    </w:p>
    <w:p>
      <w:pPr>
        <w:spacing w:line="520" w:lineRule="exact"/>
        <w:ind w:firstLine="1200" w:firstLineChars="5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w—横截面面积，m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520" w:lineRule="exact"/>
        <w:ind w:firstLine="1200" w:firstLineChars="5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u—水流速度，m/d；</w:t>
      </w:r>
    </w:p>
    <w:p>
      <w:pPr>
        <w:spacing w:line="520" w:lineRule="exact"/>
        <w:ind w:firstLine="1200" w:firstLineChars="5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n</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e</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—有效孔隙度，无量纲；</w:t>
      </w:r>
    </w:p>
    <w:p>
      <w:pPr>
        <w:spacing w:line="520" w:lineRule="exact"/>
        <w:ind w:firstLine="1200" w:firstLineChars="5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L</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—纵向弥散系数，m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p>
    <w:p>
      <w:pPr>
        <w:spacing w:line="360" w:lineRule="auto"/>
        <w:ind w:firstLine="1200" w:firstLineChars="500"/>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π—圆周率。</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本项目设置6座100m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燃料油储罐。单罐长度9.0m，直径3.8m,最大储量75t，周边围堰面积80m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。非正常工况泄漏量</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可采用柏努利方程予以计算，公式为：</w:t>
      </w:r>
    </w:p>
    <w:p>
      <w:pPr>
        <w:spacing w:line="520" w:lineRule="exact"/>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4"/>
          <w14:textFill>
            <w14:solidFill>
              <w14:schemeClr w14:val="tx1">
                <w14:lumMod w14:val="95000"/>
                <w14:lumOff w14:val="5000"/>
              </w14:schemeClr>
            </w14:solidFill>
          </w14:textFill>
        </w:rPr>
        <w:drawing>
          <wp:anchor distT="0" distB="0" distL="114300" distR="114300" simplePos="0" relativeHeight="252067840" behindDoc="0" locked="0" layoutInCell="1" allowOverlap="1">
            <wp:simplePos x="0" y="0"/>
            <wp:positionH relativeFrom="column">
              <wp:posOffset>1029335</wp:posOffset>
            </wp:positionH>
            <wp:positionV relativeFrom="paragraph">
              <wp:posOffset>143510</wp:posOffset>
            </wp:positionV>
            <wp:extent cx="3077845" cy="2385695"/>
            <wp:effectExtent l="0" t="0" r="8255" b="1460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077845" cy="2385695"/>
                    </a:xfrm>
                    <a:prstGeom prst="rect">
                      <a:avLst/>
                    </a:prstGeom>
                    <a:noFill/>
                    <a:ln>
                      <a:noFill/>
                    </a:ln>
                  </pic:spPr>
                </pic:pic>
              </a:graphicData>
            </a:graphic>
          </wp:anchor>
        </w:drawing>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本次源强预计为单个储罐泄漏，泄漏缝隙</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直径1.0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cm，持续时长</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min，</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d</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取0.6，</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裂口以上液位高度按罐底裂口计算，最大取值3.0m。</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根据上述公式计算，单个储罐泄漏速率为0.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336</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kg/s，则泄漏量为0.</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t。</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工程油罐泄漏预测参数详见下表5.2-28。</w:t>
      </w:r>
    </w:p>
    <w:p>
      <w:pPr>
        <w:spacing w:line="520" w:lineRule="exact"/>
        <w:ind w:firstLine="1687" w:firstLineChars="7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28</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工程物料泄漏</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地下水预测参数一览表</w:t>
      </w:r>
    </w:p>
    <w:tbl>
      <w:tblPr>
        <w:tblStyle w:val="27"/>
        <w:tblW w:w="521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1210"/>
        <w:gridCol w:w="1362"/>
        <w:gridCol w:w="1387"/>
        <w:gridCol w:w="874"/>
        <w:gridCol w:w="944"/>
        <w:gridCol w:w="1297"/>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967" w:type="dxa"/>
            <w:vMerge w:val="restart"/>
            <w:vAlign w:val="center"/>
          </w:tcPr>
          <w:p>
            <w:pPr>
              <w:spacing w:line="480" w:lineRule="auto"/>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参数</w:t>
            </w:r>
          </w:p>
        </w:tc>
        <w:tc>
          <w:tcPr>
            <w:tcW w:w="1145" w:type="dxa"/>
            <w:vAlign w:val="center"/>
          </w:tcPr>
          <w:p>
            <w:pPr>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X(m)</w:t>
            </w:r>
          </w:p>
        </w:tc>
        <w:tc>
          <w:tcPr>
            <w:tcW w:w="1289" w:type="dxa"/>
            <w:vAlign w:val="center"/>
          </w:tcPr>
          <w:p>
            <w:pPr>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m（kg）</w:t>
            </w:r>
          </w:p>
        </w:tc>
        <w:tc>
          <w:tcPr>
            <w:tcW w:w="1313" w:type="dxa"/>
            <w:vAlign w:val="center"/>
          </w:tcPr>
          <w:p>
            <w:pPr>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D</w:t>
            </w:r>
            <w:r>
              <w:rPr>
                <w:rFonts w:cs="Times New Roman" w:asciiTheme="minorEastAsia" w:hAnsiTheme="minorEastAsia"/>
                <w:b/>
                <w:color w:val="0D0D0D" w:themeColor="text1" w:themeTint="F2"/>
                <w:szCs w:val="21"/>
                <w:vertAlign w:val="subscript"/>
                <w14:textFill>
                  <w14:solidFill>
                    <w14:schemeClr w14:val="tx1">
                      <w14:lumMod w14:val="95000"/>
                      <w14:lumOff w14:val="5000"/>
                    </w14:schemeClr>
                  </w14:solidFill>
                </w14:textFill>
              </w:rPr>
              <w:t>L</w:t>
            </w: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b/>
                <w:color w:val="0D0D0D" w:themeColor="text1" w:themeTint="F2"/>
                <w:sz w:val="24"/>
                <w:szCs w:val="24"/>
                <w:vertAlign w:val="superscript"/>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/d</w:t>
            </w: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w:t>
            </w:r>
          </w:p>
        </w:tc>
        <w:tc>
          <w:tcPr>
            <w:tcW w:w="827" w:type="dxa"/>
            <w:vAlign w:val="center"/>
          </w:tcPr>
          <w:p>
            <w:pPr>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n</w:t>
            </w:r>
            <w:r>
              <w:rPr>
                <w:rFonts w:cs="Times New Roman" w:asciiTheme="minorEastAsia" w:hAnsiTheme="minorEastAsia"/>
                <w:b/>
                <w:color w:val="0D0D0D" w:themeColor="text1" w:themeTint="F2"/>
                <w:szCs w:val="21"/>
                <w:vertAlign w:val="subscript"/>
                <w14:textFill>
                  <w14:solidFill>
                    <w14:schemeClr w14:val="tx1">
                      <w14:lumMod w14:val="95000"/>
                      <w14:lumOff w14:val="5000"/>
                    </w14:schemeClr>
                  </w14:solidFill>
                </w14:textFill>
              </w:rPr>
              <w:t>e</w:t>
            </w:r>
          </w:p>
        </w:tc>
        <w:tc>
          <w:tcPr>
            <w:tcW w:w="893" w:type="dxa"/>
            <w:vAlign w:val="center"/>
          </w:tcPr>
          <w:p>
            <w:pPr>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t(</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d</w:t>
            </w: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w:t>
            </w:r>
          </w:p>
        </w:tc>
        <w:tc>
          <w:tcPr>
            <w:tcW w:w="1228" w:type="dxa"/>
            <w:vAlign w:val="center"/>
          </w:tcPr>
          <w:p>
            <w:pPr>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w(</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b/>
                <w:color w:val="0D0D0D" w:themeColor="text1" w:themeTint="F2"/>
                <w:sz w:val="24"/>
                <w:szCs w:val="24"/>
                <w:vertAlign w:val="superscript"/>
                <w14:textFill>
                  <w14:solidFill>
                    <w14:schemeClr w14:val="tx1">
                      <w14:lumMod w14:val="95000"/>
                      <w14:lumOff w14:val="5000"/>
                    </w14:schemeClr>
                  </w14:solidFill>
                </w14:textFill>
              </w:rPr>
              <w:t>2</w:t>
            </w: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w:t>
            </w:r>
          </w:p>
        </w:tc>
        <w:tc>
          <w:tcPr>
            <w:tcW w:w="1229" w:type="dxa"/>
            <w:vAlign w:val="center"/>
          </w:tcPr>
          <w:p>
            <w:pPr>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u</w:t>
            </w:r>
            <w: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t xml:space="preserve"> (m/d)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67" w:type="dxa"/>
            <w:vMerge w:val="continue"/>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p>
        </w:tc>
        <w:tc>
          <w:tcPr>
            <w:tcW w:w="1145" w:type="dxa"/>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100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w:t>
            </w:r>
          </w:p>
        </w:tc>
        <w:tc>
          <w:tcPr>
            <w:tcW w:w="1289" w:type="dxa"/>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石油类</w:t>
            </w:r>
          </w:p>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20</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kg</w:t>
            </w:r>
          </w:p>
        </w:tc>
        <w:tc>
          <w:tcPr>
            <w:tcW w:w="1313" w:type="dxa"/>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0.25</w:t>
            </w:r>
          </w:p>
        </w:tc>
        <w:tc>
          <w:tcPr>
            <w:tcW w:w="827" w:type="dxa"/>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4</w:t>
            </w:r>
          </w:p>
        </w:tc>
        <w:tc>
          <w:tcPr>
            <w:tcW w:w="893" w:type="dxa"/>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100、1000</w:t>
            </w:r>
          </w:p>
        </w:tc>
        <w:tc>
          <w:tcPr>
            <w:tcW w:w="1228" w:type="dxa"/>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80</w:t>
            </w:r>
          </w:p>
        </w:tc>
        <w:tc>
          <w:tcPr>
            <w:tcW w:w="1229" w:type="dxa"/>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8890" w:type="dxa"/>
            <w:gridSpan w:val="8"/>
            <w:vAlign w:val="center"/>
          </w:tcPr>
          <w:p>
            <w:pPr>
              <w:jc w:val="left"/>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注：石油类瞬时注入量按照项目非正常工况</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柴</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油</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泄漏</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量0.</w:t>
            </w: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t>t</w:t>
            </w:r>
          </w:p>
        </w:tc>
      </w:tr>
    </w:tbl>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4）预测结果</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① 非正常工况废水泄漏后100d距离场地下游地下水石油类浓度变化情况见下表5.2-29。</w:t>
      </w:r>
    </w:p>
    <w:p>
      <w:pPr>
        <w:widowControl/>
        <w:spacing w:line="400" w:lineRule="exact"/>
        <w:jc w:val="cente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表</w:t>
      </w:r>
      <w:r>
        <w:rPr>
          <w:rFonts w:hint="eastAsia"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5.2</w:t>
      </w: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 xml:space="preserve">29  </w:t>
      </w: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非正常工况泄漏100d距离场地下游</w:t>
      </w:r>
      <w:r>
        <w:rPr>
          <w:rFonts w:hint="eastAsia"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石油类</w:t>
      </w: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浓度变化一览表</w:t>
      </w:r>
    </w:p>
    <w:tbl>
      <w:tblPr>
        <w:tblStyle w:val="27"/>
        <w:tblpPr w:leftFromText="180" w:rightFromText="180" w:vertAnchor="text" w:horzAnchor="page" w:tblpXSpec="center" w:tblpY="197"/>
        <w:tblOverlap w:val="never"/>
        <w:tblW w:w="84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671"/>
        <w:gridCol w:w="537"/>
        <w:gridCol w:w="670"/>
        <w:gridCol w:w="671"/>
        <w:gridCol w:w="537"/>
        <w:gridCol w:w="671"/>
        <w:gridCol w:w="805"/>
        <w:gridCol w:w="806"/>
        <w:gridCol w:w="805"/>
        <w:gridCol w:w="913"/>
        <w:gridCol w:w="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647" w:type="dxa"/>
            <w:vMerge w:val="restart"/>
            <w:tcBorders>
              <w:top w:val="single" w:color="auto" w:sz="4" w:space="0"/>
              <w:left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污染因子</w:t>
            </w:r>
          </w:p>
        </w:tc>
        <w:tc>
          <w:tcPr>
            <w:tcW w:w="671" w:type="dxa"/>
            <w:vMerge w:val="restart"/>
            <w:tcBorders>
              <w:top w:val="single" w:color="auto" w:sz="4" w:space="0"/>
              <w:left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背景 浓度</w:t>
            </w:r>
          </w:p>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mg/L</w:t>
            </w:r>
          </w:p>
        </w:tc>
        <w:tc>
          <w:tcPr>
            <w:tcW w:w="7095" w:type="dxa"/>
            <w:gridSpan w:val="10"/>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X（m）处的浓度预测值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647" w:type="dxa"/>
            <w:vMerge w:val="continue"/>
            <w:tcBorders>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671" w:type="dxa"/>
            <w:vMerge w:val="continue"/>
            <w:tcBorders>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5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670"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10m</w:t>
            </w:r>
          </w:p>
        </w:tc>
        <w:tc>
          <w:tcPr>
            <w:tcW w:w="67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5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67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80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70</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m</w:t>
            </w:r>
          </w:p>
        </w:tc>
        <w:tc>
          <w:tcPr>
            <w:tcW w:w="91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00m</w:t>
            </w:r>
          </w:p>
        </w:tc>
        <w:tc>
          <w:tcPr>
            <w:tcW w:w="680"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14</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14" w:hRule="atLeast"/>
        </w:trPr>
        <w:tc>
          <w:tcPr>
            <w:tcW w:w="64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石油类</w:t>
            </w:r>
          </w:p>
        </w:tc>
        <w:tc>
          <w:tcPr>
            <w:tcW w:w="67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w:t>
            </w:r>
          </w:p>
        </w:tc>
        <w:tc>
          <w:tcPr>
            <w:tcW w:w="5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0.044</w:t>
            </w:r>
          </w:p>
        </w:tc>
        <w:tc>
          <w:tcPr>
            <w:tcW w:w="670"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6.458</w:t>
            </w:r>
          </w:p>
        </w:tc>
        <w:tc>
          <w:tcPr>
            <w:tcW w:w="67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129.72</w:t>
            </w:r>
          </w:p>
        </w:tc>
        <w:tc>
          <w:tcPr>
            <w:tcW w:w="537"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352.6</w:t>
            </w:r>
          </w:p>
        </w:tc>
        <w:tc>
          <w:tcPr>
            <w:tcW w:w="671"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129.72</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6.458</w:t>
            </w:r>
          </w:p>
        </w:tc>
        <w:tc>
          <w:tcPr>
            <w:tcW w:w="806"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0.0435</w:t>
            </w:r>
          </w:p>
        </w:tc>
        <w:tc>
          <w:tcPr>
            <w:tcW w:w="805"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3.96×10</w:t>
            </w:r>
            <w:r>
              <w:rPr>
                <w:rFonts w:hint="eastAsia"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-5</w:t>
            </w:r>
          </w:p>
        </w:tc>
        <w:tc>
          <w:tcPr>
            <w:tcW w:w="913"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1.85×10</w:t>
            </w:r>
            <w:r>
              <w:rPr>
                <w:rFonts w:hint="eastAsia"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-19</w:t>
            </w:r>
          </w:p>
        </w:tc>
        <w:tc>
          <w:tcPr>
            <w:tcW w:w="680" w:type="dxa"/>
            <w:tcBorders>
              <w:top w:val="single" w:color="auto" w:sz="4" w:space="0"/>
              <w:left w:val="single" w:color="auto" w:sz="4" w:space="0"/>
              <w:bottom w:val="single" w:color="auto" w:sz="4" w:space="0"/>
              <w:right w:val="single" w:color="auto" w:sz="4" w:space="0"/>
            </w:tcBorders>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w:t>
            </w:r>
          </w:p>
        </w:tc>
      </w:tr>
    </w:tbl>
    <w:p>
      <w:pPr>
        <w:autoSpaceDE w:val="0"/>
        <w:autoSpaceDN w:val="0"/>
        <w:spacing w:line="520" w:lineRule="exact"/>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14:textFill>
            <w14:solidFill>
              <w14:schemeClr w14:val="tx1">
                <w14:lumMod w14:val="95000"/>
                <w14:lumOff w14:val="5000"/>
              </w14:schemeClr>
            </w14:solidFill>
          </w14:textFill>
        </w:rPr>
        <w:drawing>
          <wp:anchor distT="0" distB="0" distL="114300" distR="114300" simplePos="0" relativeHeight="252068864" behindDoc="0" locked="0" layoutInCell="1" allowOverlap="1">
            <wp:simplePos x="0" y="0"/>
            <wp:positionH relativeFrom="column">
              <wp:posOffset>167640</wp:posOffset>
            </wp:positionH>
            <wp:positionV relativeFrom="paragraph">
              <wp:posOffset>1397000</wp:posOffset>
            </wp:positionV>
            <wp:extent cx="4608195" cy="2639695"/>
            <wp:effectExtent l="0" t="0" r="1905" b="8255"/>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608043" cy="2639683"/>
                    </a:xfrm>
                    <a:prstGeom prst="rect">
                      <a:avLst/>
                    </a:prstGeom>
                  </pic:spPr>
                </pic:pic>
              </a:graphicData>
            </a:graphic>
          </wp:anchor>
        </w:drawing>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图5.2-2 非正常工况泄漏100d后场地下游地下水石油类浓度变化曲线图</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②非正常工况废水泄漏后1000d距离场地下游地下水石油类浓度变化情况见下表5.2-30。</w:t>
      </w:r>
    </w:p>
    <w:p>
      <w:pPr>
        <w:widowControl/>
        <w:spacing w:line="400" w:lineRule="exact"/>
        <w:jc w:val="cente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表</w:t>
      </w:r>
      <w:r>
        <w:rPr>
          <w:rFonts w:hint="eastAsia"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5.2</w:t>
      </w: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 xml:space="preserve">30 </w:t>
      </w: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非正常工况泄漏100</w:t>
      </w:r>
      <w:r>
        <w:rPr>
          <w:rFonts w:hint="eastAsia"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0</w:t>
      </w: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d距离场地下游</w:t>
      </w:r>
      <w:r>
        <w:rPr>
          <w:rFonts w:hint="eastAsia"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石油类</w:t>
      </w:r>
      <w:r>
        <w:rPr>
          <w:rFonts w:cs="Times New Roman" w:asciiTheme="minorEastAsia" w:hAnsiTheme="minorEastAsia"/>
          <w:b/>
          <w:bCs/>
          <w:color w:val="0D0D0D" w:themeColor="text1" w:themeTint="F2"/>
          <w:kern w:val="0"/>
          <w:sz w:val="24"/>
          <w:szCs w:val="24"/>
          <w14:textFill>
            <w14:solidFill>
              <w14:schemeClr w14:val="tx1">
                <w14:lumMod w14:val="95000"/>
                <w14:lumOff w14:val="5000"/>
              </w14:schemeClr>
            </w14:solidFill>
          </w14:textFill>
        </w:rPr>
        <w:t>浓度变化一览表</w:t>
      </w:r>
    </w:p>
    <w:tbl>
      <w:tblPr>
        <w:tblStyle w:val="27"/>
        <w:tblpPr w:leftFromText="180" w:rightFromText="180" w:vertAnchor="text" w:horzAnchor="page" w:tblpXSpec="center" w:tblpY="197"/>
        <w:tblOverlap w:val="never"/>
        <w:tblW w:w="85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686"/>
        <w:gridCol w:w="889"/>
        <w:gridCol w:w="1030"/>
        <w:gridCol w:w="954"/>
        <w:gridCol w:w="851"/>
        <w:gridCol w:w="850"/>
        <w:gridCol w:w="992"/>
        <w:gridCol w:w="988"/>
        <w:gridCol w:w="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660" w:type="dxa"/>
            <w:vMerge w:val="restart"/>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污染因子</w:t>
            </w:r>
          </w:p>
        </w:tc>
        <w:tc>
          <w:tcPr>
            <w:tcW w:w="686" w:type="dxa"/>
            <w:vMerge w:val="restart"/>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背景 浓度</w:t>
            </w:r>
          </w:p>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mg/L</w:t>
            </w:r>
          </w:p>
        </w:tc>
        <w:tc>
          <w:tcPr>
            <w:tcW w:w="7249" w:type="dxa"/>
            <w:gridSpan w:val="8"/>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X（m）处的浓度预测值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660" w:type="dxa"/>
            <w:vMerge w:val="continue"/>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686" w:type="dxa"/>
            <w:vMerge w:val="continue"/>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p>
        </w:tc>
        <w:tc>
          <w:tcPr>
            <w:tcW w:w="889"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1030"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954"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20</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851"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25</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850"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300</w:t>
            </w:r>
          </w:p>
        </w:tc>
        <w:tc>
          <w:tcPr>
            <w:tcW w:w="992"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350</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m</w:t>
            </w:r>
          </w:p>
        </w:tc>
        <w:tc>
          <w:tcPr>
            <w:tcW w:w="988"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39</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c>
          <w:tcPr>
            <w:tcW w:w="695"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63</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660"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石油类</w:t>
            </w:r>
          </w:p>
        </w:tc>
        <w:tc>
          <w:tcPr>
            <w:tcW w:w="686"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w:t>
            </w:r>
          </w:p>
        </w:tc>
        <w:tc>
          <w:tcPr>
            <w:tcW w:w="889"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9.13×10</w:t>
            </w:r>
            <w:r>
              <w:rPr>
                <w:rFonts w:hint="eastAsia"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-38</w:t>
            </w:r>
          </w:p>
        </w:tc>
        <w:tc>
          <w:tcPr>
            <w:tcW w:w="1030"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4.74</w:t>
            </w: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w:t>
            </w:r>
          </w:p>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10</w:t>
            </w:r>
            <w:r>
              <w:rPr>
                <w:rFonts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Cs w:val="21"/>
                <w:vertAlign w:val="superscript"/>
                <w14:textFill>
                  <w14:solidFill>
                    <w14:schemeClr w14:val="tx1">
                      <w14:lumMod w14:val="95000"/>
                      <w14:lumOff w14:val="5000"/>
                    </w14:schemeClr>
                  </w14:solidFill>
                </w14:textFill>
              </w:rPr>
              <w:t>16</w:t>
            </w:r>
          </w:p>
        </w:tc>
        <w:tc>
          <w:tcPr>
            <w:tcW w:w="954"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0.005</w:t>
            </w:r>
          </w:p>
        </w:tc>
        <w:tc>
          <w:tcPr>
            <w:tcW w:w="851"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9.153</w:t>
            </w:r>
          </w:p>
        </w:tc>
        <w:tc>
          <w:tcPr>
            <w:tcW w:w="850"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111.5</w:t>
            </w:r>
          </w:p>
        </w:tc>
        <w:tc>
          <w:tcPr>
            <w:tcW w:w="992"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9.153</w:t>
            </w:r>
          </w:p>
        </w:tc>
        <w:tc>
          <w:tcPr>
            <w:tcW w:w="988"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0.034</w:t>
            </w:r>
          </w:p>
        </w:tc>
        <w:tc>
          <w:tcPr>
            <w:tcW w:w="695" w:type="dxa"/>
            <w:shd w:val="clear" w:color="auto" w:fill="auto"/>
            <w:vAlign w:val="center"/>
          </w:tcPr>
          <w:p>
            <w:pPr>
              <w:autoSpaceDE w:val="0"/>
              <w:autoSpaceDN w:val="0"/>
              <w:adjustRightInd w:val="0"/>
              <w:spacing w:line="360" w:lineRule="exact"/>
              <w:jc w:val="center"/>
              <w:rPr>
                <w:rFonts w:cs="Times New Roman" w:asciiTheme="minorEastAsia" w:hAnsiTheme="minorEastAsia"/>
                <w:color w:val="0D0D0D" w:themeColor="text1" w:themeTint="F2"/>
                <w:kern w:val="0"/>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Cs w:val="21"/>
                <w14:textFill>
                  <w14:solidFill>
                    <w14:schemeClr w14:val="tx1">
                      <w14:lumMod w14:val="95000"/>
                      <w14:lumOff w14:val="5000"/>
                    </w14:schemeClr>
                  </w14:solidFill>
                </w14:textFill>
              </w:rPr>
              <w:t>0</w:t>
            </w:r>
          </w:p>
        </w:tc>
      </w:tr>
    </w:tbl>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utoSpaceDE w:val="0"/>
        <w:autoSpaceDN w:val="0"/>
        <w:spacing w:line="520" w:lineRule="exact"/>
        <w:ind w:firstLine="42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14:textFill>
            <w14:solidFill>
              <w14:schemeClr w14:val="tx1">
                <w14:lumMod w14:val="95000"/>
                <w14:lumOff w14:val="5000"/>
              </w14:schemeClr>
            </w14:solidFill>
          </w14:textFill>
        </w:rPr>
        <w:drawing>
          <wp:anchor distT="0" distB="0" distL="114300" distR="114300" simplePos="0" relativeHeight="252069888" behindDoc="0" locked="0" layoutInCell="1" allowOverlap="1">
            <wp:simplePos x="0" y="0"/>
            <wp:positionH relativeFrom="column">
              <wp:posOffset>262890</wp:posOffset>
            </wp:positionH>
            <wp:positionV relativeFrom="paragraph">
              <wp:posOffset>85725</wp:posOffset>
            </wp:positionV>
            <wp:extent cx="4637405" cy="2656205"/>
            <wp:effectExtent l="0" t="0" r="10795" b="1079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640791" cy="2658443"/>
                    </a:xfrm>
                    <a:prstGeom prst="rect">
                      <a:avLst/>
                    </a:prstGeom>
                  </pic:spPr>
                </pic:pic>
              </a:graphicData>
            </a:graphic>
          </wp:anchor>
        </w:drawing>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118" w:firstLineChars="49"/>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图5.2-3 非正常工况泄漏1000d后场地下游地下水中石油类浓度变化曲线图</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根据预测结果可知，非正常工况</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，项目储油罐</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泄漏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发生100d</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，石油类</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对项目区下游</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浅层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地下水影响范围最远至</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140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60m以外区域地下水石油类浓度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可以满足《地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水环境质量标准》</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类水质限值</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（0.05mg/L）</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；泄漏点下游50m范围内地下水石油类浓度不能</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满足《地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水环境质量标准》</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类水质限值</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在泄漏发生1000d后，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石油类</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对项目区下游</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浅层</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地下水影响范围最远至</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63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0m，</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390m以外区域地下水石油类浓度</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可以满足《地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水环境质量标准》</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类水质限值</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（0.05mg/L）</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；泄漏点下游190-390m范围内地下水石油类浓度不能</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满足《地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水环境质量标准》</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类水质限值要求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根据现场调查，项目区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周边70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0m范围内无</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村庄、饮用水井等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敏感点存在。</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非正常工况</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下废水泄漏对下游地下水最远影响距离630m,对周边敏感点地下水水质不会造成污染影响。</w:t>
      </w:r>
    </w:p>
    <w:p>
      <w:pPr>
        <w:spacing w:line="520" w:lineRule="exact"/>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综合上述分析，</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根据项目区地下水水文地质条件调查情况，浅层地下水与中深层地下水之间有</w:t>
      </w:r>
      <w:r>
        <w:rPr>
          <w:rFonts w:hint="eastAsia" w:cs="Times New Roman" w:asciiTheme="minorEastAsia" w:hAnsiTheme="minorEastAsia"/>
          <w:color w:val="0D0D0D" w:themeColor="text1" w:themeTint="F2"/>
          <w:sz w:val="24"/>
          <w:szCs w:val="20"/>
          <w:u w:val="single"/>
          <w14:textFill>
            <w14:solidFill>
              <w14:schemeClr w14:val="tx1">
                <w14:lumMod w14:val="95000"/>
                <w14:lumOff w14:val="5000"/>
              </w14:schemeClr>
            </w14:solidFill>
          </w14:textFill>
        </w:rPr>
        <w:t>8.8-10.1m</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m包气带隔离，水力联系不明显，泄漏污染物不会对中深层地下水造成污染影响。</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项目区发生</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储罐</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事故泄漏后，近距离范围</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浅层</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地下水</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中石油类</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将出现严重超标，若不及时封堵，随着时间的增长，地下水影响范围将越来越大，最终将对下游</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浅层地下水</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造成</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不良</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影响</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因此，评价要求认真落实</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储罐区的</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防渗工程措施</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，在储罐周边设置围堰，做好罐区地面防渗和堵漏、截流、收集等泄漏防范措施</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，并制定严格的巡检及监测制度</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；在罐区地下水上、下游设置3个地下水污染监测井，</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每季度定期对污染监测井</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水质</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进行监测，发现问题及时解决，杜绝事故泄漏的发生。</w:t>
      </w:r>
      <w:bookmarkEnd w:id="75"/>
      <w:bookmarkEnd w:id="76"/>
      <w:bookmarkStart w:id="79" w:name="_Toc354648793"/>
      <w:bookmarkStart w:id="80" w:name="_Toc354648149"/>
    </w:p>
    <w:p>
      <w:pPr>
        <w:spacing w:line="520" w:lineRule="exac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5.2.3.6地下水监测与管理</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了及时准确地掌握拟建项目场地下游地区地下水环境质量状况的动态变化，本项目拟建立覆盖各场地的地下水长期监控系统，包括科学、合理地设置地下水污染监控井，建立完善的监测制度，配备先进的检测仪器和设备，以便及时发现并及时控制。</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结合评价区含水层系统和地下水径流系统特征，考虑潜在污染源、环境保护目标等因素，布置地下水监测点。</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（2）地下水监测原则</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①重点污染防治区加密监测原则；</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②以浅层地下水监测为主的原则；</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③上、下游同步对比监测原则；</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④水质监测项目参照《地下水质量标准》相关要求和潜在污染源特征污染因子确定，各监测井可依据监测目的的不同适当增加和减少监测项目。</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（3）监测井布置</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依据地下水监测原则，参照《地下水环境监测技术规范》（HJ/T164-2004）的要求，结合项目区水文地质条件，在本项目场地周边共布设地下水水质监测井3个。地下水监测井位置、监测计划、井深、监测井结构、监测层位、监测项目、监测频率等详见表5.2-31。</w:t>
      </w:r>
    </w:p>
    <w:p>
      <w:pPr>
        <w:spacing w:line="360" w:lineRule="atLeast"/>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bookmarkStart w:id="81" w:name="_Ref482828233"/>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bookmarkEnd w:id="81"/>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.2-31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地下水监控点一览表</w:t>
      </w:r>
    </w:p>
    <w:tbl>
      <w:tblPr>
        <w:tblStyle w:val="27"/>
        <w:tblW w:w="53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0"/>
        <w:gridCol w:w="2211"/>
        <w:gridCol w:w="751"/>
        <w:gridCol w:w="1197"/>
        <w:gridCol w:w="749"/>
        <w:gridCol w:w="1348"/>
        <w:gridCol w:w="1950"/>
        <w:gridCol w:w="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295" w:type="pct"/>
            <w:vAlign w:val="center"/>
          </w:tcPr>
          <w:p>
            <w:pPr>
              <w:spacing w:line="36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井</w:t>
            </w:r>
            <w: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号</w:t>
            </w:r>
          </w:p>
        </w:tc>
        <w:tc>
          <w:tcPr>
            <w:tcW w:w="1143" w:type="pct"/>
            <w:vAlign w:val="center"/>
          </w:tcPr>
          <w:p>
            <w:pPr>
              <w:spacing w:line="36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地点</w:t>
            </w:r>
          </w:p>
        </w:tc>
        <w:tc>
          <w:tcPr>
            <w:tcW w:w="388" w:type="pct"/>
            <w:vAlign w:val="center"/>
          </w:tcPr>
          <w:p>
            <w:pPr>
              <w:spacing w:line="36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井</w:t>
            </w:r>
            <w: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深</w:t>
            </w:r>
            <w:r>
              <w:rPr>
                <w:rFonts w:hint="eastAsia"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（m）</w:t>
            </w:r>
          </w:p>
        </w:tc>
        <w:tc>
          <w:tcPr>
            <w:tcW w:w="619" w:type="pct"/>
            <w:vAlign w:val="center"/>
          </w:tcPr>
          <w:p>
            <w:pPr>
              <w:spacing w:line="36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监测层位</w:t>
            </w:r>
          </w:p>
        </w:tc>
        <w:tc>
          <w:tcPr>
            <w:tcW w:w="387" w:type="pct"/>
            <w:vAlign w:val="center"/>
          </w:tcPr>
          <w:p>
            <w:pPr>
              <w:spacing w:line="36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监测频率</w:t>
            </w:r>
          </w:p>
        </w:tc>
        <w:tc>
          <w:tcPr>
            <w:tcW w:w="697" w:type="pct"/>
            <w:vAlign w:val="center"/>
          </w:tcPr>
          <w:p>
            <w:pPr>
              <w:spacing w:line="360" w:lineRule="atLeast"/>
              <w:jc w:val="cente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pPr>
            <w: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监测</w:t>
            </w:r>
          </w:p>
          <w:p>
            <w:pPr>
              <w:spacing w:line="36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宋体" w:asciiTheme="minorEastAsia" w:hAnsiTheme="minorEastAsia"/>
                <w:b/>
                <w:color w:val="0D0D0D" w:themeColor="text1" w:themeTint="F2"/>
                <w:sz w:val="18"/>
                <w:szCs w:val="18"/>
                <w:lang w:bidi="he-IL"/>
                <w14:textFill>
                  <w14:solidFill>
                    <w14:schemeClr w14:val="tx1">
                      <w14:lumMod w14:val="95000"/>
                      <w14:lumOff w14:val="5000"/>
                    </w14:schemeClr>
                  </w14:solidFill>
                </w14:textFill>
              </w:rPr>
              <w:t>项目</w:t>
            </w:r>
          </w:p>
        </w:tc>
        <w:tc>
          <w:tcPr>
            <w:tcW w:w="1008" w:type="pct"/>
            <w:vAlign w:val="center"/>
          </w:tcPr>
          <w:p>
            <w:pPr>
              <w:spacing w:line="360" w:lineRule="atLeast"/>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监测点功能</w:t>
            </w:r>
          </w:p>
        </w:tc>
        <w:tc>
          <w:tcPr>
            <w:tcW w:w="463" w:type="pct"/>
            <w:vAlign w:val="center"/>
          </w:tcPr>
          <w:p>
            <w:pPr>
              <w:spacing w:line="360" w:lineRule="atLeast"/>
              <w:jc w:val="center"/>
              <w:rPr>
                <w:rFonts w:cs="宋体" w:asciiTheme="minorEastAsia" w:hAnsiTheme="minorEastAsia"/>
                <w:b/>
                <w:color w:val="0D0D0D" w:themeColor="text1" w:themeTint="F2"/>
                <w:szCs w:val="21"/>
                <w:lang w:bidi="he-IL"/>
                <w14:textFill>
                  <w14:solidFill>
                    <w14:schemeClr w14:val="tx1">
                      <w14:lumMod w14:val="95000"/>
                      <w14:lumOff w14:val="5000"/>
                    </w14:schemeClr>
                  </w14:solidFill>
                </w14:textFill>
              </w:rPr>
            </w:pPr>
            <w:r>
              <w:rPr>
                <w:rFonts w:cs="宋体" w:asciiTheme="minorEastAsia" w:hAnsiTheme="minorEastAsia"/>
                <w:b/>
                <w:color w:val="0D0D0D" w:themeColor="text1" w:themeTint="F2"/>
                <w:szCs w:val="21"/>
                <w:lang w:bidi="he-IL"/>
                <w14:textFill>
                  <w14:solidFill>
                    <w14:schemeClr w14:val="tx1">
                      <w14:lumMod w14:val="95000"/>
                      <w14:lumOff w14:val="5000"/>
                    </w14:schemeClr>
                  </w14:solidFill>
                </w14:textFill>
              </w:rPr>
              <w:t>监测</w:t>
            </w:r>
          </w:p>
          <w:p>
            <w:pPr>
              <w:spacing w:line="360" w:lineRule="atLeast"/>
              <w:jc w:val="center"/>
              <w:rPr>
                <w:rFonts w:cs="Times New Roman" w:asciiTheme="minorEastAsia" w:hAnsiTheme="minorEastAsia"/>
                <w:b/>
                <w:color w:val="0D0D0D" w:themeColor="text1" w:themeTint="F2"/>
                <w:szCs w:val="21"/>
                <w14:textFill>
                  <w14:solidFill>
                    <w14:schemeClr w14:val="tx1">
                      <w14:lumMod w14:val="95000"/>
                      <w14:lumOff w14:val="5000"/>
                    </w14:schemeClr>
                  </w14:solidFill>
                </w14:textFill>
              </w:rPr>
            </w:pPr>
            <w:r>
              <w:rPr>
                <w:rFonts w:cs="宋体" w:asciiTheme="minorEastAsia" w:hAnsiTheme="minorEastAsia"/>
                <w:b/>
                <w:color w:val="0D0D0D" w:themeColor="text1" w:themeTint="F2"/>
                <w:szCs w:val="21"/>
                <w:lang w:bidi="he-IL"/>
                <w14:textFill>
                  <w14:solidFill>
                    <w14:schemeClr w14:val="tx1">
                      <w14:lumMod w14:val="95000"/>
                      <w14:lumOff w14:val="5000"/>
                    </w14:schemeClr>
                  </w14:solidFill>
                </w14:textFill>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295"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143"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项目场地上游500m</w:t>
            </w:r>
          </w:p>
        </w:tc>
        <w:tc>
          <w:tcPr>
            <w:tcW w:w="388"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619"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浅层地下水</w:t>
            </w:r>
          </w:p>
        </w:tc>
        <w:tc>
          <w:tcPr>
            <w:tcW w:w="387" w:type="pct"/>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每季度</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次</w:t>
            </w:r>
          </w:p>
        </w:tc>
        <w:tc>
          <w:tcPr>
            <w:tcW w:w="697" w:type="pct"/>
            <w:vMerge w:val="restar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pH</w:t>
            </w: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、耗氧量、氨氮、石油类</w:t>
            </w:r>
          </w:p>
        </w:tc>
        <w:tc>
          <w:tcPr>
            <w:tcW w:w="1008"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背景值监测点</w:t>
            </w:r>
          </w:p>
        </w:tc>
        <w:tc>
          <w:tcPr>
            <w:tcW w:w="463" w:type="pct"/>
            <w:vMerge w:val="restart"/>
            <w:textDirection w:val="tbRlV"/>
            <w:vAlign w:val="center"/>
          </w:tcPr>
          <w:p>
            <w:pPr>
              <w:jc w:val="center"/>
              <w:rPr>
                <w:rFonts w:cs="Times New Roman"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Cs w:val="21"/>
                <w14:textFill>
                  <w14:solidFill>
                    <w14:schemeClr w14:val="tx1">
                      <w14:lumMod w14:val="95000"/>
                      <w14:lumOff w14:val="5000"/>
                    </w14:schemeClr>
                  </w14:solidFill>
                </w14:textFill>
              </w:rPr>
              <w:t>委托第三方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295"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143"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项目区</w:t>
            </w:r>
          </w:p>
        </w:tc>
        <w:tc>
          <w:tcPr>
            <w:tcW w:w="388"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619" w:type="pct"/>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浅层地下水</w:t>
            </w:r>
          </w:p>
        </w:tc>
        <w:tc>
          <w:tcPr>
            <w:tcW w:w="387" w:type="pct"/>
            <w:vMerge w:val="continue"/>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7" w:type="pct"/>
            <w:vMerge w:val="continue"/>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08" w:type="pct"/>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污染扩散监测点</w:t>
            </w:r>
          </w:p>
        </w:tc>
        <w:tc>
          <w:tcPr>
            <w:tcW w:w="463" w:type="pct"/>
            <w:vMerge w:val="continue"/>
            <w:textDirection w:val="tbRlV"/>
            <w:vAlign w:val="center"/>
          </w:tcPr>
          <w:p>
            <w:pPr>
              <w:spacing w:line="360" w:lineRule="atLeast"/>
              <w:jc w:val="center"/>
              <w:rPr>
                <w:rFonts w:cs="Times New Roman" w:asciiTheme="minorEastAsia" w:hAnsiTheme="minorEastAsia"/>
                <w:color w:val="0D0D0D" w:themeColor="text1" w:themeTint="F2"/>
                <w:szCs w:val="24"/>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95"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w:t>
            </w:r>
          </w:p>
        </w:tc>
        <w:tc>
          <w:tcPr>
            <w:tcW w:w="1143"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项目场地下游500m</w:t>
            </w:r>
          </w:p>
        </w:tc>
        <w:tc>
          <w:tcPr>
            <w:tcW w:w="388" w:type="pct"/>
            <w:vAlign w:val="center"/>
          </w:tcPr>
          <w:p>
            <w:pPr>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p>
        </w:tc>
        <w:tc>
          <w:tcPr>
            <w:tcW w:w="619" w:type="pct"/>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宋体" w:asciiTheme="minorEastAsia" w:hAnsiTheme="minorEastAsia"/>
                <w:color w:val="0D0D0D" w:themeColor="text1" w:themeTint="F2"/>
                <w:sz w:val="18"/>
                <w:szCs w:val="18"/>
                <w:lang w:bidi="he-IL"/>
                <w14:textFill>
                  <w14:solidFill>
                    <w14:schemeClr w14:val="tx1">
                      <w14:lumMod w14:val="95000"/>
                      <w14:lumOff w14:val="5000"/>
                    </w14:schemeClr>
                  </w14:solidFill>
                </w14:textFill>
              </w:rPr>
              <w:t>浅层地下水</w:t>
            </w:r>
          </w:p>
        </w:tc>
        <w:tc>
          <w:tcPr>
            <w:tcW w:w="387" w:type="pct"/>
            <w:vMerge w:val="continue"/>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97" w:type="pct"/>
            <w:vMerge w:val="continue"/>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008" w:type="pct"/>
            <w:vAlign w:val="center"/>
          </w:tcPr>
          <w:p>
            <w:pPr>
              <w:spacing w:line="360" w:lineRule="atLeas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环境影响跟踪监测点</w:t>
            </w:r>
          </w:p>
        </w:tc>
        <w:tc>
          <w:tcPr>
            <w:tcW w:w="463" w:type="pct"/>
            <w:vMerge w:val="continue"/>
            <w:vAlign w:val="center"/>
          </w:tcPr>
          <w:p>
            <w:pPr>
              <w:spacing w:line="360" w:lineRule="atLeast"/>
              <w:jc w:val="center"/>
              <w:rPr>
                <w:rFonts w:cs="Times New Roman" w:asciiTheme="minorEastAsia" w:hAnsiTheme="minorEastAsia"/>
                <w:color w:val="0D0D0D" w:themeColor="text1" w:themeTint="F2"/>
                <w:szCs w:val="24"/>
                <w14:textFill>
                  <w14:solidFill>
                    <w14:schemeClr w14:val="tx1">
                      <w14:lumMod w14:val="95000"/>
                      <w14:lumOff w14:val="5000"/>
                    </w14:schemeClr>
                  </w14:solidFill>
                </w14:textFill>
              </w:rPr>
            </w:pPr>
          </w:p>
        </w:tc>
      </w:tr>
    </w:tbl>
    <w:p>
      <w:pPr>
        <w:adjustRightInd w:val="0"/>
        <w:snapToGrid w:val="0"/>
        <w:ind w:firstLine="520"/>
        <w:jc w:val="left"/>
        <w:rPr>
          <w:rFonts w:cs="Times New Roman" w:asciiTheme="minorEastAsia" w:hAnsiTheme="minorEastAsia"/>
          <w:snapToGrid w:val="0"/>
          <w:color w:val="0D0D0D" w:themeColor="text1" w:themeTint="F2"/>
          <w:spacing w:val="10"/>
          <w:kern w:val="0"/>
          <w:szCs w:val="24"/>
          <w14:textFill>
            <w14:solidFill>
              <w14:schemeClr w14:val="tx1">
                <w14:lumMod w14:val="95000"/>
                <w14:lumOff w14:val="5000"/>
              </w14:schemeClr>
            </w14:solidFill>
          </w14:textFill>
        </w:rPr>
      </w:pP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（4）地下水跟踪监测信息公开计划</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项目建设单位应在公开网站或信息发布平台公开地下水跟踪监测结果，包括监测点位、监测时间、监测污染物的种类、数量、监测浓度等，至少包括耗氧量、氨氮、石油类等特征因子。</w:t>
      </w:r>
    </w:p>
    <w:bookmarkEnd w:id="79"/>
    <w:bookmarkEnd w:id="80"/>
    <w:p>
      <w:pPr>
        <w:keepNext/>
        <w:keepLines/>
        <w:adjustRightInd w:val="0"/>
        <w:snapToGrid w:val="0"/>
        <w:spacing w:before="156" w:beforeLines="50" w:line="360" w:lineRule="auto"/>
        <w:outlineLvl w:val="2"/>
        <w:rPr>
          <w:rFonts w:cs="Times New Roman" w:asciiTheme="minorEastAsia" w:hAnsiTheme="minorEastAsia"/>
          <w:b/>
          <w:bCs/>
          <w:color w:val="0D0D0D" w:themeColor="text1" w:themeTint="F2"/>
          <w:kern w:val="0"/>
          <w:sz w:val="24"/>
          <w:szCs w:val="32"/>
          <w14:textFill>
            <w14:solidFill>
              <w14:schemeClr w14:val="tx1">
                <w14:lumMod w14:val="95000"/>
                <w14:lumOff w14:val="5000"/>
              </w14:schemeClr>
            </w14:solidFill>
          </w14:textFill>
        </w:rPr>
      </w:pPr>
      <w:bookmarkStart w:id="82" w:name="_Toc403047805"/>
      <w:bookmarkStart w:id="83" w:name="_Toc341104120"/>
      <w:bookmarkStart w:id="84" w:name="_Toc343808369"/>
      <w:bookmarkStart w:id="85" w:name="_Toc354648794"/>
      <w:bookmarkStart w:id="86" w:name="OLE_LINK10"/>
      <w:bookmarkStart w:id="87" w:name="OLE_LINK11"/>
      <w:bookmarkStart w:id="88" w:name="_Toc491511087"/>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5.2.4 声环境影响</w:t>
      </w:r>
      <w:bookmarkEnd w:id="82"/>
      <w:bookmarkEnd w:id="83"/>
      <w:bookmarkEnd w:id="84"/>
      <w:bookmarkEnd w:id="85"/>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预测与评价</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bookmarkStart w:id="89" w:name="_Toc354648151"/>
      <w:bookmarkStart w:id="90" w:name="_Toc354648795"/>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5.2.4.1噪声源分析</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项目运行期噪声源主要是车间生产设备及风机、水泵等，经采取基础减震、隔声、消声等降噪措施后，各类声源排放噪声源强在60-75dB(A)之间。</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5.2.4.2声环境影响预测与评价</w:t>
      </w:r>
    </w:p>
    <w:p>
      <w:pPr>
        <w:spacing w:line="360" w:lineRule="auto"/>
        <w:ind w:firstLine="360" w:firstLineChars="1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（1）评价等级、评价标准、评价范围及预测内容</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项目位于西平县产业集聚区规划的静脉产业园区，厂区周边200m范围内无声环境敏感点。根据《环境影响评价技术导则 声环境》（HJ2.4-2009），声环境评价等级应为三级。</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级评价要求，本次声环境</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评价</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范围为厂界外200m</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范围内区域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主要</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预测</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内容包括</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运营期厂界噪声达标情况和对周边声环境质量的</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影响</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程度、范围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项目所在区域声功能区划为3类区（工业区），环境噪声执行GB3096-2008《声环境质量标准》3类区标准；厂界噪声执行GB12348-2008《工业企业厂界环境噪声排放标准》3类标准。</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（2）噪声排放源强及预测参数</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工程主要生产</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设备</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噪声</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产生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源强、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治理</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后排放源强</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见</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下</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表5</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360" w:lineRule="auto"/>
        <w:ind w:firstLine="482" w:firstLineChars="200"/>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5.2-32   工程主要生产设备噪声产生及排放噪声源强一览表</w:t>
      </w:r>
    </w:p>
    <w:tbl>
      <w:tblPr>
        <w:tblStyle w:val="27"/>
        <w:tblW w:w="875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47"/>
        <w:gridCol w:w="647"/>
        <w:gridCol w:w="936"/>
        <w:gridCol w:w="709"/>
        <w:gridCol w:w="1134"/>
        <w:gridCol w:w="1188"/>
        <w:gridCol w:w="1134"/>
        <w:gridCol w:w="1275"/>
        <w:gridCol w:w="10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tcBorders>
              <w:top w:val="single" w:color="auto" w:sz="12" w:space="0"/>
              <w:left w:val="single" w:color="auto" w:sz="4"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噪声排放源</w:t>
            </w:r>
          </w:p>
        </w:tc>
        <w:tc>
          <w:tcPr>
            <w:tcW w:w="647" w:type="dxa"/>
            <w:tcBorders>
              <w:top w:val="single" w:color="auto" w:sz="12" w:space="0"/>
              <w:left w:val="single" w:color="auto" w:sz="4"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序号</w:t>
            </w:r>
          </w:p>
        </w:tc>
        <w:tc>
          <w:tcPr>
            <w:tcW w:w="936" w:type="dxa"/>
            <w:tcBorders>
              <w:top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设备名称</w:t>
            </w:r>
          </w:p>
        </w:tc>
        <w:tc>
          <w:tcPr>
            <w:tcW w:w="709" w:type="dxa"/>
            <w:tcBorders>
              <w:top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数量</w:t>
            </w:r>
          </w:p>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（台）</w:t>
            </w:r>
          </w:p>
        </w:tc>
        <w:tc>
          <w:tcPr>
            <w:tcW w:w="1134" w:type="dxa"/>
            <w:tcBorders>
              <w:top w:val="single" w:color="auto" w:sz="12"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产生</w:t>
            </w: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噪声</w:t>
            </w:r>
          </w:p>
          <w:p>
            <w:pPr>
              <w:adjustRightInd w:val="0"/>
              <w:snapToGrid w:val="0"/>
              <w:jc w:val="center"/>
              <w:rPr>
                <w:rFonts w:cs="Times New Roman" w:asciiTheme="minorEastAsia" w:hAnsiTheme="minorEastAsia"/>
                <w:b/>
                <w:color w:val="0D0D0D" w:themeColor="text1" w:themeTint="F2"/>
                <w:sz w:val="18"/>
                <w:szCs w:val="18"/>
                <w:highlight w:val="red"/>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（dB（A））</w:t>
            </w:r>
          </w:p>
        </w:tc>
        <w:tc>
          <w:tcPr>
            <w:tcW w:w="1188" w:type="dxa"/>
            <w:tcBorders>
              <w:top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降噪效果</w:t>
            </w:r>
          </w:p>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（dB（A））</w:t>
            </w:r>
          </w:p>
        </w:tc>
        <w:tc>
          <w:tcPr>
            <w:tcW w:w="1134" w:type="dxa"/>
            <w:tcBorders>
              <w:top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排放源强</w:t>
            </w:r>
          </w:p>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（dB（A））</w:t>
            </w:r>
          </w:p>
        </w:tc>
        <w:tc>
          <w:tcPr>
            <w:tcW w:w="1275" w:type="dxa"/>
            <w:tcBorders>
              <w:top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设备叠加源强（</w:t>
            </w: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dB（A）</w:t>
            </w: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w:t>
            </w:r>
          </w:p>
        </w:tc>
        <w:tc>
          <w:tcPr>
            <w:tcW w:w="1081" w:type="dxa"/>
            <w:tcBorders>
              <w:top w:val="single" w:color="auto" w:sz="12" w:space="0"/>
              <w:bottom w:val="single" w:color="auto" w:sz="4" w:space="0"/>
              <w:right w:val="single" w:color="auto" w:sz="4" w:space="0"/>
            </w:tcBorders>
            <w:vAlign w:val="center"/>
          </w:tcPr>
          <w:p>
            <w:pPr>
              <w:adjustRightInd w:val="0"/>
              <w:snapToGrid w:val="0"/>
              <w:jc w:val="cente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噪声源叠加源强（</w:t>
            </w:r>
            <w:r>
              <w:rPr>
                <w:rFonts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dB（A）</w:t>
            </w:r>
            <w:r>
              <w:rPr>
                <w:rFonts w:hint="eastAsia" w:cs="Times New Roman" w:asciiTheme="minorEastAsia" w:hAnsiTheme="minorEastAsia"/>
                <w:b/>
                <w:color w:val="0D0D0D" w:themeColor="text1" w:themeTint="F2"/>
                <w:sz w:val="18"/>
                <w:szCs w:val="18"/>
                <w14:textFill>
                  <w14:solidFill>
                    <w14:schemeClr w14:val="tx1">
                      <w14:lumMod w14:val="95000"/>
                      <w14:lumOff w14:val="5000"/>
                    </w14:schemeClr>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restart"/>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生产车间</w:t>
            </w:r>
          </w:p>
        </w:tc>
        <w:tc>
          <w:tcPr>
            <w:tcW w:w="647" w:type="dxa"/>
            <w:tcBorders>
              <w:left w:val="single" w:color="auto" w:sz="4"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936" w:type="dxa"/>
            <w:tcBorders>
              <w:bottom w:val="single" w:color="auto" w:sz="2" w:space="0"/>
            </w:tcBorders>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进料机</w:t>
            </w:r>
          </w:p>
        </w:tc>
        <w:tc>
          <w:tcPr>
            <w:tcW w:w="709" w:type="dxa"/>
            <w:tcBorders>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1134" w:type="dxa"/>
            <w:tcBorders>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1188"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w:t>
            </w:r>
          </w:p>
        </w:tc>
        <w:tc>
          <w:tcPr>
            <w:tcW w:w="1275" w:type="dxa"/>
            <w:tcBorders>
              <w:top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75.79</w:t>
            </w:r>
          </w:p>
        </w:tc>
        <w:tc>
          <w:tcPr>
            <w:tcW w:w="1081" w:type="dxa"/>
            <w:vMerge w:val="restart"/>
            <w:tcBorders>
              <w:top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83.95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936" w:type="dxa"/>
            <w:tcBorders>
              <w:bottom w:val="single" w:color="auto" w:sz="2" w:space="0"/>
            </w:tcBorders>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送风机</w:t>
            </w:r>
          </w:p>
        </w:tc>
        <w:tc>
          <w:tcPr>
            <w:tcW w:w="709" w:type="dxa"/>
            <w:tcBorders>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w:t>
            </w:r>
          </w:p>
        </w:tc>
        <w:tc>
          <w:tcPr>
            <w:tcW w:w="1134" w:type="dxa"/>
            <w:tcBorders>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80</w:t>
            </w:r>
          </w:p>
        </w:tc>
        <w:tc>
          <w:tcPr>
            <w:tcW w:w="1188"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1134" w:type="dxa"/>
            <w:tcBorders>
              <w:top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w:t>
            </w:r>
          </w:p>
        </w:tc>
        <w:tc>
          <w:tcPr>
            <w:tcW w:w="1275" w:type="dxa"/>
            <w:tcBorders>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76.16</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w:t>
            </w:r>
          </w:p>
        </w:tc>
        <w:tc>
          <w:tcPr>
            <w:tcW w:w="936"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出渣机</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1134" w:type="dxa"/>
            <w:tcBorders>
              <w:top w:val="single" w:color="auto" w:sz="2"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1188"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w:t>
            </w:r>
          </w:p>
        </w:tc>
        <w:tc>
          <w:tcPr>
            <w:tcW w:w="1275"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75.79</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w:t>
            </w:r>
          </w:p>
        </w:tc>
        <w:tc>
          <w:tcPr>
            <w:tcW w:w="936"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引风机</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1134" w:type="dxa"/>
            <w:tcBorders>
              <w:top w:val="single" w:color="auto" w:sz="4"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80</w:t>
            </w:r>
          </w:p>
        </w:tc>
        <w:tc>
          <w:tcPr>
            <w:tcW w:w="1188"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1134"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w:t>
            </w:r>
          </w:p>
        </w:tc>
        <w:tc>
          <w:tcPr>
            <w:tcW w:w="1275" w:type="dxa"/>
            <w:tcBorders>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75.79</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w:t>
            </w:r>
          </w:p>
        </w:tc>
        <w:tc>
          <w:tcPr>
            <w:tcW w:w="936"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包装机</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1134" w:type="dxa"/>
            <w:tcBorders>
              <w:top w:val="single" w:color="auto" w:sz="2"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1188"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1275" w:type="dxa"/>
            <w:tcBorders>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70.79</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w:t>
            </w:r>
          </w:p>
        </w:tc>
        <w:tc>
          <w:tcPr>
            <w:tcW w:w="936"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循环泵</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1134" w:type="dxa"/>
            <w:tcBorders>
              <w:top w:val="single" w:color="auto" w:sz="2"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72</w:t>
            </w:r>
          </w:p>
        </w:tc>
        <w:tc>
          <w:tcPr>
            <w:tcW w:w="1188"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62</w:t>
            </w:r>
          </w:p>
        </w:tc>
        <w:tc>
          <w:tcPr>
            <w:tcW w:w="1275"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72.79</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w:t>
            </w:r>
          </w:p>
        </w:tc>
        <w:tc>
          <w:tcPr>
            <w:tcW w:w="936" w:type="dxa"/>
            <w:vAlign w:val="center"/>
          </w:tcPr>
          <w:p>
            <w:pPr>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减速机</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1134" w:type="dxa"/>
            <w:tcBorders>
              <w:top w:val="single" w:color="auto" w:sz="2"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188"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1275"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70.79</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w:t>
            </w:r>
          </w:p>
        </w:tc>
        <w:tc>
          <w:tcPr>
            <w:tcW w:w="936" w:type="dxa"/>
            <w:vAlign w:val="center"/>
          </w:tcPr>
          <w:p>
            <w:pPr>
              <w:ind w:firstLine="180" w:firstLineChars="100"/>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电机</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30</w:t>
            </w:r>
          </w:p>
        </w:tc>
        <w:tc>
          <w:tcPr>
            <w:tcW w:w="1134" w:type="dxa"/>
            <w:tcBorders>
              <w:top w:val="single" w:color="auto" w:sz="2" w:space="0"/>
              <w:bottom w:val="single" w:color="auto" w:sz="2"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1188"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1275"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74.77</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w:t>
            </w:r>
          </w:p>
        </w:tc>
        <w:tc>
          <w:tcPr>
            <w:tcW w:w="936" w:type="dxa"/>
            <w:vAlign w:val="center"/>
          </w:tcPr>
          <w:p>
            <w:pPr>
              <w:tabs>
                <w:tab w:val="left" w:pos="6096"/>
              </w:tabs>
              <w:spacing w:line="280" w:lineRule="exact"/>
              <w:jc w:val="center"/>
              <w:rPr>
                <w:rFonts w:cs="Times New Roman" w:asciiTheme="minorEastAsia" w:hAnsiTheme="minorEastAsia"/>
                <w:color w:val="0D0D0D" w:themeColor="text1" w:themeTint="F2"/>
                <w:kern w:val="24"/>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叉车</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134" w:type="dxa"/>
            <w:tcBorders>
              <w:top w:val="single" w:color="auto" w:sz="2" w:space="0"/>
            </w:tcBorders>
            <w:vAlign w:val="center"/>
          </w:tcPr>
          <w:p>
            <w:pPr>
              <w:tabs>
                <w:tab w:val="left" w:pos="6096"/>
              </w:tabs>
              <w:spacing w:line="280" w:lineRule="exac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90</w:t>
            </w:r>
          </w:p>
        </w:tc>
        <w:tc>
          <w:tcPr>
            <w:tcW w:w="1188" w:type="dxa"/>
            <w:tcBorders>
              <w:top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134" w:type="dxa"/>
            <w:tcBorders>
              <w:top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1275" w:type="dxa"/>
            <w:tcBorders>
              <w:top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73.01</w:t>
            </w:r>
          </w:p>
        </w:tc>
        <w:tc>
          <w:tcPr>
            <w:tcW w:w="1081" w:type="dxa"/>
            <w:vMerge w:val="continue"/>
            <w:tcBorders>
              <w:top w:val="single" w:color="auto" w:sz="4"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废气处理区</w:t>
            </w:r>
          </w:p>
        </w:tc>
        <w:tc>
          <w:tcPr>
            <w:tcW w:w="647" w:type="dxa"/>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w:t>
            </w:r>
          </w:p>
        </w:tc>
        <w:tc>
          <w:tcPr>
            <w:tcW w:w="936" w:type="dxa"/>
            <w:vAlign w:val="center"/>
          </w:tcPr>
          <w:p>
            <w:pPr>
              <w:tabs>
                <w:tab w:val="left" w:pos="6096"/>
              </w:tabs>
              <w:spacing w:line="280" w:lineRule="exac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风机</w:t>
            </w:r>
          </w:p>
        </w:tc>
        <w:tc>
          <w:tcPr>
            <w:tcW w:w="709" w:type="dxa"/>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16</w:t>
            </w:r>
          </w:p>
        </w:tc>
        <w:tc>
          <w:tcPr>
            <w:tcW w:w="1134" w:type="dxa"/>
            <w:tcBorders>
              <w:top w:val="single" w:color="auto" w:sz="2" w:space="0"/>
              <w:bottom w:val="single" w:color="auto" w:sz="2" w:space="0"/>
            </w:tcBorders>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85</w:t>
            </w:r>
          </w:p>
        </w:tc>
        <w:tc>
          <w:tcPr>
            <w:tcW w:w="1188"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1134"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1275" w:type="dxa"/>
            <w:tcBorders>
              <w:top w:val="single" w:color="auto" w:sz="2"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82.02</w:t>
            </w:r>
          </w:p>
        </w:tc>
        <w:tc>
          <w:tcPr>
            <w:tcW w:w="1081" w:type="dxa"/>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7" w:hRule="atLeast"/>
          <w:jc w:val="center"/>
        </w:trPr>
        <w:tc>
          <w:tcPr>
            <w:tcW w:w="647" w:type="dxa"/>
            <w:vMerge w:val="restart"/>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废水处理区</w:t>
            </w:r>
          </w:p>
        </w:tc>
        <w:tc>
          <w:tcPr>
            <w:tcW w:w="647" w:type="dxa"/>
            <w:tcBorders>
              <w:left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936" w:type="dxa"/>
            <w:tcBorders>
              <w:bottom w:val="single" w:color="auto" w:sz="4" w:space="0"/>
            </w:tcBorders>
            <w:vAlign w:val="center"/>
          </w:tcPr>
          <w:p>
            <w:pPr>
              <w:tabs>
                <w:tab w:val="left" w:pos="6096"/>
              </w:tabs>
              <w:spacing w:line="280" w:lineRule="exac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水泵</w:t>
            </w:r>
          </w:p>
        </w:tc>
        <w:tc>
          <w:tcPr>
            <w:tcW w:w="709" w:type="dxa"/>
            <w:tcBorders>
              <w:bottom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w:t>
            </w:r>
          </w:p>
        </w:tc>
        <w:tc>
          <w:tcPr>
            <w:tcW w:w="1134" w:type="dxa"/>
            <w:tcBorders>
              <w:top w:val="single" w:color="auto" w:sz="2" w:space="0"/>
              <w:bottom w:val="single" w:color="auto" w:sz="4" w:space="0"/>
            </w:tcBorders>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1188"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1275"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66.02</w:t>
            </w:r>
          </w:p>
        </w:tc>
        <w:tc>
          <w:tcPr>
            <w:tcW w:w="1081" w:type="dxa"/>
            <w:vMerge w:val="restart"/>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28"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top w:val="single" w:color="auto" w:sz="4" w:space="0"/>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w:t>
            </w:r>
          </w:p>
        </w:tc>
        <w:tc>
          <w:tcPr>
            <w:tcW w:w="936" w:type="dxa"/>
            <w:tcBorders>
              <w:top w:val="single" w:color="auto" w:sz="4" w:space="0"/>
            </w:tcBorders>
            <w:vAlign w:val="center"/>
          </w:tcPr>
          <w:p>
            <w:pPr>
              <w:tabs>
                <w:tab w:val="left" w:pos="6096"/>
              </w:tabs>
              <w:spacing w:line="280" w:lineRule="exac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空压机</w:t>
            </w:r>
          </w:p>
        </w:tc>
        <w:tc>
          <w:tcPr>
            <w:tcW w:w="709"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134" w:type="dxa"/>
            <w:tcBorders>
              <w:top w:val="single" w:color="auto" w:sz="4" w:space="0"/>
              <w:bottom w:val="single" w:color="auto" w:sz="2" w:space="0"/>
            </w:tcBorders>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85</w:t>
            </w:r>
          </w:p>
        </w:tc>
        <w:tc>
          <w:tcPr>
            <w:tcW w:w="1188"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1275"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78.01</w:t>
            </w:r>
          </w:p>
        </w:tc>
        <w:tc>
          <w:tcPr>
            <w:tcW w:w="1081" w:type="dxa"/>
            <w:vMerge w:val="continue"/>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6" w:hRule="atLeast"/>
          <w:jc w:val="center"/>
        </w:trPr>
        <w:tc>
          <w:tcPr>
            <w:tcW w:w="647" w:type="dxa"/>
            <w:vMerge w:val="restart"/>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冷却水处理区</w:t>
            </w:r>
          </w:p>
        </w:tc>
        <w:tc>
          <w:tcPr>
            <w:tcW w:w="647" w:type="dxa"/>
            <w:tcBorders>
              <w:left w:val="single" w:color="auto" w:sz="4" w:space="0"/>
              <w:bottom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w:t>
            </w:r>
          </w:p>
        </w:tc>
        <w:tc>
          <w:tcPr>
            <w:tcW w:w="936" w:type="dxa"/>
            <w:tcBorders>
              <w:bottom w:val="single" w:color="auto" w:sz="4" w:space="0"/>
            </w:tcBorders>
            <w:vAlign w:val="center"/>
          </w:tcPr>
          <w:p>
            <w:pPr>
              <w:tabs>
                <w:tab w:val="left" w:pos="6096"/>
              </w:tabs>
              <w:spacing w:line="280" w:lineRule="exac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冷却塔</w:t>
            </w:r>
          </w:p>
        </w:tc>
        <w:tc>
          <w:tcPr>
            <w:tcW w:w="709" w:type="dxa"/>
            <w:tcBorders>
              <w:bottom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134" w:type="dxa"/>
            <w:tcBorders>
              <w:top w:val="single" w:color="auto" w:sz="2" w:space="0"/>
              <w:bottom w:val="single" w:color="auto" w:sz="4" w:space="0"/>
            </w:tcBorders>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85</w:t>
            </w:r>
          </w:p>
        </w:tc>
        <w:tc>
          <w:tcPr>
            <w:tcW w:w="1188"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75</w:t>
            </w:r>
          </w:p>
        </w:tc>
        <w:tc>
          <w:tcPr>
            <w:tcW w:w="1275" w:type="dxa"/>
            <w:tcBorders>
              <w:top w:val="single" w:color="auto" w:sz="2" w:space="0"/>
              <w:bottom w:val="single" w:color="auto" w:sz="4"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78.01</w:t>
            </w:r>
          </w:p>
        </w:tc>
        <w:tc>
          <w:tcPr>
            <w:tcW w:w="1081" w:type="dxa"/>
            <w:vMerge w:val="restart"/>
            <w:tcBorders>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6" w:hRule="atLeast"/>
          <w:jc w:val="center"/>
        </w:trPr>
        <w:tc>
          <w:tcPr>
            <w:tcW w:w="647" w:type="dxa"/>
            <w:vMerge w:val="continue"/>
            <w:tcBorders>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647" w:type="dxa"/>
            <w:tcBorders>
              <w:top w:val="single" w:color="auto" w:sz="4" w:space="0"/>
              <w:lef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15</w:t>
            </w:r>
          </w:p>
        </w:tc>
        <w:tc>
          <w:tcPr>
            <w:tcW w:w="936" w:type="dxa"/>
            <w:tcBorders>
              <w:top w:val="single" w:color="auto" w:sz="4" w:space="0"/>
            </w:tcBorders>
            <w:vAlign w:val="center"/>
          </w:tcPr>
          <w:p>
            <w:pPr>
              <w:tabs>
                <w:tab w:val="left" w:pos="6096"/>
              </w:tabs>
              <w:spacing w:line="280" w:lineRule="exact"/>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水泵</w:t>
            </w:r>
          </w:p>
        </w:tc>
        <w:tc>
          <w:tcPr>
            <w:tcW w:w="709" w:type="dxa"/>
            <w:tcBorders>
              <w:top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w:t>
            </w:r>
          </w:p>
        </w:tc>
        <w:tc>
          <w:tcPr>
            <w:tcW w:w="1134" w:type="dxa"/>
            <w:tcBorders>
              <w:top w:val="single" w:color="auto" w:sz="4" w:space="0"/>
              <w:bottom w:val="single" w:color="auto" w:sz="2" w:space="0"/>
            </w:tcBorders>
            <w:vAlign w:val="center"/>
          </w:tcPr>
          <w:p>
            <w:pPr>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1188"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1134"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1275" w:type="dxa"/>
            <w:tcBorders>
              <w:top w:val="single" w:color="auto" w:sz="4" w:space="0"/>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66.02</w:t>
            </w:r>
          </w:p>
        </w:tc>
        <w:tc>
          <w:tcPr>
            <w:tcW w:w="1081" w:type="dxa"/>
            <w:vMerge w:val="continue"/>
            <w:tcBorders>
              <w:bottom w:val="single" w:color="auto" w:sz="2" w:space="0"/>
              <w:right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p>
        </w:tc>
      </w:tr>
      <w:bookmarkEnd w:id="89"/>
      <w:bookmarkEnd w:id="90"/>
    </w:tbl>
    <w:p>
      <w:pPr>
        <w:tabs>
          <w:tab w:val="left" w:pos="0"/>
        </w:tabs>
        <w:adjustRightInd w:val="0"/>
        <w:snapToGrid w:val="0"/>
        <w:spacing w:before="156" w:beforeLines="50" w:line="360" w:lineRule="auto"/>
        <w:outlineLvl w:val="3"/>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bookmarkStart w:id="91" w:name="_Toc354648154"/>
      <w:bookmarkStart w:id="92" w:name="_Toc354648798"/>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5.2.4.</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 xml:space="preserve"> 预测模式</w:t>
      </w:r>
      <w:bookmarkEnd w:id="91"/>
      <w:bookmarkEnd w:id="92"/>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根据本项目主要高噪声设备的分布状况和车间外源强，计算出各声源对厂界的噪声贡献值，然后采用噪声叠加模式进行预测，公式如下：</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（1）无指向性点声源的几何发散衰减公式：</w:t>
      </w:r>
    </w:p>
    <w:p>
      <w:pPr>
        <w:adjustRightInd w:val="0"/>
        <w:snapToGrid w:val="0"/>
        <w:spacing w:line="360" w:lineRule="auto"/>
        <w:ind w:firstLine="560" w:firstLineChars="200"/>
        <w:jc w:val="center"/>
        <w:rPr>
          <w:rFonts w:cs="Times New Roman" w:asciiTheme="minorEastAsia" w:hAnsiTheme="minorEastAsia"/>
          <w:bCs/>
          <w:color w:val="0D0D0D" w:themeColor="text1" w:themeTint="F2"/>
          <w:sz w:val="28"/>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position w:val="-12"/>
          <w:sz w:val="28"/>
          <w:szCs w:val="24"/>
          <w14:textFill>
            <w14:solidFill>
              <w14:schemeClr w14:val="tx1">
                <w14:lumMod w14:val="95000"/>
                <w14:lumOff w14:val="5000"/>
              </w14:schemeClr>
            </w14:solidFill>
          </w14:textFill>
        </w:rPr>
        <w:object>
          <v:shape id="_x0000_i1027" o:spt="75" type="#_x0000_t75" style="height:18.35pt;width:136.55pt;" o:ole="t" filled="f" o:preferrelative="t" stroked="f" coordsize="21600,21600">
            <v:path/>
            <v:fill on="f" focussize="0,0"/>
            <v:stroke on="f" joinstyle="miter"/>
            <v:imagedata r:id="rId47" o:title=""/>
            <o:lock v:ext="edit" aspectratio="t"/>
            <w10:wrap type="none"/>
            <w10:anchorlock/>
          </v:shape>
          <o:OLEObject Type="Embed" ProgID="Equation.3" ShapeID="_x0000_i1027" DrawAspect="Content" ObjectID="_1468075727" r:id="rId46">
            <o:LockedField>false</o:LockedField>
          </o:OLEObject>
        </w:objec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式中：</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P</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(r)</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——距离噪声源r处的等效A声级值，dB(A)；</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P</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(r</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0</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——距离噪声源r</w:t>
      </w:r>
      <w:r>
        <w:rPr>
          <w:rFonts w:cs="Times New Roman" w:asciiTheme="minorEastAsia" w:hAnsiTheme="minorEastAsia"/>
          <w:bCs/>
          <w:color w:val="0D0D0D" w:themeColor="text1" w:themeTint="F2"/>
          <w:sz w:val="24"/>
          <w:szCs w:val="24"/>
          <w:vertAlign w:val="subscript"/>
          <w14:textFill>
            <w14:solidFill>
              <w14:schemeClr w14:val="tx1">
                <w14:lumMod w14:val="95000"/>
                <w14:lumOff w14:val="5000"/>
              </w14:schemeClr>
            </w14:solidFill>
          </w14:textFill>
        </w:rPr>
        <w:t>0</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处的等效A声级值，dB(A)；</w:t>
      </w:r>
    </w:p>
    <w:p>
      <w:pPr>
        <w:tabs>
          <w:tab w:val="left" w:pos="0"/>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r</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 xml:space="preserve"> ——预测点距噪声源距离，（m）；</w:t>
      </w:r>
    </w:p>
    <w:p>
      <w:pPr>
        <w:tabs>
          <w:tab w:val="left" w:pos="0"/>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r</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0</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——源强外1m处。</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（2）建设项目声源在预测点产生的等效声级贡献值（</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eqg</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）计算公式：</w:t>
      </w:r>
    </w:p>
    <w:p>
      <w:pPr>
        <w:adjustRightInd w:val="0"/>
        <w:snapToGrid w:val="0"/>
        <w:spacing w:line="360" w:lineRule="auto"/>
        <w:ind w:firstLine="560" w:firstLineChars="200"/>
        <w:jc w:val="center"/>
        <w:rPr>
          <w:rFonts w:cs="Times New Roman" w:asciiTheme="minorEastAsia" w:hAnsiTheme="minorEastAsia"/>
          <w:bCs/>
          <w:color w:val="0D0D0D" w:themeColor="text1" w:themeTint="F2"/>
          <w:sz w:val="28"/>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position w:val="-28"/>
          <w:sz w:val="28"/>
          <w:szCs w:val="24"/>
          <w14:textFill>
            <w14:solidFill>
              <w14:schemeClr w14:val="tx1">
                <w14:lumMod w14:val="95000"/>
                <w14:lumOff w14:val="5000"/>
              </w14:schemeClr>
            </w14:solidFill>
          </w14:textFill>
        </w:rPr>
        <w:object>
          <v:shape id="_x0000_i1028" o:spt="75" type="#_x0000_t75" style="height:32.6pt;width:146.05pt;" o:ole="t" filled="f" o:preferrelative="t" stroked="f" coordsize="21600,21600">
            <v:path/>
            <v:fill on="f" focussize="0,0"/>
            <v:stroke on="f" joinstyle="miter"/>
            <v:imagedata r:id="rId49" o:title=""/>
            <o:lock v:ext="edit" aspectratio="t"/>
            <w10:wrap type="none"/>
            <w10:anchorlock/>
          </v:shape>
          <o:OLEObject Type="Embed" ProgID="Equation.3" ShapeID="_x0000_i1028" DrawAspect="Content" ObjectID="_1468075728" r:id="rId48">
            <o:LockedField>false</o:LockedField>
          </o:OLEObject>
        </w:objec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式中：</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eqg</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——建设项目声源在预测点的等效声级贡献值，dB(A)；</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Ai</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i</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声源在预测点产生的A声级，dB(A)；</w:t>
      </w:r>
    </w:p>
    <w:p>
      <w:pPr>
        <w:tabs>
          <w:tab w:val="left" w:pos="0"/>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T</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 xml:space="preserve"> ——预测计算的时间段，s；</w:t>
      </w:r>
    </w:p>
    <w:p>
      <w:pPr>
        <w:tabs>
          <w:tab w:val="left" w:pos="0"/>
        </w:tabs>
        <w:adjustRightInd w:val="0"/>
        <w:snapToGrid w:val="0"/>
        <w:spacing w:line="360" w:lineRule="auto"/>
        <w:ind w:firstLine="480" w:firstLineChars="200"/>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t</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i</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i</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声源在</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T</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时段内的运行时间，s。</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（3）预测点的预测等效声级（</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eq</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）计算公式：</w:t>
      </w:r>
    </w:p>
    <w:p>
      <w:pPr>
        <w:adjustRightInd w:val="0"/>
        <w:snapToGrid w:val="0"/>
        <w:spacing w:line="360" w:lineRule="auto"/>
        <w:ind w:firstLine="480" w:firstLineChars="20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position w:val="-14"/>
          <w:sz w:val="24"/>
          <w:szCs w:val="24"/>
          <w14:textFill>
            <w14:solidFill>
              <w14:schemeClr w14:val="tx1">
                <w14:lumMod w14:val="95000"/>
                <w14:lumOff w14:val="5000"/>
              </w14:schemeClr>
            </w14:solidFill>
          </w14:textFill>
        </w:rPr>
        <w:object>
          <v:shape id="_x0000_i1029" o:spt="75" type="#_x0000_t75" style="height:28.55pt;width:167.1pt;" o:ole="t" filled="f" o:preferrelative="t" stroked="f" coordsize="21600,21600">
            <v:path/>
            <v:fill on="f" focussize="0,0"/>
            <v:stroke on="f" joinstyle="miter"/>
            <v:imagedata r:id="rId51" o:title=""/>
            <o:lock v:ext="edit" aspectratio="t"/>
            <w10:wrap type="none"/>
            <w10:anchorlock/>
          </v:shape>
          <o:OLEObject Type="Embed" ProgID="Equation.3" ShapeID="_x0000_i1029" DrawAspect="Content" ObjectID="_1468075729" r:id="rId50">
            <o:LockedField>false</o:LockedField>
          </o:OLEObject>
        </w:objec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式中：</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eqg</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——建设项目声源在预测点的等效声级贡献值，dB(A)；</w:t>
      </w:r>
    </w:p>
    <w:p>
      <w:pPr>
        <w:tabs>
          <w:tab w:val="left" w:pos="0"/>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eqb</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——预测点的背景值，dB(A)。</w:t>
      </w:r>
    </w:p>
    <w:p>
      <w:pPr>
        <w:tabs>
          <w:tab w:val="left" w:pos="0"/>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（4）有限长声源预测等效声级（</w:t>
      </w:r>
      <w:r>
        <w:rPr>
          <w:rFonts w:cs="Times New Roman" w:asciiTheme="minorEastAsia" w:hAnsiTheme="minorEastAsia"/>
          <w:bCs/>
          <w:i/>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i/>
          <w:color w:val="0D0D0D" w:themeColor="text1" w:themeTint="F2"/>
          <w:sz w:val="24"/>
          <w:szCs w:val="24"/>
          <w:vertAlign w:val="subscript"/>
          <w14:textFill>
            <w14:solidFill>
              <w14:schemeClr w14:val="tx1">
                <w14:lumMod w14:val="95000"/>
                <w14:lumOff w14:val="5000"/>
              </w14:schemeClr>
            </w14:solidFill>
          </w14:textFill>
        </w:rPr>
        <w:t>eq</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）计算公式：</w:t>
      </w:r>
    </w:p>
    <w:p>
      <w:pPr>
        <w:tabs>
          <w:tab w:val="left" w:pos="0"/>
        </w:tabs>
        <w:adjustRightInd w:val="0"/>
        <w:snapToGrid w:val="0"/>
        <w:spacing w:line="360" w:lineRule="auto"/>
        <w:ind w:firstLine="480" w:firstLineChars="200"/>
        <w:jc w:val="cente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drawing>
          <wp:inline distT="0" distB="0" distL="0" distR="0">
            <wp:extent cx="2152650" cy="381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152650" cy="381000"/>
                    </a:xfrm>
                    <a:prstGeom prst="rect">
                      <a:avLst/>
                    </a:prstGeom>
                    <a:noFill/>
                    <a:ln>
                      <a:noFill/>
                    </a:ln>
                    <a:effectLst/>
                  </pic:spPr>
                </pic:pic>
              </a:graphicData>
            </a:graphic>
          </wp:inline>
        </w:drawing>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式中：</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color w:val="0D0D0D" w:themeColor="text1" w:themeTint="F2"/>
          <w:sz w:val="24"/>
          <w:szCs w:val="24"/>
          <w:vertAlign w:val="subscript"/>
          <w14:textFill>
            <w14:solidFill>
              <w14:schemeClr w14:val="tx1">
                <w14:lumMod w14:val="95000"/>
                <w14:lumOff w14:val="5000"/>
              </w14:schemeClr>
            </w14:solidFill>
          </w14:textFill>
        </w:rPr>
        <w:t>eqg</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——在线声源垂直平分线上距声源r处的声压级，dB(A)；</w:t>
      </w:r>
    </w:p>
    <w:p>
      <w:pPr>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color w:val="0D0D0D" w:themeColor="text1" w:themeTint="F2"/>
          <w:sz w:val="24"/>
          <w:szCs w:val="24"/>
          <w:vertAlign w:val="subscript"/>
          <w14:textFill>
            <w14:solidFill>
              <w14:schemeClr w14:val="tx1">
                <w14:lumMod w14:val="95000"/>
                <w14:lumOff w14:val="5000"/>
              </w14:schemeClr>
            </w14:solidFill>
          </w14:textFill>
        </w:rPr>
        <w:t>0</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——线声源长度，m；</w:t>
      </w:r>
    </w:p>
    <w:p>
      <w:pPr>
        <w:tabs>
          <w:tab w:val="left" w:pos="0"/>
        </w:tabs>
        <w:adjustRightInd w:val="0"/>
        <w:snapToGrid w:val="0"/>
        <w:spacing w:line="360" w:lineRule="auto"/>
        <w:ind w:firstLine="480" w:firstLineChars="200"/>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L</w:t>
      </w:r>
      <w:r>
        <w:rPr>
          <w:rFonts w:cs="Times New Roman" w:asciiTheme="minorEastAsia" w:hAnsiTheme="minorEastAsia"/>
          <w:bCs/>
          <w:color w:val="0D0D0D" w:themeColor="text1" w:themeTint="F2"/>
          <w:sz w:val="24"/>
          <w:szCs w:val="24"/>
          <w:vertAlign w:val="subscript"/>
          <w14:textFill>
            <w14:solidFill>
              <w14:schemeClr w14:val="tx1">
                <w14:lumMod w14:val="95000"/>
                <w14:lumOff w14:val="5000"/>
              </w14:schemeClr>
            </w14:solidFill>
          </w14:textFill>
        </w:rPr>
        <w:t>w</w:t>
      </w:r>
      <w:r>
        <w:rPr>
          <w:rFonts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 xml:space="preserve"> ——单位长度线声源辐射的倍频带声功率级。</w:t>
      </w:r>
    </w:p>
    <w:p>
      <w:pPr>
        <w:tabs>
          <w:tab w:val="left" w:pos="0"/>
        </w:tabs>
        <w:adjustRightInd w:val="0"/>
        <w:snapToGrid w:val="0"/>
        <w:spacing w:line="360" w:lineRule="auto"/>
        <w:outlineLvl w:val="3"/>
        <w:rPr>
          <w:rFonts w:cs="Times New Roman" w:asciiTheme="minorEastAsia" w:hAnsiTheme="minorEastAsia"/>
          <w:bCs/>
          <w:color w:val="0D0D0D" w:themeColor="text1" w:themeTint="F2"/>
          <w:kern w:val="0"/>
          <w:sz w:val="24"/>
          <w:szCs w:val="28"/>
          <w14:textFill>
            <w14:solidFill>
              <w14:schemeClr w14:val="tx1">
                <w14:lumMod w14:val="95000"/>
                <w14:lumOff w14:val="5000"/>
              </w14:schemeClr>
            </w14:solidFill>
          </w14:textFill>
        </w:rPr>
      </w:pPr>
      <w:bookmarkStart w:id="93" w:name="_Toc354648155"/>
      <w:bookmarkStart w:id="94" w:name="_Toc354648799"/>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5.2.4.5 预测结果及评价</w:t>
      </w:r>
      <w:bookmarkEnd w:id="93"/>
      <w:bookmarkEnd w:id="94"/>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分析</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噪声在室外空间的传播，由于受到遮挡物的隔断，各种介质的吸收与反射以及空气介质的吸收等物理作用而逐渐减弱。为了简化计算条件并能考虑到最不利因素，计算时只考虑噪声随距离的衰减。</w:t>
      </w:r>
    </w:p>
    <w:p>
      <w:pPr>
        <w:spacing w:line="360" w:lineRule="auto"/>
        <w:ind w:firstLine="480" w:firstLineChars="200"/>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根据项目噪声源的分布情况，利用以上预测模式和参数，</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项目运行期</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噪声预测结果见表5</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14:textFill>
            <w14:solidFill>
              <w14:schemeClr w14:val="tx1">
                <w14:lumMod w14:val="95000"/>
                <w14:lumOff w14:val="5000"/>
              </w14:schemeClr>
            </w14:solidFill>
          </w14:textFill>
        </w:rPr>
        <w:t>33；预测等声级线图见下图5.2-4。</w:t>
      </w:r>
    </w:p>
    <w:p>
      <w:pPr>
        <w:spacing w:line="360" w:lineRule="auto"/>
        <w:ind w:firstLine="480" w:firstLineChars="200"/>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p>
    <w:p>
      <w:pPr>
        <w:spacing w:line="360" w:lineRule="auto"/>
        <w:ind w:firstLine="480" w:firstLineChars="200"/>
        <w:rPr>
          <w:rFonts w:cs="Times New Roman" w:asciiTheme="minorEastAsia" w:hAnsiTheme="minorEastAsia"/>
          <w:color w:val="0D0D0D" w:themeColor="text1" w:themeTint="F2"/>
          <w:sz w:val="24"/>
          <w14:textFill>
            <w14:solidFill>
              <w14:schemeClr w14:val="tx1">
                <w14:lumMod w14:val="95000"/>
                <w14:lumOff w14:val="5000"/>
              </w14:schemeClr>
            </w14:solidFill>
          </w14:textFill>
        </w:rPr>
      </w:pPr>
    </w:p>
    <w:p>
      <w:pPr>
        <w:spacing w:line="360" w:lineRule="auto"/>
        <w:ind w:firstLine="42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anchor distT="0" distB="0" distL="114300" distR="114300" simplePos="0" relativeHeight="252073984" behindDoc="0" locked="0" layoutInCell="1" allowOverlap="1">
            <wp:simplePos x="0" y="0"/>
            <wp:positionH relativeFrom="column">
              <wp:posOffset>19050</wp:posOffset>
            </wp:positionH>
            <wp:positionV relativeFrom="paragraph">
              <wp:posOffset>66675</wp:posOffset>
            </wp:positionV>
            <wp:extent cx="5274310" cy="3361055"/>
            <wp:effectExtent l="0" t="0" r="2540" b="10795"/>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274310" cy="3361055"/>
                    </a:xfrm>
                    <a:prstGeom prst="rect">
                      <a:avLst/>
                    </a:prstGeom>
                  </pic:spPr>
                </pic:pic>
              </a:graphicData>
            </a:graphic>
          </wp:anchor>
        </w:drawing>
      </w: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snapToGrid w:val="0"/>
        <w:spacing w:line="360" w:lineRule="auto"/>
        <w:ind w:firstLine="482" w:firstLineChars="200"/>
        <w:jc w:val="center"/>
        <w:rPr>
          <w:rFonts w:cs="Times New Roman" w:asciiTheme="minorEastAsia" w:hAnsiTheme="minorEastAsia"/>
          <w:b/>
          <w:color w:val="0D0D0D" w:themeColor="text1" w:themeTint="F2"/>
          <w:sz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14:textFill>
            <w14:solidFill>
              <w14:schemeClr w14:val="tx1">
                <w14:lumMod w14:val="95000"/>
                <w14:lumOff w14:val="5000"/>
              </w14:schemeClr>
            </w14:solidFill>
          </w14:textFill>
        </w:rPr>
        <w:t>图5.2-4         工程运行期噪声贡献值分布图</w:t>
      </w:r>
    </w:p>
    <w:p>
      <w:pPr>
        <w:tabs>
          <w:tab w:val="left" w:pos="7275"/>
        </w:tabs>
        <w:spacing w:line="360" w:lineRule="auto"/>
        <w:ind w:firstLine="961" w:firstLineChars="399"/>
        <w:jc w:val="left"/>
        <w:rPr>
          <w:rFonts w:cs="Times New Roman" w:asciiTheme="majorEastAsia" w:hAnsiTheme="majorEastAsia" w:eastAsiaTheme="majorEastAsia"/>
          <w:color w:val="0D0D0D" w:themeColor="text1" w:themeTint="F2"/>
          <w:sz w:val="24"/>
          <w:szCs w:val="24"/>
          <w14:textFill>
            <w14:solidFill>
              <w14:schemeClr w14:val="tx1">
                <w14:lumMod w14:val="95000"/>
                <w14:lumOff w14:val="5000"/>
              </w14:schemeClr>
            </w14:solidFill>
          </w14:textFill>
        </w:rPr>
      </w:pPr>
      <w:r>
        <w:rPr>
          <w:rFonts w:cs="Times New Roman" w:asciiTheme="majorEastAsia" w:hAnsiTheme="majorEastAsia" w:eastAsiaTheme="majorEastAsia"/>
          <w:b/>
          <w:color w:val="0D0D0D" w:themeColor="text1" w:themeTint="F2"/>
          <w:sz w:val="24"/>
          <w:szCs w:val="24"/>
          <w14:textFill>
            <w14:solidFill>
              <w14:schemeClr w14:val="tx1">
                <w14:lumMod w14:val="95000"/>
                <w14:lumOff w14:val="5000"/>
              </w14:schemeClr>
            </w14:solidFill>
          </w14:textFill>
        </w:rPr>
        <w:t>表5</w:t>
      </w:r>
      <w:r>
        <w:rPr>
          <w:rFonts w:hint="eastAsia" w:cs="Times New Roman" w:asciiTheme="majorEastAsia" w:hAnsiTheme="majorEastAsia" w:eastAsiaTheme="majorEastAsia"/>
          <w:b/>
          <w:color w:val="0D0D0D" w:themeColor="text1" w:themeTint="F2"/>
          <w:sz w:val="24"/>
          <w:szCs w:val="24"/>
          <w14:textFill>
            <w14:solidFill>
              <w14:schemeClr w14:val="tx1">
                <w14:lumMod w14:val="95000"/>
                <w14:lumOff w14:val="5000"/>
              </w14:schemeClr>
            </w14:solidFill>
          </w14:textFill>
        </w:rPr>
        <w:t>.2</w:t>
      </w:r>
      <w:r>
        <w:rPr>
          <w:rFonts w:cs="Times New Roman" w:asciiTheme="majorEastAsia" w:hAnsiTheme="majorEastAsia" w:eastAsiaTheme="maj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ajorEastAsia" w:hAnsiTheme="majorEastAsia" w:eastAsiaTheme="majorEastAsia"/>
          <w:b/>
          <w:color w:val="0D0D0D" w:themeColor="text1" w:themeTint="F2"/>
          <w:sz w:val="24"/>
          <w:szCs w:val="24"/>
          <w14:textFill>
            <w14:solidFill>
              <w14:schemeClr w14:val="tx1">
                <w14:lumMod w14:val="95000"/>
                <w14:lumOff w14:val="5000"/>
              </w14:schemeClr>
            </w14:solidFill>
          </w14:textFill>
        </w:rPr>
        <w:t xml:space="preserve">33     </w:t>
      </w:r>
      <w:r>
        <w:rPr>
          <w:rFonts w:cs="Times New Roman" w:asciiTheme="majorEastAsia" w:hAnsiTheme="majorEastAsia" w:eastAsiaTheme="majorEastAsia"/>
          <w:b/>
          <w:color w:val="0D0D0D" w:themeColor="text1" w:themeTint="F2"/>
          <w:sz w:val="24"/>
          <w:szCs w:val="24"/>
          <w14:textFill>
            <w14:solidFill>
              <w14:schemeClr w14:val="tx1">
                <w14:lumMod w14:val="95000"/>
                <w14:lumOff w14:val="5000"/>
              </w14:schemeClr>
            </w14:solidFill>
          </w14:textFill>
        </w:rPr>
        <w:t>各预测点噪声预测结果一览表</w:t>
      </w:r>
      <w:r>
        <w:rPr>
          <w:rFonts w:hint="eastAsia" w:cs="Times New Roman" w:asciiTheme="majorEastAsia" w:hAnsiTheme="majorEastAsia" w:eastAsiaTheme="majorEastAsia"/>
          <w:color w:val="0D0D0D" w:themeColor="text1" w:themeTint="F2"/>
          <w:sz w:val="24"/>
          <w:szCs w:val="24"/>
          <w14:textFill>
            <w14:solidFill>
              <w14:schemeClr w14:val="tx1">
                <w14:lumMod w14:val="95000"/>
                <w14:lumOff w14:val="5000"/>
              </w14:schemeClr>
            </w14:solidFill>
          </w14:textFill>
        </w:rPr>
        <w:t xml:space="preserve">       单位：dB（A）</w:t>
      </w:r>
    </w:p>
    <w:tbl>
      <w:tblPr>
        <w:tblStyle w:val="27"/>
        <w:tblW w:w="7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1107"/>
        <w:gridCol w:w="1445"/>
        <w:gridCol w:w="1559"/>
        <w:gridCol w:w="1393"/>
        <w:gridCol w:w="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72" w:hRule="atLeast"/>
          <w:jc w:val="center"/>
        </w:trPr>
        <w:tc>
          <w:tcPr>
            <w:tcW w:w="1247"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预测点</w:t>
            </w:r>
          </w:p>
        </w:tc>
        <w:tc>
          <w:tcPr>
            <w:tcW w:w="1107"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贡献值</w:t>
            </w:r>
          </w:p>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dB（A）</w:t>
            </w:r>
          </w:p>
        </w:tc>
        <w:tc>
          <w:tcPr>
            <w:tcW w:w="1445"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背景</w:t>
            </w:r>
            <w:r>
              <w:rPr>
                <w:rFonts w:ascii="宋体" w:hAnsi="宋体" w:eastAsia="宋体" w:cs="Times New Roman"/>
                <w:color w:val="0D0D0D" w:themeColor="text1" w:themeTint="F2"/>
                <w:szCs w:val="21"/>
                <w14:textFill>
                  <w14:solidFill>
                    <w14:schemeClr w14:val="tx1">
                      <w14:lumMod w14:val="95000"/>
                      <w14:lumOff w14:val="5000"/>
                    </w14:schemeClr>
                  </w14:solidFill>
                </w14:textFill>
              </w:rPr>
              <w:t>值</w:t>
            </w:r>
          </w:p>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w:t>
            </w:r>
            <w:r>
              <w:rPr>
                <w:rFonts w:ascii="宋体" w:hAnsi="宋体" w:eastAsia="宋体" w:cs="Times New Roman"/>
                <w:color w:val="0D0D0D" w:themeColor="text1" w:themeTint="F2"/>
                <w:szCs w:val="21"/>
                <w14:textFill>
                  <w14:solidFill>
                    <w14:schemeClr w14:val="tx1">
                      <w14:lumMod w14:val="95000"/>
                      <w14:lumOff w14:val="5000"/>
                    </w14:schemeClr>
                  </w14:solidFill>
                </w14:textFill>
              </w:rPr>
              <w:t>昼</w:t>
            </w: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/夜）</w:t>
            </w:r>
          </w:p>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dB（A）</w:t>
            </w:r>
          </w:p>
        </w:tc>
        <w:tc>
          <w:tcPr>
            <w:tcW w:w="1559"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评价值</w:t>
            </w:r>
          </w:p>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w:t>
            </w:r>
            <w:r>
              <w:rPr>
                <w:rFonts w:ascii="宋体" w:hAnsi="宋体" w:eastAsia="宋体" w:cs="Times New Roman"/>
                <w:color w:val="0D0D0D" w:themeColor="text1" w:themeTint="F2"/>
                <w:szCs w:val="21"/>
                <w14:textFill>
                  <w14:solidFill>
                    <w14:schemeClr w14:val="tx1">
                      <w14:lumMod w14:val="95000"/>
                      <w14:lumOff w14:val="5000"/>
                    </w14:schemeClr>
                  </w14:solidFill>
                </w14:textFill>
              </w:rPr>
              <w:t>昼</w:t>
            </w: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/夜）</w:t>
            </w:r>
          </w:p>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dB（A）</w:t>
            </w:r>
          </w:p>
        </w:tc>
        <w:tc>
          <w:tcPr>
            <w:tcW w:w="1393"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标准</w:t>
            </w: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值</w:t>
            </w:r>
          </w:p>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w:t>
            </w:r>
            <w:r>
              <w:rPr>
                <w:rFonts w:ascii="宋体" w:hAnsi="宋体" w:eastAsia="宋体" w:cs="Times New Roman"/>
                <w:color w:val="0D0D0D" w:themeColor="text1" w:themeTint="F2"/>
                <w:szCs w:val="21"/>
                <w14:textFill>
                  <w14:solidFill>
                    <w14:schemeClr w14:val="tx1">
                      <w14:lumMod w14:val="95000"/>
                      <w14:lumOff w14:val="5000"/>
                    </w14:schemeClr>
                  </w14:solidFill>
                </w14:textFill>
              </w:rPr>
              <w:t>昼</w:t>
            </w: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/夜）</w:t>
            </w:r>
            <w:r>
              <w:rPr>
                <w:rFonts w:ascii="宋体" w:hAnsi="宋体" w:eastAsia="宋体" w:cs="Times New Roman"/>
                <w:color w:val="0D0D0D" w:themeColor="text1" w:themeTint="F2"/>
                <w:szCs w:val="21"/>
                <w14:textFill>
                  <w14:solidFill>
                    <w14:schemeClr w14:val="tx1">
                      <w14:lumMod w14:val="95000"/>
                      <w14:lumOff w14:val="5000"/>
                    </w14:schemeClr>
                  </w14:solidFill>
                </w14:textFill>
              </w:rPr>
              <w:t>dB(A)</w:t>
            </w:r>
          </w:p>
        </w:tc>
        <w:tc>
          <w:tcPr>
            <w:tcW w:w="777"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达标</w:t>
            </w:r>
          </w:p>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7" w:hRule="atLeast"/>
          <w:jc w:val="center"/>
        </w:trPr>
        <w:tc>
          <w:tcPr>
            <w:tcW w:w="1247"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东厂界</w:t>
            </w:r>
          </w:p>
        </w:tc>
        <w:tc>
          <w:tcPr>
            <w:tcW w:w="1107" w:type="dxa"/>
            <w:vAlign w:val="center"/>
          </w:tcPr>
          <w:p>
            <w:pPr>
              <w:snapToGrid w:val="0"/>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41</w:t>
            </w:r>
          </w:p>
        </w:tc>
        <w:tc>
          <w:tcPr>
            <w:tcW w:w="1445"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53.6/44.6</w:t>
            </w:r>
          </w:p>
        </w:tc>
        <w:tc>
          <w:tcPr>
            <w:tcW w:w="1559"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53.9/46.5</w:t>
            </w:r>
          </w:p>
        </w:tc>
        <w:tc>
          <w:tcPr>
            <w:tcW w:w="1393" w:type="dxa"/>
            <w:vMerge w:val="restart"/>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65/55</w:t>
            </w:r>
          </w:p>
        </w:tc>
        <w:tc>
          <w:tcPr>
            <w:tcW w:w="777" w:type="dxa"/>
            <w:vMerge w:val="restart"/>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1" w:hRule="atLeast"/>
          <w:jc w:val="center"/>
        </w:trPr>
        <w:tc>
          <w:tcPr>
            <w:tcW w:w="1247"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南</w:t>
            </w:r>
            <w:r>
              <w:rPr>
                <w:rFonts w:ascii="宋体" w:hAnsi="宋体" w:eastAsia="宋体" w:cs="Times New Roman"/>
                <w:color w:val="0D0D0D" w:themeColor="text1" w:themeTint="F2"/>
                <w:szCs w:val="21"/>
                <w14:textFill>
                  <w14:solidFill>
                    <w14:schemeClr w14:val="tx1">
                      <w14:lumMod w14:val="95000"/>
                      <w14:lumOff w14:val="5000"/>
                    </w14:schemeClr>
                  </w14:solidFill>
                </w14:textFill>
              </w:rPr>
              <w:t>厂界</w:t>
            </w:r>
          </w:p>
        </w:tc>
        <w:tc>
          <w:tcPr>
            <w:tcW w:w="1107" w:type="dxa"/>
            <w:vAlign w:val="center"/>
          </w:tcPr>
          <w:p>
            <w:pPr>
              <w:snapToGrid w:val="0"/>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43</w:t>
            </w:r>
          </w:p>
        </w:tc>
        <w:tc>
          <w:tcPr>
            <w:tcW w:w="1445"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52.8/41.8</w:t>
            </w:r>
          </w:p>
        </w:tc>
        <w:tc>
          <w:tcPr>
            <w:tcW w:w="1559"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53.2/45.5</w:t>
            </w:r>
          </w:p>
        </w:tc>
        <w:tc>
          <w:tcPr>
            <w:tcW w:w="1393" w:type="dxa"/>
            <w:vMerge w:val="continue"/>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p>
        </w:tc>
        <w:tc>
          <w:tcPr>
            <w:tcW w:w="777" w:type="dxa"/>
            <w:vMerge w:val="continue"/>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 w:hRule="atLeast"/>
          <w:jc w:val="center"/>
        </w:trPr>
        <w:tc>
          <w:tcPr>
            <w:tcW w:w="1247"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西</w:t>
            </w:r>
            <w:r>
              <w:rPr>
                <w:rFonts w:ascii="宋体" w:hAnsi="宋体" w:eastAsia="宋体" w:cs="Times New Roman"/>
                <w:color w:val="0D0D0D" w:themeColor="text1" w:themeTint="F2"/>
                <w:szCs w:val="21"/>
                <w14:textFill>
                  <w14:solidFill>
                    <w14:schemeClr w14:val="tx1">
                      <w14:lumMod w14:val="95000"/>
                      <w14:lumOff w14:val="5000"/>
                    </w14:schemeClr>
                  </w14:solidFill>
                </w14:textFill>
              </w:rPr>
              <w:t>厂界</w:t>
            </w:r>
          </w:p>
        </w:tc>
        <w:tc>
          <w:tcPr>
            <w:tcW w:w="1107" w:type="dxa"/>
            <w:vAlign w:val="center"/>
          </w:tcPr>
          <w:p>
            <w:pPr>
              <w:snapToGrid w:val="0"/>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35</w:t>
            </w:r>
          </w:p>
        </w:tc>
        <w:tc>
          <w:tcPr>
            <w:tcW w:w="1445"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51.7/43.5</w:t>
            </w:r>
          </w:p>
        </w:tc>
        <w:tc>
          <w:tcPr>
            <w:tcW w:w="1559"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51.8/44.2</w:t>
            </w:r>
          </w:p>
        </w:tc>
        <w:tc>
          <w:tcPr>
            <w:tcW w:w="1393" w:type="dxa"/>
            <w:vMerge w:val="continue"/>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p>
        </w:tc>
        <w:tc>
          <w:tcPr>
            <w:tcW w:w="777" w:type="dxa"/>
            <w:vMerge w:val="continue"/>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1247"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ascii="宋体" w:hAnsi="宋体" w:eastAsia="宋体" w:cs="Times New Roman"/>
                <w:color w:val="0D0D0D" w:themeColor="text1" w:themeTint="F2"/>
                <w:szCs w:val="21"/>
                <w14:textFill>
                  <w14:solidFill>
                    <w14:schemeClr w14:val="tx1">
                      <w14:lumMod w14:val="95000"/>
                      <w14:lumOff w14:val="5000"/>
                    </w14:schemeClr>
                  </w14:solidFill>
                </w14:textFill>
              </w:rPr>
              <w:t>北厂界</w:t>
            </w:r>
          </w:p>
        </w:tc>
        <w:tc>
          <w:tcPr>
            <w:tcW w:w="1107" w:type="dxa"/>
            <w:vAlign w:val="center"/>
          </w:tcPr>
          <w:p>
            <w:pPr>
              <w:snapToGrid w:val="0"/>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41.5</w:t>
            </w:r>
          </w:p>
        </w:tc>
        <w:tc>
          <w:tcPr>
            <w:tcW w:w="1445"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54.6/43.2</w:t>
            </w:r>
          </w:p>
        </w:tc>
        <w:tc>
          <w:tcPr>
            <w:tcW w:w="1559" w:type="dxa"/>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r>
              <w:rPr>
                <w:rFonts w:hint="eastAsia" w:ascii="宋体" w:hAnsi="宋体" w:eastAsia="宋体" w:cs="Times New Roman"/>
                <w:color w:val="0D0D0D" w:themeColor="text1" w:themeTint="F2"/>
                <w:szCs w:val="21"/>
                <w14:textFill>
                  <w14:solidFill>
                    <w14:schemeClr w14:val="tx1">
                      <w14:lumMod w14:val="95000"/>
                      <w14:lumOff w14:val="5000"/>
                    </w14:schemeClr>
                  </w14:solidFill>
                </w14:textFill>
              </w:rPr>
              <w:t>55.2/44.4</w:t>
            </w:r>
          </w:p>
        </w:tc>
        <w:tc>
          <w:tcPr>
            <w:tcW w:w="1393" w:type="dxa"/>
            <w:vMerge w:val="continue"/>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p>
        </w:tc>
        <w:tc>
          <w:tcPr>
            <w:tcW w:w="777" w:type="dxa"/>
            <w:vMerge w:val="continue"/>
            <w:vAlign w:val="center"/>
          </w:tcPr>
          <w:p>
            <w:pPr>
              <w:spacing w:line="320" w:lineRule="exact"/>
              <w:jc w:val="center"/>
              <w:rPr>
                <w:rFonts w:ascii="宋体" w:hAnsi="宋体" w:eastAsia="宋体" w:cs="Times New Roman"/>
                <w:color w:val="0D0D0D" w:themeColor="text1" w:themeTint="F2"/>
                <w:szCs w:val="21"/>
                <w14:textFill>
                  <w14:solidFill>
                    <w14:schemeClr w14:val="tx1">
                      <w14:lumMod w14:val="95000"/>
                      <w14:lumOff w14:val="5000"/>
                    </w14:schemeClr>
                  </w14:solidFill>
                </w14:textFill>
              </w:rPr>
            </w:pPr>
          </w:p>
        </w:tc>
      </w:tr>
    </w:tbl>
    <w:p>
      <w:pPr>
        <w:adjustRightInd w:val="0"/>
        <w:snapToGrid w:val="0"/>
        <w:jc w:val="cente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由表5.2-22可知，拟建项目东、南、西、北厂界昼夜噪声贡献值均能达到《工业企业厂界环境噪声排放标准》（GB12348-2008）3类标准要求。</w:t>
      </w:r>
      <w:bookmarkEnd w:id="86"/>
      <w:bookmarkEnd w:id="87"/>
      <w:bookmarkEnd w:id="88"/>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项目投入运营后，经过厂房隔声、消声、减震等措施，并经植物吸收、距离衰减后，厂界噪声能够达标排放</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，对项目周边声环境影响不大</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 xml:space="preserve">5.2.5 </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固体废物环境影响分析</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5.2.5.1固体废物的处置原则</w:t>
      </w:r>
    </w:p>
    <w:p>
      <w:pPr>
        <w:spacing w:line="360" w:lineRule="auto"/>
        <w:ind w:firstLine="360" w:firstLineChars="1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（1）确保环境安全，最大限度地消除固体废物对环境的污染压力，不对环境造成二次污染。按照固体废物属性，分为一般固废和危险废物，分别进行处理、处置。</w:t>
      </w:r>
    </w:p>
    <w:p>
      <w:pPr>
        <w:spacing w:line="360" w:lineRule="auto"/>
        <w:ind w:firstLine="360" w:firstLineChars="1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（2）综合利用，资源回收和利用。</w:t>
      </w:r>
    </w:p>
    <w:p>
      <w:pPr>
        <w:spacing w:line="360" w:lineRule="auto"/>
        <w:ind w:firstLine="360" w:firstLineChars="1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（3）符合本地区和企业经济发展规划，做到综合治理，统筹规划。</w:t>
      </w:r>
    </w:p>
    <w:p>
      <w:pPr>
        <w:spacing w:line="360" w:lineRule="auto"/>
        <w:ind w:firstLine="360" w:firstLineChars="1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（4）尽量采用成熟技术，保证操作安全，运行安全。</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5.2.5.2 一般固废处置措施及环境影响分析</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项目运行期产生的一般固废包括</w:t>
      </w:r>
      <w:r>
        <w:rPr>
          <w:rFonts w:ascii="Times New Roman" w:hAnsi="Times New Roman" w:eastAsia="宋体" w:cs="Times New Roman"/>
          <w:color w:val="0D0D0D" w:themeColor="text1" w:themeTint="F2"/>
          <w:kern w:val="0"/>
          <w:sz w:val="24"/>
          <w:szCs w:val="24"/>
          <w:lang w:bidi="ar"/>
          <w14:textFill>
            <w14:solidFill>
              <w14:schemeClr w14:val="tx1">
                <w14:lumMod w14:val="95000"/>
                <w14:lumOff w14:val="5000"/>
              </w14:schemeClr>
            </w14:solidFill>
          </w14:textFill>
        </w:rPr>
        <w:t>脱硫泥渣</w:t>
      </w:r>
      <w:r>
        <w:rPr>
          <w:rFonts w:hint="eastAsia" w:ascii="Times New Roman" w:hAnsi="Times New Roman" w:eastAsia="宋体" w:cs="Times New Roman"/>
          <w:color w:val="0D0D0D" w:themeColor="text1" w:themeTint="F2"/>
          <w:kern w:val="0"/>
          <w:sz w:val="24"/>
          <w:szCs w:val="24"/>
          <w:lang w:bidi="ar"/>
          <w14:textFill>
            <w14:solidFill>
              <w14:schemeClr w14:val="tx1">
                <w14:lumMod w14:val="95000"/>
                <w14:lumOff w14:val="5000"/>
              </w14:schemeClr>
            </w14:solidFill>
          </w14:textFill>
        </w:rPr>
        <w:t>、脉冲除尘及车间吸尘器收集粉尘、脱水污泥、生活垃圾等。</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根据各一般固废资源化再利用原则，项目运营期产生的脱硫除尘泥渣外售作为新型建材企业作为烧结砖生产原料资源化利用；</w:t>
      </w:r>
      <w:r>
        <w:rPr>
          <w:rFonts w:hint="eastAsia" w:ascii="Times New Roman" w:hAnsi="Times New Roman" w:eastAsia="宋体" w:cs="Times New Roman"/>
          <w:color w:val="0D0D0D" w:themeColor="text1" w:themeTint="F2"/>
          <w:kern w:val="0"/>
          <w:sz w:val="24"/>
          <w:szCs w:val="24"/>
          <w:lang w:bidi="ar"/>
          <w14:textFill>
            <w14:solidFill>
              <w14:schemeClr w14:val="tx1">
                <w14:lumMod w14:val="95000"/>
                <w14:lumOff w14:val="5000"/>
              </w14:schemeClr>
            </w14:solidFill>
          </w14:textFill>
        </w:rPr>
        <w:t>袋除尘器及车间吸尘器收集粉尘作为产品出售；脱水污泥及生活垃圾送入西平县生活垃圾填埋场处置。</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经采取以上措施，项目一般固废不会对环境造成不利影响。</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5.2.5.3危险废物处置措施及环境影响分析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危险废物环境影响分析应从危险废物的产生、收集、贮存、运输、利用和处置等全过程以及建设期、运营期、服务期满后等全时段角度考虑，分析预测建设项目产生的危险废物可能造成的环境影响，进而指导危险废物污染防治措施的补充完善。</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（1）危险废物处置措施分析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项目运行期危险废物产生环节及类别主要包括：废脱硝催化剂、废紫外灯管、废活性炭、储油罐废油泥渣、水封罐底泥、隔油浮渣等。</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按照工程设计，项目各类半固体危险废物均采用专用容器收集，暂存厂区危废库液体危险废物储存区，固体危险废物采用防渗包装袋收集，暂存厂区危废库固体危险废物储存区；收集暂存危废按照管理要求，及时委托有危废处置资质的单位安全转移处置。经采取以上收集、贮存、利用及处置措施，工程各类危废均可得到妥善处置。</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（2）危险废物产生、收集、处置过程环境影响分析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运行期从源头上控制危废的产生，减少对环境的影响；各类危废采取专用容器或防渗包装袋收集，全部进入危废库分区存放，严格按照国家规定委托有资质单位对危废进行转移处理，并实施转移联单制度，杜绝危废的抛洒、散落或不规范处置，避免危废流失对地下水、大气环境造成危害。因此，正常情况下，项目运行期危险废物产生、收集、处置过程不会对环境造成较大不利影响。</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（3）危险废物贮存场所（设施）环境影响分析</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厂区位于西平县产业集聚区静脉产业园，所在区域地质结构稳定，地震烈度在7度以下，不易发生洪水、泥石流、滑坡等自然灾害，处于西平县县城常年主导风向的侧下风向，厂界外200m范围内无地表水域，周边主要为工业企业，环境敏感性不强。项目拟在厂区设置1座50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的规范化的危废库，储存能力达到100m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左右，能够满足《危险废物贮存污染控制标准》（GB18597）及其修改单关于危险废物贮存场选址的要求。</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项目运行期各类危险废物最大产生量约50t/a，利用容器及包装袋收集后，最大体积不超过80m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，最长贮存期限不超过60天，项目危废库设计储存容积约100m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，能够满足工程危险废物贮存需求。</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不涉及气体类危险废物，半固体危废用加盖容器贮存在危废库内，固体危废用防渗包装袋贮存在危废库内，且分区存放，一般情况下危废不会发生泄漏；同时，危废库内部设置泄漏收集槽，外部设置围堰，能够及时收集可能泄漏的危废，防止溢出库外；项目危废储存库不会对地表水、地下水、土壤环境造成影响，</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（4）转移、运输过程的环境影响分析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各环节产生的危废收集后，仅在厂区内转移至危废库，即使发生少量物料散落、泄漏情况，也可及时收集清理，不会落入地表而对地表水、地下水、土壤环境造成影响。各类危废外运处置过程中，以完好的包装物或密闭容器形式进行装车，由受委托的有资质单位利用专用危废运输车辆进行运输，严格按照规定的路线行驶，不会对运输沿线的环境敏感点造成影响。</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综合以上内容，在严格落实各项危险废物处置措施和环境污染风险防范措施的基础上，本项目产生的各类危险废物贮存、处置过程对环境不会造成明显不利影响，贮存措施和处置途径可行。</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5.2.6 土壤环境影响分析</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5.2.6.1评价区土壤环境调查</w:t>
      </w:r>
    </w:p>
    <w:p>
      <w:pPr>
        <w:spacing w:line="360" w:lineRule="auto"/>
        <w:ind w:firstLine="456" w:firstLineChars="200"/>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项目位于西平县产业集聚区静脉产业园，用地性质工业用地，为适宜建设区；项目区土地利用</w:t>
      </w:r>
      <w:r>
        <w:rPr>
          <w:rFonts w:asciiTheme="minorEastAsia" w:hAnsiTheme="minorEastAsia"/>
          <w:color w:val="0D0D0D" w:themeColor="text1" w:themeTint="F2"/>
          <w:spacing w:val="-6"/>
          <w:sz w:val="24"/>
          <w14:textFill>
            <w14:solidFill>
              <w14:schemeClr w14:val="tx1">
                <w14:lumMod w14:val="95000"/>
                <w14:lumOff w14:val="5000"/>
              </w14:schemeClr>
            </w14:solidFill>
          </w14:textFill>
        </w:rPr>
        <w:t>现状为</w:t>
      </w: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林地。</w:t>
      </w:r>
    </w:p>
    <w:p>
      <w:pPr>
        <w:spacing w:line="360" w:lineRule="auto"/>
        <w:ind w:firstLine="456" w:firstLineChars="200"/>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根据现状调查资料，项目评价范围内土壤环境质量各监测项目现状值均满足《土壤环境质量 建设用地土壤污染风险管控标准（试行）》（GB36600-2018）表1第二类用地筛选值要求，说明评价区土壤环境质量现状较好。</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5.2.6.2评价等级及评价范围</w:t>
      </w:r>
    </w:p>
    <w:p>
      <w:pPr>
        <w:spacing w:line="360" w:lineRule="auto"/>
        <w:ind w:firstLine="480" w:firstLineChars="200"/>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根据《环境影响评价技术导则 土壤环境（试行）》（HJ964-2018），本项目为污染型建设项目，属于附录A中的Ⅲ类项目（小型，占地面积3.33hm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），土壤敏感程度为较敏感，项目占地规模为小型，可不开展土壤环境评价。</w:t>
      </w:r>
    </w:p>
    <w:p>
      <w:pPr>
        <w:spacing w:line="360" w:lineRule="auto"/>
        <w:ind w:firstLine="482" w:firstLineChars="200"/>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考虑本次项目为废轮胎热裂解处理工程，排放大气污染物可能对土壤环境造成一定不良影响，本次评价参考三级评价要求对项目土壤环境影响进行分析，评价范围为项目占地及周边0.05km范围内土壤环境。</w:t>
      </w:r>
    </w:p>
    <w:p>
      <w:pPr>
        <w:spacing w:line="360" w:lineRule="auto"/>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5.2.6.3建设项目土壤环境影响分析</w:t>
      </w:r>
    </w:p>
    <w:p>
      <w:pPr>
        <w:spacing w:line="360" w:lineRule="auto"/>
        <w:ind w:firstLine="456" w:firstLineChars="200"/>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参考《土壤环境质量 建设用地土壤污染风险管控标准（试行）》（GB36600-2018），本项目不涉及标准所列的重金属基本项目，主要涉及苯并[a]芘污染物排放，但排放量极小，不会对土壤环境造成明显累积影响。结合项目排污特征，评价对项目土壤环境影响进行定性分析。</w:t>
      </w:r>
    </w:p>
    <w:p>
      <w:pPr>
        <w:spacing w:line="360" w:lineRule="auto"/>
        <w:ind w:firstLine="456" w:firstLineChars="200"/>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（1）大气沉降环境影响分析</w:t>
      </w:r>
    </w:p>
    <w:p>
      <w:pPr>
        <w:spacing w:line="360" w:lineRule="auto"/>
        <w:ind w:firstLine="456" w:firstLineChars="200"/>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本项目排放大气污染物主要是颗粒物、二氧化硫、氮氧化物及少量非甲烷总烃、H</w:t>
      </w:r>
      <w:r>
        <w:rPr>
          <w:rFonts w:hint="eastAsia" w:asciiTheme="minorEastAsia" w:hAnsiTheme="minorEastAsia"/>
          <w:color w:val="0D0D0D" w:themeColor="text1" w:themeTint="F2"/>
          <w:spacing w:val="-6"/>
          <w:sz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S、NH</w:t>
      </w:r>
      <w:r>
        <w:rPr>
          <w:rFonts w:hint="eastAsia" w:asciiTheme="minorEastAsia" w:hAnsiTheme="minorEastAsia"/>
          <w:color w:val="0D0D0D" w:themeColor="text1" w:themeTint="F2"/>
          <w:spacing w:val="-6"/>
          <w:sz w:val="24"/>
          <w:vertAlign w:val="sub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、苯并[a]芘等，非甲烷总烃类有机物及恶臭污染物进入大气环境后，在光化学反应作用下会发生分解，无持久性污染危害，沉降量很少，</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不会对评价区土壤环境质量造成明显不利影响。</w:t>
      </w: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通过大气沉降对土壤环境可能造成影响的污染物主要为苯并[a]芘；排放量约0.02kg/a，进入大气环境扩散后，沉降面积较大，对评价区土壤环境产生的增量很小，同时，评价区土壤环境现状苯并[a]芘为未检出，因此，项目苯并[a]芘排放不会造成评价区土壤环境质量超标。</w:t>
      </w:r>
    </w:p>
    <w:p>
      <w:pPr>
        <w:spacing w:line="360" w:lineRule="auto"/>
        <w:ind w:firstLine="456" w:firstLineChars="200"/>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（2）垂直入渗影响分析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污染物在土壤环境中的迁移转化特征，包气带表层受蒸发和植物蒸腾作用影响，经常处于亏缺状态；其下部为天然持水稳定带；在潜水面之上，天然持水稳定带之下，是支持毛细水带。污染物迁移转化主要发生在水分亏缺带，有时进入稳定带。当含污染物液体进入包气带表层时，处于水分亏缺状态的土壤，在高水势梯度</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大于</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0cm</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c</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作用下，迅速吸附入渗水中；只有在满足其水分亏缺补给之后，入渗液才能向更深层位运移。因在水分亏缺带内深度愈浅，水分亏缺愈严重，故在入渗液水量充足前提下，当入渗液通过水分亏缺带之后，该带各层位土壤获取的溶液水量随深度增大而减少。一旦发生废水或污染物泄漏事故，在泄漏发生点周围泄漏液体被土壤迅速吸附，随着泄漏时间延长，向更远更深层位移动，沿着溶液运动方向，随着路径的增加，土壤中污染物含量降低。当泄漏溶液量足够大时，污染可达到潜水面。</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因此，项目废水及污染液体泄漏后，大部分污染物进入包气带表层的水分亏缺状态的土壤，主要是对泄漏点附近的表层土壤环境造成影响。本项目主要污染物为油品泄漏后进入土壤环境后，可能导致受影响土壤石油类含量增加。本项目车间、储罐区采取硬化地面及严格的防渗措施，泄漏后下渗进入土壤环境的石油类污染物量很少，影响范围主要在厂区内泄漏点附近，不会导致大面积土壤环境受污染情况。</w:t>
      </w:r>
    </w:p>
    <w:p>
      <w:pPr>
        <w:spacing w:line="360" w:lineRule="auto"/>
        <w:rPr>
          <w:rFonts w:asciiTheme="minorEastAsia" w:hAnsiTheme="minorEastAsia"/>
          <w:color w:val="0D0D0D" w:themeColor="text1" w:themeTint="F2"/>
          <w:spacing w:val="-6"/>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pacing w:val="-6"/>
          <w:sz w:val="24"/>
          <w14:textFill>
            <w14:solidFill>
              <w14:schemeClr w14:val="tx1">
                <w14:lumMod w14:val="95000"/>
                <w14:lumOff w14:val="5000"/>
              </w14:schemeClr>
            </w14:solidFill>
          </w14:textFill>
        </w:rPr>
        <w:t>5.2.6.4</w:t>
      </w:r>
      <w:r>
        <w:rPr>
          <w:rFonts w:asciiTheme="minorEastAsia" w:hAnsiTheme="minorEastAsia"/>
          <w:color w:val="0D0D0D" w:themeColor="text1" w:themeTint="F2"/>
          <w:spacing w:val="-6"/>
          <w:sz w:val="24"/>
          <w14:textFill>
            <w14:solidFill>
              <w14:schemeClr w14:val="tx1">
                <w14:lumMod w14:val="95000"/>
                <w14:lumOff w14:val="5000"/>
              </w14:schemeClr>
            </w14:solidFill>
          </w14:textFill>
        </w:rPr>
        <w:t>土壤环境影响跟踪监测计划</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项目营运期应建立土壤环境监测体系，包括制定跟踪监测计划，建立跟踪监测制度以便及时发现问题，建议该项目营运期的环境监测工作委托有资质的环境监测站承担，监测点位为</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项目区及下风向袁庄</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，每</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年监测一次，监测内容为</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土壤苯并[a]芘</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5.2.6.5</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评价结论</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t>项目土壤影响途径主要为垂直入渗</w:t>
      </w: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，大气沉降影响较小，不会对项目区周边土壤环境质量造成明显不利影响。</w:t>
      </w:r>
      <w:r>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t>一旦发生</w:t>
      </w: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废水或污染液体</w:t>
      </w:r>
      <w:r>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t>泄漏事故，</w:t>
      </w: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影响范围主要是厂区内泄漏点附近土壤，不会导致大面积土壤环境污染情况。因此，评价认为项目运营期对土壤环境不会造成较大污染影响。</w:t>
      </w:r>
    </w:p>
    <w:p>
      <w:pPr>
        <w:spacing w:line="360" w:lineRule="auto"/>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表5.2-34  土壤环境影响评价自查表</w:t>
      </w:r>
    </w:p>
    <w:tbl>
      <w:tblPr>
        <w:tblStyle w:val="27"/>
        <w:tblW w:w="928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5"/>
        <w:gridCol w:w="1330"/>
        <w:gridCol w:w="1405"/>
        <w:gridCol w:w="12"/>
        <w:gridCol w:w="1534"/>
        <w:gridCol w:w="1625"/>
        <w:gridCol w:w="654"/>
        <w:gridCol w:w="1236"/>
        <w:gridCol w:w="7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105" w:type="dxa"/>
            <w:gridSpan w:val="2"/>
            <w:vAlign w:val="center"/>
          </w:tcPr>
          <w:p>
            <w:pPr>
              <w:pStyle w:val="97"/>
              <w:spacing w:line="240" w:lineRule="atLeast"/>
              <w:ind w:firstLine="361"/>
              <w:jc w:val="center"/>
              <w:rPr>
                <w:rFonts w:cs="Times New Roman" w:asciiTheme="minorEastAsia" w:hAnsiTheme="minorEastAsia" w:eastAsia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b/>
                <w:color w:val="0D0D0D" w:themeColor="text1" w:themeTint="F2"/>
                <w:sz w:val="18"/>
                <w:szCs w:val="18"/>
                <w14:textFill>
                  <w14:solidFill>
                    <w14:schemeClr w14:val="tx1">
                      <w14:lumMod w14:val="95000"/>
                      <w14:lumOff w14:val="5000"/>
                    </w14:schemeClr>
                  </w14:solidFill>
                </w14:textFill>
              </w:rPr>
              <w:t>工作内容</w:t>
            </w:r>
          </w:p>
        </w:tc>
        <w:tc>
          <w:tcPr>
            <w:tcW w:w="6466" w:type="dxa"/>
            <w:gridSpan w:val="6"/>
            <w:vAlign w:val="center"/>
          </w:tcPr>
          <w:p>
            <w:pPr>
              <w:pStyle w:val="97"/>
              <w:spacing w:line="240" w:lineRule="atLeast"/>
              <w:ind w:firstLine="361"/>
              <w:jc w:val="center"/>
              <w:rPr>
                <w:rFonts w:cs="Times New Roman" w:asciiTheme="minorEastAsia" w:hAnsiTheme="minorEastAsia" w:eastAsiaTheme="minorEastAsia"/>
                <w:b/>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b/>
                <w:color w:val="0D0D0D" w:themeColor="text1" w:themeTint="F2"/>
                <w:sz w:val="18"/>
                <w:szCs w:val="18"/>
                <w14:textFill>
                  <w14:solidFill>
                    <w14:schemeClr w14:val="tx1">
                      <w14:lumMod w14:val="95000"/>
                      <w14:lumOff w14:val="5000"/>
                    </w14:schemeClr>
                  </w14:solidFill>
                </w14:textFill>
              </w:rPr>
              <w:t>完成情况</w:t>
            </w:r>
          </w:p>
        </w:tc>
        <w:tc>
          <w:tcPr>
            <w:tcW w:w="717" w:type="dxa"/>
            <w:vAlign w:val="center"/>
          </w:tcPr>
          <w:p>
            <w:pPr>
              <w:pStyle w:val="97"/>
              <w:spacing w:line="240" w:lineRule="atLeast"/>
              <w:ind w:firstLine="177" w:firstLineChars="98"/>
              <w:rPr>
                <w:rFonts w:cs="Times New Roman" w:asciiTheme="minorEastAsia" w:hAnsiTheme="minorEastAsia" w:eastAsiaTheme="minorEastAsia"/>
                <w:b/>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b/>
                <w:color w:val="0D0D0D" w:themeColor="text1" w:themeTint="F2"/>
                <w:sz w:val="18"/>
                <w:szCs w:val="18"/>
                <w:lang w:eastAsia="zh-CN"/>
                <w14:textFill>
                  <w14:solidFill>
                    <w14:schemeClr w14:val="tx1">
                      <w14:lumMod w14:val="95000"/>
                      <w14:lumOff w14:val="5000"/>
                    </w14:schemeClr>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75" w:type="dxa"/>
            <w:vMerge w:val="restart"/>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影响识别</w:t>
            </w: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影响类型</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污染影响型</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；生态影响型□；两种兼有□</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土地利用类型</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建设用地</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；农用地□；未利用地□</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占地规模</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3.33</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）hm</w:t>
            </w:r>
            <w:r>
              <w:rPr>
                <w:rFonts w:cs="Times New Roman" w:asciiTheme="minorEastAsia" w:hAnsiTheme="minorEastAsia" w:eastAsiaTheme="minorEastAsia"/>
                <w:color w:val="0D0D0D" w:themeColor="text1" w:themeTint="F2"/>
                <w:sz w:val="18"/>
                <w:szCs w:val="18"/>
                <w:vertAlign w:val="superscript"/>
                <w:lang w:eastAsia="zh-CN"/>
                <w14:textFill>
                  <w14:solidFill>
                    <w14:schemeClr w14:val="tx1">
                      <w14:lumMod w14:val="95000"/>
                      <w14:lumOff w14:val="5000"/>
                    </w14:schemeClr>
                  </w14:solidFill>
                </w14:textFill>
              </w:rPr>
              <w:t>2</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敏感目标信息</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敏感目标（</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）、方位（</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）、距离（</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影响途径</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大气沉降</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；地面漫流□；垂直入渗</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；地下水位□；其他（）</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全部污染物</w:t>
            </w:r>
          </w:p>
        </w:tc>
        <w:tc>
          <w:tcPr>
            <w:tcW w:w="6466" w:type="dxa"/>
            <w:gridSpan w:val="6"/>
            <w:vAlign w:val="center"/>
          </w:tcPr>
          <w:p>
            <w:pPr>
              <w:pStyle w:val="97"/>
              <w:spacing w:line="240" w:lineRule="atLeast"/>
              <w:ind w:left="105" w:leftChars="50" w:firstLine="180" w:firstLineChars="10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颗粒物、二氧化硫、氮氧化物、非甲烷总烃、H</w:t>
            </w:r>
            <w:r>
              <w:rPr>
                <w:rFonts w:hint="eastAsia" w:cs="Times New Roman" w:asciiTheme="minorEastAsia" w:hAnsiTheme="minorEastAsia" w:eastAsiaTheme="minorEastAsia"/>
                <w:color w:val="0D0D0D" w:themeColor="text1" w:themeTint="F2"/>
                <w:sz w:val="18"/>
                <w:szCs w:val="18"/>
                <w:vertAlign w:val="subscript"/>
                <w:lang w:eastAsia="zh-CN"/>
                <w14:textFill>
                  <w14:solidFill>
                    <w14:schemeClr w14:val="tx1">
                      <w14:lumMod w14:val="95000"/>
                      <w14:lumOff w14:val="5000"/>
                    </w14:schemeClr>
                  </w14:solidFill>
                </w14:textFill>
              </w:rPr>
              <w:t>2</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S、氨、苯并[a]芘及石油类等</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特征因子</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苯并[a]芘及石油类</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所属土壤环境影响评价项目类别</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Ⅰ</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类□；</w:t>
            </w:r>
            <w:r>
              <w:rPr>
                <w:rFonts w:hint="eastAsia"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Ⅱ</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类□；</w:t>
            </w:r>
            <w:r>
              <w:rPr>
                <w:rFonts w:hint="eastAsia"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Ⅲ</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类</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hint="eastAsia"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Ⅳ</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类□</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敏感程度</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敏感□；较敏感</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；不敏感□</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105"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评价工作等级</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一级□；二级□；三级□</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 xml:space="preserve">    </w:t>
            </w:r>
            <w:r>
              <w:rPr>
                <w:rFonts w:hint="eastAsia" w:cs="Times New Roman" w:asciiTheme="minorEastAsia" w:hAnsiTheme="minorEastAsia" w:eastAsiaTheme="minorEastAsia"/>
                <w:b/>
                <w:color w:val="0D0D0D" w:themeColor="text1" w:themeTint="F2"/>
                <w:sz w:val="18"/>
                <w:szCs w:val="18"/>
                <w:lang w:eastAsia="zh-CN"/>
                <w14:textFill>
                  <w14:solidFill>
                    <w14:schemeClr w14:val="tx1">
                      <w14:lumMod w14:val="95000"/>
                      <w14:lumOff w14:val="5000"/>
                    </w14:schemeClr>
                  </w14:solidFill>
                </w14:textFill>
              </w:rPr>
              <w:t>可不开展，参考三级</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75" w:type="dxa"/>
            <w:vMerge w:val="restart"/>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现状调查内容</w:t>
            </w: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资料收集</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a）</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；b）</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；c）</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；d）</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理化特性</w:t>
            </w:r>
          </w:p>
        </w:tc>
        <w:tc>
          <w:tcPr>
            <w:tcW w:w="6466" w:type="dxa"/>
            <w:gridSpan w:val="6"/>
            <w:vAlign w:val="center"/>
          </w:tcPr>
          <w:p>
            <w:pPr>
              <w:pStyle w:val="97"/>
              <w:spacing w:line="240" w:lineRule="atLeast"/>
              <w:ind w:firstLine="360"/>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黄棕壤，</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pH</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7</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0</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7.5</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，盐基饱和度为30%~</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65</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%，碳酸盐</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含量较高</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Merge w:val="restart"/>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现状监测点位</w:t>
            </w:r>
          </w:p>
        </w:tc>
        <w:tc>
          <w:tcPr>
            <w:tcW w:w="1417"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tc>
        <w:tc>
          <w:tcPr>
            <w:tcW w:w="1534"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占地范围内</w:t>
            </w:r>
          </w:p>
        </w:tc>
        <w:tc>
          <w:tcPr>
            <w:tcW w:w="2279"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占地范围外</w:t>
            </w:r>
          </w:p>
        </w:tc>
        <w:tc>
          <w:tcPr>
            <w:tcW w:w="1236"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深度</w:t>
            </w:r>
          </w:p>
        </w:tc>
        <w:tc>
          <w:tcPr>
            <w:tcW w:w="717" w:type="dxa"/>
            <w:vMerge w:val="restart"/>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7"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表层样点数</w:t>
            </w:r>
          </w:p>
        </w:tc>
        <w:tc>
          <w:tcPr>
            <w:tcW w:w="1534"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1</w:t>
            </w:r>
          </w:p>
        </w:tc>
        <w:tc>
          <w:tcPr>
            <w:tcW w:w="2279"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1</w:t>
            </w:r>
          </w:p>
        </w:tc>
        <w:tc>
          <w:tcPr>
            <w:tcW w:w="1236"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0~0.2m</w:t>
            </w:r>
          </w:p>
        </w:tc>
        <w:tc>
          <w:tcPr>
            <w:tcW w:w="71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17"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柱状样点数</w:t>
            </w:r>
          </w:p>
        </w:tc>
        <w:tc>
          <w:tcPr>
            <w:tcW w:w="1534"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tc>
        <w:tc>
          <w:tcPr>
            <w:tcW w:w="2279"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tc>
        <w:tc>
          <w:tcPr>
            <w:tcW w:w="1236"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tc>
        <w:tc>
          <w:tcPr>
            <w:tcW w:w="71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现状监测因子</w:t>
            </w:r>
          </w:p>
        </w:tc>
        <w:tc>
          <w:tcPr>
            <w:tcW w:w="6466" w:type="dxa"/>
            <w:gridSpan w:val="6"/>
            <w:vAlign w:val="center"/>
          </w:tcPr>
          <w:p>
            <w:pPr>
              <w:pStyle w:val="97"/>
              <w:spacing w:line="240" w:lineRule="atLeast"/>
              <w:ind w:left="105" w:leftChars="50" w:firstLine="360"/>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占地范围内：45项基本项目</w:t>
            </w:r>
          </w:p>
          <w:p>
            <w:pPr>
              <w:pStyle w:val="97"/>
              <w:spacing w:line="240" w:lineRule="atLeast"/>
              <w:ind w:left="105" w:leftChars="50" w:firstLine="360"/>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占地范围外：45项基本项目</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restart"/>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现状评价</w:t>
            </w: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评价因子</w:t>
            </w:r>
          </w:p>
        </w:tc>
        <w:tc>
          <w:tcPr>
            <w:tcW w:w="6466" w:type="dxa"/>
            <w:gridSpan w:val="6"/>
            <w:vAlign w:val="center"/>
          </w:tcPr>
          <w:p>
            <w:pPr>
              <w:pStyle w:val="97"/>
              <w:spacing w:line="240" w:lineRule="atLeast"/>
              <w:ind w:left="105" w:leftChars="50" w:firstLine="360"/>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占地范围内：45项基本项目</w:t>
            </w:r>
          </w:p>
          <w:p>
            <w:pPr>
              <w:pStyle w:val="97"/>
              <w:spacing w:line="240" w:lineRule="atLeast"/>
              <w:ind w:left="105" w:leftChars="50" w:firstLine="360"/>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占地范围外：/</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评价标准</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GB 15618</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；GB 36600</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r>
              <w:rPr>
                <w:rFonts w:hint="eastAsia" w:ascii="MS Mincho" w:hAnsi="MS Mincho" w:eastAsia="MS Mincho" w:cs="MS Mincho"/>
                <w:color w:val="0D0D0D" w:themeColor="text1" w:themeTint="F2"/>
                <w:sz w:val="18"/>
                <w:szCs w:val="18"/>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；表D.1□；表 D.2□；其他（</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 xml:space="preserve">      </w:t>
            </w: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现状评价结论</w:t>
            </w:r>
          </w:p>
        </w:tc>
        <w:tc>
          <w:tcPr>
            <w:tcW w:w="6466" w:type="dxa"/>
            <w:gridSpan w:val="6"/>
            <w:vAlign w:val="center"/>
          </w:tcPr>
          <w:p>
            <w:pPr>
              <w:pStyle w:val="97"/>
              <w:spacing w:line="240" w:lineRule="atLeast"/>
              <w:ind w:left="105" w:leftChars="50" w:firstLine="360"/>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 xml:space="preserve">占地范围外点位各项因子均能满足GB 15618表1筛选值要求；占地范围内点位各项因子均能满足GB </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3660</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表1第二类用地筛选值要求。</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75" w:type="dxa"/>
            <w:vMerge w:val="restart"/>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影响预测</w:t>
            </w: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预测因子</w:t>
            </w:r>
          </w:p>
        </w:tc>
        <w:tc>
          <w:tcPr>
            <w:tcW w:w="6466" w:type="dxa"/>
            <w:gridSpan w:val="6"/>
            <w:vAlign w:val="center"/>
          </w:tcPr>
          <w:p>
            <w:pPr>
              <w:pStyle w:val="97"/>
              <w:spacing w:line="240" w:lineRule="atLeast"/>
              <w:ind w:left="105" w:leftChars="50" w:firstLine="360"/>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预测方法</w:t>
            </w:r>
          </w:p>
        </w:tc>
        <w:tc>
          <w:tcPr>
            <w:tcW w:w="6466" w:type="dxa"/>
            <w:gridSpan w:val="6"/>
            <w:vAlign w:val="center"/>
          </w:tcPr>
          <w:p>
            <w:pPr>
              <w:pStyle w:val="97"/>
              <w:tabs>
                <w:tab w:val="left" w:pos="2930"/>
              </w:tabs>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附录</w:t>
            </w:r>
            <w:r>
              <w:rPr>
                <w:rFonts w:cs="Times New Roman" w:asciiTheme="minorEastAsia" w:hAnsiTheme="minorEastAsia" w:eastAsiaTheme="minorEastAsia"/>
                <w:color w:val="0D0D0D" w:themeColor="text1" w:themeTint="F2"/>
                <w:spacing w:val="-46"/>
                <w:sz w:val="18"/>
                <w:szCs w:val="18"/>
                <w:lang w:eastAsia="zh-CN"/>
                <w14:textFill>
                  <w14:solidFill>
                    <w14:schemeClr w14:val="tx1">
                      <w14:lumMod w14:val="95000"/>
                      <w14:lumOff w14:val="5000"/>
                    </w14:schemeClr>
                  </w14:solidFill>
                </w14:textFill>
              </w:rPr>
              <w:t xml:space="preserve"> </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E□；附录</w:t>
            </w:r>
            <w:r>
              <w:rPr>
                <w:rFonts w:cs="Times New Roman" w:asciiTheme="minorEastAsia" w:hAnsiTheme="minorEastAsia" w:eastAsiaTheme="minorEastAsia"/>
                <w:color w:val="0D0D0D" w:themeColor="text1" w:themeTint="F2"/>
                <w:spacing w:val="-45"/>
                <w:sz w:val="18"/>
                <w:szCs w:val="18"/>
                <w:lang w:eastAsia="zh-CN"/>
                <w14:textFill>
                  <w14:solidFill>
                    <w14:schemeClr w14:val="tx1">
                      <w14:lumMod w14:val="95000"/>
                      <w14:lumOff w14:val="5000"/>
                    </w14:schemeClr>
                  </w14:solidFill>
                </w14:textFill>
              </w:rPr>
              <w:t xml:space="preserve"> </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F□；其他（）</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预测分析内容</w:t>
            </w:r>
          </w:p>
        </w:tc>
        <w:tc>
          <w:tcPr>
            <w:tcW w:w="6466" w:type="dxa"/>
            <w:gridSpan w:val="6"/>
            <w:vAlign w:val="center"/>
          </w:tcPr>
          <w:p>
            <w:pPr>
              <w:pStyle w:val="97"/>
              <w:tabs>
                <w:tab w:val="left" w:pos="1639"/>
              </w:tabs>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影响范围（</w:t>
            </w: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较小</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w:t>
            </w:r>
          </w:p>
          <w:p>
            <w:pPr>
              <w:pStyle w:val="97"/>
              <w:tabs>
                <w:tab w:val="left" w:pos="1639"/>
              </w:tabs>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影响程度（较小）</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预测结论</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达标结论：a）</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；b）□；c）□</w:t>
            </w:r>
          </w:p>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不达标结论：a）□；b）□</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restart"/>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防治措施</w:t>
            </w: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防控措施</w:t>
            </w:r>
          </w:p>
        </w:tc>
        <w:tc>
          <w:tcPr>
            <w:tcW w:w="6466" w:type="dxa"/>
            <w:gridSpan w:val="6"/>
            <w:vAlign w:val="center"/>
          </w:tcPr>
          <w:p>
            <w:pPr>
              <w:pStyle w:val="97"/>
              <w:spacing w:line="240" w:lineRule="atLeast"/>
              <w:ind w:left="105" w:leftChars="50"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土壤环境质量现状保障□；源头控制</w:t>
            </w:r>
            <w:r>
              <w:rPr>
                <w:rFonts w:hint="eastAsia" w:ascii="MS Mincho" w:hAnsi="MS Mincho" w:eastAsia="MS Mincho" w:cs="MS Mincho"/>
                <w:color w:val="0D0D0D" w:themeColor="text1" w:themeTint="F2"/>
                <w:sz w:val="18"/>
                <w:szCs w:val="18"/>
                <w:lang w:eastAsia="zh-CN"/>
                <w14:textFill>
                  <w14:solidFill>
                    <w14:schemeClr w14:val="tx1">
                      <w14:lumMod w14:val="95000"/>
                      <w14:lumOff w14:val="5000"/>
                    </w14:schemeClr>
                  </w14:solidFill>
                </w14:textFill>
              </w:rPr>
              <w:t>☑</w:t>
            </w: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；过程防控□；其他（）</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Merge w:val="restart"/>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跟踪监测</w:t>
            </w:r>
          </w:p>
        </w:tc>
        <w:tc>
          <w:tcPr>
            <w:tcW w:w="1405"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监测点数</w:t>
            </w:r>
          </w:p>
        </w:tc>
        <w:tc>
          <w:tcPr>
            <w:tcW w:w="3171" w:type="dxa"/>
            <w:gridSpan w:val="3"/>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监测指标</w:t>
            </w:r>
          </w:p>
        </w:tc>
        <w:tc>
          <w:tcPr>
            <w:tcW w:w="1890"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监测频次</w:t>
            </w:r>
          </w:p>
        </w:tc>
        <w:tc>
          <w:tcPr>
            <w:tcW w:w="717" w:type="dxa"/>
            <w:vMerge w:val="restart"/>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405"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2</w:t>
            </w:r>
          </w:p>
        </w:tc>
        <w:tc>
          <w:tcPr>
            <w:tcW w:w="3171" w:type="dxa"/>
            <w:gridSpan w:val="3"/>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苯并[a]芘</w:t>
            </w:r>
          </w:p>
        </w:tc>
        <w:tc>
          <w:tcPr>
            <w:tcW w:w="1890"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5</w:t>
            </w: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年/1次</w:t>
            </w:r>
          </w:p>
        </w:tc>
        <w:tc>
          <w:tcPr>
            <w:tcW w:w="71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jc w:val="center"/>
        </w:trPr>
        <w:tc>
          <w:tcPr>
            <w:tcW w:w="775"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330" w:type="dxa"/>
            <w:vAlign w:val="center"/>
          </w:tcPr>
          <w:p>
            <w:pPr>
              <w:pStyle w:val="97"/>
              <w:spacing w:line="240" w:lineRule="atLeast"/>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信息公开指标</w:t>
            </w:r>
          </w:p>
        </w:tc>
        <w:tc>
          <w:tcPr>
            <w:tcW w:w="6466" w:type="dxa"/>
            <w:gridSpan w:val="6"/>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hint="eastAsia"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苯并[a]芘</w:t>
            </w:r>
          </w:p>
        </w:tc>
        <w:tc>
          <w:tcPr>
            <w:tcW w:w="71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2105" w:type="dxa"/>
            <w:gridSpan w:val="2"/>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14:textFill>
                  <w14:solidFill>
                    <w14:schemeClr w14:val="tx1">
                      <w14:lumMod w14:val="95000"/>
                      <w14:lumOff w14:val="5000"/>
                    </w14:schemeClr>
                  </w14:solidFill>
                </w14:textFill>
              </w:rPr>
              <w:t>评价结论</w:t>
            </w:r>
          </w:p>
        </w:tc>
        <w:tc>
          <w:tcPr>
            <w:tcW w:w="6466" w:type="dxa"/>
            <w:gridSpan w:val="6"/>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建设项目土壤环境影响可接受</w:t>
            </w:r>
          </w:p>
        </w:tc>
        <w:tc>
          <w:tcPr>
            <w:tcW w:w="717" w:type="dxa"/>
            <w:vAlign w:val="center"/>
          </w:tcPr>
          <w:p>
            <w:pPr>
              <w:pStyle w:val="97"/>
              <w:spacing w:line="240" w:lineRule="atLeast"/>
              <w:ind w:firstLine="360"/>
              <w:jc w:val="cente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9288" w:type="dxa"/>
            <w:gridSpan w:val="9"/>
            <w:vAlign w:val="center"/>
          </w:tcPr>
          <w:p>
            <w:pPr>
              <w:pStyle w:val="97"/>
              <w:spacing w:line="240" w:lineRule="atLeast"/>
              <w:ind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注 1：“□”为勾选项，可√；“（ ）”为内容填写项；“备注”为其他补充内容。</w:t>
            </w:r>
          </w:p>
          <w:p>
            <w:pPr>
              <w:pStyle w:val="97"/>
              <w:spacing w:line="240" w:lineRule="atLeast"/>
              <w:ind w:firstLine="360"/>
              <w:jc w:val="both"/>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pPr>
            <w:r>
              <w:rPr>
                <w:rFonts w:cs="Times New Roman" w:asciiTheme="minorEastAsia" w:hAnsiTheme="minorEastAsia" w:eastAsiaTheme="minorEastAsia"/>
                <w:color w:val="0D0D0D" w:themeColor="text1" w:themeTint="F2"/>
                <w:sz w:val="18"/>
                <w:szCs w:val="18"/>
                <w:lang w:eastAsia="zh-CN"/>
                <w14:textFill>
                  <w14:solidFill>
                    <w14:schemeClr w14:val="tx1">
                      <w14:lumMod w14:val="95000"/>
                      <w14:lumOff w14:val="5000"/>
                    </w14:schemeClr>
                  </w14:solidFill>
                </w14:textFill>
              </w:rPr>
              <w:t>注 2：需要分别开展土壤环境影响评级工作的，分别填写自查表。</w:t>
            </w:r>
          </w:p>
        </w:tc>
      </w:tr>
    </w:tbl>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p>
    <w:p>
      <w:pPr>
        <w:rPr>
          <w:rFonts w:asciiTheme="minorEastAsia" w:hAnsiTheme="minorEastAsia"/>
          <w:color w:val="0D0D0D" w:themeColor="text1" w:themeTint="F2"/>
          <w14:textFill>
            <w14:solidFill>
              <w14:schemeClr w14:val="tx1">
                <w14:lumMod w14:val="95000"/>
                <w14:lumOff w14:val="5000"/>
              </w14:schemeClr>
            </w14:solidFill>
          </w14:textFill>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spacing w:line="360" w:lineRule="auto"/>
        <w:jc w:val="center"/>
        <w:rPr>
          <w:rFonts w:ascii="黑体" w:hAnsi="黑体" w:eastAsia="黑体"/>
          <w:sz w:val="36"/>
          <w:szCs w:val="36"/>
        </w:rPr>
      </w:pPr>
      <w:r>
        <w:rPr>
          <w:rFonts w:hint="eastAsia" w:ascii="黑体" w:hAnsi="黑体" w:eastAsia="黑体"/>
          <w:sz w:val="36"/>
          <w:szCs w:val="36"/>
        </w:rPr>
        <w:t>第六章    环境风险评价</w:t>
      </w:r>
    </w:p>
    <w:p>
      <w:pPr>
        <w:spacing w:line="360" w:lineRule="auto"/>
        <w:rPr>
          <w:sz w:val="24"/>
          <w:szCs w:val="24"/>
        </w:rPr>
      </w:pPr>
    </w:p>
    <w:p>
      <w:pPr>
        <w:spacing w:line="360" w:lineRule="auto"/>
        <w:rPr>
          <w:rFonts w:asciiTheme="minorEastAsia" w:hAnsiTheme="minorEastAsia"/>
          <w:b/>
          <w:sz w:val="28"/>
          <w:szCs w:val="28"/>
        </w:rPr>
      </w:pPr>
      <w:r>
        <w:rPr>
          <w:rFonts w:hint="eastAsia" w:asciiTheme="minorEastAsia" w:hAnsiTheme="minorEastAsia"/>
          <w:b/>
          <w:sz w:val="28"/>
          <w:szCs w:val="28"/>
        </w:rPr>
        <w:t>6.1环境风险评价的目的和重点</w:t>
      </w:r>
    </w:p>
    <w:p>
      <w:pPr>
        <w:spacing w:line="360" w:lineRule="auto"/>
        <w:rPr>
          <w:rFonts w:asciiTheme="minorEastAsia" w:hAnsiTheme="minorEastAsia"/>
          <w:b/>
          <w:sz w:val="24"/>
          <w:szCs w:val="24"/>
        </w:rPr>
      </w:pPr>
      <w:r>
        <w:rPr>
          <w:rFonts w:hint="eastAsia" w:asciiTheme="minorEastAsia" w:hAnsiTheme="minorEastAsia"/>
          <w:b/>
          <w:sz w:val="24"/>
          <w:szCs w:val="24"/>
        </w:rPr>
        <w:t>6.1.1 环境风险评价的目的</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环境风险评价的目的是以突发性事故导致的危险物质环境急性损害防控为目标，对项目的环境风险进行分析、预测和评估，提出环境风险预防、控制、减缓措施，明确环境风险监控及应急建议要求，为建设项目环境风险防控提供科学依据。</w:t>
      </w:r>
    </w:p>
    <w:p>
      <w:pPr>
        <w:spacing w:line="360" w:lineRule="auto"/>
        <w:rPr>
          <w:rFonts w:asciiTheme="minorEastAsia" w:hAnsiTheme="minorEastAsia"/>
          <w:b/>
          <w:sz w:val="24"/>
          <w:szCs w:val="24"/>
        </w:rPr>
      </w:pPr>
      <w:r>
        <w:rPr>
          <w:rFonts w:hint="eastAsia" w:asciiTheme="minorEastAsia" w:hAnsiTheme="minorEastAsia"/>
          <w:b/>
          <w:sz w:val="24"/>
          <w:szCs w:val="24"/>
        </w:rPr>
        <w:t>6.1.2 风险评价的重点</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根据拟建项目周围环境状况、生产工艺、原辅料物理化学性质的特点，分析项目物质及工艺系统危险性和环境敏感性，进行风险潜势的判断，确定风险评价等级，筛选具有代表性的风险事故情形，合理设定事故原项，对各环境要素分别开展预测评价，分析说明环境风险危害范围与程度，提出风险防范措施。</w:t>
      </w:r>
    </w:p>
    <w:p>
      <w:pPr>
        <w:spacing w:line="360" w:lineRule="auto"/>
        <w:rPr>
          <w:rFonts w:asciiTheme="minorEastAsia" w:hAnsiTheme="minorEastAsia"/>
          <w:b/>
          <w:sz w:val="28"/>
          <w:szCs w:val="28"/>
        </w:rPr>
      </w:pPr>
      <w:r>
        <w:rPr>
          <w:rFonts w:hint="eastAsia" w:asciiTheme="minorEastAsia" w:hAnsiTheme="minorEastAsia"/>
          <w:b/>
          <w:sz w:val="28"/>
          <w:szCs w:val="28"/>
        </w:rPr>
        <w:t>6.2评价依据及评价等级判定</w:t>
      </w:r>
    </w:p>
    <w:p>
      <w:pPr>
        <w:spacing w:line="360" w:lineRule="auto"/>
        <w:rPr>
          <w:rFonts w:asciiTheme="minorEastAsia" w:hAnsiTheme="minorEastAsia"/>
          <w:b/>
          <w:sz w:val="24"/>
          <w:szCs w:val="24"/>
        </w:rPr>
      </w:pPr>
      <w:r>
        <w:rPr>
          <w:rFonts w:asciiTheme="minorEastAsia" w:hAnsiTheme="minorEastAsia"/>
          <w:b/>
          <w:sz w:val="24"/>
          <w:szCs w:val="24"/>
        </w:rPr>
        <w:t>6.2.1</w:t>
      </w:r>
      <w:r>
        <w:rPr>
          <w:rFonts w:hint="eastAsia" w:asciiTheme="minorEastAsia" w:hAnsiTheme="minorEastAsia"/>
          <w:b/>
          <w:sz w:val="24"/>
          <w:szCs w:val="24"/>
        </w:rPr>
        <w:t>风险源调查</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根据项目生产工艺、处理废物性质，以及所涉及的原辅材料及产生物质的性质、数量和分布，对项目风险源进行调查。</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项目生产原料为废轮胎，主要辅助原料包括：轻质柴油、氢氧化钠、尿素等；产品为轮胎裂解油、粗碳黑、废钢丝等；运营期轮胎热裂解不凝气直接通过管道进入燃烧装置燃烧，项目区不设置储气柜；排放大气污染物主要是颗粒物、SO</w:t>
      </w:r>
      <w:r>
        <w:rPr>
          <w:rFonts w:hint="eastAsia" w:asciiTheme="minorEastAsia" w:hAnsiTheme="minorEastAsia"/>
          <w:sz w:val="24"/>
          <w:szCs w:val="24"/>
          <w:vertAlign w:val="subscript"/>
        </w:rPr>
        <w:t>2</w:t>
      </w:r>
      <w:r>
        <w:rPr>
          <w:rFonts w:hint="eastAsia" w:asciiTheme="minorEastAsia" w:hAnsiTheme="minorEastAsia"/>
          <w:sz w:val="24"/>
          <w:szCs w:val="24"/>
        </w:rPr>
        <w:t>、NOx、非甲烷总烃及少量H</w:t>
      </w:r>
      <w:r>
        <w:rPr>
          <w:rFonts w:hint="eastAsia" w:asciiTheme="minorEastAsia" w:hAnsiTheme="minorEastAsia"/>
          <w:sz w:val="24"/>
          <w:szCs w:val="24"/>
          <w:vertAlign w:val="subscript"/>
        </w:rPr>
        <w:t>2</w:t>
      </w:r>
      <w:r>
        <w:rPr>
          <w:rFonts w:hint="eastAsia" w:asciiTheme="minorEastAsia" w:hAnsiTheme="minorEastAsia"/>
          <w:sz w:val="24"/>
          <w:szCs w:val="24"/>
        </w:rPr>
        <w:t>S、氨、苯并[a]芘等；产生危险废物主要有废油泥渣、废脱硝催化剂、废活性炭及废紫外灯管等。</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按照《危险化学品重大危险源辨识》（GB18218-2018）、《化学品分类及标签规范》（GB30000-2013）等标准和《建设项目环境风险评价技术导则》（HJ169-2018）附录B的规定，危险物质是指具有易燃易爆、有毒有害等特性，会对环境造成危害的物质。经对项目使用的各类原辅料及产生的危险废物理化性质、毒理毒性进行分析，本项目存在危险性质的物料主要是裂解油、轻质柴油、氢氧化钠、废油泥渣等；主要危险物质性质分述如下：</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（1）裂解油</w:t>
      </w:r>
    </w:p>
    <w:p>
      <w:pPr>
        <w:snapToGrid w:val="0"/>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根据同类企业生产实践，裂解油其成分为轻石脑油21.07%、轻瓦斯油20.18%、重石脑油15.67%、煤油11.61%、汽油3.74%及其它，因此，可以参照石脑油性质来识别，主要风险是贮存泄漏、火灾、爆炸风险。从性质、环境标准、毒性行为等方面的分析，本项目贮存的化工原料中，裂解油具有较强的火灾、爆炸风险，物质危险性识别如下</w:t>
      </w:r>
      <w:r>
        <w:rPr>
          <w:rFonts w:cs="Times New Roman" w:asciiTheme="minorEastAsia" w:hAnsiTheme="minorEastAsia"/>
          <w:bCs/>
          <w:kern w:val="0"/>
          <w:sz w:val="24"/>
          <w:szCs w:val="24"/>
        </w:rPr>
        <w:t>：</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1）物质的理化常数</w:t>
      </w:r>
    </w:p>
    <w:p>
      <w:pPr>
        <w:spacing w:line="360" w:lineRule="auto"/>
        <w:ind w:firstLine="482" w:firstLineChars="200"/>
        <w:jc w:val="center"/>
        <w:rPr>
          <w:rFonts w:cs="Times New Roman" w:asciiTheme="minorEastAsia" w:hAnsiTheme="minorEastAsia"/>
          <w:b/>
          <w:bCs/>
          <w:sz w:val="24"/>
          <w:szCs w:val="24"/>
        </w:rPr>
      </w:pPr>
      <w:r>
        <w:rPr>
          <w:rFonts w:cs="Times New Roman" w:asciiTheme="minorEastAsia" w:hAnsiTheme="minorEastAsia"/>
          <w:b/>
          <w:bCs/>
          <w:sz w:val="24"/>
          <w:szCs w:val="24"/>
        </w:rPr>
        <w:t>表</w:t>
      </w:r>
      <w:r>
        <w:rPr>
          <w:rFonts w:hint="eastAsia" w:cs="Times New Roman" w:asciiTheme="minorEastAsia" w:hAnsiTheme="minorEastAsia"/>
          <w:b/>
          <w:bCs/>
          <w:sz w:val="24"/>
          <w:szCs w:val="24"/>
        </w:rPr>
        <w:t>6.2</w:t>
      </w:r>
      <w:r>
        <w:rPr>
          <w:rFonts w:cs="Times New Roman" w:asciiTheme="minorEastAsia" w:hAnsiTheme="minorEastAsia"/>
          <w:b/>
          <w:bCs/>
          <w:sz w:val="24"/>
          <w:szCs w:val="24"/>
        </w:rPr>
        <w:t>-</w:t>
      </w:r>
      <w:r>
        <w:rPr>
          <w:rFonts w:hint="eastAsia" w:cs="Times New Roman" w:asciiTheme="minorEastAsia" w:hAnsiTheme="minorEastAsia"/>
          <w:b/>
          <w:bCs/>
          <w:sz w:val="24"/>
          <w:szCs w:val="24"/>
        </w:rPr>
        <w:t>1</w:t>
      </w:r>
      <w:r>
        <w:rPr>
          <w:rFonts w:cs="Times New Roman" w:asciiTheme="minorEastAsia" w:hAnsiTheme="minorEastAsia"/>
          <w:b/>
          <w:bCs/>
          <w:sz w:val="24"/>
          <w:szCs w:val="24"/>
        </w:rPr>
        <w:t xml:space="preserve">      裂解油理化常数表</w:t>
      </w:r>
    </w:p>
    <w:tbl>
      <w:tblPr>
        <w:tblStyle w:val="2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52"/>
        <w:gridCol w:w="2530"/>
        <w:gridCol w:w="1338"/>
        <w:gridCol w:w="392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12" w:space="0"/>
              <w:left w:val="single" w:color="auto" w:sz="12"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国标编号</w:t>
            </w:r>
          </w:p>
        </w:tc>
        <w:tc>
          <w:tcPr>
            <w:tcW w:w="2530" w:type="dxa"/>
            <w:tcBorders>
              <w:top w:val="single" w:color="auto" w:sz="12" w:space="0"/>
              <w:bottom w:val="single" w:color="auto" w:sz="6" w:space="0"/>
              <w:right w:val="single" w:color="auto" w:sz="4"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32004</w:t>
            </w:r>
          </w:p>
        </w:tc>
        <w:tc>
          <w:tcPr>
            <w:tcW w:w="1338" w:type="dxa"/>
            <w:tcBorders>
              <w:top w:val="single" w:color="auto" w:sz="12" w:space="0"/>
              <w:left w:val="single" w:color="auto" w:sz="4" w:space="0"/>
              <w:bottom w:val="single" w:color="auto" w:sz="6" w:space="0"/>
              <w:right w:val="single" w:color="auto" w:sz="4"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CAS号</w:t>
            </w:r>
          </w:p>
        </w:tc>
        <w:tc>
          <w:tcPr>
            <w:tcW w:w="3926" w:type="dxa"/>
            <w:tcBorders>
              <w:top w:val="single" w:color="auto" w:sz="12" w:space="0"/>
              <w:left w:val="single" w:color="auto" w:sz="4" w:space="0"/>
              <w:bottom w:val="single" w:color="auto" w:sz="6"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8030-30-6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6" w:space="0"/>
              <w:left w:val="single" w:color="auto" w:sz="12"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中文名称</w:t>
            </w:r>
          </w:p>
        </w:tc>
        <w:tc>
          <w:tcPr>
            <w:tcW w:w="2530" w:type="dxa"/>
            <w:tcBorders>
              <w:top w:val="single" w:color="auto" w:sz="6" w:space="0"/>
              <w:bottom w:val="single" w:color="auto" w:sz="6" w:space="0"/>
              <w:right w:val="single" w:color="auto" w:sz="4"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石脑油</w:t>
            </w:r>
          </w:p>
        </w:tc>
        <w:tc>
          <w:tcPr>
            <w:tcW w:w="1338" w:type="dxa"/>
            <w:tcBorders>
              <w:top w:val="single" w:color="auto" w:sz="6" w:space="0"/>
              <w:left w:val="single" w:color="auto" w:sz="4" w:space="0"/>
              <w:bottom w:val="single" w:color="auto" w:sz="6" w:space="0"/>
              <w:right w:val="single" w:color="auto" w:sz="4"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别  名</w:t>
            </w:r>
          </w:p>
        </w:tc>
        <w:tc>
          <w:tcPr>
            <w:tcW w:w="3926" w:type="dxa"/>
            <w:tcBorders>
              <w:top w:val="single" w:color="auto" w:sz="6" w:space="0"/>
              <w:left w:val="single" w:color="auto" w:sz="4" w:space="0"/>
              <w:bottom w:val="single" w:color="auto" w:sz="6"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溶剂油；粗汽油；石油英</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6" w:space="0"/>
              <w:left w:val="single" w:color="auto" w:sz="12"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英文名称</w:t>
            </w:r>
          </w:p>
        </w:tc>
        <w:tc>
          <w:tcPr>
            <w:tcW w:w="7794" w:type="dxa"/>
            <w:gridSpan w:val="3"/>
            <w:tcBorders>
              <w:top w:val="single" w:color="auto" w:sz="6" w:space="0"/>
              <w:bottom w:val="single" w:color="auto" w:sz="6"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Grude oil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6" w:space="0"/>
              <w:left w:val="single" w:color="auto" w:sz="12"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分子式</w:t>
            </w:r>
          </w:p>
        </w:tc>
        <w:tc>
          <w:tcPr>
            <w:tcW w:w="2530"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C5~C20</w:t>
            </w:r>
          </w:p>
        </w:tc>
        <w:tc>
          <w:tcPr>
            <w:tcW w:w="1338"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外观与性状</w:t>
            </w:r>
          </w:p>
        </w:tc>
        <w:tc>
          <w:tcPr>
            <w:tcW w:w="3926" w:type="dxa"/>
            <w:tcBorders>
              <w:top w:val="single" w:color="auto" w:sz="6" w:space="0"/>
              <w:bottom w:val="single" w:color="auto" w:sz="6"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黑色粘稠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6" w:space="0"/>
              <w:left w:val="single" w:color="auto" w:sz="12"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分子量</w:t>
            </w:r>
          </w:p>
        </w:tc>
        <w:tc>
          <w:tcPr>
            <w:tcW w:w="2530"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p>
        </w:tc>
        <w:tc>
          <w:tcPr>
            <w:tcW w:w="1338"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蒸汽压</w:t>
            </w:r>
          </w:p>
        </w:tc>
        <w:tc>
          <w:tcPr>
            <w:tcW w:w="3926" w:type="dxa"/>
            <w:tcBorders>
              <w:top w:val="single" w:color="auto" w:sz="6" w:space="0"/>
              <w:bottom w:val="single" w:color="auto" w:sz="6"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30.66kPa(21</w:t>
            </w:r>
            <w:r>
              <w:rPr>
                <w:rFonts w:hint="eastAsia" w:cs="宋体" w:asciiTheme="minorEastAsia" w:hAnsiTheme="minorEastAsia"/>
                <w:bCs/>
                <w:sz w:val="18"/>
                <w:szCs w:val="18"/>
              </w:rPr>
              <w:t>℃</w:t>
            </w:r>
            <w:r>
              <w:rPr>
                <w:rFonts w:cs="Times New Roman" w:asciiTheme="minorEastAsia" w:hAnsiTheme="minorEastAsia"/>
                <w:bCs/>
                <w:sz w:val="18"/>
                <w:szCs w:val="18"/>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6" w:space="0"/>
              <w:left w:val="single" w:color="auto" w:sz="12"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熔  点</w:t>
            </w:r>
          </w:p>
        </w:tc>
        <w:tc>
          <w:tcPr>
            <w:tcW w:w="2530"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闪点约为7.5~27.5</w:t>
            </w:r>
            <w:r>
              <w:rPr>
                <w:rFonts w:hint="eastAsia" w:cs="宋体" w:asciiTheme="minorEastAsia" w:hAnsiTheme="minorEastAsia"/>
                <w:bCs/>
                <w:sz w:val="18"/>
                <w:szCs w:val="18"/>
              </w:rPr>
              <w:t>℃</w:t>
            </w:r>
            <w:r>
              <w:rPr>
                <w:rFonts w:cs="Times New Roman" w:asciiTheme="minorEastAsia" w:hAnsiTheme="minorEastAsia"/>
                <w:bCs/>
                <w:sz w:val="18"/>
                <w:szCs w:val="18"/>
              </w:rPr>
              <w:t>，沸点约为20~160</w:t>
            </w:r>
            <w:r>
              <w:rPr>
                <w:rFonts w:hint="eastAsia" w:cs="宋体" w:asciiTheme="minorEastAsia" w:hAnsiTheme="minorEastAsia"/>
                <w:bCs/>
                <w:sz w:val="18"/>
                <w:szCs w:val="18"/>
              </w:rPr>
              <w:t>℃</w:t>
            </w:r>
          </w:p>
        </w:tc>
        <w:tc>
          <w:tcPr>
            <w:tcW w:w="1338"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溶解性</w:t>
            </w:r>
          </w:p>
        </w:tc>
        <w:tc>
          <w:tcPr>
            <w:tcW w:w="3926" w:type="dxa"/>
            <w:tcBorders>
              <w:top w:val="single" w:color="auto" w:sz="6" w:space="0"/>
              <w:bottom w:val="single" w:color="auto" w:sz="6"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不溶于水，溶于多数有机溶剂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6" w:space="0"/>
              <w:left w:val="single" w:color="auto" w:sz="12"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密  度</w:t>
            </w:r>
          </w:p>
        </w:tc>
        <w:tc>
          <w:tcPr>
            <w:tcW w:w="2530"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相对密度(水=1)</w:t>
            </w:r>
          </w:p>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0.78～0.97</w:t>
            </w:r>
          </w:p>
        </w:tc>
        <w:tc>
          <w:tcPr>
            <w:tcW w:w="1338" w:type="dxa"/>
            <w:tcBorders>
              <w:top w:val="single" w:color="auto" w:sz="6" w:space="0"/>
              <w:bottom w:val="single" w:color="auto" w:sz="6"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稳定性</w:t>
            </w:r>
          </w:p>
        </w:tc>
        <w:tc>
          <w:tcPr>
            <w:tcW w:w="3926" w:type="dxa"/>
            <w:tcBorders>
              <w:top w:val="single" w:color="auto" w:sz="6" w:space="0"/>
              <w:bottom w:val="single" w:color="auto" w:sz="6"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稳定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52" w:type="dxa"/>
            <w:tcBorders>
              <w:top w:val="single" w:color="auto" w:sz="6" w:space="0"/>
              <w:left w:val="single" w:color="auto" w:sz="12" w:space="0"/>
              <w:bottom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危险标记</w:t>
            </w:r>
          </w:p>
        </w:tc>
        <w:tc>
          <w:tcPr>
            <w:tcW w:w="2530" w:type="dxa"/>
            <w:tcBorders>
              <w:top w:val="single" w:color="auto" w:sz="6" w:space="0"/>
              <w:bottom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7(中闪点易燃液体)</w:t>
            </w:r>
          </w:p>
        </w:tc>
        <w:tc>
          <w:tcPr>
            <w:tcW w:w="1338" w:type="dxa"/>
            <w:tcBorders>
              <w:top w:val="single" w:color="auto" w:sz="6" w:space="0"/>
              <w:bottom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主要用途</w:t>
            </w:r>
          </w:p>
        </w:tc>
        <w:tc>
          <w:tcPr>
            <w:tcW w:w="3926" w:type="dxa"/>
            <w:tcBorders>
              <w:top w:val="single" w:color="auto" w:sz="6" w:space="0"/>
              <w:bottom w:val="single" w:color="auto" w:sz="12" w:space="0"/>
              <w:right w:val="single" w:color="auto" w:sz="12" w:space="0"/>
            </w:tcBorders>
            <w:vAlign w:val="center"/>
          </w:tcPr>
          <w:p>
            <w:pPr>
              <w:spacing w:line="320" w:lineRule="atLeast"/>
              <w:jc w:val="center"/>
              <w:rPr>
                <w:rFonts w:cs="Times New Roman" w:asciiTheme="minorEastAsia" w:hAnsiTheme="minorEastAsia"/>
                <w:bCs/>
                <w:sz w:val="18"/>
                <w:szCs w:val="18"/>
              </w:rPr>
            </w:pPr>
            <w:r>
              <w:rPr>
                <w:rFonts w:cs="Times New Roman" w:asciiTheme="minorEastAsia" w:hAnsiTheme="minorEastAsia"/>
                <w:bCs/>
                <w:sz w:val="18"/>
                <w:szCs w:val="18"/>
              </w:rPr>
              <w:t>可分离出多种有机原料，如汽油、苯、煤油、沥青等</w:t>
            </w:r>
          </w:p>
        </w:tc>
      </w:tr>
    </w:tbl>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2）对环境的影响</w:t>
      </w:r>
    </w:p>
    <w:p>
      <w:pPr>
        <w:spacing w:line="360" w:lineRule="auto"/>
        <w:ind w:firstLine="480" w:firstLineChars="200"/>
        <w:rPr>
          <w:rFonts w:cs="Times New Roman" w:asciiTheme="minorEastAsia" w:hAnsiTheme="minorEastAsia"/>
          <w:bCs/>
          <w:sz w:val="24"/>
          <w:szCs w:val="24"/>
        </w:rPr>
      </w:pPr>
      <w:r>
        <w:rPr>
          <w:rFonts w:hint="eastAsia" w:cs="宋体" w:asciiTheme="minorEastAsia" w:hAnsiTheme="minorEastAsia"/>
          <w:bCs/>
          <w:sz w:val="24"/>
          <w:szCs w:val="24"/>
        </w:rPr>
        <w:t>①</w:t>
      </w:r>
      <w:r>
        <w:rPr>
          <w:rFonts w:cs="Times New Roman" w:asciiTheme="minorEastAsia" w:hAnsiTheme="minorEastAsia"/>
          <w:bCs/>
          <w:sz w:val="24"/>
          <w:szCs w:val="24"/>
        </w:rPr>
        <w:t>健康危害</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侵入途径：吸入、食入。</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健康危害：可引起眼及上呼吸道刺激症状，如浓度过高，几分钟即可引起呼吸困难、紫绀等缺氧症状。</w:t>
      </w:r>
    </w:p>
    <w:p>
      <w:pPr>
        <w:spacing w:line="360" w:lineRule="auto"/>
        <w:ind w:firstLine="480" w:firstLineChars="200"/>
        <w:rPr>
          <w:rFonts w:cs="Times New Roman" w:asciiTheme="minorEastAsia" w:hAnsiTheme="minorEastAsia"/>
          <w:bCs/>
          <w:sz w:val="24"/>
          <w:szCs w:val="24"/>
        </w:rPr>
      </w:pPr>
      <w:r>
        <w:rPr>
          <w:rFonts w:hint="eastAsia" w:cs="宋体" w:asciiTheme="minorEastAsia" w:hAnsiTheme="minorEastAsia"/>
          <w:bCs/>
          <w:sz w:val="24"/>
          <w:szCs w:val="24"/>
        </w:rPr>
        <w:t>②</w:t>
      </w:r>
      <w:r>
        <w:rPr>
          <w:rFonts w:cs="Times New Roman" w:asciiTheme="minorEastAsia" w:hAnsiTheme="minorEastAsia"/>
          <w:bCs/>
          <w:sz w:val="24"/>
          <w:szCs w:val="24"/>
        </w:rPr>
        <w:t>毒理学资料及环境行为</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急性毒性：LC</w:t>
      </w:r>
      <w:r>
        <w:rPr>
          <w:rFonts w:cs="Times New Roman" w:asciiTheme="minorEastAsia" w:hAnsiTheme="minorEastAsia"/>
          <w:bCs/>
          <w:sz w:val="24"/>
          <w:szCs w:val="24"/>
          <w:vertAlign w:val="subscript"/>
        </w:rPr>
        <w:t xml:space="preserve">50  </w:t>
      </w:r>
      <w:r>
        <w:rPr>
          <w:rFonts w:cs="Times New Roman" w:asciiTheme="minorEastAsia" w:hAnsiTheme="minorEastAsia"/>
          <w:bCs/>
          <w:sz w:val="24"/>
          <w:szCs w:val="24"/>
        </w:rPr>
        <w:t>32000mg/m</w:t>
      </w:r>
      <w:r>
        <w:rPr>
          <w:rFonts w:cs="Times New Roman" w:asciiTheme="minorEastAsia" w:hAnsiTheme="minorEastAsia"/>
          <w:bCs/>
          <w:sz w:val="24"/>
          <w:szCs w:val="24"/>
          <w:vertAlign w:val="superscript"/>
        </w:rPr>
        <w:t>3</w:t>
      </w:r>
      <w:r>
        <w:rPr>
          <w:rFonts w:cs="Times New Roman" w:asciiTheme="minorEastAsia" w:hAnsiTheme="minorEastAsia"/>
          <w:bCs/>
          <w:sz w:val="24"/>
          <w:szCs w:val="24"/>
        </w:rPr>
        <w:t>，4小时(大鼠吸入)</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危险特性：其蒸气与空气可形成爆炸性混合物。遇明火、高热能引起燃烧爆炸。与氧化剂能发生强烈反应。其蒸气比空气重，能在较低处扩散到相当远的地方，遇明火会引着回燃。</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燃烧(分解)产物：一氧化碳、二氧化碳。</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3）应急处理处置方法：</w:t>
      </w:r>
    </w:p>
    <w:p>
      <w:pPr>
        <w:spacing w:line="360" w:lineRule="auto"/>
        <w:ind w:firstLine="480" w:firstLineChars="200"/>
        <w:rPr>
          <w:rFonts w:cs="Times New Roman" w:asciiTheme="minorEastAsia" w:hAnsiTheme="minorEastAsia"/>
          <w:bCs/>
          <w:sz w:val="24"/>
          <w:szCs w:val="24"/>
        </w:rPr>
      </w:pPr>
      <w:r>
        <w:rPr>
          <w:rFonts w:hint="eastAsia" w:cs="宋体" w:asciiTheme="minorEastAsia" w:hAnsiTheme="minorEastAsia"/>
          <w:bCs/>
          <w:sz w:val="24"/>
          <w:szCs w:val="24"/>
        </w:rPr>
        <w:t>①</w:t>
      </w:r>
      <w:r>
        <w:rPr>
          <w:rFonts w:cs="Times New Roman" w:asciiTheme="minorEastAsia" w:hAnsiTheme="minorEastAsia"/>
          <w:bCs/>
          <w:sz w:val="24"/>
          <w:szCs w:val="24"/>
        </w:rPr>
        <w:t>泄漏应急处理</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迅速撤离泄漏污染区人员至安全区，并进行隔离，严格限制出入。切断火源。建议应急处理人员戴自给正压式呼吸器，穿消防防护服。尽可能切断泄漏源。防止进入下水道、排洪沟等限制性空间。小量泄漏：用砂土、蛭石或其它惰性材料吸收。大量泄漏：构筑围堤或挖坑收容；用泡沫覆盖，降低蒸气灾害。用防爆泵转移至槽车或专用收集器内，回收或运至废物处理场所处置。</w:t>
      </w:r>
    </w:p>
    <w:p>
      <w:pPr>
        <w:spacing w:line="360" w:lineRule="auto"/>
        <w:ind w:firstLine="480" w:firstLineChars="200"/>
        <w:rPr>
          <w:rFonts w:cs="Times New Roman" w:asciiTheme="minorEastAsia" w:hAnsiTheme="minorEastAsia"/>
          <w:bCs/>
          <w:sz w:val="24"/>
          <w:szCs w:val="24"/>
        </w:rPr>
      </w:pPr>
      <w:r>
        <w:rPr>
          <w:rFonts w:hint="eastAsia" w:cs="宋体" w:asciiTheme="minorEastAsia" w:hAnsiTheme="minorEastAsia"/>
          <w:bCs/>
          <w:sz w:val="24"/>
          <w:szCs w:val="24"/>
        </w:rPr>
        <w:t>②</w:t>
      </w:r>
      <w:r>
        <w:rPr>
          <w:rFonts w:cs="Times New Roman" w:asciiTheme="minorEastAsia" w:hAnsiTheme="minorEastAsia"/>
          <w:bCs/>
          <w:sz w:val="24"/>
          <w:szCs w:val="24"/>
        </w:rPr>
        <w:t>防护措施</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呼吸系统防护：空气中浓度超标时，佩戴过滤式防毒面具(半面罩)。</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眼睛防护：戴安全防护眼镜。</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身体防护：穿防静电工作服。</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手防护：戴乳胶手套。</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其它：工作现场禁止吸烟、进食和饮水。工作毕，淋浴更衣。注意个人清洁卫生。</w:t>
      </w:r>
    </w:p>
    <w:p>
      <w:pPr>
        <w:spacing w:line="360" w:lineRule="auto"/>
        <w:ind w:firstLine="480" w:firstLineChars="200"/>
        <w:rPr>
          <w:rFonts w:cs="Times New Roman" w:asciiTheme="minorEastAsia" w:hAnsiTheme="minorEastAsia"/>
          <w:bCs/>
          <w:sz w:val="24"/>
          <w:szCs w:val="24"/>
        </w:rPr>
      </w:pPr>
      <w:r>
        <w:rPr>
          <w:rFonts w:hint="eastAsia" w:cs="宋体" w:asciiTheme="minorEastAsia" w:hAnsiTheme="minorEastAsia"/>
          <w:bCs/>
          <w:sz w:val="24"/>
          <w:szCs w:val="24"/>
        </w:rPr>
        <w:t>③</w:t>
      </w:r>
      <w:r>
        <w:rPr>
          <w:rFonts w:cs="Times New Roman" w:asciiTheme="minorEastAsia" w:hAnsiTheme="minorEastAsia"/>
          <w:bCs/>
          <w:sz w:val="24"/>
          <w:szCs w:val="24"/>
        </w:rPr>
        <w:t>急救措施</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皮肤接触：脱去被污染的衣着，用肥皂水和清水彻底冲洗皮肤。</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眼睛接触：提起眼睑，用流动清水或生理盐水冲洗。就医。</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吸入：迅速脱离现场至空气新鲜处。保持呼吸道通畅。如呼吸困难，给输氧。如呼吸停止，立即进行人工呼吸。就医。</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食入：误服者用水漱口，给饮牛奶或蛋清。就医。</w:t>
      </w:r>
    </w:p>
    <w:p>
      <w:pPr>
        <w:spacing w:line="360" w:lineRule="auto"/>
        <w:ind w:firstLine="480" w:firstLineChars="200"/>
        <w:rPr>
          <w:rFonts w:cs="Times New Roman" w:asciiTheme="minorEastAsia" w:hAnsiTheme="minorEastAsia"/>
          <w:bCs/>
          <w:sz w:val="24"/>
          <w:szCs w:val="24"/>
        </w:rPr>
      </w:pPr>
      <w:r>
        <w:rPr>
          <w:rFonts w:cs="Times New Roman" w:asciiTheme="minorEastAsia" w:hAnsiTheme="minorEastAsia"/>
          <w:bCs/>
          <w:sz w:val="24"/>
          <w:szCs w:val="24"/>
        </w:rPr>
        <w:t>灭火方法：喷水冷却容器，可能的话将容器从火场移至空旷处。处在火场中的容器若已变色或从安全泄压装置中产生声音，必须马上撤离。灭火剂：泡沫、干粉、二氧化碳、砂土。用水灭火无效。</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（2）轻质柴油</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柴油是轻质石油产品，复杂烃类(碳原子数约10～22)混合物。为柴油机燃料。主要由原油蒸馏、催化裂化、热裂化、加氢裂化、石油焦化等过程生产的柴油馏分调配而成；也可由页岩油加工和煤液化制取。沸点范围约180～370℃）。严防曝晒及明火加热，尽量在较低温度下储存。</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（3）氢氧化钠</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氢氧化钠（又称烧碱和苛性钠），化学式为NaOH，是一种具有高腐蚀性的强碱，一般为白色片状或颗粒，能溶于水生成碱性溶液，也能溶解于甲醇及乙醇。此碱性物具有潮解性，会吸收空气里的水蒸气，亦会吸取二氧化碳等酸性气体。</w:t>
      </w:r>
    </w:p>
    <w:p>
      <w:pPr>
        <w:spacing w:line="360" w:lineRule="auto"/>
        <w:ind w:firstLine="420" w:firstLineChars="200"/>
        <w:jc w:val="center"/>
        <w:rPr>
          <w:rFonts w:cs="Times New Roman" w:asciiTheme="minorEastAsia" w:hAnsiTheme="minorEastAsia"/>
          <w:b/>
          <w:bCs/>
          <w:sz w:val="24"/>
          <w:szCs w:val="24"/>
        </w:rPr>
      </w:pPr>
      <w:r>
        <w:drawing>
          <wp:anchor distT="0" distB="0" distL="114300" distR="114300" simplePos="0" relativeHeight="252113920" behindDoc="0" locked="0" layoutInCell="1" allowOverlap="1">
            <wp:simplePos x="0" y="0"/>
            <wp:positionH relativeFrom="column">
              <wp:posOffset>-57150</wp:posOffset>
            </wp:positionH>
            <wp:positionV relativeFrom="paragraph">
              <wp:posOffset>274320</wp:posOffset>
            </wp:positionV>
            <wp:extent cx="5600700" cy="8077200"/>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602281" cy="8079480"/>
                    </a:xfrm>
                    <a:prstGeom prst="rect">
                      <a:avLst/>
                    </a:prstGeom>
                  </pic:spPr>
                </pic:pic>
              </a:graphicData>
            </a:graphic>
          </wp:anchor>
        </w:drawing>
      </w:r>
      <w:r>
        <w:rPr>
          <w:rFonts w:cs="Times New Roman" w:asciiTheme="minorEastAsia" w:hAnsiTheme="minorEastAsia"/>
          <w:b/>
          <w:bCs/>
          <w:sz w:val="24"/>
          <w:szCs w:val="24"/>
        </w:rPr>
        <w:t>表</w:t>
      </w:r>
      <w:r>
        <w:rPr>
          <w:rFonts w:hint="eastAsia" w:cs="Times New Roman" w:asciiTheme="minorEastAsia" w:hAnsiTheme="minorEastAsia"/>
          <w:b/>
          <w:bCs/>
          <w:sz w:val="24"/>
          <w:szCs w:val="24"/>
        </w:rPr>
        <w:t>6.2</w:t>
      </w:r>
      <w:r>
        <w:rPr>
          <w:rFonts w:cs="Times New Roman" w:asciiTheme="minorEastAsia" w:hAnsiTheme="minorEastAsia"/>
          <w:b/>
          <w:bCs/>
          <w:sz w:val="24"/>
          <w:szCs w:val="24"/>
        </w:rPr>
        <w:t>-</w:t>
      </w:r>
      <w:r>
        <w:rPr>
          <w:rFonts w:hint="eastAsia" w:cs="Times New Roman" w:asciiTheme="minorEastAsia" w:hAnsiTheme="minorEastAsia"/>
          <w:b/>
          <w:bCs/>
          <w:sz w:val="24"/>
          <w:szCs w:val="24"/>
        </w:rPr>
        <w:t>2</w:t>
      </w:r>
      <w:r>
        <w:rPr>
          <w:rFonts w:cs="Times New Roman" w:asciiTheme="minorEastAsia" w:hAnsiTheme="minorEastAsia"/>
          <w:b/>
          <w:bCs/>
          <w:sz w:val="24"/>
          <w:szCs w:val="24"/>
        </w:rPr>
        <w:t xml:space="preserve">      </w:t>
      </w:r>
      <w:r>
        <w:rPr>
          <w:rFonts w:hint="eastAsia" w:cs="Times New Roman" w:asciiTheme="minorEastAsia" w:hAnsiTheme="minorEastAsia"/>
          <w:b/>
          <w:bCs/>
          <w:sz w:val="24"/>
          <w:szCs w:val="24"/>
        </w:rPr>
        <w:t>氢氧化钠</w:t>
      </w:r>
      <w:r>
        <w:rPr>
          <w:rFonts w:cs="Times New Roman" w:asciiTheme="minorEastAsia" w:hAnsiTheme="minorEastAsia"/>
          <w:b/>
          <w:bCs/>
          <w:sz w:val="24"/>
          <w:szCs w:val="24"/>
        </w:rPr>
        <w:t>理化常数表</w:t>
      </w: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（4）废油泥渣</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按油泥的形成可以分为地面溢油、落地油泥、罐底油泥、炼油厂含油污泥。由于油泥性质多样性、种类复杂，而且，油泥大多都是水、泥、油以及其他杂质等混合物。罐底油泥是储罐在储存油品时，油品中的少量机械杂质、沙粒、泥土、重金属盐类以及石蜡和沥青质等重油性组分沉积在油罐底部，形成罐底油泥。在3~6年的油罐定期清洗中，罐底含油污泥量约占罐容的1%左右。罐底含油污泥的特点是碳氢化合物(油)含量极高。根据建设单位提供资料，油罐底泥中大约30%～50%为水，含油30%～45%，含固率5%～40%。</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根据工程分析，</w:t>
      </w:r>
      <w:r>
        <w:rPr>
          <w:rFonts w:asciiTheme="minorEastAsia" w:hAnsiTheme="minorEastAsia"/>
          <w:sz w:val="24"/>
          <w:szCs w:val="24"/>
        </w:rPr>
        <w:t>本次工程所涉及的危险物质</w:t>
      </w:r>
      <w:r>
        <w:rPr>
          <w:rFonts w:hint="eastAsia" w:asciiTheme="minorEastAsia" w:hAnsiTheme="minorEastAsia"/>
          <w:sz w:val="24"/>
          <w:szCs w:val="24"/>
        </w:rPr>
        <w:t>数量及其危险性见下表6.2-3</w:t>
      </w:r>
      <w:r>
        <w:rPr>
          <w:rFonts w:asciiTheme="minorEastAsia" w:hAnsiTheme="minorEastAsia"/>
          <w:sz w:val="24"/>
          <w:szCs w:val="24"/>
        </w:rPr>
        <w:t>。</w:t>
      </w:r>
    </w:p>
    <w:p>
      <w:pPr>
        <w:autoSpaceDE w:val="0"/>
        <w:autoSpaceDN w:val="0"/>
        <w:spacing w:line="312" w:lineRule="auto"/>
        <w:jc w:val="center"/>
        <w:rPr>
          <w:rFonts w:ascii="宋体" w:hAnsi="宋体" w:eastAsia="宋体" w:cs="AdobeSongStd-Light-Acro,Bold"/>
          <w:b/>
          <w:bCs/>
          <w:kern w:val="0"/>
          <w:sz w:val="24"/>
          <w:szCs w:val="24"/>
        </w:rPr>
      </w:pPr>
      <w:r>
        <w:rPr>
          <w:rFonts w:hint="eastAsia" w:ascii="宋体" w:hAnsi="宋体" w:eastAsia="宋体" w:cs="AdobeSongStd-Light-Acro,Bold"/>
          <w:b/>
          <w:bCs/>
          <w:kern w:val="0"/>
          <w:sz w:val="24"/>
          <w:szCs w:val="24"/>
        </w:rPr>
        <w:t>表6.2-3    主要危险物质数量及其危险性一览表</w:t>
      </w:r>
    </w:p>
    <w:tbl>
      <w:tblPr>
        <w:tblStyle w:val="27"/>
        <w:tblW w:w="83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972"/>
        <w:gridCol w:w="1985"/>
        <w:gridCol w:w="34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7" w:hRule="atLeast"/>
          <w:jc w:val="center"/>
        </w:trPr>
        <w:tc>
          <w:tcPr>
            <w:tcW w:w="862"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序 号</w:t>
            </w:r>
          </w:p>
        </w:tc>
        <w:tc>
          <w:tcPr>
            <w:tcW w:w="1972"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原料</w:t>
            </w:r>
          </w:p>
        </w:tc>
        <w:tc>
          <w:tcPr>
            <w:tcW w:w="1985"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最大存在量（t）</w:t>
            </w:r>
          </w:p>
        </w:tc>
        <w:tc>
          <w:tcPr>
            <w:tcW w:w="3484"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危险性质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86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1</w:t>
            </w:r>
          </w:p>
        </w:tc>
        <w:tc>
          <w:tcPr>
            <w:tcW w:w="197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裂解油</w:t>
            </w:r>
          </w:p>
        </w:tc>
        <w:tc>
          <w:tcPr>
            <w:tcW w:w="1985"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600</w:t>
            </w:r>
          </w:p>
        </w:tc>
        <w:tc>
          <w:tcPr>
            <w:tcW w:w="3484"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易燃、有害性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86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w:t>
            </w:r>
          </w:p>
        </w:tc>
        <w:tc>
          <w:tcPr>
            <w:tcW w:w="197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氢氧化钠</w:t>
            </w:r>
          </w:p>
        </w:tc>
        <w:tc>
          <w:tcPr>
            <w:tcW w:w="1985"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2.0</w:t>
            </w:r>
          </w:p>
        </w:tc>
        <w:tc>
          <w:tcPr>
            <w:tcW w:w="3484"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氧化性固体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86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3</w:t>
            </w:r>
          </w:p>
        </w:tc>
        <w:tc>
          <w:tcPr>
            <w:tcW w:w="197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轻质柴油</w:t>
            </w:r>
          </w:p>
        </w:tc>
        <w:tc>
          <w:tcPr>
            <w:tcW w:w="1985"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2.5</w:t>
            </w:r>
          </w:p>
        </w:tc>
        <w:tc>
          <w:tcPr>
            <w:tcW w:w="3484"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易燃、有害性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86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4</w:t>
            </w:r>
          </w:p>
        </w:tc>
        <w:tc>
          <w:tcPr>
            <w:tcW w:w="1972"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废油泥渣</w:t>
            </w:r>
          </w:p>
        </w:tc>
        <w:tc>
          <w:tcPr>
            <w:tcW w:w="1985"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12.0</w:t>
            </w:r>
          </w:p>
        </w:tc>
        <w:tc>
          <w:tcPr>
            <w:tcW w:w="3484"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有害性</w:t>
            </w:r>
          </w:p>
        </w:tc>
      </w:tr>
    </w:tbl>
    <w:p>
      <w:pPr>
        <w:spacing w:line="360" w:lineRule="auto"/>
        <w:rPr>
          <w:rFonts w:asciiTheme="minorEastAsia" w:hAnsiTheme="minorEastAsia"/>
          <w:b/>
          <w:sz w:val="24"/>
          <w:szCs w:val="24"/>
        </w:rPr>
      </w:pPr>
      <w:r>
        <w:rPr>
          <w:rFonts w:asciiTheme="minorEastAsia" w:hAnsiTheme="minorEastAsia"/>
          <w:b/>
          <w:sz w:val="24"/>
          <w:szCs w:val="24"/>
        </w:rPr>
        <w:t>6.2.</w:t>
      </w:r>
      <w:r>
        <w:rPr>
          <w:rFonts w:hint="eastAsia" w:asciiTheme="minorEastAsia" w:hAnsiTheme="minorEastAsia"/>
          <w:b/>
          <w:sz w:val="24"/>
          <w:szCs w:val="24"/>
        </w:rPr>
        <w:t>2 风险潜势初判及评价等级</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根据《危险化学品重大危险源辨识》（GB18218-2018）和《建设项目环境风险评价技术导则》（HJ169-2018）中附录C进行判定，项目涉及主要危险物质临界量及Q值计算结果见表6.2-4。</w:t>
      </w:r>
    </w:p>
    <w:p>
      <w:pPr>
        <w:autoSpaceDE w:val="0"/>
        <w:autoSpaceDN w:val="0"/>
        <w:spacing w:line="312" w:lineRule="auto"/>
        <w:jc w:val="center"/>
        <w:rPr>
          <w:rFonts w:ascii="宋体" w:hAnsi="宋体" w:eastAsia="宋体" w:cs="AdobeSongStd-Light-Acro,Bold"/>
          <w:b/>
          <w:bCs/>
          <w:kern w:val="0"/>
          <w:sz w:val="24"/>
          <w:szCs w:val="24"/>
        </w:rPr>
      </w:pPr>
      <w:r>
        <w:rPr>
          <w:rFonts w:hint="eastAsia" w:ascii="宋体" w:hAnsi="宋体" w:eastAsia="宋体" w:cs="AdobeSongStd-Light-Acro,Bold"/>
          <w:b/>
          <w:bCs/>
          <w:kern w:val="0"/>
          <w:sz w:val="24"/>
          <w:szCs w:val="24"/>
        </w:rPr>
        <w:t>表6.2-4      项目主要危险物质临界量及其Q值一览表</w:t>
      </w:r>
    </w:p>
    <w:tbl>
      <w:tblPr>
        <w:tblStyle w:val="27"/>
        <w:tblW w:w="49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2"/>
        <w:gridCol w:w="1824"/>
        <w:gridCol w:w="1994"/>
        <w:gridCol w:w="2347"/>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04" w:type="pct"/>
            <w:shd w:val="clear" w:color="auto" w:fill="auto"/>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序号</w:t>
            </w:r>
          </w:p>
        </w:tc>
        <w:tc>
          <w:tcPr>
            <w:tcW w:w="1028" w:type="pct"/>
            <w:shd w:val="clear" w:color="auto" w:fill="auto"/>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物质名称</w:t>
            </w:r>
          </w:p>
        </w:tc>
        <w:tc>
          <w:tcPr>
            <w:tcW w:w="1124" w:type="pct"/>
            <w:shd w:val="clear" w:color="auto" w:fill="auto"/>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标准临界量（t）</w:t>
            </w:r>
          </w:p>
        </w:tc>
        <w:tc>
          <w:tcPr>
            <w:tcW w:w="1323" w:type="pct"/>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最大存在量（t）</w:t>
            </w:r>
          </w:p>
        </w:tc>
        <w:tc>
          <w:tcPr>
            <w:tcW w:w="921" w:type="pct"/>
            <w:shd w:val="clear" w:color="auto" w:fill="auto"/>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60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1</w:t>
            </w:r>
          </w:p>
        </w:tc>
        <w:tc>
          <w:tcPr>
            <w:tcW w:w="1028"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裂解油</w:t>
            </w:r>
          </w:p>
        </w:tc>
        <w:tc>
          <w:tcPr>
            <w:tcW w:w="112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2500</w:t>
            </w:r>
          </w:p>
        </w:tc>
        <w:tc>
          <w:tcPr>
            <w:tcW w:w="1323" w:type="pct"/>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600</w:t>
            </w:r>
          </w:p>
        </w:tc>
        <w:tc>
          <w:tcPr>
            <w:tcW w:w="921"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60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w:t>
            </w:r>
          </w:p>
        </w:tc>
        <w:tc>
          <w:tcPr>
            <w:tcW w:w="1028"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氢氧化钠</w:t>
            </w:r>
          </w:p>
        </w:tc>
        <w:tc>
          <w:tcPr>
            <w:tcW w:w="112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200</w:t>
            </w:r>
          </w:p>
        </w:tc>
        <w:tc>
          <w:tcPr>
            <w:tcW w:w="1323" w:type="pct"/>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2.0</w:t>
            </w:r>
          </w:p>
        </w:tc>
        <w:tc>
          <w:tcPr>
            <w:tcW w:w="921" w:type="pct"/>
            <w:shd w:val="clear" w:color="auto" w:fill="auto"/>
            <w:vAlign w:val="center"/>
          </w:tcPr>
          <w:p>
            <w:pPr>
              <w:pStyle w:val="98"/>
              <w:widowControl w:val="0"/>
              <w:ind w:firstLine="0" w:firstLineChars="0"/>
              <w:jc w:val="center"/>
              <w:rPr>
                <w:rFonts w:ascii="Times New Roman"/>
              </w:rPr>
            </w:pPr>
            <w:r>
              <w:rPr>
                <w:rFonts w:hint="eastAsia" w:hAnsi="宋体" w:cs="AdobeSongStd-Light-Acro"/>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60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3</w:t>
            </w:r>
          </w:p>
        </w:tc>
        <w:tc>
          <w:tcPr>
            <w:tcW w:w="1028"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轻质柴油</w:t>
            </w:r>
          </w:p>
        </w:tc>
        <w:tc>
          <w:tcPr>
            <w:tcW w:w="112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2500</w:t>
            </w:r>
          </w:p>
        </w:tc>
        <w:tc>
          <w:tcPr>
            <w:tcW w:w="1323" w:type="pct"/>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2.5</w:t>
            </w:r>
          </w:p>
        </w:tc>
        <w:tc>
          <w:tcPr>
            <w:tcW w:w="921" w:type="pct"/>
            <w:shd w:val="clear" w:color="auto" w:fill="auto"/>
            <w:vAlign w:val="center"/>
          </w:tcPr>
          <w:p>
            <w:pPr>
              <w:pStyle w:val="98"/>
              <w:widowControl w:val="0"/>
              <w:ind w:firstLine="0" w:firstLineChars="0"/>
              <w:jc w:val="center"/>
              <w:rPr>
                <w:rFonts w:hAnsi="宋体" w:cs="AdobeSongStd-Light-Acro"/>
                <w:szCs w:val="21"/>
              </w:rPr>
            </w:pPr>
            <w:r>
              <w:rPr>
                <w:rFonts w:hint="eastAsia" w:hAnsi="宋体" w:cs="AdobeSongStd-Light-Acro"/>
                <w:szCs w:val="21"/>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60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4</w:t>
            </w:r>
          </w:p>
        </w:tc>
        <w:tc>
          <w:tcPr>
            <w:tcW w:w="1028"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废油泥渣</w:t>
            </w:r>
          </w:p>
        </w:tc>
        <w:tc>
          <w:tcPr>
            <w:tcW w:w="1124" w:type="pct"/>
            <w:shd w:val="clear" w:color="auto" w:fill="auto"/>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2500</w:t>
            </w:r>
          </w:p>
        </w:tc>
        <w:tc>
          <w:tcPr>
            <w:tcW w:w="1323" w:type="pct"/>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12.0</w:t>
            </w:r>
          </w:p>
        </w:tc>
        <w:tc>
          <w:tcPr>
            <w:tcW w:w="921" w:type="pct"/>
            <w:shd w:val="clear" w:color="auto" w:fill="auto"/>
            <w:vAlign w:val="center"/>
          </w:tcPr>
          <w:p>
            <w:pPr>
              <w:pStyle w:val="98"/>
              <w:widowControl w:val="0"/>
              <w:ind w:firstLine="0" w:firstLineChars="0"/>
              <w:jc w:val="center"/>
              <w:rPr>
                <w:rFonts w:hAnsi="宋体" w:cs="AdobeSongStd-Light-Acro"/>
                <w:szCs w:val="21"/>
              </w:rPr>
            </w:pPr>
            <w:r>
              <w:rPr>
                <w:rFonts w:hint="eastAsia" w:hAnsi="宋体" w:cs="AdobeSongStd-Light-Acro"/>
                <w:szCs w:val="21"/>
              </w:rPr>
              <w:t>0.0048</w:t>
            </w:r>
          </w:p>
        </w:tc>
      </w:tr>
    </w:tbl>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经计算，企业Q值为0.2558，＜1；根据导则规定，项目风险潜势直接判定为Ⅰ类型。</w:t>
      </w:r>
    </w:p>
    <w:p>
      <w:pPr>
        <w:spacing w:line="360" w:lineRule="auto"/>
        <w:rPr>
          <w:rFonts w:asciiTheme="minorEastAsia" w:hAnsiTheme="minorEastAsia"/>
          <w:b/>
          <w:sz w:val="24"/>
          <w:szCs w:val="24"/>
        </w:rPr>
      </w:pPr>
      <w:r>
        <w:rPr>
          <w:rFonts w:hint="eastAsia" w:asciiTheme="minorEastAsia" w:hAnsiTheme="minorEastAsia"/>
          <w:b/>
          <w:sz w:val="24"/>
          <w:szCs w:val="24"/>
        </w:rPr>
        <w:t>6.2.3评价工作等级</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t>根据《建设项目风险评价技术导则》（HJ169-20</w:t>
      </w:r>
      <w:r>
        <w:rPr>
          <w:rFonts w:hint="eastAsia" w:asciiTheme="minorEastAsia" w:hAnsiTheme="minorEastAsia"/>
          <w:sz w:val="24"/>
          <w:szCs w:val="24"/>
        </w:rPr>
        <w:t>18</w:t>
      </w:r>
      <w:r>
        <w:rPr>
          <w:rFonts w:asciiTheme="minorEastAsia" w:hAnsiTheme="minorEastAsia"/>
          <w:sz w:val="24"/>
          <w:szCs w:val="24"/>
        </w:rPr>
        <w:t>）中评价等级的划分，</w:t>
      </w:r>
      <w:r>
        <w:rPr>
          <w:rFonts w:hint="eastAsia" w:asciiTheme="minorEastAsia" w:hAnsiTheme="minorEastAsia"/>
          <w:sz w:val="24"/>
          <w:szCs w:val="24"/>
        </w:rPr>
        <w:t>项目风险潜势为Ⅰ，评价等级为简单分析。参照附录A基本内容进行评价。</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t>环境风险评价</w:t>
      </w:r>
      <w:r>
        <w:rPr>
          <w:rFonts w:hint="eastAsia" w:asciiTheme="minorEastAsia" w:hAnsiTheme="minorEastAsia"/>
          <w:sz w:val="24"/>
          <w:szCs w:val="24"/>
        </w:rPr>
        <w:t>划分</w:t>
      </w:r>
      <w:r>
        <w:rPr>
          <w:rFonts w:asciiTheme="minorEastAsia" w:hAnsiTheme="minorEastAsia"/>
          <w:sz w:val="24"/>
          <w:szCs w:val="24"/>
        </w:rPr>
        <w:t>详见表6</w:t>
      </w:r>
      <w:r>
        <w:rPr>
          <w:rFonts w:hint="eastAsia" w:asciiTheme="minorEastAsia" w:hAnsiTheme="minorEastAsia"/>
          <w:sz w:val="24"/>
          <w:szCs w:val="24"/>
        </w:rPr>
        <w:t>.2</w:t>
      </w:r>
      <w:r>
        <w:rPr>
          <w:rFonts w:asciiTheme="minorEastAsia" w:hAnsiTheme="minorEastAsia"/>
          <w:sz w:val="24"/>
          <w:szCs w:val="24"/>
        </w:rPr>
        <w:t>-</w:t>
      </w:r>
      <w:r>
        <w:rPr>
          <w:rFonts w:hint="eastAsia" w:asciiTheme="minorEastAsia" w:hAnsiTheme="minorEastAsia"/>
          <w:sz w:val="24"/>
          <w:szCs w:val="24"/>
        </w:rPr>
        <w:t>3</w:t>
      </w:r>
      <w:r>
        <w:rPr>
          <w:rFonts w:asciiTheme="minorEastAsia" w:hAnsiTheme="minorEastAsia"/>
          <w:sz w:val="24"/>
          <w:szCs w:val="24"/>
        </w:rPr>
        <w:t>。</w:t>
      </w:r>
    </w:p>
    <w:p>
      <w:pPr>
        <w:spacing w:line="360" w:lineRule="auto"/>
        <w:ind w:firstLine="480" w:firstLineChars="200"/>
        <w:rPr>
          <w:rFonts w:asciiTheme="minorEastAsia" w:hAnsiTheme="minorEastAsia"/>
          <w:sz w:val="24"/>
          <w:szCs w:val="24"/>
        </w:rPr>
      </w:pPr>
    </w:p>
    <w:p>
      <w:pPr>
        <w:autoSpaceDE w:val="0"/>
        <w:autoSpaceDN w:val="0"/>
        <w:spacing w:line="312" w:lineRule="auto"/>
        <w:jc w:val="center"/>
        <w:rPr>
          <w:rFonts w:ascii="宋体" w:hAnsi="宋体" w:eastAsia="宋体" w:cs="AdobeSongStd-Light-Acro,Bold"/>
          <w:b/>
          <w:bCs/>
          <w:kern w:val="0"/>
          <w:sz w:val="24"/>
          <w:szCs w:val="24"/>
        </w:rPr>
      </w:pPr>
      <w:r>
        <w:rPr>
          <w:rFonts w:hint="eastAsia" w:ascii="宋体" w:hAnsi="宋体" w:eastAsia="宋体" w:cs="AdobeSongStd-Light-Acro,Bold"/>
          <w:b/>
          <w:bCs/>
          <w:kern w:val="0"/>
          <w:sz w:val="24"/>
          <w:szCs w:val="24"/>
        </w:rPr>
        <w:t>表6.2-5           风险评价工作等级</w:t>
      </w:r>
    </w:p>
    <w:tbl>
      <w:tblPr>
        <w:tblStyle w:val="27"/>
        <w:tblW w:w="85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0"/>
        <w:gridCol w:w="45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3930"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环境风险潜势</w:t>
            </w:r>
          </w:p>
        </w:tc>
        <w:tc>
          <w:tcPr>
            <w:tcW w:w="4579"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3930" w:type="dxa"/>
            <w:vAlign w:val="center"/>
          </w:tcPr>
          <w:p>
            <w:pPr>
              <w:autoSpaceDE w:val="0"/>
              <w:autoSpaceDN w:val="0"/>
              <w:spacing w:line="240" w:lineRule="atLeast"/>
              <w:jc w:val="center"/>
              <w:rPr>
                <w:rFonts w:ascii="宋体" w:hAnsi="宋体" w:eastAsia="宋体" w:cs="AdobeSongStd-Light-Acro"/>
                <w:kern w:val="0"/>
                <w:szCs w:val="21"/>
              </w:rPr>
            </w:pPr>
            <w:r>
              <w:rPr>
                <w:rFonts w:ascii="宋体" w:hAnsi="宋体" w:eastAsia="宋体" w:cs="AdobeSongStd-Light-Acro"/>
                <w:kern w:val="0"/>
                <w:szCs w:val="21"/>
              </w:rPr>
              <w:fldChar w:fldCharType="begin"/>
            </w:r>
            <w:r>
              <w:rPr>
                <w:rFonts w:ascii="宋体" w:hAnsi="宋体" w:eastAsia="宋体" w:cs="AdobeSongStd-Light-Acro"/>
                <w:kern w:val="0"/>
                <w:szCs w:val="21"/>
              </w:rPr>
              <w:instrText xml:space="preserve"> </w:instrText>
            </w:r>
            <w:r>
              <w:rPr>
                <w:rFonts w:hint="eastAsia" w:ascii="宋体" w:hAnsi="宋体" w:eastAsia="宋体" w:cs="AdobeSongStd-Light-Acro"/>
                <w:kern w:val="0"/>
                <w:szCs w:val="21"/>
              </w:rPr>
              <w:instrText xml:space="preserve">= 4 \* ROMAN</w:instrText>
            </w:r>
            <w:r>
              <w:rPr>
                <w:rFonts w:ascii="宋体" w:hAnsi="宋体" w:eastAsia="宋体" w:cs="AdobeSongStd-Light-Acro"/>
                <w:kern w:val="0"/>
                <w:szCs w:val="21"/>
              </w:rPr>
              <w:instrText xml:space="preserve"> </w:instrText>
            </w:r>
            <w:r>
              <w:rPr>
                <w:rFonts w:ascii="宋体" w:hAnsi="宋体" w:eastAsia="宋体" w:cs="AdobeSongStd-Light-Acro"/>
                <w:kern w:val="0"/>
                <w:szCs w:val="21"/>
              </w:rPr>
              <w:fldChar w:fldCharType="separate"/>
            </w:r>
            <w:r>
              <w:rPr>
                <w:rFonts w:ascii="宋体" w:hAnsi="宋体" w:eastAsia="宋体" w:cs="AdobeSongStd-Light-Acro"/>
                <w:kern w:val="0"/>
                <w:szCs w:val="21"/>
              </w:rPr>
              <w:t>IV</w:t>
            </w:r>
            <w:r>
              <w:rPr>
                <w:rFonts w:ascii="宋体" w:hAnsi="宋体" w:eastAsia="宋体" w:cs="AdobeSongStd-Light-Acro"/>
                <w:kern w:val="0"/>
                <w:szCs w:val="21"/>
              </w:rPr>
              <w:fldChar w:fldCharType="end"/>
            </w:r>
            <w:r>
              <w:rPr>
                <w:rFonts w:hint="eastAsia" w:ascii="宋体" w:hAnsi="宋体" w:eastAsia="宋体" w:cs="AdobeSongStd-Light-Acro"/>
                <w:kern w:val="0"/>
                <w:szCs w:val="21"/>
                <w:vertAlign w:val="superscript"/>
              </w:rPr>
              <w:t>+</w:t>
            </w:r>
            <w:r>
              <w:rPr>
                <w:rFonts w:hint="eastAsia" w:ascii="宋体" w:hAnsi="宋体" w:eastAsia="宋体" w:cs="AdobeSongStd-Light-Acro"/>
                <w:kern w:val="0"/>
                <w:szCs w:val="21"/>
              </w:rPr>
              <w:t>、</w:t>
            </w:r>
            <w:r>
              <w:rPr>
                <w:rFonts w:ascii="宋体" w:hAnsi="宋体" w:eastAsia="宋体" w:cs="AdobeSongStd-Light-Acro"/>
                <w:kern w:val="0"/>
                <w:szCs w:val="21"/>
              </w:rPr>
              <w:fldChar w:fldCharType="begin"/>
            </w:r>
            <w:r>
              <w:rPr>
                <w:rFonts w:ascii="宋体" w:hAnsi="宋体" w:eastAsia="宋体" w:cs="AdobeSongStd-Light-Acro"/>
                <w:kern w:val="0"/>
                <w:szCs w:val="21"/>
              </w:rPr>
              <w:instrText xml:space="preserve"> </w:instrText>
            </w:r>
            <w:r>
              <w:rPr>
                <w:rFonts w:hint="eastAsia" w:ascii="宋体" w:hAnsi="宋体" w:eastAsia="宋体" w:cs="AdobeSongStd-Light-Acro"/>
                <w:kern w:val="0"/>
                <w:szCs w:val="21"/>
              </w:rPr>
              <w:instrText xml:space="preserve">= 4 \* ROMAN</w:instrText>
            </w:r>
            <w:r>
              <w:rPr>
                <w:rFonts w:ascii="宋体" w:hAnsi="宋体" w:eastAsia="宋体" w:cs="AdobeSongStd-Light-Acro"/>
                <w:kern w:val="0"/>
                <w:szCs w:val="21"/>
              </w:rPr>
              <w:instrText xml:space="preserve"> </w:instrText>
            </w:r>
            <w:r>
              <w:rPr>
                <w:rFonts w:ascii="宋体" w:hAnsi="宋体" w:eastAsia="宋体" w:cs="AdobeSongStd-Light-Acro"/>
                <w:kern w:val="0"/>
                <w:szCs w:val="21"/>
              </w:rPr>
              <w:fldChar w:fldCharType="separate"/>
            </w:r>
            <w:r>
              <w:rPr>
                <w:rFonts w:ascii="宋体" w:hAnsi="宋体" w:eastAsia="宋体" w:cs="AdobeSongStd-Light-Acro"/>
                <w:kern w:val="0"/>
                <w:szCs w:val="21"/>
              </w:rPr>
              <w:t>IV</w:t>
            </w:r>
            <w:r>
              <w:rPr>
                <w:rFonts w:ascii="宋体" w:hAnsi="宋体" w:eastAsia="宋体" w:cs="AdobeSongStd-Light-Acro"/>
                <w:kern w:val="0"/>
                <w:szCs w:val="21"/>
              </w:rPr>
              <w:fldChar w:fldCharType="end"/>
            </w:r>
          </w:p>
        </w:tc>
        <w:tc>
          <w:tcPr>
            <w:tcW w:w="4579"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930" w:type="dxa"/>
            <w:vAlign w:val="center"/>
          </w:tcPr>
          <w:p>
            <w:pPr>
              <w:autoSpaceDE w:val="0"/>
              <w:autoSpaceDN w:val="0"/>
              <w:spacing w:line="240" w:lineRule="atLeast"/>
              <w:jc w:val="center"/>
              <w:rPr>
                <w:rFonts w:ascii="宋体" w:hAnsi="宋体" w:eastAsia="宋体" w:cs="AdobeSongStd-Light-Acro"/>
                <w:kern w:val="0"/>
                <w:szCs w:val="21"/>
              </w:rPr>
            </w:pPr>
            <w:r>
              <w:rPr>
                <w:rFonts w:ascii="宋体" w:hAnsi="宋体" w:eastAsia="宋体" w:cs="AdobeSongStd-Light-Acro"/>
                <w:kern w:val="0"/>
                <w:szCs w:val="21"/>
              </w:rPr>
              <w:fldChar w:fldCharType="begin"/>
            </w:r>
            <w:r>
              <w:rPr>
                <w:rFonts w:ascii="宋体" w:hAnsi="宋体" w:eastAsia="宋体" w:cs="AdobeSongStd-Light-Acro"/>
                <w:kern w:val="0"/>
                <w:szCs w:val="21"/>
              </w:rPr>
              <w:instrText xml:space="preserve"> </w:instrText>
            </w:r>
            <w:r>
              <w:rPr>
                <w:rFonts w:hint="eastAsia" w:ascii="宋体" w:hAnsi="宋体" w:eastAsia="宋体" w:cs="AdobeSongStd-Light-Acro"/>
                <w:kern w:val="0"/>
                <w:szCs w:val="21"/>
              </w:rPr>
              <w:instrText xml:space="preserve">= 3 \* ROMAN</w:instrText>
            </w:r>
            <w:r>
              <w:rPr>
                <w:rFonts w:ascii="宋体" w:hAnsi="宋体" w:eastAsia="宋体" w:cs="AdobeSongStd-Light-Acro"/>
                <w:kern w:val="0"/>
                <w:szCs w:val="21"/>
              </w:rPr>
              <w:instrText xml:space="preserve"> </w:instrText>
            </w:r>
            <w:r>
              <w:rPr>
                <w:rFonts w:ascii="宋体" w:hAnsi="宋体" w:eastAsia="宋体" w:cs="AdobeSongStd-Light-Acro"/>
                <w:kern w:val="0"/>
                <w:szCs w:val="21"/>
              </w:rPr>
              <w:fldChar w:fldCharType="separate"/>
            </w:r>
            <w:r>
              <w:rPr>
                <w:rFonts w:ascii="宋体" w:hAnsi="宋体" w:eastAsia="宋体" w:cs="AdobeSongStd-Light-Acro"/>
                <w:kern w:val="0"/>
                <w:szCs w:val="21"/>
              </w:rPr>
              <w:t>III</w:t>
            </w:r>
            <w:r>
              <w:rPr>
                <w:rFonts w:ascii="宋体" w:hAnsi="宋体" w:eastAsia="宋体" w:cs="AdobeSongStd-Light-Acro"/>
                <w:kern w:val="0"/>
                <w:szCs w:val="21"/>
              </w:rPr>
              <w:fldChar w:fldCharType="end"/>
            </w:r>
          </w:p>
        </w:tc>
        <w:tc>
          <w:tcPr>
            <w:tcW w:w="4579"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3930" w:type="dxa"/>
            <w:vAlign w:val="center"/>
          </w:tcPr>
          <w:p>
            <w:pPr>
              <w:autoSpaceDE w:val="0"/>
              <w:autoSpaceDN w:val="0"/>
              <w:spacing w:line="240" w:lineRule="atLeast"/>
              <w:jc w:val="center"/>
              <w:rPr>
                <w:rFonts w:ascii="宋体" w:hAnsi="宋体" w:eastAsia="宋体" w:cs="AdobeSongStd-Light-Acro"/>
                <w:kern w:val="0"/>
                <w:szCs w:val="21"/>
              </w:rPr>
            </w:pPr>
            <w:r>
              <w:rPr>
                <w:rFonts w:ascii="宋体" w:hAnsi="宋体" w:eastAsia="宋体" w:cs="AdobeSongStd-Light-Acro"/>
                <w:kern w:val="0"/>
                <w:szCs w:val="21"/>
              </w:rPr>
              <w:fldChar w:fldCharType="begin"/>
            </w:r>
            <w:r>
              <w:rPr>
                <w:rFonts w:ascii="宋体" w:hAnsi="宋体" w:eastAsia="宋体" w:cs="AdobeSongStd-Light-Acro"/>
                <w:kern w:val="0"/>
                <w:szCs w:val="21"/>
              </w:rPr>
              <w:instrText xml:space="preserve"> </w:instrText>
            </w:r>
            <w:r>
              <w:rPr>
                <w:rFonts w:hint="eastAsia" w:ascii="宋体" w:hAnsi="宋体" w:eastAsia="宋体" w:cs="AdobeSongStd-Light-Acro"/>
                <w:kern w:val="0"/>
                <w:szCs w:val="21"/>
              </w:rPr>
              <w:instrText xml:space="preserve">= 2 \* ROMAN</w:instrText>
            </w:r>
            <w:r>
              <w:rPr>
                <w:rFonts w:ascii="宋体" w:hAnsi="宋体" w:eastAsia="宋体" w:cs="AdobeSongStd-Light-Acro"/>
                <w:kern w:val="0"/>
                <w:szCs w:val="21"/>
              </w:rPr>
              <w:instrText xml:space="preserve"> </w:instrText>
            </w:r>
            <w:r>
              <w:rPr>
                <w:rFonts w:ascii="宋体" w:hAnsi="宋体" w:eastAsia="宋体" w:cs="AdobeSongStd-Light-Acro"/>
                <w:kern w:val="0"/>
                <w:szCs w:val="21"/>
              </w:rPr>
              <w:fldChar w:fldCharType="separate"/>
            </w:r>
            <w:r>
              <w:rPr>
                <w:rFonts w:ascii="宋体" w:hAnsi="宋体" w:eastAsia="宋体" w:cs="AdobeSongStd-Light-Acro"/>
                <w:kern w:val="0"/>
                <w:szCs w:val="21"/>
              </w:rPr>
              <w:t>II</w:t>
            </w:r>
            <w:r>
              <w:rPr>
                <w:rFonts w:ascii="宋体" w:hAnsi="宋体" w:eastAsia="宋体" w:cs="AdobeSongStd-Light-Acro"/>
                <w:kern w:val="0"/>
                <w:szCs w:val="21"/>
              </w:rPr>
              <w:fldChar w:fldCharType="end"/>
            </w:r>
          </w:p>
        </w:tc>
        <w:tc>
          <w:tcPr>
            <w:tcW w:w="4579"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930" w:type="dxa"/>
            <w:vAlign w:val="center"/>
          </w:tcPr>
          <w:p>
            <w:pPr>
              <w:autoSpaceDE w:val="0"/>
              <w:autoSpaceDN w:val="0"/>
              <w:spacing w:line="240" w:lineRule="atLeast"/>
              <w:jc w:val="center"/>
              <w:rPr>
                <w:rFonts w:ascii="宋体" w:hAnsi="宋体" w:eastAsia="宋体" w:cs="AdobeSongStd-Light-Acro"/>
                <w:kern w:val="0"/>
                <w:szCs w:val="21"/>
              </w:rPr>
            </w:pPr>
            <w:r>
              <w:rPr>
                <w:rFonts w:ascii="宋体" w:hAnsi="宋体" w:eastAsia="宋体" w:cs="AdobeSongStd-Light-Acro"/>
                <w:kern w:val="0"/>
                <w:szCs w:val="21"/>
              </w:rPr>
              <w:fldChar w:fldCharType="begin"/>
            </w:r>
            <w:r>
              <w:rPr>
                <w:rFonts w:ascii="宋体" w:hAnsi="宋体" w:eastAsia="宋体" w:cs="AdobeSongStd-Light-Acro"/>
                <w:kern w:val="0"/>
                <w:szCs w:val="21"/>
              </w:rPr>
              <w:instrText xml:space="preserve"> </w:instrText>
            </w:r>
            <w:r>
              <w:rPr>
                <w:rFonts w:hint="eastAsia" w:ascii="宋体" w:hAnsi="宋体" w:eastAsia="宋体" w:cs="AdobeSongStd-Light-Acro"/>
                <w:kern w:val="0"/>
                <w:szCs w:val="21"/>
              </w:rPr>
              <w:instrText xml:space="preserve">= 1 \* ROMAN</w:instrText>
            </w:r>
            <w:r>
              <w:rPr>
                <w:rFonts w:ascii="宋体" w:hAnsi="宋体" w:eastAsia="宋体" w:cs="AdobeSongStd-Light-Acro"/>
                <w:kern w:val="0"/>
                <w:szCs w:val="21"/>
              </w:rPr>
              <w:instrText xml:space="preserve"> </w:instrText>
            </w:r>
            <w:r>
              <w:rPr>
                <w:rFonts w:ascii="宋体" w:hAnsi="宋体" w:eastAsia="宋体" w:cs="AdobeSongStd-Light-Acro"/>
                <w:kern w:val="0"/>
                <w:szCs w:val="21"/>
              </w:rPr>
              <w:fldChar w:fldCharType="separate"/>
            </w:r>
            <w:r>
              <w:rPr>
                <w:rFonts w:ascii="宋体" w:hAnsi="宋体" w:eastAsia="宋体" w:cs="AdobeSongStd-Light-Acro"/>
                <w:kern w:val="0"/>
                <w:szCs w:val="21"/>
              </w:rPr>
              <w:t>I</w:t>
            </w:r>
            <w:r>
              <w:rPr>
                <w:rFonts w:ascii="宋体" w:hAnsi="宋体" w:eastAsia="宋体" w:cs="AdobeSongStd-Light-Acro"/>
                <w:kern w:val="0"/>
                <w:szCs w:val="21"/>
              </w:rPr>
              <w:fldChar w:fldCharType="end"/>
            </w:r>
          </w:p>
        </w:tc>
        <w:tc>
          <w:tcPr>
            <w:tcW w:w="4579"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930"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本项目环境风险潜势</w:t>
            </w:r>
          </w:p>
        </w:tc>
        <w:tc>
          <w:tcPr>
            <w:tcW w:w="4579"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本项目评价等级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3930" w:type="dxa"/>
            <w:vAlign w:val="center"/>
          </w:tcPr>
          <w:p>
            <w:pPr>
              <w:pStyle w:val="98"/>
              <w:widowControl w:val="0"/>
              <w:spacing w:line="240" w:lineRule="atLeast"/>
              <w:ind w:firstLine="0" w:firstLineChars="0"/>
              <w:jc w:val="center"/>
              <w:rPr>
                <w:rFonts w:hAnsi="宋体" w:cs="AdobeSongStd-Light-Acro"/>
                <w:szCs w:val="21"/>
              </w:rPr>
            </w:pPr>
            <w:r>
              <w:rPr>
                <w:rFonts w:hAnsi="宋体" w:cs="AdobeSongStd-Light-Acro"/>
                <w:szCs w:val="21"/>
              </w:rPr>
              <w:fldChar w:fldCharType="begin"/>
            </w:r>
            <w:r>
              <w:rPr>
                <w:rFonts w:hAnsi="宋体" w:cs="AdobeSongStd-Light-Acro"/>
                <w:szCs w:val="21"/>
              </w:rPr>
              <w:instrText xml:space="preserve"> </w:instrText>
            </w:r>
            <w:r>
              <w:rPr>
                <w:rFonts w:hint="eastAsia" w:hAnsi="宋体" w:cs="AdobeSongStd-Light-Acro"/>
                <w:szCs w:val="21"/>
              </w:rPr>
              <w:instrText xml:space="preserve">= 1 \* ROMAN</w:instrText>
            </w:r>
            <w:r>
              <w:rPr>
                <w:rFonts w:hAnsi="宋体" w:cs="AdobeSongStd-Light-Acro"/>
                <w:szCs w:val="21"/>
              </w:rPr>
              <w:instrText xml:space="preserve"> </w:instrText>
            </w:r>
            <w:r>
              <w:rPr>
                <w:rFonts w:hAnsi="宋体" w:cs="AdobeSongStd-Light-Acro"/>
                <w:szCs w:val="21"/>
              </w:rPr>
              <w:fldChar w:fldCharType="separate"/>
            </w:r>
            <w:r>
              <w:rPr>
                <w:rFonts w:hAnsi="宋体" w:cs="AdobeSongStd-Light-Acro"/>
                <w:szCs w:val="21"/>
              </w:rPr>
              <w:t>I</w:t>
            </w:r>
            <w:r>
              <w:rPr>
                <w:rFonts w:hAnsi="宋体" w:cs="AdobeSongStd-Light-Acro"/>
                <w:szCs w:val="21"/>
              </w:rPr>
              <w:fldChar w:fldCharType="end"/>
            </w:r>
          </w:p>
        </w:tc>
        <w:tc>
          <w:tcPr>
            <w:tcW w:w="4579"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简单分析</w:t>
            </w:r>
          </w:p>
        </w:tc>
      </w:tr>
    </w:tbl>
    <w:p>
      <w:pPr>
        <w:spacing w:line="360" w:lineRule="auto"/>
        <w:rPr>
          <w:rFonts w:asciiTheme="minorEastAsia" w:hAnsiTheme="minorEastAsia"/>
          <w:b/>
          <w:sz w:val="28"/>
          <w:szCs w:val="28"/>
        </w:rPr>
      </w:pPr>
      <w:r>
        <w:rPr>
          <w:rFonts w:asciiTheme="minorEastAsia" w:hAnsiTheme="minorEastAsia"/>
          <w:b/>
          <w:sz w:val="28"/>
          <w:szCs w:val="28"/>
        </w:rPr>
        <w:t>6.3环境敏感目标</w:t>
      </w:r>
      <w:r>
        <w:rPr>
          <w:rFonts w:hint="eastAsia" w:asciiTheme="minorEastAsia" w:hAnsiTheme="minorEastAsia"/>
          <w:b/>
          <w:sz w:val="28"/>
          <w:szCs w:val="28"/>
        </w:rPr>
        <w:t>调查</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t>根据《建设项目风险评价技术导则》（HJ169-20</w:t>
      </w:r>
      <w:r>
        <w:rPr>
          <w:rFonts w:hint="eastAsia" w:asciiTheme="minorEastAsia" w:hAnsiTheme="minorEastAsia"/>
          <w:sz w:val="24"/>
          <w:szCs w:val="24"/>
        </w:rPr>
        <w:t>18</w:t>
      </w:r>
      <w:r>
        <w:rPr>
          <w:rFonts w:asciiTheme="minorEastAsia" w:hAnsiTheme="minorEastAsia"/>
          <w:sz w:val="24"/>
          <w:szCs w:val="24"/>
        </w:rPr>
        <w:t>）中评价</w:t>
      </w:r>
      <w:r>
        <w:rPr>
          <w:rFonts w:hint="eastAsia" w:asciiTheme="minorEastAsia" w:hAnsiTheme="minorEastAsia"/>
          <w:sz w:val="24"/>
          <w:szCs w:val="24"/>
        </w:rPr>
        <w:t>范围</w:t>
      </w:r>
      <w:r>
        <w:rPr>
          <w:rFonts w:asciiTheme="minorEastAsia" w:hAnsiTheme="minorEastAsia"/>
          <w:sz w:val="24"/>
          <w:szCs w:val="24"/>
        </w:rPr>
        <w:t>划分，</w:t>
      </w:r>
      <w:r>
        <w:rPr>
          <w:rFonts w:hint="eastAsia" w:asciiTheme="minorEastAsia" w:hAnsiTheme="minorEastAsia"/>
          <w:sz w:val="24"/>
          <w:szCs w:val="24"/>
        </w:rPr>
        <w:t>简单分析未做要求，本次确定项目周围环境的调查范围为项目区周边3km，项目区主要的环境保护目标的详细情况</w:t>
      </w:r>
      <w:r>
        <w:rPr>
          <w:rFonts w:asciiTheme="minorEastAsia" w:hAnsiTheme="minorEastAsia"/>
          <w:sz w:val="24"/>
          <w:szCs w:val="24"/>
        </w:rPr>
        <w:t>见表</w:t>
      </w:r>
      <w:r>
        <w:rPr>
          <w:rFonts w:hint="eastAsia" w:asciiTheme="minorEastAsia" w:hAnsiTheme="minorEastAsia"/>
          <w:sz w:val="24"/>
          <w:szCs w:val="24"/>
        </w:rPr>
        <w:t>6.3</w:t>
      </w:r>
      <w:r>
        <w:rPr>
          <w:rFonts w:asciiTheme="minorEastAsia" w:hAnsiTheme="minorEastAsia"/>
          <w:sz w:val="24"/>
          <w:szCs w:val="24"/>
        </w:rPr>
        <w:t>-</w:t>
      </w:r>
      <w:r>
        <w:rPr>
          <w:rFonts w:hint="eastAsia" w:asciiTheme="minorEastAsia" w:hAnsiTheme="minorEastAsia"/>
          <w:sz w:val="24"/>
          <w:szCs w:val="24"/>
        </w:rPr>
        <w:t>1</w:t>
      </w:r>
      <w:r>
        <w:rPr>
          <w:rFonts w:asciiTheme="minorEastAsia" w:hAnsiTheme="minorEastAsia"/>
          <w:sz w:val="24"/>
          <w:szCs w:val="24"/>
        </w:rPr>
        <w:t>及图</w:t>
      </w:r>
      <w:r>
        <w:rPr>
          <w:rFonts w:hint="eastAsia" w:asciiTheme="minorEastAsia" w:hAnsiTheme="minorEastAsia"/>
          <w:sz w:val="24"/>
          <w:szCs w:val="24"/>
        </w:rPr>
        <w:t>6.3</w:t>
      </w:r>
      <w:r>
        <w:rPr>
          <w:rFonts w:asciiTheme="minorEastAsia" w:hAnsiTheme="minorEastAsia"/>
          <w:sz w:val="24"/>
          <w:szCs w:val="24"/>
        </w:rPr>
        <w:t>-1。</w:t>
      </w:r>
    </w:p>
    <w:p>
      <w:pPr>
        <w:spacing w:line="360" w:lineRule="auto"/>
        <w:ind w:firstLine="480"/>
        <w:rPr>
          <w:rFonts w:asciiTheme="minorEastAsia" w:hAnsiTheme="minorEastAsia"/>
          <w:b/>
          <w:sz w:val="24"/>
          <w:szCs w:val="24"/>
        </w:rPr>
      </w:pPr>
      <w:r>
        <w:rPr>
          <w:rFonts w:hint="eastAsia" w:asciiTheme="minorEastAsia" w:hAnsiTheme="minorEastAsia"/>
          <w:b/>
          <w:sz w:val="24"/>
          <w:szCs w:val="24"/>
        </w:rPr>
        <w:t>表6.3-1  项目环境风险评价范围内环境敏感保护目标调查表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2449"/>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b/>
                <w:szCs w:val="21"/>
              </w:rPr>
            </w:pPr>
            <w:r>
              <w:rPr>
                <w:rFonts w:hint="eastAsia" w:asciiTheme="minorEastAsia" w:hAnsiTheme="minorEastAsia"/>
                <w:b/>
                <w:szCs w:val="21"/>
              </w:rPr>
              <w:t>序号</w:t>
            </w:r>
          </w:p>
        </w:tc>
        <w:tc>
          <w:tcPr>
            <w:tcW w:w="2449" w:type="dxa"/>
            <w:vAlign w:val="center"/>
          </w:tcPr>
          <w:p>
            <w:pPr>
              <w:spacing w:line="240" w:lineRule="atLeast"/>
              <w:jc w:val="center"/>
              <w:rPr>
                <w:rFonts w:asciiTheme="minorEastAsia" w:hAnsiTheme="minorEastAsia"/>
                <w:b/>
                <w:szCs w:val="21"/>
              </w:rPr>
            </w:pPr>
            <w:r>
              <w:rPr>
                <w:rFonts w:hint="eastAsia" w:asciiTheme="minorEastAsia" w:hAnsiTheme="minorEastAsia"/>
                <w:b/>
                <w:szCs w:val="21"/>
              </w:rPr>
              <w:t>敏感目标</w:t>
            </w:r>
          </w:p>
        </w:tc>
        <w:tc>
          <w:tcPr>
            <w:tcW w:w="1704" w:type="dxa"/>
            <w:vAlign w:val="center"/>
          </w:tcPr>
          <w:p>
            <w:pPr>
              <w:spacing w:line="240" w:lineRule="atLeast"/>
              <w:jc w:val="center"/>
              <w:rPr>
                <w:rFonts w:asciiTheme="minorEastAsia" w:hAnsiTheme="minorEastAsia"/>
                <w:b/>
                <w:szCs w:val="21"/>
              </w:rPr>
            </w:pPr>
            <w:r>
              <w:rPr>
                <w:rFonts w:hint="eastAsia" w:asciiTheme="minorEastAsia" w:hAnsiTheme="minorEastAsia"/>
                <w:b/>
                <w:szCs w:val="21"/>
              </w:rPr>
              <w:t>方位</w:t>
            </w:r>
          </w:p>
        </w:tc>
        <w:tc>
          <w:tcPr>
            <w:tcW w:w="1705" w:type="dxa"/>
            <w:vAlign w:val="center"/>
          </w:tcPr>
          <w:p>
            <w:pPr>
              <w:spacing w:line="240" w:lineRule="atLeast"/>
              <w:jc w:val="center"/>
              <w:rPr>
                <w:rFonts w:asciiTheme="minorEastAsia" w:hAnsiTheme="minorEastAsia"/>
                <w:b/>
                <w:szCs w:val="21"/>
              </w:rPr>
            </w:pPr>
            <w:r>
              <w:rPr>
                <w:rFonts w:hint="eastAsia" w:asciiTheme="minorEastAsia" w:hAnsiTheme="minorEastAsia"/>
                <w:b/>
                <w:szCs w:val="21"/>
              </w:rPr>
              <w:t>距离（m）</w:t>
            </w:r>
          </w:p>
        </w:tc>
        <w:tc>
          <w:tcPr>
            <w:tcW w:w="1705" w:type="dxa"/>
            <w:vAlign w:val="center"/>
          </w:tcPr>
          <w:p>
            <w:pPr>
              <w:spacing w:line="240" w:lineRule="atLeast"/>
              <w:jc w:val="center"/>
              <w:rPr>
                <w:rFonts w:asciiTheme="minorEastAsia" w:hAnsiTheme="minorEastAsia"/>
                <w:b/>
                <w:szCs w:val="21"/>
              </w:rPr>
            </w:pPr>
            <w:r>
              <w:rPr>
                <w:rFonts w:hint="eastAsia" w:asciiTheme="minorEastAsia" w:hAnsiTheme="minorEastAsia"/>
                <w:b/>
                <w:szCs w:val="21"/>
              </w:rPr>
              <w:t>人口（人）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袁庄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99</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2</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徐庄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1140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3</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李庄村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1210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4</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韩庄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1300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5</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贾桥村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2340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6</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张堂</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1350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7</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仙女铺</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13</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8</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左湾</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60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9</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韩桥村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52</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10</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宏泰花园</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1620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11</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田庄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1650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12</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方庄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1890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13</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邢庄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1900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14</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徐魏庄村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1910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15</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西平民生医院</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1960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16</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石化花苑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1980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17</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樊庄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2020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18</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左庄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2050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19</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李庄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2120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20</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御景铭苑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213</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21</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越中公寓</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2170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22</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大董庄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220</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pPr>
            <w:r>
              <w:rPr>
                <w:rFonts w:hint="eastAsia" w:asciiTheme="minorEastAsia" w:hAnsiTheme="minorEastAsia"/>
                <w:szCs w:val="21"/>
              </w:rPr>
              <w:t>23</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阎阁</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2215</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rPr>
                <w:rFonts w:asciiTheme="minorEastAsia" w:hAnsiTheme="minorEastAsia"/>
                <w:szCs w:val="21"/>
              </w:rPr>
            </w:pPr>
            <w:r>
              <w:rPr>
                <w:rFonts w:hint="eastAsia" w:asciiTheme="minorEastAsia" w:hAnsiTheme="minorEastAsia"/>
                <w:szCs w:val="21"/>
              </w:rPr>
              <w:t>24</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西平四中</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2330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pPr>
            <w:r>
              <w:rPr>
                <w:rFonts w:hint="eastAsia" w:asciiTheme="minorEastAsia" w:hAnsiTheme="minorEastAsia"/>
                <w:szCs w:val="21"/>
              </w:rPr>
              <w:t>25</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小董庄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39</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rPr>
                <w:rFonts w:asciiTheme="minorEastAsia" w:hAnsiTheme="minorEastAsia"/>
                <w:szCs w:val="21"/>
              </w:rPr>
            </w:pPr>
            <w:r>
              <w:rPr>
                <w:rFonts w:hint="eastAsia" w:asciiTheme="minorEastAsia" w:hAnsiTheme="minorEastAsia"/>
                <w:szCs w:val="21"/>
              </w:rPr>
              <w:t>26</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铁东小区</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2390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27</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敬庄村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2450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28</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刘关庙</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2470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szCs w:val="21"/>
              </w:rPr>
            </w:pPr>
            <w:r>
              <w:rPr>
                <w:rFonts w:hint="eastAsia" w:asciiTheme="minorEastAsia" w:hAnsiTheme="minorEastAsia"/>
                <w:szCs w:val="21"/>
              </w:rPr>
              <w:t>29</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金荷花园</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rPr>
                <w:rFonts w:asciiTheme="minorEastAsia" w:hAnsiTheme="minorEastAsia"/>
                <w:szCs w:val="21"/>
              </w:rPr>
            </w:pPr>
            <w:r>
              <w:rPr>
                <w:rFonts w:hint="eastAsia" w:asciiTheme="minorEastAsia" w:hAnsiTheme="minorEastAsia"/>
                <w:szCs w:val="21"/>
              </w:rPr>
              <w:t>30</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胡楼</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25</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rPr>
                <w:rFonts w:asciiTheme="minorEastAsia" w:hAnsiTheme="minorEastAsia"/>
                <w:szCs w:val="21"/>
              </w:rPr>
            </w:pPr>
            <w:r>
              <w:rPr>
                <w:rFonts w:hint="eastAsia" w:asciiTheme="minorEastAsia" w:hAnsiTheme="minorEastAsia"/>
                <w:szCs w:val="21"/>
              </w:rPr>
              <w:t>31</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土洼</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2660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rPr>
                <w:rFonts w:asciiTheme="minorEastAsia" w:hAnsiTheme="minorEastAsia"/>
                <w:szCs w:val="21"/>
              </w:rPr>
            </w:pPr>
            <w:r>
              <w:rPr>
                <w:rFonts w:hint="eastAsia" w:asciiTheme="minorEastAsia" w:hAnsiTheme="minorEastAsia"/>
                <w:szCs w:val="21"/>
              </w:rPr>
              <w:t>32</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张含素</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2670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pPr>
            <w:r>
              <w:rPr>
                <w:rFonts w:hint="eastAsia" w:asciiTheme="minorEastAsia" w:hAnsiTheme="minorEastAsia"/>
                <w:szCs w:val="21"/>
              </w:rPr>
              <w:t>8#</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翟庄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6</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90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pPr>
            <w:r>
              <w:rPr>
                <w:rFonts w:hint="eastAsia" w:asciiTheme="minorEastAsia" w:hAnsiTheme="minorEastAsia"/>
                <w:szCs w:val="21"/>
              </w:rPr>
              <w:t>33</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张尧村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2700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rPr>
                <w:rFonts w:asciiTheme="minorEastAsia" w:hAnsiTheme="minorEastAsia"/>
                <w:szCs w:val="21"/>
              </w:rPr>
            </w:pPr>
            <w:r>
              <w:rPr>
                <w:rFonts w:hint="eastAsia" w:asciiTheme="minorEastAsia" w:hAnsiTheme="minorEastAsia"/>
                <w:szCs w:val="21"/>
              </w:rPr>
              <w:t>34</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栗庄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2750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pPr>
            <w:r>
              <w:rPr>
                <w:rFonts w:hint="eastAsia" w:asciiTheme="minorEastAsia" w:hAnsiTheme="minorEastAsia"/>
                <w:szCs w:val="21"/>
              </w:rPr>
              <w:t>35</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邵庄村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NW</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70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rPr>
                <w:rFonts w:asciiTheme="minorEastAsia" w:hAnsiTheme="minorEastAsia"/>
                <w:szCs w:val="21"/>
              </w:rPr>
            </w:pPr>
            <w:r>
              <w:rPr>
                <w:rFonts w:hint="eastAsia" w:asciiTheme="minorEastAsia" w:hAnsiTheme="minorEastAsia"/>
                <w:szCs w:val="21"/>
              </w:rPr>
              <w:t>36</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丁寨村</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SE</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2815</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jc w:val="center"/>
            </w:pPr>
            <w:r>
              <w:rPr>
                <w:rFonts w:hint="eastAsia" w:asciiTheme="minorEastAsia" w:hAnsiTheme="minorEastAsia"/>
                <w:szCs w:val="21"/>
              </w:rPr>
              <w:t>37</w:t>
            </w:r>
          </w:p>
        </w:tc>
        <w:tc>
          <w:tcPr>
            <w:tcW w:w="2449"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康李庄</w:t>
            </w:r>
          </w:p>
        </w:tc>
        <w:tc>
          <w:tcPr>
            <w:tcW w:w="1704"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 xml:space="preserve">NW </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2970</w:t>
            </w:r>
          </w:p>
        </w:tc>
        <w:tc>
          <w:tcPr>
            <w:tcW w:w="1705" w:type="dxa"/>
            <w:vAlign w:val="center"/>
          </w:tcPr>
          <w:p>
            <w:pPr>
              <w:widowControl/>
              <w:adjustRightInd w:val="0"/>
              <w:snapToGrid w:val="0"/>
              <w:jc w:val="center"/>
              <w:textAlignment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1220</w:t>
            </w:r>
          </w:p>
        </w:tc>
      </w:tr>
    </w:tbl>
    <w:p>
      <w:r>
        <w:rPr>
          <w:rFonts w:hint="eastAsia"/>
        </w:rPr>
        <w:drawing>
          <wp:anchor distT="0" distB="0" distL="114300" distR="114300" simplePos="0" relativeHeight="252114944" behindDoc="0" locked="0" layoutInCell="1" allowOverlap="1">
            <wp:simplePos x="0" y="0"/>
            <wp:positionH relativeFrom="column">
              <wp:posOffset>-53975</wp:posOffset>
            </wp:positionH>
            <wp:positionV relativeFrom="paragraph">
              <wp:posOffset>88265</wp:posOffset>
            </wp:positionV>
            <wp:extent cx="5274310" cy="5345430"/>
            <wp:effectExtent l="0" t="0" r="254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274310" cy="5345430"/>
                    </a:xfrm>
                    <a:prstGeom prst="rect">
                      <a:avLst/>
                    </a:prstGeom>
                    <a:noFill/>
                    <a:ln>
                      <a:noFill/>
                    </a:ln>
                  </pic:spPr>
                </pic:pic>
              </a:graphicData>
            </a:graphic>
          </wp:anchor>
        </w:drawing>
      </w:r>
    </w:p>
    <w:p/>
    <w:p/>
    <w:p/>
    <w:p/>
    <w:p/>
    <w:p/>
    <w:p/>
    <w:p/>
    <w:p/>
    <w:p/>
    <w:p/>
    <w:p/>
    <w:p/>
    <w:p/>
    <w:p/>
    <w:p/>
    <w:p/>
    <w:p/>
    <w:p/>
    <w:p/>
    <w:p/>
    <w:p/>
    <w:p/>
    <w:p/>
    <w:p/>
    <w:p/>
    <w:p/>
    <w:p>
      <w:pPr>
        <w:spacing w:line="240" w:lineRule="atLeast"/>
        <w:jc w:val="center"/>
        <w:rPr>
          <w:rFonts w:asciiTheme="minorEastAsia" w:hAnsiTheme="minorEastAsia"/>
          <w:b/>
          <w:sz w:val="24"/>
          <w:szCs w:val="24"/>
        </w:rPr>
      </w:pPr>
      <w:r>
        <w:rPr>
          <w:rFonts w:asciiTheme="minorEastAsia" w:hAnsiTheme="minorEastAsia"/>
          <w:b/>
          <w:sz w:val="24"/>
          <w:szCs w:val="24"/>
        </w:rPr>
        <w:t>图</w:t>
      </w:r>
      <w:r>
        <w:rPr>
          <w:rFonts w:hint="eastAsia" w:asciiTheme="minorEastAsia" w:hAnsiTheme="minorEastAsia"/>
          <w:b/>
          <w:sz w:val="24"/>
          <w:szCs w:val="24"/>
        </w:rPr>
        <w:t>6.3-1</w:t>
      </w:r>
      <w:r>
        <w:rPr>
          <w:rFonts w:asciiTheme="minorEastAsia" w:hAnsiTheme="minorEastAsia"/>
          <w:b/>
          <w:sz w:val="24"/>
          <w:szCs w:val="24"/>
        </w:rPr>
        <w:t xml:space="preserve">     </w:t>
      </w:r>
      <w:r>
        <w:rPr>
          <w:rFonts w:hint="eastAsia" w:asciiTheme="minorEastAsia" w:hAnsiTheme="minorEastAsia"/>
          <w:b/>
          <w:sz w:val="24"/>
          <w:szCs w:val="24"/>
        </w:rPr>
        <w:t>项目区周边</w:t>
      </w:r>
      <w:r>
        <w:rPr>
          <w:rFonts w:asciiTheme="minorEastAsia" w:hAnsiTheme="minorEastAsia"/>
          <w:b/>
          <w:sz w:val="24"/>
          <w:szCs w:val="24"/>
        </w:rPr>
        <w:t>3km范围内敏感点分布图</w:t>
      </w:r>
    </w:p>
    <w:p>
      <w:pPr>
        <w:spacing w:line="360" w:lineRule="auto"/>
        <w:rPr>
          <w:rFonts w:asciiTheme="minorEastAsia" w:hAnsiTheme="minorEastAsia"/>
          <w:b/>
          <w:sz w:val="28"/>
          <w:szCs w:val="28"/>
        </w:rPr>
      </w:pPr>
      <w:r>
        <w:rPr>
          <w:rFonts w:hint="eastAsia" w:asciiTheme="minorEastAsia" w:hAnsiTheme="minorEastAsia"/>
          <w:b/>
          <w:sz w:val="28"/>
          <w:szCs w:val="28"/>
        </w:rPr>
        <w:t>6.4环境风险识别</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项目营运过程中涉及的主要危险物质包括：回收裂解油、燃料柴油、废气处理药剂氢氧化钠及产生的危废油泥渣等。环境风险识别的范围包括回收裂解油储罐的泄漏风险，辅助原料储存、使用过程中的泄漏风险，危险废物收集、储存处置过程中的环境风险，以及废水、废气治理设施运行中存在的潜在环境风险。</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本项目涉及的主要危险物质及其分布情况见下表6.4-1。</w:t>
      </w:r>
    </w:p>
    <w:p>
      <w:pPr>
        <w:autoSpaceDE w:val="0"/>
        <w:autoSpaceDN w:val="0"/>
        <w:spacing w:line="312" w:lineRule="auto"/>
        <w:jc w:val="center"/>
        <w:rPr>
          <w:rFonts w:ascii="宋体" w:hAnsi="宋体" w:eastAsia="宋体" w:cs="AdobeSongStd-Light-Acro,Bold"/>
          <w:b/>
          <w:bCs/>
          <w:kern w:val="0"/>
          <w:sz w:val="24"/>
          <w:szCs w:val="24"/>
        </w:rPr>
      </w:pPr>
      <w:r>
        <w:rPr>
          <w:rFonts w:hint="eastAsia" w:ascii="宋体" w:hAnsi="宋体" w:eastAsia="宋体" w:cs="AdobeSongStd-Light-Acro,Bold"/>
          <w:b/>
          <w:bCs/>
          <w:kern w:val="0"/>
          <w:sz w:val="24"/>
          <w:szCs w:val="24"/>
        </w:rPr>
        <w:t>表6.4-1    主要危险物质数量和分布情况一览表</w:t>
      </w:r>
    </w:p>
    <w:tbl>
      <w:tblPr>
        <w:tblStyle w:val="27"/>
        <w:tblW w:w="78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8"/>
        <w:gridCol w:w="2551"/>
        <w:gridCol w:w="41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1" w:hRule="atLeast"/>
          <w:jc w:val="center"/>
        </w:trPr>
        <w:tc>
          <w:tcPr>
            <w:tcW w:w="1188"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序 号</w:t>
            </w:r>
          </w:p>
        </w:tc>
        <w:tc>
          <w:tcPr>
            <w:tcW w:w="2551"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原料</w:t>
            </w:r>
          </w:p>
        </w:tc>
        <w:tc>
          <w:tcPr>
            <w:tcW w:w="4107" w:type="dxa"/>
            <w:vAlign w:val="center"/>
          </w:tcPr>
          <w:p>
            <w:pPr>
              <w:autoSpaceDE w:val="0"/>
              <w:autoSpaceDN w:val="0"/>
              <w:spacing w:line="240" w:lineRule="atLeast"/>
              <w:jc w:val="center"/>
              <w:rPr>
                <w:rFonts w:ascii="宋体" w:hAnsi="宋体" w:eastAsia="宋体" w:cs="AdobeSongStd-Light-Acro"/>
                <w:b/>
                <w:kern w:val="0"/>
                <w:szCs w:val="21"/>
              </w:rPr>
            </w:pPr>
            <w:r>
              <w:rPr>
                <w:rFonts w:hint="eastAsia" w:ascii="宋体" w:hAnsi="宋体" w:eastAsia="宋体" w:cs="AdobeSongStd-Light-Acro"/>
                <w:b/>
                <w:kern w:val="0"/>
                <w:szCs w:val="21"/>
              </w:rPr>
              <w:t>分布情况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188"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1</w:t>
            </w:r>
          </w:p>
        </w:tc>
        <w:tc>
          <w:tcPr>
            <w:tcW w:w="2551"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裂解油</w:t>
            </w:r>
          </w:p>
        </w:tc>
        <w:tc>
          <w:tcPr>
            <w:tcW w:w="4107"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车间及油品储罐区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188"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2</w:t>
            </w:r>
          </w:p>
        </w:tc>
        <w:tc>
          <w:tcPr>
            <w:tcW w:w="2551"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氢氧化钠</w:t>
            </w:r>
          </w:p>
        </w:tc>
        <w:tc>
          <w:tcPr>
            <w:tcW w:w="4107"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原料库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188"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3</w:t>
            </w:r>
          </w:p>
        </w:tc>
        <w:tc>
          <w:tcPr>
            <w:tcW w:w="2551"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轻质柴油</w:t>
            </w:r>
          </w:p>
        </w:tc>
        <w:tc>
          <w:tcPr>
            <w:tcW w:w="4107"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柴油储罐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188"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4</w:t>
            </w:r>
          </w:p>
        </w:tc>
        <w:tc>
          <w:tcPr>
            <w:tcW w:w="2551" w:type="dxa"/>
            <w:vAlign w:val="center"/>
          </w:tcPr>
          <w:p>
            <w:pPr>
              <w:autoSpaceDE w:val="0"/>
              <w:autoSpaceDN w:val="0"/>
              <w:spacing w:line="240" w:lineRule="atLeast"/>
              <w:jc w:val="center"/>
              <w:rPr>
                <w:rFonts w:ascii="宋体" w:hAnsi="宋体" w:eastAsia="宋体" w:cs="AdobeSongStd-Light-Acro"/>
                <w:kern w:val="0"/>
                <w:szCs w:val="21"/>
              </w:rPr>
            </w:pPr>
            <w:r>
              <w:rPr>
                <w:rFonts w:hint="eastAsia" w:ascii="宋体" w:hAnsi="宋体" w:eastAsia="宋体" w:cs="AdobeSongStd-Light-Acro"/>
                <w:kern w:val="0"/>
                <w:szCs w:val="21"/>
              </w:rPr>
              <w:t>废油泥渣</w:t>
            </w:r>
          </w:p>
        </w:tc>
        <w:tc>
          <w:tcPr>
            <w:tcW w:w="4107" w:type="dxa"/>
            <w:vAlign w:val="center"/>
          </w:tcPr>
          <w:p>
            <w:pPr>
              <w:autoSpaceDE w:val="0"/>
              <w:autoSpaceDN w:val="0"/>
              <w:spacing w:line="240" w:lineRule="atLeast"/>
              <w:ind w:firstLine="315" w:firstLineChars="150"/>
              <w:jc w:val="left"/>
              <w:rPr>
                <w:rFonts w:ascii="宋体" w:hAnsi="宋体" w:eastAsia="宋体" w:cs="AdobeSongStd-Light-Acro"/>
                <w:kern w:val="0"/>
                <w:szCs w:val="21"/>
              </w:rPr>
            </w:pPr>
            <w:r>
              <w:rPr>
                <w:rFonts w:hint="eastAsia" w:ascii="宋体" w:hAnsi="宋体" w:eastAsia="宋体" w:cs="AdobeSongStd-Light-Acro"/>
                <w:kern w:val="0"/>
                <w:szCs w:val="21"/>
              </w:rPr>
              <w:t>车间及危废库</w:t>
            </w:r>
          </w:p>
        </w:tc>
      </w:tr>
    </w:tbl>
    <w:p>
      <w:pPr>
        <w:spacing w:line="360" w:lineRule="auto"/>
        <w:rPr>
          <w:rFonts w:asciiTheme="minorEastAsia" w:hAnsiTheme="minorEastAsia"/>
          <w:b/>
          <w:sz w:val="24"/>
          <w:szCs w:val="24"/>
        </w:rPr>
      </w:pPr>
      <w:r>
        <w:rPr>
          <w:rFonts w:hint="eastAsia" w:asciiTheme="minorEastAsia" w:hAnsiTheme="minorEastAsia"/>
          <w:b/>
          <w:sz w:val="24"/>
          <w:szCs w:val="24"/>
        </w:rPr>
        <w:t>6.4.1生产设施风险识别</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项目涉及环境风险的生产设施主要是热裂解炉、分汽包、油水分离器及裂解油输送管道、废水收集管道等；如果该类设施或管道、阀门出现破埙、老化，可能发生热裂解气、油品、废水泄漏事故，污染物进入大气环境对空气质量造成污染影响，下渗地表会对地下水、土壤环境造成污染影响。</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项目生产设施可能出现的环境风险见表6.4-1。</w:t>
      </w:r>
    </w:p>
    <w:p>
      <w:pPr>
        <w:autoSpaceDE w:val="0"/>
        <w:autoSpaceDN w:val="0"/>
        <w:spacing w:line="312" w:lineRule="auto"/>
        <w:jc w:val="center"/>
        <w:rPr>
          <w:rFonts w:ascii="宋体" w:hAnsi="宋体" w:eastAsia="宋体" w:cs="AdobeSongStd-Light-Acro,Bold"/>
          <w:b/>
          <w:bCs/>
          <w:kern w:val="0"/>
          <w:sz w:val="24"/>
          <w:szCs w:val="24"/>
        </w:rPr>
      </w:pPr>
      <w:r>
        <w:rPr>
          <w:rFonts w:hint="eastAsia" w:ascii="宋体" w:hAnsi="宋体" w:eastAsia="宋体" w:cs="AdobeSongStd-Light-Acro,Bold"/>
          <w:b/>
          <w:bCs/>
          <w:kern w:val="0"/>
          <w:sz w:val="24"/>
          <w:szCs w:val="24"/>
        </w:rPr>
        <w:t>表</w:t>
      </w:r>
      <w:r>
        <w:rPr>
          <w:rFonts w:hint="eastAsia" w:ascii="宋体" w:hAnsi="宋体" w:eastAsia="宋体" w:cs="Times New Roman"/>
          <w:b/>
          <w:bCs/>
          <w:kern w:val="0"/>
          <w:sz w:val="24"/>
          <w:szCs w:val="24"/>
        </w:rPr>
        <w:t>6.4-1</w:t>
      </w:r>
      <w:r>
        <w:rPr>
          <w:rFonts w:ascii="宋体" w:hAnsi="宋体" w:eastAsia="宋体" w:cs="Times New Roman"/>
          <w:b/>
          <w:bCs/>
          <w:kern w:val="0"/>
          <w:sz w:val="24"/>
          <w:szCs w:val="24"/>
        </w:rPr>
        <w:t xml:space="preserve"> </w:t>
      </w:r>
      <w:r>
        <w:rPr>
          <w:rFonts w:hint="eastAsia" w:ascii="宋体" w:hAnsi="宋体" w:eastAsia="宋体" w:cs="AdobeSongStd-Light-Acro,Bold"/>
          <w:b/>
          <w:bCs/>
          <w:kern w:val="0"/>
          <w:sz w:val="24"/>
          <w:szCs w:val="24"/>
        </w:rPr>
        <w:t>　项目生产设施可能出现的环境风险情况</w:t>
      </w:r>
    </w:p>
    <w:tbl>
      <w:tblPr>
        <w:tblStyle w:val="27"/>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5"/>
        <w:gridCol w:w="1417"/>
        <w:gridCol w:w="1418"/>
        <w:gridCol w:w="3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2235"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
                <w:b/>
                <w:kern w:val="0"/>
                <w:sz w:val="18"/>
                <w:szCs w:val="18"/>
              </w:rPr>
              <w:t>风险设施</w:t>
            </w:r>
          </w:p>
        </w:tc>
        <w:tc>
          <w:tcPr>
            <w:tcW w:w="1417"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
                <w:b/>
                <w:kern w:val="0"/>
                <w:sz w:val="18"/>
                <w:szCs w:val="18"/>
              </w:rPr>
              <w:t>事故类型</w:t>
            </w:r>
          </w:p>
        </w:tc>
        <w:tc>
          <w:tcPr>
            <w:tcW w:w="1418"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Bold"/>
                <w:b/>
                <w:bCs/>
                <w:kern w:val="0"/>
                <w:sz w:val="18"/>
                <w:szCs w:val="18"/>
              </w:rPr>
              <w:t>风险物质</w:t>
            </w:r>
          </w:p>
        </w:tc>
        <w:tc>
          <w:tcPr>
            <w:tcW w:w="3402"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
                <w:b/>
                <w:kern w:val="0"/>
                <w:sz w:val="18"/>
                <w:szCs w:val="18"/>
              </w:rPr>
              <w:t>可能影响环境的途径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235"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
                <w:kern w:val="0"/>
                <w:sz w:val="18"/>
                <w:szCs w:val="18"/>
              </w:rPr>
              <w:t>热裂解炉</w:t>
            </w:r>
          </w:p>
        </w:tc>
        <w:tc>
          <w:tcPr>
            <w:tcW w:w="1417"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破损</w:t>
            </w:r>
          </w:p>
        </w:tc>
        <w:tc>
          <w:tcPr>
            <w:tcW w:w="1418"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废气、石油类</w:t>
            </w:r>
          </w:p>
        </w:tc>
        <w:tc>
          <w:tcPr>
            <w:tcW w:w="3402"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排放污染物进入大气环境，或下渗进入土壤、地下水；火灾事故产生次生大气污染物进入大气环境等。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trPr>
        <w:tc>
          <w:tcPr>
            <w:tcW w:w="2235"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
                <w:kern w:val="0"/>
                <w:sz w:val="18"/>
                <w:szCs w:val="18"/>
              </w:rPr>
              <w:t>分汽包</w:t>
            </w:r>
          </w:p>
        </w:tc>
        <w:tc>
          <w:tcPr>
            <w:tcW w:w="1417"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泄漏</w:t>
            </w:r>
          </w:p>
        </w:tc>
        <w:tc>
          <w:tcPr>
            <w:tcW w:w="1418"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废气</w:t>
            </w:r>
          </w:p>
        </w:tc>
        <w:tc>
          <w:tcPr>
            <w:tcW w:w="3402"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进入大气环境；火灾事故产生次生大气污染物进入大气环境等。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trPr>
        <w:tc>
          <w:tcPr>
            <w:tcW w:w="2235" w:type="dxa"/>
            <w:vAlign w:val="center"/>
          </w:tcPr>
          <w:p>
            <w:pPr>
              <w:autoSpaceDE w:val="0"/>
              <w:autoSpaceDN w:val="0"/>
              <w:spacing w:line="240" w:lineRule="atLeast"/>
              <w:jc w:val="center"/>
              <w:rPr>
                <w:rFonts w:ascii="宋体" w:hAnsi="宋体" w:eastAsia="宋体" w:cs="AdobeSongStd-Light-Acro"/>
                <w:kern w:val="0"/>
                <w:sz w:val="18"/>
                <w:szCs w:val="18"/>
              </w:rPr>
            </w:pPr>
            <w:r>
              <w:rPr>
                <w:rFonts w:hint="eastAsia" w:ascii="宋体" w:hAnsi="宋体" w:eastAsia="宋体" w:cs="AdobeSongStd-Light-Acro"/>
                <w:kern w:val="0"/>
                <w:sz w:val="18"/>
                <w:szCs w:val="18"/>
              </w:rPr>
              <w:t>油水分离器</w:t>
            </w:r>
          </w:p>
        </w:tc>
        <w:tc>
          <w:tcPr>
            <w:tcW w:w="1417"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泄漏</w:t>
            </w:r>
          </w:p>
        </w:tc>
        <w:tc>
          <w:tcPr>
            <w:tcW w:w="1418"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废气、石油类</w:t>
            </w:r>
          </w:p>
        </w:tc>
        <w:tc>
          <w:tcPr>
            <w:tcW w:w="3402"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进入大气环境，或下渗进入土壤、地下水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trPr>
        <w:tc>
          <w:tcPr>
            <w:tcW w:w="2235" w:type="dxa"/>
            <w:vAlign w:val="center"/>
          </w:tcPr>
          <w:p>
            <w:pPr>
              <w:autoSpaceDE w:val="0"/>
              <w:autoSpaceDN w:val="0"/>
              <w:spacing w:line="240" w:lineRule="atLeast"/>
              <w:jc w:val="center"/>
              <w:rPr>
                <w:rFonts w:ascii="宋体" w:hAnsi="宋体" w:eastAsia="宋体" w:cs="AdobeSongStd-Light-Acro"/>
                <w:kern w:val="0"/>
                <w:sz w:val="18"/>
                <w:szCs w:val="18"/>
              </w:rPr>
            </w:pPr>
            <w:r>
              <w:rPr>
                <w:rFonts w:hint="eastAsia" w:asciiTheme="minorEastAsia" w:hAnsiTheme="minorEastAsia"/>
                <w:sz w:val="18"/>
                <w:szCs w:val="18"/>
              </w:rPr>
              <w:t>裂解油输送管道、阀门</w:t>
            </w:r>
          </w:p>
        </w:tc>
        <w:tc>
          <w:tcPr>
            <w:tcW w:w="1417"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破损</w:t>
            </w:r>
          </w:p>
        </w:tc>
        <w:tc>
          <w:tcPr>
            <w:tcW w:w="1418"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废气、石油类</w:t>
            </w:r>
          </w:p>
        </w:tc>
        <w:tc>
          <w:tcPr>
            <w:tcW w:w="3402"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进入大气环境，或下渗进入土壤、地下水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trPr>
        <w:tc>
          <w:tcPr>
            <w:tcW w:w="2235" w:type="dxa"/>
            <w:vAlign w:val="center"/>
          </w:tcPr>
          <w:p>
            <w:pPr>
              <w:autoSpaceDE w:val="0"/>
              <w:autoSpaceDN w:val="0"/>
              <w:spacing w:line="240" w:lineRule="atLeast"/>
              <w:jc w:val="center"/>
              <w:rPr>
                <w:rFonts w:ascii="宋体" w:hAnsi="宋体" w:eastAsia="宋体" w:cs="AdobeSongStd-Light-Acro"/>
                <w:kern w:val="0"/>
                <w:sz w:val="18"/>
                <w:szCs w:val="18"/>
              </w:rPr>
            </w:pPr>
            <w:r>
              <w:rPr>
                <w:rFonts w:hint="eastAsia" w:asciiTheme="minorEastAsia" w:hAnsiTheme="minorEastAsia"/>
                <w:sz w:val="18"/>
                <w:szCs w:val="18"/>
              </w:rPr>
              <w:t>废水收集管道、阀门</w:t>
            </w:r>
          </w:p>
        </w:tc>
        <w:tc>
          <w:tcPr>
            <w:tcW w:w="1417"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泄漏</w:t>
            </w:r>
          </w:p>
        </w:tc>
        <w:tc>
          <w:tcPr>
            <w:tcW w:w="1418"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废水</w:t>
            </w:r>
          </w:p>
        </w:tc>
        <w:tc>
          <w:tcPr>
            <w:tcW w:w="3402"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下渗进入土壤、地下水</w:t>
            </w:r>
          </w:p>
        </w:tc>
      </w:tr>
    </w:tbl>
    <w:p>
      <w:pPr>
        <w:spacing w:line="360" w:lineRule="auto"/>
        <w:rPr>
          <w:rFonts w:asciiTheme="minorEastAsia" w:hAnsiTheme="minorEastAsia"/>
          <w:b/>
          <w:sz w:val="24"/>
          <w:szCs w:val="24"/>
        </w:rPr>
      </w:pPr>
      <w:r>
        <w:rPr>
          <w:rFonts w:hint="eastAsia" w:asciiTheme="minorEastAsia" w:hAnsiTheme="minorEastAsia"/>
          <w:b/>
          <w:sz w:val="24"/>
          <w:szCs w:val="24"/>
        </w:rPr>
        <w:t>6.4.2 化学品及危险废物储存风险识别</w:t>
      </w:r>
    </w:p>
    <w:p>
      <w:pPr>
        <w:spacing w:line="360" w:lineRule="auto"/>
        <w:rPr>
          <w:rFonts w:asciiTheme="minorEastAsia" w:hAnsiTheme="minorEastAsia"/>
          <w:sz w:val="24"/>
          <w:szCs w:val="24"/>
        </w:rPr>
      </w:pPr>
      <w:r>
        <w:rPr>
          <w:rFonts w:hint="eastAsia"/>
          <w:sz w:val="24"/>
          <w:szCs w:val="24"/>
        </w:rPr>
        <w:t xml:space="preserve">    </w:t>
      </w:r>
      <w:r>
        <w:rPr>
          <w:rFonts w:hint="eastAsia" w:asciiTheme="minorEastAsia" w:hAnsiTheme="minorEastAsia"/>
          <w:sz w:val="24"/>
          <w:szCs w:val="24"/>
        </w:rPr>
        <w:t>本项目油品储罐或危险废物储存过程中，如果储罐、包装桶或包装容器破埙等引发泄漏事故，一旦未能及时收集处理或储存场所防渗措施不到位，可能下渗地表以下对地下水、土壤环境造成污染影响；同时挥发废气污染物对大气环境造成污染影响。</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项目风险物质储存过程中可能出现的环境风险见表6.4-2。</w:t>
      </w:r>
    </w:p>
    <w:p>
      <w:pPr>
        <w:spacing w:line="360" w:lineRule="auto"/>
        <w:ind w:firstLine="1325" w:firstLineChars="550"/>
        <w:rPr>
          <w:rFonts w:asciiTheme="minorEastAsia" w:hAnsiTheme="minorEastAsia"/>
          <w:b/>
          <w:sz w:val="24"/>
          <w:szCs w:val="24"/>
        </w:rPr>
      </w:pPr>
      <w:r>
        <w:rPr>
          <w:rFonts w:hint="eastAsia" w:asciiTheme="minorEastAsia" w:hAnsiTheme="minorEastAsia"/>
          <w:b/>
          <w:sz w:val="24"/>
          <w:szCs w:val="24"/>
        </w:rPr>
        <w:t>表6.4-2　　化学品及危险废物储存风险情况</w:t>
      </w:r>
    </w:p>
    <w:tbl>
      <w:tblPr>
        <w:tblStyle w:val="27"/>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1275"/>
        <w:gridCol w:w="1560"/>
        <w:gridCol w:w="3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1668"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
                <w:b/>
                <w:kern w:val="0"/>
                <w:sz w:val="18"/>
                <w:szCs w:val="18"/>
              </w:rPr>
              <w:t>储存场所/设施</w:t>
            </w:r>
          </w:p>
        </w:tc>
        <w:tc>
          <w:tcPr>
            <w:tcW w:w="1275"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
                <w:b/>
                <w:kern w:val="0"/>
                <w:sz w:val="18"/>
                <w:szCs w:val="18"/>
              </w:rPr>
              <w:t>事故类型</w:t>
            </w:r>
          </w:p>
        </w:tc>
        <w:tc>
          <w:tcPr>
            <w:tcW w:w="1560"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Bold"/>
                <w:b/>
                <w:bCs/>
                <w:kern w:val="0"/>
                <w:sz w:val="18"/>
                <w:szCs w:val="18"/>
              </w:rPr>
              <w:t>风险物质</w:t>
            </w:r>
          </w:p>
        </w:tc>
        <w:tc>
          <w:tcPr>
            <w:tcW w:w="3969" w:type="dxa"/>
            <w:vAlign w:val="center"/>
          </w:tcPr>
          <w:p>
            <w:pPr>
              <w:autoSpaceDE w:val="0"/>
              <w:autoSpaceDN w:val="0"/>
              <w:spacing w:line="240" w:lineRule="atLeast"/>
              <w:jc w:val="center"/>
              <w:rPr>
                <w:rFonts w:ascii="宋体" w:hAnsi="宋体" w:eastAsia="宋体" w:cs="AdobeSongStd-Light-Acro,Bold"/>
                <w:b/>
                <w:bCs/>
                <w:kern w:val="0"/>
                <w:sz w:val="18"/>
                <w:szCs w:val="18"/>
              </w:rPr>
            </w:pPr>
            <w:r>
              <w:rPr>
                <w:rFonts w:hint="eastAsia" w:ascii="宋体" w:hAnsi="宋体" w:eastAsia="宋体" w:cs="AdobeSongStd-Light-Acro"/>
                <w:b/>
                <w:kern w:val="0"/>
                <w:sz w:val="18"/>
                <w:szCs w:val="18"/>
              </w:rPr>
              <w:t>可能影响环境的途径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668"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
                <w:kern w:val="0"/>
                <w:sz w:val="18"/>
                <w:szCs w:val="18"/>
              </w:rPr>
              <w:t>裂解油储罐</w:t>
            </w:r>
          </w:p>
        </w:tc>
        <w:tc>
          <w:tcPr>
            <w:tcW w:w="1275"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泄漏</w:t>
            </w:r>
          </w:p>
        </w:tc>
        <w:tc>
          <w:tcPr>
            <w:tcW w:w="1560"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裂解油、柴油</w:t>
            </w:r>
          </w:p>
        </w:tc>
        <w:tc>
          <w:tcPr>
            <w:tcW w:w="3969"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挥发进入环境空气，下渗进入土壤、地下水；火灾事故产生次生大气污染物进入大气环境等。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trPr>
        <w:tc>
          <w:tcPr>
            <w:tcW w:w="1668" w:type="dxa"/>
            <w:vAlign w:val="center"/>
          </w:tcPr>
          <w:p>
            <w:pPr>
              <w:autoSpaceDE w:val="0"/>
              <w:autoSpaceDN w:val="0"/>
              <w:spacing w:line="240" w:lineRule="atLeast"/>
              <w:jc w:val="center"/>
              <w:rPr>
                <w:rFonts w:ascii="宋体" w:hAnsi="宋体" w:eastAsia="宋体" w:cs="AdobeSongStd-Light-Acro"/>
                <w:kern w:val="0"/>
                <w:sz w:val="18"/>
                <w:szCs w:val="18"/>
              </w:rPr>
            </w:pPr>
            <w:r>
              <w:rPr>
                <w:rFonts w:hint="eastAsia" w:ascii="宋体" w:hAnsi="宋体" w:eastAsia="宋体" w:cs="AdobeSongStd-Light-Acro"/>
                <w:kern w:val="0"/>
                <w:sz w:val="18"/>
                <w:szCs w:val="18"/>
              </w:rPr>
              <w:t>危废库</w:t>
            </w:r>
          </w:p>
        </w:tc>
        <w:tc>
          <w:tcPr>
            <w:tcW w:w="1275"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泄漏</w:t>
            </w:r>
          </w:p>
        </w:tc>
        <w:tc>
          <w:tcPr>
            <w:tcW w:w="1560"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废油泥渣等</w:t>
            </w:r>
          </w:p>
        </w:tc>
        <w:tc>
          <w:tcPr>
            <w:tcW w:w="3969" w:type="dxa"/>
            <w:vAlign w:val="center"/>
          </w:tcPr>
          <w:p>
            <w:pPr>
              <w:autoSpaceDE w:val="0"/>
              <w:autoSpaceDN w:val="0"/>
              <w:spacing w:line="240" w:lineRule="atLeast"/>
              <w:jc w:val="center"/>
              <w:rPr>
                <w:rFonts w:ascii="宋体" w:hAnsi="宋体" w:eastAsia="宋体" w:cs="AdobeSongStd-Light-Acro,Bold"/>
                <w:bCs/>
                <w:kern w:val="0"/>
                <w:sz w:val="18"/>
                <w:szCs w:val="18"/>
              </w:rPr>
            </w:pPr>
            <w:r>
              <w:rPr>
                <w:rFonts w:hint="eastAsia" w:ascii="宋体" w:hAnsi="宋体" w:eastAsia="宋体" w:cs="AdobeSongStd-Light-Acro,Bold"/>
                <w:bCs/>
                <w:kern w:val="0"/>
                <w:sz w:val="18"/>
                <w:szCs w:val="18"/>
              </w:rPr>
              <w:t>挥发进入环境空气，下渗进入土壤、地下水</w:t>
            </w:r>
          </w:p>
        </w:tc>
      </w:tr>
    </w:tbl>
    <w:p>
      <w:pPr>
        <w:spacing w:line="360" w:lineRule="auto"/>
        <w:rPr>
          <w:rFonts w:asciiTheme="minorEastAsia" w:hAnsiTheme="minorEastAsia"/>
          <w:b/>
          <w:sz w:val="24"/>
          <w:szCs w:val="24"/>
        </w:rPr>
      </w:pPr>
      <w:r>
        <w:rPr>
          <w:rFonts w:hint="eastAsia" w:asciiTheme="minorEastAsia" w:hAnsiTheme="minorEastAsia"/>
          <w:b/>
          <w:sz w:val="24"/>
          <w:szCs w:val="24"/>
        </w:rPr>
        <w:t>6.4.3 污染防治设施风险识别</w:t>
      </w:r>
    </w:p>
    <w:p>
      <w:pPr>
        <w:spacing w:line="360" w:lineRule="auto"/>
        <w:rPr>
          <w:rFonts w:asciiTheme="minorEastAsia" w:hAnsiTheme="minorEastAsia"/>
          <w:sz w:val="24"/>
          <w:szCs w:val="24"/>
        </w:rPr>
      </w:pPr>
      <w:r>
        <w:rPr>
          <w:rFonts w:hint="eastAsia" w:asciiTheme="minorEastAsia" w:hAnsiTheme="minorEastAsia"/>
          <w:b/>
          <w:sz w:val="24"/>
          <w:szCs w:val="24"/>
        </w:rPr>
        <w:t xml:space="preserve">     </w:t>
      </w:r>
      <w:r>
        <w:rPr>
          <w:rFonts w:hint="eastAsia" w:asciiTheme="minorEastAsia" w:hAnsiTheme="minorEastAsia"/>
          <w:sz w:val="24"/>
          <w:szCs w:val="24"/>
        </w:rPr>
        <w:t>项目废气处理设施一旦发生故障，可能出现大气污染物非正常排放情况，对周边大气环境造成污染影响；废水处理设施出现泄漏情况，废水进入地表水体或下渗，可能对地表水、地下水、土壤环境造成污染影响。项目污染治理设施潜在环境风险见下表6.4-3。</w:t>
      </w:r>
    </w:p>
    <w:p>
      <w:pPr>
        <w:spacing w:line="360" w:lineRule="auto"/>
        <w:jc w:val="center"/>
        <w:rPr>
          <w:rFonts w:asciiTheme="minorEastAsia" w:hAnsiTheme="minorEastAsia"/>
          <w:b/>
          <w:sz w:val="24"/>
          <w:szCs w:val="24"/>
        </w:rPr>
      </w:pPr>
      <w:r>
        <w:rPr>
          <w:rFonts w:hint="eastAsia" w:asciiTheme="minorEastAsia" w:hAnsiTheme="minorEastAsia"/>
          <w:b/>
          <w:sz w:val="24"/>
          <w:szCs w:val="24"/>
        </w:rPr>
        <w:t>表6.4-3   污染治理设施潜在环境风险情况</w:t>
      </w:r>
    </w:p>
    <w:tbl>
      <w:tblPr>
        <w:tblStyle w:val="27"/>
        <w:tblW w:w="91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1843"/>
        <w:gridCol w:w="1525"/>
        <w:gridCol w:w="3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843"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风险源</w:t>
            </w:r>
          </w:p>
        </w:tc>
        <w:tc>
          <w:tcPr>
            <w:tcW w:w="1843"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风险物质</w:t>
            </w:r>
          </w:p>
        </w:tc>
        <w:tc>
          <w:tcPr>
            <w:tcW w:w="1525"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事故风险类型</w:t>
            </w:r>
          </w:p>
        </w:tc>
        <w:tc>
          <w:tcPr>
            <w:tcW w:w="3945"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风险因素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84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废气治理设施</w:t>
            </w:r>
          </w:p>
        </w:tc>
        <w:tc>
          <w:tcPr>
            <w:tcW w:w="184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颗粒物、SO</w:t>
            </w:r>
            <w:r>
              <w:rPr>
                <w:rFonts w:hint="eastAsia" w:asciiTheme="minorEastAsia" w:hAnsiTheme="minorEastAsia"/>
                <w:sz w:val="18"/>
                <w:szCs w:val="18"/>
                <w:vertAlign w:val="subscript"/>
              </w:rPr>
              <w:t>2</w:t>
            </w:r>
            <w:r>
              <w:rPr>
                <w:rFonts w:hint="eastAsia" w:asciiTheme="minorEastAsia" w:hAnsiTheme="minorEastAsia"/>
                <w:sz w:val="18"/>
                <w:szCs w:val="18"/>
              </w:rPr>
              <w:t>、NOx、H</w:t>
            </w:r>
            <w:r>
              <w:rPr>
                <w:rFonts w:hint="eastAsia" w:asciiTheme="minorEastAsia" w:hAnsiTheme="minorEastAsia"/>
                <w:sz w:val="18"/>
                <w:szCs w:val="18"/>
                <w:vertAlign w:val="subscript"/>
              </w:rPr>
              <w:t>2</w:t>
            </w:r>
            <w:r>
              <w:rPr>
                <w:rFonts w:hint="eastAsia" w:asciiTheme="minorEastAsia" w:hAnsiTheme="minorEastAsia"/>
                <w:sz w:val="18"/>
                <w:szCs w:val="18"/>
              </w:rPr>
              <w:t>S、氨、苯并[a]芘及非甲烷总烃等</w:t>
            </w:r>
          </w:p>
        </w:tc>
        <w:tc>
          <w:tcPr>
            <w:tcW w:w="1525"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设施故障或停运</w:t>
            </w:r>
          </w:p>
        </w:tc>
        <w:tc>
          <w:tcPr>
            <w:tcW w:w="3945"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大气污染物非正常排放，对大气、土壤环境造成污染影响。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84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废水治理设施</w:t>
            </w:r>
          </w:p>
        </w:tc>
        <w:tc>
          <w:tcPr>
            <w:tcW w:w="184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废水污染物</w:t>
            </w:r>
          </w:p>
        </w:tc>
        <w:tc>
          <w:tcPr>
            <w:tcW w:w="1525"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废水泄漏</w:t>
            </w:r>
          </w:p>
        </w:tc>
        <w:tc>
          <w:tcPr>
            <w:tcW w:w="3945"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对水环境、土壤环境造成污染影响。</w:t>
            </w:r>
          </w:p>
        </w:tc>
      </w:tr>
    </w:tbl>
    <w:p>
      <w:pPr>
        <w:spacing w:line="360" w:lineRule="auto"/>
        <w:rPr>
          <w:rFonts w:asciiTheme="minorEastAsia" w:hAnsiTheme="minorEastAsia"/>
          <w:b/>
          <w:sz w:val="24"/>
          <w:szCs w:val="24"/>
        </w:rPr>
      </w:pPr>
      <w:r>
        <w:rPr>
          <w:rFonts w:hint="eastAsia" w:asciiTheme="minorEastAsia" w:hAnsiTheme="minorEastAsia"/>
          <w:b/>
          <w:sz w:val="24"/>
          <w:szCs w:val="24"/>
        </w:rPr>
        <w:t>6.4.4 风险识别结果</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根据项目特点，工程在加强日常储运管理的基础上，生产设备、储罐等发生火灾、泄漏的风险不大；产生的危险废物全部收集临时储存在厂区规范建设的危废间，定期转运处置，日常储存量不大，仓库采取防渗、防潮、防雨、防扬散及设置泄漏收集设施等措施，发生直接泄漏外环境的事故概率在可控范围之内。</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综上分析，本次评价确定项目的风险类型主要为：</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①裂解油、柴油、废水或液体危险废物泄漏可能造成的环境空气、地表水、地下水及土壤环境污染风险；以及热裂解气泄漏造成的环境空气污染风险。</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②废气治理设施出现故障的非正常排放对环境空气的污染影响。</w:t>
      </w:r>
    </w:p>
    <w:p>
      <w:pPr>
        <w:spacing w:line="360" w:lineRule="auto"/>
        <w:rPr>
          <w:rFonts w:asciiTheme="minorEastAsia" w:hAnsiTheme="minorEastAsia"/>
          <w:b/>
          <w:sz w:val="28"/>
          <w:szCs w:val="28"/>
        </w:rPr>
      </w:pPr>
      <w:r>
        <w:rPr>
          <w:rFonts w:hint="eastAsia" w:asciiTheme="minorEastAsia" w:hAnsiTheme="minorEastAsia"/>
          <w:b/>
          <w:sz w:val="28"/>
          <w:szCs w:val="28"/>
        </w:rPr>
        <w:t>6.5环境风险分析</w:t>
      </w:r>
    </w:p>
    <w:p>
      <w:pPr>
        <w:spacing w:line="360" w:lineRule="auto"/>
        <w:rPr>
          <w:rFonts w:asciiTheme="minorEastAsia" w:hAnsiTheme="minorEastAsia"/>
          <w:b/>
          <w:sz w:val="24"/>
          <w:szCs w:val="24"/>
        </w:rPr>
      </w:pPr>
      <w:r>
        <w:rPr>
          <w:rFonts w:hint="eastAsia" w:asciiTheme="minorEastAsia" w:hAnsiTheme="minorEastAsia"/>
          <w:b/>
          <w:sz w:val="24"/>
          <w:szCs w:val="24"/>
        </w:rPr>
        <w:t>6.5.1最大可信事故</w:t>
      </w:r>
    </w:p>
    <w:p>
      <w:pPr>
        <w:spacing w:line="360" w:lineRule="auto"/>
        <w:ind w:firstLine="480"/>
        <w:rPr>
          <w:rFonts w:asciiTheme="minorEastAsia" w:hAnsiTheme="minorEastAsia"/>
          <w:sz w:val="24"/>
          <w:szCs w:val="24"/>
        </w:rPr>
      </w:pPr>
      <w:r>
        <w:rPr>
          <w:rFonts w:hint="eastAsia" w:asciiTheme="minorEastAsia" w:hAnsiTheme="minorEastAsia"/>
          <w:sz w:val="24"/>
          <w:szCs w:val="24"/>
        </w:rPr>
        <w:t>根据风险识别结果，项目最大可信事故确定为：</w:t>
      </w:r>
    </w:p>
    <w:p>
      <w:pPr>
        <w:spacing w:line="360" w:lineRule="auto"/>
        <w:ind w:firstLine="480"/>
        <w:rPr>
          <w:rFonts w:asciiTheme="minorEastAsia" w:hAnsiTheme="minorEastAsia"/>
          <w:sz w:val="24"/>
          <w:szCs w:val="24"/>
        </w:rPr>
      </w:pPr>
      <w:r>
        <w:rPr>
          <w:rFonts w:hint="eastAsia" w:asciiTheme="minorEastAsia" w:hAnsiTheme="minorEastAsia"/>
          <w:sz w:val="24"/>
          <w:szCs w:val="24"/>
        </w:rPr>
        <w:t>（1）废水泄漏事故</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项目废水处理池或废水收集管道破埙等，从而引起废水泄漏下渗，易污染周围地下水环境和土壤环境；厂内废水发生外溢事故，生产废水可能进入雨水管网，影响地表水水质。</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（2）油品泄漏事故</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油品发生泄漏，挥发废气污染环境空气，进入下渗后可能污染附近地下水、土壤环境；泄漏油品发生外溢储厂区，可能进入地表水对水环境造成污染。</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（3）危险废物泄漏事故</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企业生产过程中有危险废物产生，若未严格按照《危险废物贮存污染控制标准》分类收集暂存，将会发生危险废物污染事故，从而污染附近地表水及地下水水质或土壤。</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（4）热裂解气泄漏事故</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项目热裂解气一旦发生泄漏事故，对环境空气造成污染影响。</w:t>
      </w:r>
    </w:p>
    <w:p>
      <w:pPr>
        <w:spacing w:line="360" w:lineRule="auto"/>
        <w:rPr>
          <w:rFonts w:asciiTheme="minorEastAsia" w:hAnsiTheme="minorEastAsia"/>
          <w:b/>
          <w:sz w:val="24"/>
          <w:szCs w:val="24"/>
        </w:rPr>
      </w:pPr>
      <w:r>
        <w:rPr>
          <w:rFonts w:hint="eastAsia" w:asciiTheme="minorEastAsia" w:hAnsiTheme="minorEastAsia"/>
          <w:b/>
          <w:sz w:val="24"/>
          <w:szCs w:val="24"/>
        </w:rPr>
        <w:t>6.5.2  环境风险事故可控性分析</w:t>
      </w:r>
    </w:p>
    <w:p>
      <w:pPr>
        <w:spacing w:line="360" w:lineRule="auto"/>
        <w:rPr>
          <w:rFonts w:cs="Times New Roman" w:asciiTheme="minorEastAsia" w:hAnsiTheme="minorEastAsia"/>
          <w:sz w:val="24"/>
          <w:szCs w:val="24"/>
        </w:rPr>
      </w:pPr>
      <w:r>
        <w:rPr>
          <w:rFonts w:hint="eastAsia" w:asciiTheme="minorEastAsia" w:hAnsiTheme="minorEastAsia"/>
          <w:sz w:val="24"/>
          <w:szCs w:val="24"/>
        </w:rPr>
        <w:t>6.5.2.1</w:t>
      </w:r>
      <w:r>
        <w:rPr>
          <w:rFonts w:hint="eastAsia" w:cs="Times New Roman" w:asciiTheme="minorEastAsia" w:hAnsiTheme="minorEastAsia"/>
          <w:sz w:val="24"/>
          <w:szCs w:val="24"/>
        </w:rPr>
        <w:t>废水泄漏事故分析</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工程各类生产废水、废液均采取防渗、防腐容器及管道进行储存和输送，且不超量储存、使用，正常情况下不会出现泄漏或跑冒滴漏现象；废水经收集通过相应的处理设施处理达标后，回用于生产工序，不外排地表水环境；因此，正常工况下项目生产废水对地表水、地下水环境影响较小。</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但是，一旦生产废水处理池、管道等发生破裂事故，或发生较大火灾产生大量消防废水，若事故废水未能及时收集，可能进入雨水管道，从而流入附近河流，将对附近地表水质产生污染影响。因此，企业应及时修建事故应急池，一旦发生事故，应及时将事故废水收集进入事故应急池内，及时进行处理。</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参照《化工建设项目环境保护设计规范》（</w:t>
      </w:r>
      <w:r>
        <w:rPr>
          <w:rFonts w:cs="Times New Roman" w:asciiTheme="minorEastAsia" w:hAnsiTheme="minorEastAsia"/>
          <w:sz w:val="24"/>
          <w:szCs w:val="24"/>
        </w:rPr>
        <w:t>GB50483-2009</w:t>
      </w:r>
      <w:r>
        <w:rPr>
          <w:rFonts w:hint="eastAsia" w:cs="Times New Roman" w:asciiTheme="minorEastAsia" w:hAnsiTheme="minorEastAsia"/>
          <w:sz w:val="24"/>
          <w:szCs w:val="24"/>
        </w:rPr>
        <w:t>）进行应急池规模计算，该规范中“</w:t>
      </w:r>
      <w:r>
        <w:rPr>
          <w:rFonts w:cs="Times New Roman" w:asciiTheme="minorEastAsia" w:hAnsiTheme="minorEastAsia"/>
          <w:sz w:val="24"/>
          <w:szCs w:val="24"/>
        </w:rPr>
        <w:t xml:space="preserve">6.6 </w:t>
      </w:r>
      <w:r>
        <w:rPr>
          <w:rFonts w:hint="eastAsia" w:cs="Times New Roman" w:asciiTheme="minorEastAsia" w:hAnsiTheme="minorEastAsia"/>
          <w:sz w:val="24"/>
          <w:szCs w:val="24"/>
        </w:rPr>
        <w:t>事故应急措施”的规定及条文说明部分的解释如下：</w:t>
      </w:r>
    </w:p>
    <w:p>
      <w:pPr>
        <w:autoSpaceDE w:val="0"/>
        <w:autoSpaceDN w:val="0"/>
        <w:adjustRightInd w:val="0"/>
        <w:spacing w:line="360" w:lineRule="auto"/>
        <w:ind w:firstLine="480" w:firstLineChars="200"/>
        <w:rPr>
          <w:rFonts w:cs="Times New Roman" w:asciiTheme="minorEastAsia" w:hAnsiTheme="minorEastAsia"/>
          <w:sz w:val="24"/>
          <w:szCs w:val="20"/>
        </w:rPr>
      </w:pPr>
      <w:r>
        <w:rPr>
          <w:rFonts w:hint="eastAsia" w:cs="Times New Roman" w:asciiTheme="minorEastAsia" w:hAnsiTheme="minorEastAsia"/>
          <w:sz w:val="24"/>
          <w:szCs w:val="20"/>
        </w:rPr>
        <w:t>应急事故废水池容量</w:t>
      </w:r>
      <w:r>
        <w:rPr>
          <w:rFonts w:cs="Times New Roman" w:asciiTheme="minorEastAsia" w:hAnsiTheme="minorEastAsia"/>
          <w:sz w:val="24"/>
          <w:szCs w:val="20"/>
        </w:rPr>
        <w:t>=</w:t>
      </w:r>
      <w:r>
        <w:rPr>
          <w:rFonts w:hint="eastAsia" w:cs="Times New Roman" w:asciiTheme="minorEastAsia" w:hAnsiTheme="minorEastAsia"/>
          <w:sz w:val="24"/>
          <w:szCs w:val="20"/>
        </w:rPr>
        <w:t>应急事故废水最大计算量—装置或罐区内净空容量—事故废水管道容量</w:t>
      </w:r>
    </w:p>
    <w:p>
      <w:pPr>
        <w:autoSpaceDE w:val="0"/>
        <w:autoSpaceDN w:val="0"/>
        <w:adjustRightInd w:val="0"/>
        <w:spacing w:line="360" w:lineRule="auto"/>
        <w:ind w:firstLine="480" w:firstLineChars="200"/>
        <w:rPr>
          <w:rFonts w:cs="Times New Roman" w:asciiTheme="minorEastAsia" w:hAnsiTheme="minorEastAsia"/>
          <w:sz w:val="24"/>
          <w:szCs w:val="20"/>
        </w:rPr>
      </w:pPr>
      <w:r>
        <w:rPr>
          <w:rFonts w:hint="eastAsia" w:cs="Times New Roman" w:asciiTheme="minorEastAsia" w:hAnsiTheme="minorEastAsia"/>
          <w:sz w:val="24"/>
          <w:szCs w:val="20"/>
        </w:rPr>
        <w:t>应急事故池容量应根据发生事故的设备容量、事故消防用水量及可能进入应急事故的降水量等因素综合确定。应急事故池事故废水的最大量的计算为：</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本项目应设置应急事故废水水池，主要用于收集事故状态下的生产废水、消防废水等，防治事故废水进入雨水系统污染地下水。应急事故废水池容量按下式计算：</w:t>
      </w:r>
    </w:p>
    <w:p>
      <w:pPr>
        <w:spacing w:line="360" w:lineRule="auto"/>
        <w:ind w:firstLine="600" w:firstLineChars="250"/>
        <w:rPr>
          <w:rFonts w:cs="Times New Roman" w:asciiTheme="minorEastAsia" w:hAnsiTheme="minorEastAsia"/>
          <w:sz w:val="24"/>
          <w:szCs w:val="24"/>
        </w:rPr>
      </w:pPr>
      <w:r>
        <w:rPr>
          <w:rFonts w:hint="eastAsia" w:cs="Times New Roman" w:asciiTheme="minorEastAsia" w:hAnsiTheme="minorEastAsia"/>
          <w:sz w:val="24"/>
          <w:szCs w:val="24"/>
        </w:rPr>
        <w:t>V总=（V1+V2-V3）max+V4+V5</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（V1+V2-V3）max为计算各装置最大量；单位m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V1：最大一个容量的设备或贮罐物料量；</w:t>
      </w:r>
      <w:r>
        <w:rPr>
          <w:rFonts w:cs="Times New Roman" w:asciiTheme="minorEastAsia" w:hAnsiTheme="minorEastAsia"/>
          <w:sz w:val="24"/>
          <w:szCs w:val="24"/>
        </w:rPr>
        <w:t>V1</w:t>
      </w:r>
      <w:r>
        <w:rPr>
          <w:rFonts w:hint="eastAsia" w:cs="Times New Roman" w:asciiTheme="minorEastAsia" w:hAnsiTheme="minorEastAsia"/>
          <w:sz w:val="24"/>
          <w:szCs w:val="24"/>
        </w:rPr>
        <w:t>以最大裂解油储罐计算，项目储罐最大容积为100</w:t>
      </w:r>
      <w:r>
        <w:rPr>
          <w:rFonts w:cs="Times New Roman" w:asciiTheme="minorEastAsia" w:hAnsiTheme="minorEastAsia"/>
          <w:sz w:val="24"/>
          <w:szCs w:val="24"/>
        </w:rPr>
        <w:t>m</w:t>
      </w:r>
      <w:r>
        <w:rPr>
          <w:rFonts w:cs="Times New Roman" w:asciiTheme="minorEastAsia" w:hAnsiTheme="minorEastAsia"/>
          <w:sz w:val="24"/>
          <w:szCs w:val="24"/>
          <w:vertAlign w:val="superscript"/>
        </w:rPr>
        <w:t>3</w:t>
      </w:r>
      <w:r>
        <w:rPr>
          <w:rFonts w:hint="eastAsia" w:cs="Times New Roman" w:asciiTheme="minorEastAsia" w:hAnsiTheme="minorEastAsia"/>
          <w:sz w:val="24"/>
          <w:szCs w:val="24"/>
        </w:rPr>
        <w:t>；</w:t>
      </w:r>
    </w:p>
    <w:p>
      <w:pPr>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V2</w:t>
      </w:r>
      <w:r>
        <w:rPr>
          <w:rFonts w:hint="eastAsia" w:cs="Times New Roman" w:asciiTheme="minorEastAsia" w:hAnsiTheme="minorEastAsia"/>
          <w:sz w:val="24"/>
          <w:szCs w:val="24"/>
        </w:rPr>
        <w:t>：消防水量，在装置区域或贮罐区一旦发生火灾爆炸时的消防用水量，包括扑灭火灾所需用水量和保护邻近设备或贮罐（最少</w:t>
      </w:r>
      <w:r>
        <w:rPr>
          <w:rFonts w:cs="Times New Roman" w:asciiTheme="minorEastAsia" w:hAnsiTheme="minorEastAsia"/>
          <w:sz w:val="24"/>
          <w:szCs w:val="24"/>
        </w:rPr>
        <w:t>3</w:t>
      </w:r>
      <w:r>
        <w:rPr>
          <w:rFonts w:hint="eastAsia" w:cs="Times New Roman" w:asciiTheme="minorEastAsia" w:hAnsiTheme="minorEastAsia"/>
          <w:sz w:val="24"/>
          <w:szCs w:val="24"/>
        </w:rPr>
        <w:t>个）的喷淋水量；本项目发生火灾的消防用水量按照50</w:t>
      </w:r>
      <w:r>
        <w:rPr>
          <w:rFonts w:cs="Times New Roman" w:asciiTheme="minorEastAsia" w:hAnsiTheme="minorEastAsia"/>
          <w:sz w:val="24"/>
          <w:szCs w:val="24"/>
        </w:rPr>
        <w:t>L/S</w:t>
      </w:r>
      <w:r>
        <w:rPr>
          <w:rFonts w:hint="eastAsia" w:cs="Times New Roman" w:asciiTheme="minorEastAsia" w:hAnsiTheme="minorEastAsia"/>
          <w:sz w:val="24"/>
          <w:szCs w:val="24"/>
        </w:rPr>
        <w:t>流量计算，消防时间为1.0</w:t>
      </w:r>
      <w:r>
        <w:rPr>
          <w:rFonts w:cs="Times New Roman" w:asciiTheme="minorEastAsia" w:hAnsiTheme="minorEastAsia"/>
          <w:sz w:val="24"/>
          <w:szCs w:val="24"/>
        </w:rPr>
        <w:t>h</w:t>
      </w:r>
      <w:r>
        <w:rPr>
          <w:rFonts w:hint="eastAsia" w:cs="Times New Roman" w:asciiTheme="minorEastAsia" w:hAnsiTheme="minorEastAsia"/>
          <w:sz w:val="24"/>
          <w:szCs w:val="24"/>
        </w:rPr>
        <w:t>，消防水量为180</w:t>
      </w:r>
      <w:r>
        <w:rPr>
          <w:rFonts w:cs="Times New Roman" w:asciiTheme="minorEastAsia" w:hAnsiTheme="minorEastAsia"/>
          <w:sz w:val="24"/>
          <w:szCs w:val="24"/>
        </w:rPr>
        <w:t>m</w:t>
      </w:r>
      <w:r>
        <w:rPr>
          <w:rFonts w:cs="Times New Roman" w:asciiTheme="minorEastAsia" w:hAnsiTheme="minorEastAsia"/>
          <w:sz w:val="24"/>
          <w:szCs w:val="24"/>
          <w:vertAlign w:val="superscript"/>
        </w:rPr>
        <w:t>3</w:t>
      </w:r>
      <w:r>
        <w:rPr>
          <w:rFonts w:hint="eastAsia" w:cs="Times New Roman" w:asciiTheme="minorEastAsia" w:hAnsiTheme="minorEastAsia"/>
          <w:sz w:val="24"/>
          <w:szCs w:val="24"/>
        </w:rPr>
        <w:t>。</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V3：发生事故时物料转移至其他容器及单元量（项目裂解油储罐区设计围堰总容积＞150m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V4：发生事故时必须进入该系统的生产废水量,180m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w:t>
      </w:r>
    </w:p>
    <w:p>
      <w:pPr>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V</w:t>
      </w:r>
      <w:r>
        <w:rPr>
          <w:rFonts w:hint="eastAsia" w:cs="Times New Roman" w:asciiTheme="minorEastAsia" w:hAnsiTheme="minorEastAsia"/>
          <w:sz w:val="24"/>
          <w:szCs w:val="24"/>
        </w:rPr>
        <w:t>5：发生事故时可能进入该系统的最大降雨量，项目裂解油储罐区及周边汇水面积约为1000m</w:t>
      </w:r>
      <w:r>
        <w:rPr>
          <w:rFonts w:hint="eastAsia" w:cs="Times New Roman" w:asciiTheme="minorEastAsia" w:hAnsiTheme="minorEastAsia"/>
          <w:sz w:val="24"/>
          <w:szCs w:val="24"/>
          <w:vertAlign w:val="superscript"/>
        </w:rPr>
        <w:t>2</w:t>
      </w:r>
      <w:r>
        <w:rPr>
          <w:rFonts w:hint="eastAsia" w:cs="Times New Roman" w:asciiTheme="minorEastAsia" w:hAnsiTheme="minorEastAsia"/>
          <w:sz w:val="24"/>
          <w:szCs w:val="24"/>
        </w:rPr>
        <w:t>，降水量</w:t>
      </w:r>
      <w:r>
        <w:rPr>
          <w:rFonts w:cs="Times New Roman" w:asciiTheme="minorEastAsia" w:hAnsiTheme="minorEastAsia"/>
          <w:sz w:val="24"/>
          <w:szCs w:val="24"/>
        </w:rPr>
        <w:t>V</w:t>
      </w:r>
      <w:r>
        <w:rPr>
          <w:rFonts w:hint="eastAsia" w:cs="Times New Roman" w:asciiTheme="minorEastAsia" w:hAnsiTheme="minorEastAsia"/>
          <w:sz w:val="24"/>
          <w:szCs w:val="24"/>
        </w:rPr>
        <w:t>5</w:t>
      </w:r>
      <w:r>
        <w:rPr>
          <w:rFonts w:cs="Times New Roman" w:asciiTheme="minorEastAsia" w:hAnsiTheme="minorEastAsia"/>
          <w:sz w:val="24"/>
          <w:szCs w:val="24"/>
        </w:rPr>
        <w:t>=</w:t>
      </w:r>
      <w:r>
        <w:rPr>
          <w:rFonts w:hint="eastAsia" w:cs="Times New Roman" w:asciiTheme="minorEastAsia" w:hAnsiTheme="minorEastAsia"/>
          <w:sz w:val="24"/>
          <w:szCs w:val="24"/>
        </w:rPr>
        <w:t>135m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经计算，项目设置的事故池最小容积应为265</w:t>
      </w:r>
      <w:r>
        <w:rPr>
          <w:rFonts w:cs="Times New Roman" w:asciiTheme="minorEastAsia" w:hAnsiTheme="minorEastAsia"/>
          <w:sz w:val="24"/>
          <w:szCs w:val="24"/>
        </w:rPr>
        <w:t>m</w:t>
      </w:r>
      <w:r>
        <w:rPr>
          <w:rFonts w:cs="Times New Roman" w:asciiTheme="minorEastAsia" w:hAnsiTheme="minorEastAsia"/>
          <w:sz w:val="24"/>
          <w:szCs w:val="24"/>
          <w:vertAlign w:val="superscript"/>
        </w:rPr>
        <w:t>3</w:t>
      </w:r>
      <w:r>
        <w:rPr>
          <w:rFonts w:hint="eastAsia" w:cs="Times New Roman" w:asciiTheme="minorEastAsia" w:hAnsiTheme="minorEastAsia"/>
          <w:sz w:val="24"/>
          <w:szCs w:val="24"/>
        </w:rPr>
        <w:t>。</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另外，根据石油化工行业安全验收标准的要求，事故应急池容积应能容纳</w:t>
      </w:r>
      <w:r>
        <w:rPr>
          <w:rFonts w:cs="Times New Roman" w:asciiTheme="minorEastAsia" w:hAnsiTheme="minorEastAsia"/>
          <w:sz w:val="24"/>
          <w:szCs w:val="24"/>
        </w:rPr>
        <w:t>12h</w:t>
      </w:r>
      <w:r>
        <w:rPr>
          <w:rFonts w:hint="eastAsia" w:cs="Times New Roman" w:asciiTheme="minorEastAsia" w:hAnsiTheme="minorEastAsia"/>
          <w:sz w:val="24"/>
          <w:szCs w:val="24"/>
        </w:rPr>
        <w:t>-</w:t>
      </w:r>
      <w:r>
        <w:rPr>
          <w:rFonts w:cs="Times New Roman" w:asciiTheme="minorEastAsia" w:hAnsiTheme="minorEastAsia"/>
          <w:sz w:val="24"/>
          <w:szCs w:val="24"/>
        </w:rPr>
        <w:t>24h</w:t>
      </w:r>
      <w:r>
        <w:rPr>
          <w:rFonts w:hint="eastAsia" w:cs="Times New Roman" w:asciiTheme="minorEastAsia" w:hAnsiTheme="minorEastAsia"/>
          <w:sz w:val="24"/>
          <w:szCs w:val="24"/>
        </w:rPr>
        <w:t>的废水量，</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本项目生产废水总产生量为27.3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，因此，本评价建议项目设置500</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m</w:t>
      </w:r>
      <w:r>
        <w:rPr>
          <w:rFonts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规模的事故应急水池，设置储罐区与污水站之间。</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经采取以上风险防范措施，项目废水泄漏事故可得到有效控制，事故废水可及时收集处理，对周边地表水、地下水及土壤环境不会造成较大污染影响。</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5.6.2.2 危险废物事故排放分析</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正常情况下，项目各类危废均可有效妥善处置，对外环境影响不大。危废风险事故主要是随意排放、抛撒、处置危险固废。本项目危险固废品种较多，应引起厂方重视，厂内应有专门收集容器，各种危险废物分类收集、储存，厂内设置专门的危险废物暂存库。危险固废经收集后可得到规范暂存，并按照规定程序及时委托有资质单位安全处置；因此，项目危险废物事故排放发生的概率很小，不会对环境造成较大污染影响。</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6.5.2.3 裂解油泄漏事故分析</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由于本项目裂解油具有易燃、易爆等危险特性，一旦发生泄漏、外溢等事故，将对环境空气、水环境、土壤环境、人群健康造成危害。评价要求企业加强裂解油的收集、储存、转运管理，由专人负责，非岗位操作人员不得随意转移、输送裂解油。加强罐区防渗、防腐措施及防火管理，达到环保、消防、安全等有关部门的要求。做好裂解油的入库和出库登记记录，明确去向。加强对职工的安全教育，制定严格的工作守则和个人卫生措施，所有操作人员必须了解各类油品的危险特性、有害作用及对患者的急救措施，以保证生产的正常运行和员工的身体健康。经采取以上措施，项目能够有效预防裂解油泄漏事故的发生。</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6.5.2.4热裂解气泄漏事故</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 xml:space="preserve">    项目热裂解炉及相关设备、管道等存在、输送热裂解气，一旦发生裂解气泄漏事故，将对环境空气造成污染影响，同时，存在发生火灾的风险隐患。评价要求企业营运期必须加强热裂解炉及其他生产设备的运行管理，按照操作规范及安全生产要求开展生产活动，及时检查、检修设备，确保各类设备保持完好及良好运行状态；严禁设备带病作业。</w:t>
      </w:r>
    </w:p>
    <w:p>
      <w:pPr>
        <w:spacing w:line="360" w:lineRule="auto"/>
        <w:rPr>
          <w:rFonts w:cs="Times New Roman" w:asciiTheme="minorEastAsia" w:hAnsiTheme="minorEastAsia"/>
          <w:b/>
          <w:sz w:val="24"/>
          <w:szCs w:val="24"/>
        </w:rPr>
      </w:pPr>
      <w:r>
        <w:rPr>
          <w:rFonts w:hint="eastAsia" w:cs="Times New Roman" w:asciiTheme="minorEastAsia" w:hAnsiTheme="minorEastAsia"/>
          <w:b/>
          <w:sz w:val="24"/>
          <w:szCs w:val="24"/>
        </w:rPr>
        <w:t>6.5.3环境风险事故</w:t>
      </w:r>
      <w:r>
        <w:rPr>
          <w:rFonts w:hint="eastAsia" w:asciiTheme="minorEastAsia" w:hAnsiTheme="minorEastAsia"/>
          <w:b/>
          <w:sz w:val="24"/>
          <w:szCs w:val="24"/>
        </w:rPr>
        <w:t>危害后果</w:t>
      </w:r>
      <w:r>
        <w:rPr>
          <w:rFonts w:hint="eastAsia" w:cs="Times New Roman" w:asciiTheme="minorEastAsia" w:hAnsiTheme="minorEastAsia"/>
          <w:b/>
          <w:sz w:val="24"/>
          <w:szCs w:val="24"/>
        </w:rPr>
        <w:t>分析</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6.5.3.1环境空气</w:t>
      </w:r>
    </w:p>
    <w:p>
      <w:pPr>
        <w:adjustRightInd w:val="0"/>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项目热裂解气或裂解油一旦发生泄漏，挥发的有害气体对环境空气将造成污染影响。同时，该类物料具有可燃性质，</w:t>
      </w:r>
      <w:r>
        <w:rPr>
          <w:rFonts w:ascii="宋体" w:hAnsi="宋体" w:eastAsia="宋体" w:cs="Times New Roman"/>
          <w:color w:val="0D0D0D"/>
          <w:sz w:val="24"/>
          <w:szCs w:val="24"/>
        </w:rPr>
        <w:t>一旦发生</w:t>
      </w:r>
      <w:r>
        <w:rPr>
          <w:rFonts w:hint="eastAsia" w:ascii="宋体" w:hAnsi="宋体" w:eastAsia="宋体" w:cs="Times New Roman"/>
          <w:color w:val="0D0D0D"/>
          <w:sz w:val="24"/>
          <w:szCs w:val="24"/>
        </w:rPr>
        <w:t>泄漏后</w:t>
      </w:r>
      <w:r>
        <w:rPr>
          <w:rFonts w:ascii="宋体" w:hAnsi="宋体" w:eastAsia="宋体" w:cs="Times New Roman"/>
          <w:color w:val="0D0D0D"/>
          <w:sz w:val="24"/>
          <w:szCs w:val="24"/>
        </w:rPr>
        <w:t>若遇到明火等</w:t>
      </w:r>
      <w:r>
        <w:rPr>
          <w:rFonts w:hint="eastAsia" w:ascii="宋体" w:hAnsi="宋体" w:eastAsia="宋体" w:cs="Times New Roman"/>
          <w:color w:val="0D0D0D"/>
          <w:sz w:val="24"/>
          <w:szCs w:val="24"/>
        </w:rPr>
        <w:t>，</w:t>
      </w:r>
      <w:r>
        <w:rPr>
          <w:rFonts w:ascii="宋体" w:hAnsi="宋体" w:eastAsia="宋体" w:cs="Times New Roman"/>
          <w:color w:val="0D0D0D"/>
          <w:sz w:val="24"/>
          <w:szCs w:val="24"/>
        </w:rPr>
        <w:t>可能引起火灾，在</w:t>
      </w:r>
      <w:r>
        <w:rPr>
          <w:rFonts w:hint="eastAsia" w:ascii="宋体" w:hAnsi="宋体" w:eastAsia="宋体" w:cs="Times New Roman"/>
          <w:color w:val="0D0D0D"/>
          <w:sz w:val="24"/>
          <w:szCs w:val="24"/>
        </w:rPr>
        <w:t>不</w:t>
      </w:r>
      <w:r>
        <w:rPr>
          <w:rFonts w:ascii="宋体" w:hAnsi="宋体" w:eastAsia="宋体" w:cs="Times New Roman"/>
          <w:color w:val="0D0D0D"/>
          <w:sz w:val="24"/>
          <w:szCs w:val="24"/>
        </w:rPr>
        <w:t>完全燃烧状态下会产生一氧化碳</w:t>
      </w:r>
      <w:r>
        <w:rPr>
          <w:rFonts w:hint="eastAsia" w:ascii="宋体" w:hAnsi="宋体" w:eastAsia="宋体" w:cs="Times New Roman"/>
          <w:color w:val="0D0D0D"/>
          <w:sz w:val="24"/>
          <w:szCs w:val="24"/>
        </w:rPr>
        <w:t>等有毒气体</w:t>
      </w:r>
      <w:r>
        <w:rPr>
          <w:rFonts w:ascii="宋体" w:hAnsi="宋体" w:eastAsia="宋体" w:cs="Times New Roman"/>
          <w:color w:val="0D0D0D"/>
          <w:sz w:val="24"/>
          <w:szCs w:val="24"/>
        </w:rPr>
        <w:t>，</w:t>
      </w:r>
      <w:r>
        <w:rPr>
          <w:rFonts w:hint="eastAsia" w:ascii="宋体" w:hAnsi="宋体" w:eastAsia="宋体" w:cs="Times New Roman"/>
          <w:color w:val="0D0D0D"/>
          <w:sz w:val="24"/>
          <w:szCs w:val="24"/>
        </w:rPr>
        <w:t>并分解、挥发其他有害气体，对周边大气</w:t>
      </w:r>
      <w:r>
        <w:rPr>
          <w:rFonts w:ascii="宋体" w:hAnsi="宋体" w:eastAsia="宋体" w:cs="Times New Roman"/>
          <w:color w:val="0D0D0D"/>
          <w:sz w:val="24"/>
          <w:szCs w:val="24"/>
        </w:rPr>
        <w:t>环境</w:t>
      </w:r>
      <w:r>
        <w:rPr>
          <w:rFonts w:hint="eastAsia" w:ascii="宋体" w:hAnsi="宋体" w:eastAsia="宋体" w:cs="Times New Roman"/>
          <w:color w:val="0D0D0D"/>
          <w:sz w:val="24"/>
          <w:szCs w:val="24"/>
        </w:rPr>
        <w:t>造成污染影响。项目运行期厂区内可燃物料储存量不构成重大风险源，储存及生产过程中采取严格的防火措施，降低发生火灾的概率。一旦发生火灾，可在短时间内实现灭火，火灾引发的二次污染物排放量不大，排放时间较短，</w:t>
      </w:r>
      <w:r>
        <w:rPr>
          <w:rFonts w:ascii="宋体" w:hAnsi="宋体" w:eastAsia="宋体" w:cs="Times New Roman"/>
          <w:color w:val="0D0D0D"/>
          <w:sz w:val="24"/>
          <w:szCs w:val="24"/>
        </w:rPr>
        <w:t>对周围大气环境</w:t>
      </w:r>
      <w:r>
        <w:rPr>
          <w:rFonts w:hint="eastAsia" w:ascii="宋体" w:hAnsi="宋体" w:eastAsia="宋体" w:cs="Times New Roman"/>
          <w:color w:val="0D0D0D"/>
          <w:sz w:val="24"/>
          <w:szCs w:val="24"/>
        </w:rPr>
        <w:t>的</w:t>
      </w:r>
      <w:r>
        <w:rPr>
          <w:rFonts w:ascii="宋体" w:hAnsi="宋体" w:eastAsia="宋体" w:cs="Times New Roman"/>
          <w:color w:val="0D0D0D"/>
          <w:sz w:val="24"/>
          <w:szCs w:val="24"/>
        </w:rPr>
        <w:t>影响</w:t>
      </w:r>
      <w:r>
        <w:rPr>
          <w:rFonts w:hint="eastAsia" w:ascii="宋体" w:hAnsi="宋体" w:eastAsia="宋体" w:cs="Times New Roman"/>
          <w:color w:val="0D0D0D"/>
          <w:sz w:val="24"/>
          <w:szCs w:val="24"/>
        </w:rPr>
        <w:t>程度可以接受。</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6.5.3.2水环境</w:t>
      </w:r>
    </w:p>
    <w:p>
      <w:pPr>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工程物料储存设施、生产设备</w:t>
      </w:r>
      <w:r>
        <w:rPr>
          <w:rFonts w:ascii="宋体" w:hAnsi="宋体" w:eastAsia="宋体" w:cs="Times New Roman"/>
          <w:color w:val="0D0D0D"/>
          <w:sz w:val="24"/>
          <w:szCs w:val="24"/>
        </w:rPr>
        <w:t>因老化或误操作</w:t>
      </w:r>
      <w:r>
        <w:rPr>
          <w:rFonts w:hint="eastAsia" w:ascii="宋体" w:hAnsi="宋体" w:eastAsia="宋体" w:cs="Times New Roman"/>
          <w:color w:val="0D0D0D"/>
          <w:sz w:val="24"/>
          <w:szCs w:val="24"/>
        </w:rPr>
        <w:t>，</w:t>
      </w:r>
      <w:r>
        <w:rPr>
          <w:rFonts w:ascii="宋体" w:hAnsi="宋体" w:eastAsia="宋体" w:cs="Times New Roman"/>
          <w:color w:val="0D0D0D"/>
          <w:sz w:val="24"/>
          <w:szCs w:val="24"/>
        </w:rPr>
        <w:t>可能导致</w:t>
      </w:r>
      <w:r>
        <w:rPr>
          <w:rFonts w:hint="eastAsia" w:ascii="宋体" w:hAnsi="宋体" w:eastAsia="宋体" w:cs="Times New Roman"/>
          <w:color w:val="0D0D0D"/>
          <w:sz w:val="24"/>
          <w:szCs w:val="24"/>
        </w:rPr>
        <w:t>油品、废水或危废等</w:t>
      </w:r>
      <w:r>
        <w:rPr>
          <w:rFonts w:ascii="宋体" w:hAnsi="宋体" w:eastAsia="宋体" w:cs="Times New Roman"/>
          <w:color w:val="0D0D0D"/>
          <w:sz w:val="24"/>
          <w:szCs w:val="24"/>
        </w:rPr>
        <w:t>泄漏</w:t>
      </w:r>
      <w:r>
        <w:rPr>
          <w:rFonts w:hint="eastAsia" w:ascii="宋体" w:hAnsi="宋体" w:eastAsia="宋体" w:cs="Times New Roman"/>
          <w:color w:val="0D0D0D"/>
          <w:sz w:val="24"/>
          <w:szCs w:val="24"/>
        </w:rPr>
        <w:t>，如果收集或处置不当，可能进入地表水体或下渗进入地下水，造成污染影响。一旦引发</w:t>
      </w:r>
      <w:r>
        <w:rPr>
          <w:rFonts w:ascii="宋体" w:hAnsi="宋体" w:eastAsia="宋体" w:cs="Times New Roman"/>
          <w:color w:val="0D0D0D"/>
          <w:sz w:val="24"/>
          <w:szCs w:val="24"/>
        </w:rPr>
        <w:t>火灾，</w:t>
      </w:r>
      <w:r>
        <w:rPr>
          <w:rFonts w:hint="eastAsia" w:ascii="宋体" w:hAnsi="宋体" w:eastAsia="宋体" w:cs="Times New Roman"/>
          <w:color w:val="0D0D0D"/>
          <w:sz w:val="24"/>
          <w:szCs w:val="24"/>
        </w:rPr>
        <w:t>灭火过程中</w:t>
      </w:r>
      <w:r>
        <w:rPr>
          <w:rFonts w:ascii="宋体" w:hAnsi="宋体" w:eastAsia="宋体" w:cs="Times New Roman"/>
          <w:color w:val="0D0D0D"/>
          <w:sz w:val="24"/>
          <w:szCs w:val="24"/>
        </w:rPr>
        <w:t>产生</w:t>
      </w:r>
      <w:r>
        <w:rPr>
          <w:rFonts w:hint="eastAsia" w:ascii="宋体" w:hAnsi="宋体" w:eastAsia="宋体" w:cs="Times New Roman"/>
          <w:color w:val="0D0D0D"/>
          <w:sz w:val="24"/>
          <w:szCs w:val="24"/>
        </w:rPr>
        <w:t>的</w:t>
      </w:r>
      <w:r>
        <w:rPr>
          <w:rFonts w:ascii="宋体" w:hAnsi="宋体" w:eastAsia="宋体" w:cs="Times New Roman"/>
          <w:color w:val="0D0D0D"/>
          <w:sz w:val="24"/>
          <w:szCs w:val="24"/>
        </w:rPr>
        <w:t>消防废水</w:t>
      </w:r>
      <w:r>
        <w:rPr>
          <w:rFonts w:hint="eastAsia" w:ascii="宋体" w:hAnsi="宋体" w:eastAsia="宋体" w:cs="Times New Roman"/>
          <w:color w:val="0D0D0D"/>
          <w:sz w:val="24"/>
          <w:szCs w:val="24"/>
        </w:rPr>
        <w:t>可能进入地表水体，对水环境造成污染影响。项目储罐区、危废库、钢车间、废水处理区等采取严格的防渗、防泄漏措施，并配备泄漏收集设施，一旦发生泄漏事故，可对泄漏物料及时、有效收集；同时，项目区事故废水截留收集装置、事故水池、消防废水收集池等风险防范应急设施建设比较完整。因此，正常情况下，项目泄漏物料及消防废水不会进入地表水或下渗进入地下水。</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6.5.2.3土壤环境</w:t>
      </w:r>
    </w:p>
    <w:p>
      <w:pPr>
        <w:adjustRightInd w:val="0"/>
        <w:snapToGrid w:val="0"/>
        <w:spacing w:line="500" w:lineRule="exact"/>
        <w:ind w:firstLine="480" w:firstLineChars="200"/>
        <w:rPr>
          <w:rFonts w:ascii="宋体" w:hAnsi="宋体" w:eastAsia="宋体" w:cs="Times New Roman"/>
          <w:color w:val="0D0D0D"/>
          <w:sz w:val="24"/>
          <w:szCs w:val="24"/>
        </w:rPr>
      </w:pPr>
      <w:r>
        <w:rPr>
          <w:rFonts w:ascii="宋体" w:hAnsi="宋体" w:eastAsia="宋体" w:cs="Times New Roman"/>
          <w:color w:val="0D0D0D"/>
          <w:sz w:val="24"/>
          <w:szCs w:val="24"/>
        </w:rPr>
        <w:t>项目</w:t>
      </w:r>
      <w:r>
        <w:rPr>
          <w:rFonts w:hint="eastAsia" w:ascii="宋体" w:hAnsi="宋体" w:eastAsia="宋体" w:cs="Times New Roman"/>
          <w:color w:val="0D0D0D"/>
          <w:sz w:val="24"/>
          <w:szCs w:val="24"/>
        </w:rPr>
        <w:t>危险物料在运输、转移、储存过程中一旦发生泄漏，可能进入周围土壤环境，对土壤造成污染影响。项目物料转移、储存均在采取防渗、防泄漏措施的储罐、厂房及库房内进行，泄漏后能够及时收集，一般不会进入土壤环境。各类危险物料运输严格执行国家有关规定，可以有效控制运输风险。</w:t>
      </w:r>
    </w:p>
    <w:p>
      <w:pPr>
        <w:adjustRightInd w:val="0"/>
        <w:snapToGrid w:val="0"/>
        <w:spacing w:line="500" w:lineRule="exact"/>
        <w:rPr>
          <w:rFonts w:ascii="宋体" w:hAnsi="宋体" w:eastAsia="宋体" w:cs="Times New Roman"/>
          <w:color w:val="0D0D0D"/>
          <w:sz w:val="24"/>
          <w:szCs w:val="24"/>
        </w:rPr>
      </w:pPr>
      <w:r>
        <w:rPr>
          <w:rFonts w:hint="eastAsia" w:ascii="宋体" w:hAnsi="宋体" w:eastAsia="宋体" w:cs="Times New Roman"/>
          <w:color w:val="0D0D0D"/>
          <w:sz w:val="24"/>
          <w:szCs w:val="24"/>
        </w:rPr>
        <w:t>6.5.2.4 对周边敏感点的影响</w:t>
      </w:r>
    </w:p>
    <w:p>
      <w:pPr>
        <w:adjustRightInd w:val="0"/>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项目</w:t>
      </w:r>
      <w:r>
        <w:rPr>
          <w:rFonts w:ascii="宋体" w:hAnsi="宋体" w:eastAsia="宋体" w:cs="Times New Roman"/>
          <w:color w:val="0D0D0D"/>
          <w:sz w:val="24"/>
          <w:szCs w:val="24"/>
        </w:rPr>
        <w:t>区与周边居民区的距离均较远，发生</w:t>
      </w:r>
      <w:r>
        <w:rPr>
          <w:rFonts w:hint="eastAsia" w:ascii="宋体" w:hAnsi="宋体" w:eastAsia="宋体" w:cs="Times New Roman"/>
          <w:color w:val="0D0D0D"/>
          <w:sz w:val="24"/>
          <w:szCs w:val="24"/>
        </w:rPr>
        <w:t>危险物质泄漏或火灾</w:t>
      </w:r>
      <w:r>
        <w:rPr>
          <w:rFonts w:ascii="宋体" w:hAnsi="宋体" w:eastAsia="宋体" w:cs="Times New Roman"/>
          <w:color w:val="0D0D0D"/>
          <w:sz w:val="24"/>
          <w:szCs w:val="24"/>
        </w:rPr>
        <w:t>事故</w:t>
      </w:r>
      <w:r>
        <w:rPr>
          <w:rFonts w:hint="eastAsia" w:ascii="宋体" w:hAnsi="宋体" w:eastAsia="宋体" w:cs="Times New Roman"/>
          <w:color w:val="0D0D0D"/>
          <w:sz w:val="24"/>
          <w:szCs w:val="24"/>
        </w:rPr>
        <w:t>的危害</w:t>
      </w:r>
      <w:r>
        <w:rPr>
          <w:rFonts w:ascii="宋体" w:hAnsi="宋体" w:eastAsia="宋体" w:cs="Times New Roman"/>
          <w:color w:val="0D0D0D"/>
          <w:sz w:val="24"/>
          <w:szCs w:val="24"/>
        </w:rPr>
        <w:t>影响范围主要在项目厂区内</w:t>
      </w:r>
      <w:r>
        <w:rPr>
          <w:rFonts w:hint="eastAsia" w:ascii="宋体" w:hAnsi="宋体" w:eastAsia="宋体" w:cs="Times New Roman"/>
          <w:color w:val="0D0D0D"/>
          <w:sz w:val="24"/>
          <w:szCs w:val="24"/>
        </w:rPr>
        <w:t>，且能够及时控制、有效处置，</w:t>
      </w:r>
      <w:r>
        <w:rPr>
          <w:rFonts w:ascii="宋体" w:hAnsi="宋体" w:eastAsia="宋体" w:cs="Times New Roman"/>
          <w:color w:val="0D0D0D"/>
          <w:sz w:val="24"/>
          <w:szCs w:val="24"/>
        </w:rPr>
        <w:t>对周边环境</w:t>
      </w:r>
      <w:r>
        <w:rPr>
          <w:rFonts w:hint="eastAsia" w:ascii="宋体" w:hAnsi="宋体" w:eastAsia="宋体" w:cs="Times New Roman"/>
          <w:color w:val="0D0D0D"/>
          <w:sz w:val="24"/>
          <w:szCs w:val="24"/>
        </w:rPr>
        <w:t>敏感点</w:t>
      </w:r>
      <w:r>
        <w:rPr>
          <w:rFonts w:ascii="宋体" w:hAnsi="宋体" w:eastAsia="宋体" w:cs="Times New Roman"/>
          <w:color w:val="0D0D0D"/>
          <w:sz w:val="24"/>
          <w:szCs w:val="24"/>
        </w:rPr>
        <w:t>的影响</w:t>
      </w:r>
      <w:r>
        <w:rPr>
          <w:rFonts w:hint="eastAsia" w:ascii="宋体" w:hAnsi="宋体" w:eastAsia="宋体" w:cs="Times New Roman"/>
          <w:color w:val="0D0D0D"/>
          <w:sz w:val="24"/>
          <w:szCs w:val="24"/>
        </w:rPr>
        <w:t>不大</w:t>
      </w:r>
      <w:r>
        <w:rPr>
          <w:rFonts w:ascii="宋体" w:hAnsi="宋体" w:eastAsia="宋体" w:cs="Times New Roman"/>
          <w:color w:val="0D0D0D"/>
          <w:sz w:val="24"/>
          <w:szCs w:val="24"/>
        </w:rPr>
        <w:t>。</w:t>
      </w:r>
    </w:p>
    <w:p>
      <w:pPr>
        <w:adjustRightInd w:val="0"/>
        <w:snapToGrid w:val="0"/>
        <w:spacing w:line="500" w:lineRule="exact"/>
        <w:rPr>
          <w:rFonts w:ascii="宋体" w:hAnsi="宋体" w:eastAsia="宋体" w:cs="Times New Roman"/>
          <w:b/>
          <w:color w:val="0D0D0D"/>
          <w:sz w:val="28"/>
          <w:szCs w:val="28"/>
        </w:rPr>
      </w:pPr>
      <w:r>
        <w:rPr>
          <w:rFonts w:hint="eastAsia" w:ascii="宋体" w:hAnsi="宋体" w:eastAsia="宋体" w:cs="Times New Roman"/>
          <w:b/>
          <w:color w:val="0D0D0D"/>
          <w:sz w:val="28"/>
          <w:szCs w:val="28"/>
        </w:rPr>
        <w:t>6.6</w:t>
      </w:r>
      <w:r>
        <w:rPr>
          <w:rFonts w:ascii="宋体" w:hAnsi="宋体" w:eastAsia="宋体" w:cs="Times New Roman"/>
          <w:b/>
          <w:color w:val="0D0D0D"/>
          <w:sz w:val="28"/>
          <w:szCs w:val="28"/>
        </w:rPr>
        <w:t>环境风险防范措施及应急要求</w:t>
      </w:r>
    </w:p>
    <w:p>
      <w:pPr>
        <w:spacing w:line="360" w:lineRule="auto"/>
        <w:rPr>
          <w:rFonts w:asciiTheme="minorEastAsia" w:hAnsiTheme="minorEastAsia"/>
          <w:b/>
          <w:sz w:val="24"/>
          <w:szCs w:val="24"/>
        </w:rPr>
      </w:pPr>
      <w:r>
        <w:rPr>
          <w:rFonts w:hint="eastAsia" w:asciiTheme="minorEastAsia" w:hAnsiTheme="minorEastAsia"/>
          <w:b/>
          <w:sz w:val="24"/>
          <w:szCs w:val="24"/>
        </w:rPr>
        <w:t>6.6.1严格执行相关法律法规</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严格执行《中华人民共和国固体废弃物污染环境防治法》《危险化学品安全管理条例》（国务院令344号）、《使用有毒物品作业场所劳动保护条例》（国务院令352号）、《危险化学品管理办法》（国家经贸委第35 号令）、《常用危险化学品储存通则》（GB15603）、《危险物品运输管理规则》、《中华人民共和国消防法》、《建筑设计防火规范》、《仓库防火安全管理规则》等有关法规。</w:t>
      </w:r>
    </w:p>
    <w:p>
      <w:pPr>
        <w:spacing w:line="360" w:lineRule="auto"/>
        <w:rPr>
          <w:rFonts w:asciiTheme="minorEastAsia" w:hAnsiTheme="minorEastAsia"/>
          <w:b/>
          <w:sz w:val="24"/>
          <w:szCs w:val="24"/>
        </w:rPr>
      </w:pPr>
      <w:r>
        <w:rPr>
          <w:rFonts w:hint="eastAsia" w:asciiTheme="minorEastAsia" w:hAnsiTheme="minorEastAsia"/>
          <w:b/>
          <w:sz w:val="24"/>
          <w:szCs w:val="24"/>
        </w:rPr>
        <w:t>6.6.2建立安全环保管理机构和管理制度</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生产和环境安全是企业立厂之本，对事故风险较大的企业来说，一定要强化风险意识、加强安全、环保管理，具体要求如下：</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（1）必须将“安全第一，预防为主”作为企业经营的基本原则；建立完善的安全生产和环境保护管理制度，加强安全生产和环境保护的宣传和教育，确保安全生产和环境保护落实到生产中每一个环节。</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设立安全环保科，负责全厂的安全生产及环环境保护工作，负责人应聘请具有多年安全及环保管理实际经验的人才担当，并设置多名专职安全员；操作工人必须进行广泛系统的培训，所有操作人员熟悉自己的岗位，树立严谨规范的操作作风，并且在任何紧急状况下都能随时对工艺装置进行控制，并及时、独立、正确地实施相关应急措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（3）建立完备的应急组织体系。建立风险应急领导小组，小组分为厂内和厂外两部分。厂内部分落实厂内应急防范措施，厂外部分负责上报当地政府、安全、消防、环保、监测站等相关部门。</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（4）按《劳动法》有关规定，为职工提供劳动安全条件和劳动防护用品。</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5）加强职工的教育培训，增强环境意识，防范事故的发生。为使环境风险减少到最低限度，必须加强劳动、安全、卫生和环境的管理，根据相关规定编制安全、职业卫生、环境等评价报告；从人、物、环境和管理四个方面寻找影响事故的原因，制定完备、有效的安全防范措施，尽可能降低本项目环境风险事故发生的概率，减少事故的损失和危害。</w:t>
      </w:r>
    </w:p>
    <w:p>
      <w:pPr>
        <w:spacing w:line="360" w:lineRule="auto"/>
        <w:rPr>
          <w:rFonts w:asciiTheme="minorEastAsia" w:hAnsiTheme="minorEastAsia"/>
          <w:b/>
          <w:sz w:val="24"/>
          <w:szCs w:val="24"/>
        </w:rPr>
      </w:pPr>
      <w:r>
        <w:rPr>
          <w:rFonts w:hint="eastAsia" w:asciiTheme="minorEastAsia" w:hAnsiTheme="minorEastAsia"/>
          <w:b/>
          <w:sz w:val="24"/>
          <w:szCs w:val="24"/>
        </w:rPr>
        <w:t>6.6.3总图布置和建筑物安全防范措施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（1）总平面布置根据项目内生产装置及安全、卫生要求合理分区，分区内部和相互之间保持一定的通道和间距；总图布置的建筑防火间距严格按《建筑设计防火规范》（GB50016-2006）设计。</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（2）项目噪声设备和公用工程布置在全年最小风频率的上风方位。变配电等部分应位于全年最小频率的下风向。</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（3）储罐区、污水处理站等布置在项目区安全地带，各单元之间应有足够的安全防护距离。</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（4）项目应有两个以上的出入口，人流和货运应明确分开，原料、产品、副产品等大宗货物运输须有单独路线，不与人流及其他货流混行和平交。</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5）项目道路应根据交通、消防和分区的要求合理布置，力求顺通，生产车间、储罐区、危废库等危险场所应为结合安全因素确定，保证消防、急救车辆畅行无阻。厂区道路的设计、车辆的行驶与装载、车辆驾驶员的管理必须符合《工业企业内铁路、道路运输安全规程》（GB4387-2008），并设立标志。</w:t>
      </w:r>
    </w:p>
    <w:p>
      <w:pPr>
        <w:spacing w:line="360" w:lineRule="auto"/>
        <w:rPr>
          <w:rFonts w:asciiTheme="minorEastAsia" w:hAnsiTheme="minorEastAsia"/>
          <w:b/>
          <w:sz w:val="24"/>
          <w:szCs w:val="24"/>
        </w:rPr>
      </w:pPr>
      <w:r>
        <w:rPr>
          <w:rFonts w:hint="eastAsia" w:asciiTheme="minorEastAsia" w:hAnsiTheme="minorEastAsia"/>
          <w:b/>
          <w:sz w:val="24"/>
          <w:szCs w:val="24"/>
        </w:rPr>
        <w:t>6.6.4危险化学品贮存安全防范措施</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热裂解油、柴油、氢氧化钠等危险化学品的存储和使用应符合《危险化学品储存管理规定》的有关规定和要求。</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（1）设立专门的储罐区和危化品仓库，根据化学品不同特性，分别采用储罐、防渗防腐袋、防渗桶等贮存。储罐区设置防泄漏围堰及防火墙，围堰容积不小于最大储罐容积的1.5倍（150m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）；罐区应配备喷淋降温设备。危化品库安装通风设备，并注意设备的防静电措施。</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（2）在装卸化学危险物品前，要预先做好准备工作，了解物品性质，检查装卸搬运的工具是否牢固，不牢固的应予以更换或修理。如工具上曾被易燃物、有机物等污染的，必须清洗后方可使用。</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操作人员应根据不同物资的危险特性，分别穿戴相应的防护用具。防护用具包括工作服、橡皮围裙、橡皮袖罩、橡皮手套、长筒胶靴、防毒面具、滤毒口罩、纱口罩、纱手套和护目镜等。操作前应由专人检查用具是否妥善，穿戴是否合适。操作后应进行清洗或消毒，放在专用的箱柜中保管。</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（4）化学危险物品撒落在地面、车板上时，应及时扫除，对易燃易爆品应用松软物经水浸湿后扫除。</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在装卸化学危险物品时，不得饮酒、吸烟。工作完毕后根据工作情况和危险品的性质，及时清洗手、脸、漱口或淋浴。必须保持现场空气流通，如果发现恶心、头晕等中毒现象，应立即到新鲜空气处休息，脱去工作服和防护用具，清洗皮肤沾染部分，重者送医院诊治。</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（6）在现场须备有清水、苏打水或醋酸等，以备急救时应用。</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（7）尽量减少人体与物品包装的接触，工作完毕后以肥皂和水清洗手脸和淋浴后才可进食饮水。对防护用具和使用工具，须经仔细洗刷，污水不得随便流散，应引入污水站进行处理。</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（8）危险化学品库地面采用防腐、防渗设计，修建防腐、防渗的地沟和事故水池，一旦发生泄漏事故，收集的危险化学品及清洗废水均泵入污水处理系统处理。</w:t>
      </w:r>
    </w:p>
    <w:p>
      <w:pPr>
        <w:spacing w:line="360" w:lineRule="auto"/>
        <w:rPr>
          <w:rFonts w:asciiTheme="minorEastAsia" w:hAnsiTheme="minorEastAsia"/>
          <w:b/>
          <w:sz w:val="24"/>
          <w:szCs w:val="24"/>
        </w:rPr>
      </w:pPr>
      <w:r>
        <w:rPr>
          <w:rFonts w:hint="eastAsia" w:asciiTheme="minorEastAsia" w:hAnsiTheme="minorEastAsia"/>
          <w:b/>
          <w:sz w:val="24"/>
          <w:szCs w:val="24"/>
        </w:rPr>
        <w:t>6.6.5消防及火灾报警系统</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（1）本项目消防主要依托当地公安消防机构。</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（2）应根据《建筑灭火器配置设计规范》（GB50140-2005）的规定，在各建筑物内均配置一定数量的灭火器，能够及时扑灭初起火灾。车间、罐区安装火灾报警器等。</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（3）设置消防尾水收集池。按消防部门的要求设置，收集的消防尾水送污水处理系统处理。</w:t>
      </w:r>
    </w:p>
    <w:p>
      <w:pPr>
        <w:spacing w:line="360" w:lineRule="auto"/>
        <w:rPr>
          <w:rFonts w:asciiTheme="minorEastAsia" w:hAnsiTheme="minorEastAsia"/>
          <w:b/>
          <w:sz w:val="24"/>
          <w:szCs w:val="24"/>
        </w:rPr>
      </w:pPr>
      <w:r>
        <w:rPr>
          <w:rFonts w:hint="eastAsia" w:asciiTheme="minorEastAsia" w:hAnsiTheme="minorEastAsia"/>
          <w:b/>
          <w:sz w:val="24"/>
          <w:szCs w:val="24"/>
        </w:rPr>
        <w:t>6.6.6 生产设备泄漏事故的防范措施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当生产过程中因为热裂解炉、收集罐、油水分离器、分汽包、管道、阀门等破裂发生事故，导致危险物料泄漏而未及时收集，则会对项目区周边环境空气、项目场地的土壤和地下水环境产生严重影响；尾水管道破裂、断裂发生尾水泄漏事故而未及时处理，则会对沿线地下水环境产生影响。因此，必须采取严格措施防止泄漏事故对周边环境造成不利影响。</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（1）万一发生危害性事故，应立即通知有关部门，组织附近居民、工厂工人疏散、抢险和应急监测等善后处理事宜。</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2）油水分离器下方应设围堰（或托盘，防腐、防渗），既可以分类收集跑、冒、滴、漏的废水，还可以防止设备发生意外破裂时物料不流失到外环境。配置备用设备、空容器等以做备用，出现泄漏事故，物料泵入备用设备、容器进行收集。</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（3）生产车间地面采用环氧树脂漆涂层防腐、防渗漏设计。</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（4）在项目内醒目处应设置大型风标，便于情况紧急时指示撤离方向，平时需制定抢险预案。</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5）涉及危化品的工段设有喷淋洗眼器、洗手池，并配备相应的防护手套、防毒呼吸器等个人防护用品，供事故时临时急用；一旦发生急性中毒，首先使用应急设施，并将中毒者安置在空气流畅的安全地带，同时呼叫急救车紧急救护。</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（6）尾水管材为HDPE缠绕增强管，地埋式敷设，管道连接处必须采取措施密封牢固，不能渗漏并设置检修阀门，每隔200m设一个观察口，定期检查有无渗漏。</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（7）加强项目外尾水专管的巡查和管理，并设置检修阀门及阀门井，防止尾水输送过程中泄漏造成的环境风险。</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8）事件处理过程中产生的消防水、事故废水进收集池，排入污水处理系统处理；关闭正常污水排放口和雨水排放口阀门，防止污染物通过尾水排口流入厂外，造成污染，待事故现场污染物得到控制并消除已产生的污染物后方可启动正常排污口。</w:t>
      </w:r>
    </w:p>
    <w:p>
      <w:pPr>
        <w:spacing w:line="360" w:lineRule="auto"/>
        <w:rPr>
          <w:rFonts w:asciiTheme="minorEastAsia" w:hAnsiTheme="minorEastAsia"/>
          <w:b/>
          <w:sz w:val="24"/>
          <w:szCs w:val="24"/>
        </w:rPr>
      </w:pPr>
      <w:r>
        <w:rPr>
          <w:rFonts w:hint="eastAsia" w:asciiTheme="minorEastAsia" w:hAnsiTheme="minorEastAsia"/>
          <w:b/>
          <w:sz w:val="24"/>
          <w:szCs w:val="24"/>
        </w:rPr>
        <w:t>6.6.7 环保设施事故排放的防范措施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（1）废水</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①项目废水处理设施应设相应的备用设备，如备用泵、水池等。</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②污水出厂总排放口设置排放池和应急阀门，在出现事故时可封闭，防止事故废水排入项目厂区外。废水处理系统一旦发生故障，将废水储存于事故池和排放池中，并及时检修。若事故池蓄满水时，废水处理设施仍未修复，应立即停产。收集的事故废水分别返回污水处理装置处理。</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③生产厂房设较大容量的事故废水收集容器。通过生产厂房的收集设施和污水处理站调节池，以及污水处理站的事故池，既可充分利用各厂房的集水设施和污水处理站调节池容量，又可作为事故紧急处理设施使用。</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④应对生产厂房污水排放量、污水浓度和是否专管排污进行监督。</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⑤生产车间和物料装卸平台四周建排水明沟，排水明沟与雨水管网连通，保证平时雨水可以正常排出，同时做好明沟的防渗措施。厂区雨水及污水排放口应设置应急截断阀门或其他截留设施。</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（2）废气</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①加强车间通风换气，保持车间空气良好；</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②加强废气收集设施、输送管道及处理设施的运行管理，定期检查设施完好情况，及时维护及维修易损或损坏的设施，保证设施能够正常运行；</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③严格按照规程运行废气处理设施，确保设施处理效率，严防出现不正常排放或事故排放现象；</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④一旦出现废气事故排放，应根据废气污染物特性采取相应的应急处置措施，如关闭相应的生产设施、停产检修等，将事故危害降至最低。</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（3）固废</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①厂内危险废物必须设置专门的收集容器和场所，做好防雨、防渗、防泄漏措施，决不允许危险废物流失；</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②贮存危险废物设施必须设有明显的标志，安排专人管理；</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③严格执行危险废物转移联单制度。</w:t>
      </w:r>
    </w:p>
    <w:p>
      <w:pPr>
        <w:spacing w:line="360" w:lineRule="auto"/>
        <w:rPr>
          <w:rFonts w:asciiTheme="minorEastAsia" w:hAnsiTheme="minorEastAsia"/>
          <w:b/>
          <w:sz w:val="24"/>
          <w:szCs w:val="24"/>
        </w:rPr>
      </w:pPr>
      <w:r>
        <w:rPr>
          <w:rFonts w:hint="eastAsia" w:asciiTheme="minorEastAsia" w:hAnsiTheme="minorEastAsia"/>
          <w:b/>
          <w:sz w:val="24"/>
          <w:szCs w:val="24"/>
        </w:rPr>
        <w:t>6.6.8其它风险防范要求</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（1）企业新建排水管网时应严格按设计要求建设，确保厂区雨污分流，同时保证管网质量及加强防漏措施，避免引起管网泄漏。</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（2）管网建设中应设专用监测井，定期对管道、阀门及相应设施进行检查、更换。</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（3）应急池非事故状态下需占用时，占用容积不得超过 1/3，并应设有在事故时可以紧急排空的技术措施。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（4）厂区内除雨水排放口和环保部门认可的污水排放口外，不得再设置其它与河道相通的涵管、沟渠。</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（5）建议所有雨水管道、排水明沟、应急池应由具有相应资质的单位设计施工。</w:t>
      </w:r>
    </w:p>
    <w:p>
      <w:pPr>
        <w:adjustRightInd w:val="0"/>
        <w:snapToGrid w:val="0"/>
        <w:spacing w:line="500" w:lineRule="exact"/>
        <w:rPr>
          <w:rFonts w:ascii="宋体" w:hAnsi="宋体" w:eastAsia="宋体" w:cs="Times New Roman"/>
          <w:b/>
          <w:color w:val="0D0D0D"/>
          <w:sz w:val="24"/>
          <w:szCs w:val="24"/>
        </w:rPr>
      </w:pPr>
      <w:r>
        <w:rPr>
          <w:rFonts w:hint="eastAsia" w:ascii="宋体" w:hAnsi="宋体" w:eastAsia="宋体" w:cs="Times New Roman"/>
          <w:b/>
          <w:color w:val="0D0D0D"/>
          <w:sz w:val="24"/>
          <w:szCs w:val="24"/>
        </w:rPr>
        <w:t xml:space="preserve">6.6.9 </w:t>
      </w:r>
      <w:r>
        <w:rPr>
          <w:rFonts w:ascii="宋体" w:hAnsi="宋体" w:eastAsia="宋体" w:cs="Times New Roman"/>
          <w:b/>
          <w:color w:val="0D0D0D"/>
          <w:sz w:val="24"/>
          <w:szCs w:val="24"/>
        </w:rPr>
        <w:t>应急要求</w:t>
      </w:r>
    </w:p>
    <w:p>
      <w:pPr>
        <w:adjustRightInd w:val="0"/>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项目厂区应建设1座500m</w:t>
      </w:r>
      <w:r>
        <w:rPr>
          <w:rFonts w:hint="eastAsia" w:ascii="宋体" w:hAnsi="宋体" w:eastAsia="宋体" w:cs="Times New Roman"/>
          <w:color w:val="0D0D0D"/>
          <w:sz w:val="24"/>
          <w:szCs w:val="24"/>
          <w:vertAlign w:val="superscript"/>
        </w:rPr>
        <w:t>3</w:t>
      </w:r>
      <w:r>
        <w:rPr>
          <w:rFonts w:hint="eastAsia" w:ascii="宋体" w:hAnsi="宋体" w:eastAsia="宋体" w:cs="Times New Roman"/>
          <w:color w:val="0D0D0D"/>
          <w:sz w:val="24"/>
          <w:szCs w:val="24"/>
        </w:rPr>
        <w:t>的消防水池及1座500m</w:t>
      </w:r>
      <w:r>
        <w:rPr>
          <w:rFonts w:hint="eastAsia" w:ascii="宋体" w:hAnsi="宋体" w:eastAsia="宋体" w:cs="Times New Roman"/>
          <w:color w:val="0D0D0D"/>
          <w:sz w:val="24"/>
          <w:szCs w:val="24"/>
          <w:vertAlign w:val="superscript"/>
        </w:rPr>
        <w:t>3</w:t>
      </w:r>
      <w:r>
        <w:rPr>
          <w:rFonts w:hint="eastAsia" w:ascii="宋体" w:hAnsi="宋体" w:eastAsia="宋体" w:cs="Times New Roman"/>
          <w:color w:val="0D0D0D"/>
          <w:sz w:val="24"/>
          <w:szCs w:val="24"/>
        </w:rPr>
        <w:t>的事故消防废水收集池，车间配置事故收集槽或收集容器，化学品可应配备足够的空容器或泄漏收集池，满足事故情况下的泄漏液体化学品、废水、废液收集需求。</w:t>
      </w:r>
    </w:p>
    <w:p>
      <w:pPr>
        <w:snapToGrid w:val="0"/>
        <w:spacing w:line="500" w:lineRule="exact"/>
        <w:ind w:firstLine="480" w:firstLineChars="200"/>
        <w:rPr>
          <w:rFonts w:ascii="宋体" w:hAnsi="宋体" w:eastAsia="宋体" w:cs="Times New Roman"/>
          <w:color w:val="0D0D0D"/>
          <w:sz w:val="24"/>
          <w:szCs w:val="24"/>
        </w:rPr>
      </w:pPr>
      <w:r>
        <w:rPr>
          <w:rFonts w:ascii="宋体" w:hAnsi="宋体" w:eastAsia="宋体" w:cs="Times New Roman"/>
          <w:color w:val="0D0D0D"/>
          <w:sz w:val="24"/>
          <w:szCs w:val="24"/>
        </w:rPr>
        <w:t>项目必须严格管理和重视，避免事故发生，并制定切实可行的日常安全管理和事故应急处理制度，建设相应的组织，配套相应的设施，做到</w:t>
      </w:r>
      <w:r>
        <w:rPr>
          <w:rFonts w:hint="eastAsia" w:ascii="宋体" w:hAnsi="宋体" w:eastAsia="宋体" w:cs="Times New Roman"/>
          <w:color w:val="0D0D0D"/>
          <w:sz w:val="24"/>
          <w:szCs w:val="24"/>
        </w:rPr>
        <w:t>“</w:t>
      </w:r>
      <w:r>
        <w:rPr>
          <w:rFonts w:ascii="宋体" w:hAnsi="宋体" w:eastAsia="宋体" w:cs="Times New Roman"/>
          <w:color w:val="0D0D0D"/>
          <w:sz w:val="24"/>
          <w:szCs w:val="24"/>
        </w:rPr>
        <w:t>防患于未然</w:t>
      </w:r>
      <w:r>
        <w:rPr>
          <w:rFonts w:hint="eastAsia" w:ascii="宋体" w:hAnsi="宋体" w:eastAsia="宋体" w:cs="Times New Roman"/>
          <w:color w:val="0D0D0D"/>
          <w:sz w:val="24"/>
          <w:szCs w:val="24"/>
        </w:rPr>
        <w:t>”</w:t>
      </w:r>
      <w:r>
        <w:rPr>
          <w:rFonts w:ascii="宋体" w:hAnsi="宋体" w:eastAsia="宋体" w:cs="Times New Roman"/>
          <w:color w:val="0D0D0D"/>
          <w:sz w:val="24"/>
          <w:szCs w:val="24"/>
        </w:rPr>
        <w:t>和</w:t>
      </w:r>
      <w:r>
        <w:rPr>
          <w:rFonts w:hint="eastAsia" w:ascii="宋体" w:hAnsi="宋体" w:eastAsia="宋体" w:cs="Times New Roman"/>
          <w:color w:val="0D0D0D"/>
          <w:sz w:val="24"/>
          <w:szCs w:val="24"/>
        </w:rPr>
        <w:t>“</w:t>
      </w:r>
      <w:r>
        <w:rPr>
          <w:rFonts w:ascii="宋体" w:hAnsi="宋体" w:eastAsia="宋体" w:cs="Times New Roman"/>
          <w:color w:val="0D0D0D"/>
          <w:sz w:val="24"/>
          <w:szCs w:val="24"/>
        </w:rPr>
        <w:t>最大化减少风险损失</w:t>
      </w:r>
      <w:r>
        <w:rPr>
          <w:rFonts w:hint="eastAsia" w:ascii="宋体" w:hAnsi="宋体" w:eastAsia="宋体" w:cs="Times New Roman"/>
          <w:color w:val="0D0D0D"/>
          <w:sz w:val="24"/>
          <w:szCs w:val="24"/>
        </w:rPr>
        <w:t>”</w:t>
      </w:r>
      <w:r>
        <w:rPr>
          <w:rFonts w:ascii="宋体" w:hAnsi="宋体" w:eastAsia="宋体" w:cs="Times New Roman"/>
          <w:color w:val="0D0D0D"/>
          <w:sz w:val="24"/>
          <w:szCs w:val="24"/>
        </w:rPr>
        <w:t>。对此，评价提出</w:t>
      </w:r>
      <w:r>
        <w:rPr>
          <w:rFonts w:hint="eastAsia" w:ascii="宋体" w:hAnsi="宋体" w:eastAsia="宋体" w:cs="Times New Roman"/>
          <w:color w:val="0D0D0D"/>
          <w:sz w:val="24"/>
          <w:szCs w:val="24"/>
        </w:rPr>
        <w:t>一下应急响应</w:t>
      </w:r>
      <w:r>
        <w:rPr>
          <w:rFonts w:ascii="宋体" w:hAnsi="宋体" w:eastAsia="宋体" w:cs="Times New Roman"/>
          <w:color w:val="0D0D0D"/>
          <w:sz w:val="24"/>
          <w:szCs w:val="24"/>
        </w:rPr>
        <w:t>措施和建议</w:t>
      </w:r>
      <w:r>
        <w:rPr>
          <w:rFonts w:hint="eastAsia" w:ascii="宋体" w:hAnsi="宋体" w:eastAsia="宋体" w:cs="Times New Roman"/>
          <w:color w:val="0D0D0D"/>
          <w:sz w:val="24"/>
          <w:szCs w:val="24"/>
        </w:rPr>
        <w:t>：</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 xml:space="preserve">① </w:t>
      </w:r>
      <w:r>
        <w:rPr>
          <w:rFonts w:ascii="宋体" w:hAnsi="宋体" w:eastAsia="宋体" w:cs="Times New Roman"/>
          <w:color w:val="0D0D0D"/>
          <w:sz w:val="24"/>
          <w:szCs w:val="24"/>
        </w:rPr>
        <w:t>应急处置措施</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a、</w:t>
      </w:r>
      <w:r>
        <w:rPr>
          <w:rFonts w:ascii="宋体" w:hAnsi="宋体" w:eastAsia="宋体" w:cs="Times New Roman"/>
          <w:color w:val="0D0D0D"/>
          <w:sz w:val="24"/>
          <w:szCs w:val="24"/>
        </w:rPr>
        <w:t>如发生火灾，用灭火器灭火，并稀释气体浓度。</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b、</w:t>
      </w:r>
      <w:r>
        <w:rPr>
          <w:rFonts w:ascii="宋体" w:hAnsi="宋体" w:eastAsia="宋体" w:cs="Times New Roman"/>
          <w:color w:val="0D0D0D"/>
          <w:sz w:val="24"/>
          <w:szCs w:val="24"/>
        </w:rPr>
        <w:t>迅速撤离泄漏污染区人员至上风向处，禁止无关人员进入污染现场，受毒害患者应紧急处理，严重者送医院救治。</w:t>
      </w:r>
    </w:p>
    <w:p>
      <w:pPr>
        <w:snapToGrid w:val="0"/>
        <w:spacing w:line="500" w:lineRule="exact"/>
        <w:ind w:firstLine="480" w:firstLineChars="200"/>
        <w:rPr>
          <w:rFonts w:ascii="宋体" w:hAnsi="宋体" w:eastAsia="宋体" w:cs="Times New Roman"/>
          <w:color w:val="0D0D0D"/>
          <w:sz w:val="24"/>
          <w:szCs w:val="24"/>
        </w:rPr>
      </w:pPr>
      <w:r>
        <w:rPr>
          <w:rFonts w:ascii="宋体" w:hAnsi="宋体" w:eastAsia="宋体" w:cs="Times New Roman"/>
          <w:color w:val="0D0D0D"/>
          <w:sz w:val="24"/>
          <w:szCs w:val="24"/>
        </w:rPr>
        <w:t>C</w:t>
      </w:r>
      <w:r>
        <w:rPr>
          <w:rFonts w:hint="eastAsia" w:ascii="宋体" w:hAnsi="宋体" w:eastAsia="宋体" w:cs="Times New Roman"/>
          <w:color w:val="0D0D0D"/>
          <w:sz w:val="24"/>
          <w:szCs w:val="24"/>
        </w:rPr>
        <w:t>、根据危险物质性质及泄漏处置方法，对泄漏物料及时、有效收集，按照规定安全规范储存、处置。</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d、按照应急预案及规定程序，及时启动环境应急响应措施，最大限度降低环境风险事故造成的损失。</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 xml:space="preserve">② </w:t>
      </w:r>
      <w:r>
        <w:rPr>
          <w:rFonts w:ascii="宋体" w:hAnsi="宋体" w:eastAsia="宋体" w:cs="Times New Roman"/>
          <w:color w:val="0D0D0D"/>
          <w:sz w:val="24"/>
          <w:szCs w:val="24"/>
        </w:rPr>
        <w:t>建立健全安全环境管理制度</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a、</w:t>
      </w:r>
      <w:r>
        <w:rPr>
          <w:rFonts w:ascii="宋体" w:hAnsi="宋体" w:eastAsia="宋体" w:cs="Times New Roman"/>
          <w:color w:val="0D0D0D"/>
          <w:sz w:val="24"/>
          <w:szCs w:val="24"/>
        </w:rPr>
        <w:t>应建立健全健康、安全的环境管理制度，并严格予以执行。</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b、</w:t>
      </w:r>
      <w:r>
        <w:rPr>
          <w:rFonts w:ascii="宋体" w:hAnsi="宋体" w:eastAsia="宋体" w:cs="Times New Roman"/>
          <w:color w:val="0D0D0D"/>
          <w:sz w:val="24"/>
          <w:szCs w:val="24"/>
        </w:rPr>
        <w:t>严格执行我国有关的劳动安全、环境保护、工业卫生的规范和标准，最大限度地清除事故隐患，一旦发生事故应采取有效措施，降低因事故引起的损失和对环境的污染。</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c、</w:t>
      </w:r>
      <w:r>
        <w:rPr>
          <w:rFonts w:ascii="宋体" w:hAnsi="宋体" w:eastAsia="宋体" w:cs="Times New Roman"/>
          <w:color w:val="0D0D0D"/>
          <w:sz w:val="24"/>
          <w:szCs w:val="24"/>
        </w:rPr>
        <w:t>加强车间的安全环保管理，制订出供正常、异常或紧急状态下的操作手册和维修手册，并对操作、维修人员进行培训，持证上岗，应定期进行安全活动，提高职工的安全意识。</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d、</w:t>
      </w:r>
      <w:r>
        <w:rPr>
          <w:rFonts w:ascii="宋体" w:hAnsi="宋体" w:eastAsia="宋体" w:cs="Times New Roman"/>
          <w:color w:val="0D0D0D"/>
          <w:sz w:val="24"/>
          <w:szCs w:val="24"/>
        </w:rPr>
        <w:t>制订应急操作规程，如在规程中应说明发生事故时应采取的操作步骤，规定抢修进度，规定限制事故影响的措施，另外还应说明与操作人员有关的安全问题。</w:t>
      </w:r>
    </w:p>
    <w:p>
      <w:pPr>
        <w:snapToGrid w:val="0"/>
        <w:spacing w:line="500" w:lineRule="exact"/>
        <w:ind w:firstLine="480" w:firstLineChars="200"/>
        <w:rPr>
          <w:rFonts w:ascii="宋体" w:hAnsi="宋体" w:eastAsia="宋体" w:cs="Times New Roman"/>
          <w:color w:val="0D0D0D"/>
          <w:sz w:val="24"/>
          <w:szCs w:val="24"/>
        </w:rPr>
      </w:pPr>
      <w:r>
        <w:rPr>
          <w:rFonts w:hint="eastAsia" w:ascii="宋体" w:hAnsi="宋体" w:eastAsia="宋体" w:cs="Times New Roman"/>
          <w:color w:val="0D0D0D"/>
          <w:sz w:val="24"/>
          <w:szCs w:val="24"/>
        </w:rPr>
        <w:t>e、</w:t>
      </w:r>
      <w:r>
        <w:rPr>
          <w:rFonts w:ascii="宋体" w:hAnsi="宋体" w:eastAsia="宋体" w:cs="Times New Roman"/>
          <w:color w:val="0D0D0D"/>
          <w:sz w:val="24"/>
          <w:szCs w:val="24"/>
        </w:rPr>
        <w:t>建立应急预案工作计划，设立公司应急指挥领导小组和事故处理抢险队，与当地政府有关的应急预案衔接并建立正常的定期联络制度。</w:t>
      </w:r>
    </w:p>
    <w:p>
      <w:pPr>
        <w:spacing w:line="360" w:lineRule="auto"/>
        <w:rPr>
          <w:rFonts w:asciiTheme="minorEastAsia" w:hAnsiTheme="minorEastAsia"/>
          <w:b/>
          <w:sz w:val="28"/>
          <w:szCs w:val="28"/>
        </w:rPr>
      </w:pPr>
      <w:r>
        <w:rPr>
          <w:rFonts w:hint="eastAsia" w:asciiTheme="minorEastAsia" w:hAnsiTheme="minorEastAsia"/>
          <w:b/>
          <w:sz w:val="28"/>
          <w:szCs w:val="28"/>
        </w:rPr>
        <w:t>6.7 风险事故应急预案及应急环境监测方案</w:t>
      </w:r>
    </w:p>
    <w:p>
      <w:pPr>
        <w:spacing w:line="360" w:lineRule="auto"/>
        <w:rPr>
          <w:rFonts w:asciiTheme="minorEastAsia" w:hAnsiTheme="minorEastAsia"/>
          <w:b/>
          <w:sz w:val="24"/>
          <w:szCs w:val="24"/>
        </w:rPr>
      </w:pPr>
      <w:r>
        <w:rPr>
          <w:rFonts w:hint="eastAsia" w:asciiTheme="minorEastAsia" w:hAnsiTheme="minorEastAsia"/>
          <w:b/>
          <w:sz w:val="24"/>
          <w:szCs w:val="24"/>
        </w:rPr>
        <w:t>6.7.1风险事故应急预案</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为保证相应的事故风险防范措施落到实处，制定事故应急预案。项目突发环境事故应急预案内容及要求见表6.7-1，风险事故处理程序见图6.7-1。</w:t>
      </w:r>
    </w:p>
    <w:p>
      <w:pPr>
        <w:spacing w:line="520" w:lineRule="exact"/>
        <w:ind w:firstLine="419" w:firstLineChars="174"/>
        <w:jc w:val="center"/>
        <w:rPr>
          <w:rFonts w:ascii="宋体" w:hAnsi="宋体" w:eastAsia="宋体" w:cs="Times New Roman"/>
          <w:b/>
          <w:sz w:val="24"/>
          <w:szCs w:val="24"/>
        </w:rPr>
      </w:pPr>
      <w:r>
        <w:rPr>
          <w:rFonts w:ascii="宋体" w:hAnsi="宋体" w:eastAsia="宋体" w:cs="Times New Roman"/>
          <w:b/>
          <w:sz w:val="24"/>
          <w:szCs w:val="20"/>
        </w:rPr>
        <w:t>表</w:t>
      </w:r>
      <w:r>
        <w:rPr>
          <w:rFonts w:hint="eastAsia" w:ascii="宋体" w:hAnsi="宋体" w:eastAsia="宋体" w:cs="Times New Roman"/>
          <w:b/>
          <w:sz w:val="24"/>
          <w:szCs w:val="20"/>
        </w:rPr>
        <w:t xml:space="preserve">6.7-1   </w:t>
      </w:r>
      <w:r>
        <w:rPr>
          <w:rFonts w:hint="eastAsia" w:ascii="宋体" w:hAnsi="宋体" w:eastAsia="宋体" w:cs="Times New Roman"/>
          <w:b/>
          <w:sz w:val="24"/>
          <w:szCs w:val="24"/>
        </w:rPr>
        <w:t>事故应急预案</w:t>
      </w:r>
    </w:p>
    <w:tbl>
      <w:tblPr>
        <w:tblStyle w:val="27"/>
        <w:tblW w:w="54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96" w:type="dxa"/>
          <w:left w:w="108" w:type="dxa"/>
          <w:bottom w:w="96" w:type="dxa"/>
          <w:right w:w="108" w:type="dxa"/>
        </w:tblCellMar>
      </w:tblPr>
      <w:tblGrid>
        <w:gridCol w:w="701"/>
        <w:gridCol w:w="2187"/>
        <w:gridCol w:w="6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546"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b/>
                <w:szCs w:val="21"/>
              </w:rPr>
            </w:pPr>
            <w:r>
              <w:rPr>
                <w:rFonts w:ascii="宋体" w:hAnsi="宋体" w:eastAsia="宋体" w:cs="Times New Roman"/>
                <w:b/>
                <w:szCs w:val="21"/>
              </w:rPr>
              <w:t>序号</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b/>
                <w:szCs w:val="21"/>
              </w:rPr>
            </w:pPr>
            <w:r>
              <w:rPr>
                <w:rFonts w:ascii="宋体" w:hAnsi="宋体" w:eastAsia="宋体" w:cs="Times New Roman"/>
                <w:b/>
                <w:szCs w:val="21"/>
              </w:rPr>
              <w:t>项    目</w:t>
            </w:r>
          </w:p>
        </w:tc>
        <w:tc>
          <w:tcPr>
            <w:tcW w:w="3508" w:type="pct"/>
            <w:tcMar>
              <w:top w:w="57" w:type="dxa"/>
              <w:left w:w="57" w:type="dxa"/>
              <w:bottom w:w="57" w:type="dxa"/>
              <w:right w:w="57" w:type="dxa"/>
            </w:tcMar>
            <w:vAlign w:val="center"/>
          </w:tcPr>
          <w:p>
            <w:pPr>
              <w:spacing w:line="360" w:lineRule="exact"/>
              <w:jc w:val="center"/>
              <w:rPr>
                <w:rFonts w:ascii="宋体" w:hAnsi="宋体" w:eastAsia="宋体" w:cs="Times New Roman"/>
                <w:b/>
                <w:szCs w:val="21"/>
              </w:rPr>
            </w:pPr>
            <w:r>
              <w:rPr>
                <w:rFonts w:ascii="宋体" w:hAnsi="宋体" w:eastAsia="宋体" w:cs="Times New Roman"/>
                <w:b/>
                <w:szCs w:val="21"/>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498"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1</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总则</w:t>
            </w:r>
          </w:p>
        </w:tc>
        <w:tc>
          <w:tcPr>
            <w:tcW w:w="3508"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简述生产过程中涉及物料性质及可能产生的突发事故</w:t>
            </w:r>
            <w:r>
              <w:rPr>
                <w:rFonts w:hint="eastAsia" w:ascii="宋体" w:hAnsi="宋体"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648"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2</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危险源概况</w:t>
            </w:r>
          </w:p>
        </w:tc>
        <w:tc>
          <w:tcPr>
            <w:tcW w:w="3508"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评述危险源类型、数量及其分布</w:t>
            </w:r>
            <w:r>
              <w:rPr>
                <w:rFonts w:hint="eastAsia" w:ascii="宋体" w:hAnsi="宋体"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516"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3</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应急计划区</w:t>
            </w:r>
          </w:p>
        </w:tc>
        <w:tc>
          <w:tcPr>
            <w:tcW w:w="3508"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hint="eastAsia" w:ascii="宋体" w:hAnsi="宋体" w:eastAsia="宋体" w:cs="Times New Roman"/>
                <w:szCs w:val="21"/>
              </w:rPr>
              <w:t>装置区、管线区、邻区。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962" w:hRule="atLeas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4</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应急组织</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工厂：厂指挥部——负责全厂全面指挥</w:t>
            </w:r>
          </w:p>
          <w:p>
            <w:pPr>
              <w:spacing w:line="360" w:lineRule="exact"/>
              <w:rPr>
                <w:rFonts w:ascii="宋体" w:hAnsi="宋体" w:eastAsia="宋体" w:cs="Times New Roman"/>
                <w:szCs w:val="21"/>
              </w:rPr>
            </w:pPr>
            <w:r>
              <w:rPr>
                <w:rFonts w:ascii="宋体" w:hAnsi="宋体" w:eastAsia="宋体" w:cs="Times New Roman"/>
                <w:szCs w:val="21"/>
              </w:rPr>
              <w:t>专业救援队伍——负责事故控制、救援善后处理</w:t>
            </w:r>
          </w:p>
          <w:p>
            <w:pPr>
              <w:spacing w:line="360" w:lineRule="exact"/>
              <w:rPr>
                <w:rFonts w:ascii="宋体" w:hAnsi="宋体" w:eastAsia="宋体" w:cs="Times New Roman"/>
                <w:szCs w:val="21"/>
              </w:rPr>
            </w:pPr>
            <w:r>
              <w:rPr>
                <w:rFonts w:ascii="宋体" w:hAnsi="宋体" w:eastAsia="宋体" w:cs="Times New Roman"/>
                <w:szCs w:val="21"/>
              </w:rPr>
              <w:t>地区：地区指挥部——负责工厂附近地区、全面指挥、救援、疏散专业救援队伍——负责对厂专业救援队伍支援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525" w:hRule="atLeas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5</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应急状态分类及应急响应程序</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规定事故的级别及相应的应急分类响应程序</w:t>
            </w:r>
            <w:r>
              <w:rPr>
                <w:rFonts w:hint="eastAsia" w:ascii="宋体" w:hAnsi="宋体"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523" w:hRule="atLeas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6</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pacing w:val="-4"/>
                <w:szCs w:val="21"/>
              </w:rPr>
            </w:pPr>
            <w:r>
              <w:rPr>
                <w:rFonts w:ascii="宋体" w:hAnsi="宋体" w:eastAsia="宋体" w:cs="Times New Roman"/>
                <w:spacing w:val="-4"/>
                <w:szCs w:val="21"/>
              </w:rPr>
              <w:t>应急设施、设备与材料</w:t>
            </w:r>
          </w:p>
        </w:tc>
        <w:tc>
          <w:tcPr>
            <w:tcW w:w="3508" w:type="pct"/>
            <w:tcMar>
              <w:top w:w="57" w:type="dxa"/>
              <w:left w:w="57" w:type="dxa"/>
              <w:bottom w:w="57" w:type="dxa"/>
              <w:right w:w="57" w:type="dxa"/>
            </w:tcMar>
            <w:vAlign w:val="center"/>
          </w:tcPr>
          <w:p>
            <w:pPr>
              <w:keepNext/>
              <w:spacing w:line="360" w:lineRule="exact"/>
              <w:rPr>
                <w:rFonts w:ascii="宋体" w:hAnsi="宋体" w:eastAsia="宋体" w:cs="Times New Roman"/>
                <w:szCs w:val="21"/>
              </w:rPr>
            </w:pPr>
            <w:r>
              <w:rPr>
                <w:rFonts w:ascii="宋体" w:hAnsi="宋体" w:eastAsia="宋体" w:cs="Times New Roman"/>
                <w:szCs w:val="21"/>
              </w:rPr>
              <w:t>生产装置：设置</w:t>
            </w:r>
            <w:r>
              <w:rPr>
                <w:rFonts w:hint="eastAsia" w:ascii="宋体" w:hAnsi="宋体" w:eastAsia="宋体" w:cs="Times New Roman"/>
                <w:szCs w:val="21"/>
              </w:rPr>
              <w:t>防火灾、爆炸事故应急设施、设备与材料，消防器材。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607"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7</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pacing w:val="-4"/>
                <w:szCs w:val="21"/>
              </w:rPr>
            </w:pPr>
            <w:r>
              <w:rPr>
                <w:rFonts w:ascii="宋体" w:hAnsi="宋体" w:eastAsia="宋体" w:cs="Times New Roman"/>
                <w:spacing w:val="-4"/>
                <w:szCs w:val="21"/>
              </w:rPr>
              <w:t>应急通讯、通知和交通</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规定应急状态下的通讯方式、通知方式和交通保障、管制</w:t>
            </w:r>
            <w:r>
              <w:rPr>
                <w:rFonts w:hint="eastAsia" w:ascii="宋体" w:hAnsi="宋体" w:eastAsia="宋体"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731" w:hRule="atLeas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8</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应急环境监测及事故后评估</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由专业队伍对事故现场进行侦察监测，对事故性质、参数与后果进行评估，为指挥部门提供决策依据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1097" w:hRule="atLeas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9</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应急防护措施、消除泄漏措施方法和器材</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事故现场：控制事故、防止扩大、漫延及连锁反应、消除现场泄漏物、降低危害；相应的设施器材配备</w:t>
            </w:r>
          </w:p>
          <w:p>
            <w:pPr>
              <w:spacing w:line="360" w:lineRule="exact"/>
              <w:rPr>
                <w:rFonts w:ascii="宋体" w:hAnsi="宋体" w:eastAsia="宋体" w:cs="Times New Roman"/>
                <w:szCs w:val="21"/>
              </w:rPr>
            </w:pPr>
            <w:r>
              <w:rPr>
                <w:rFonts w:ascii="宋体" w:hAnsi="宋体" w:eastAsia="宋体" w:cs="Times New Roman"/>
                <w:szCs w:val="21"/>
              </w:rPr>
              <w:t>邻近区域：控制火区域，控制和消除污染措施及相应设备配备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1584"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10</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应急剂量控制、撤离组织计划、医疗救护与公众健康</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事故现场：事故处理人员对毒物的应急剂量控制规定，现场及邻近装置人员撤离组织计划及救护</w:t>
            </w:r>
          </w:p>
          <w:p>
            <w:pPr>
              <w:spacing w:line="360" w:lineRule="exact"/>
              <w:rPr>
                <w:rFonts w:ascii="宋体" w:hAnsi="宋体" w:eastAsia="宋体" w:cs="Times New Roman"/>
                <w:szCs w:val="21"/>
              </w:rPr>
            </w:pPr>
            <w:r>
              <w:rPr>
                <w:rFonts w:ascii="宋体" w:hAnsi="宋体" w:eastAsia="宋体" w:cs="Times New Roman"/>
                <w:szCs w:val="21"/>
              </w:rPr>
              <w:t>工厂邻近区：受事故影响的邻近区域人员及公众对毒物应急剂量控制规定，撤离组织计划及救护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731" w:hRule="atLeas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11</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应急状态终止与恢复措施</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规定应急状态终止程序：事故善后处理，恢复措施邻近区域解除事故警戒及善后恢复措施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665"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12</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人员培训与演练</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应急计划制定后，平时安排人员培训及演练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721"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13</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公众教育和信息</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对工厂邻近地区开展公众教育、培训与发布相关信息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769" w:hRule="atLeas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14</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ascii="宋体" w:hAnsi="宋体" w:eastAsia="宋体" w:cs="Times New Roman"/>
                <w:szCs w:val="21"/>
              </w:rPr>
              <w:t>记录和报告</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ascii="宋体" w:hAnsi="宋体" w:eastAsia="宋体" w:cs="Times New Roman"/>
                <w:szCs w:val="21"/>
              </w:rPr>
              <w:t>设置应急事故专门记录，建立档案和专门报告制度，设专门部门和负责管理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96" w:type="dxa"/>
            <w:left w:w="108" w:type="dxa"/>
            <w:bottom w:w="96" w:type="dxa"/>
            <w:right w:w="108" w:type="dxa"/>
          </w:tblCellMar>
        </w:tblPrEx>
        <w:trPr>
          <w:trHeight w:val="488" w:hRule="exact"/>
          <w:jc w:val="center"/>
        </w:trPr>
        <w:tc>
          <w:tcPr>
            <w:tcW w:w="362"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hint="eastAsia" w:ascii="宋体" w:hAnsi="宋体" w:eastAsia="宋体" w:cs="Times New Roman"/>
                <w:szCs w:val="21"/>
              </w:rPr>
              <w:t>15</w:t>
            </w:r>
          </w:p>
        </w:tc>
        <w:tc>
          <w:tcPr>
            <w:tcW w:w="1130" w:type="pct"/>
            <w:tcMar>
              <w:top w:w="57" w:type="dxa"/>
              <w:left w:w="57" w:type="dxa"/>
              <w:bottom w:w="57" w:type="dxa"/>
              <w:right w:w="57" w:type="dxa"/>
            </w:tcMar>
            <w:vAlign w:val="center"/>
          </w:tcPr>
          <w:p>
            <w:pPr>
              <w:spacing w:line="360" w:lineRule="exact"/>
              <w:jc w:val="center"/>
              <w:rPr>
                <w:rFonts w:ascii="宋体" w:hAnsi="宋体" w:eastAsia="宋体" w:cs="Times New Roman"/>
                <w:szCs w:val="21"/>
              </w:rPr>
            </w:pPr>
            <w:r>
              <w:rPr>
                <w:rFonts w:hint="eastAsia" w:ascii="宋体" w:hAnsi="宋体" w:eastAsia="宋体" w:cs="Times New Roman"/>
                <w:szCs w:val="21"/>
              </w:rPr>
              <w:t>附件</w:t>
            </w:r>
          </w:p>
        </w:tc>
        <w:tc>
          <w:tcPr>
            <w:tcW w:w="3508" w:type="pct"/>
            <w:tcMar>
              <w:top w:w="57" w:type="dxa"/>
              <w:left w:w="57" w:type="dxa"/>
              <w:bottom w:w="57" w:type="dxa"/>
              <w:right w:w="57" w:type="dxa"/>
            </w:tcMar>
            <w:vAlign w:val="center"/>
          </w:tcPr>
          <w:p>
            <w:pPr>
              <w:spacing w:line="360" w:lineRule="exact"/>
              <w:rPr>
                <w:rFonts w:ascii="宋体" w:hAnsi="宋体" w:eastAsia="宋体" w:cs="Times New Roman"/>
                <w:szCs w:val="21"/>
              </w:rPr>
            </w:pPr>
            <w:r>
              <w:rPr>
                <w:rFonts w:hint="eastAsia" w:ascii="宋体" w:hAnsi="宋体" w:eastAsia="宋体" w:cs="Times New Roman"/>
                <w:szCs w:val="21"/>
              </w:rPr>
              <w:t>与应急事故有关的多种附件材料的准备和形成</w:t>
            </w:r>
          </w:p>
        </w:tc>
      </w:tr>
    </w:tbl>
    <w:p>
      <w:pPr>
        <w:widowControl/>
        <w:spacing w:line="240" w:lineRule="exact"/>
        <w:ind w:left="3500"/>
        <w:jc w:val="left"/>
        <w:rPr>
          <w:rFonts w:ascii="仿宋" w:hAnsi="仿宋" w:eastAsia="仿宋" w:cs="Arial"/>
          <w:kern w:val="0"/>
          <w:szCs w:val="20"/>
        </w:rPr>
      </w:pPr>
    </w:p>
    <w:p>
      <w:pPr>
        <w:widowControl/>
        <w:spacing w:line="123" w:lineRule="exact"/>
        <w:jc w:val="left"/>
        <w:rPr>
          <w:rFonts w:ascii="Times New Roman" w:hAnsi="Times New Roman" w:eastAsia="Times New Roman" w:cs="Arial"/>
          <w:kern w:val="0"/>
          <w:sz w:val="20"/>
          <w:szCs w:val="20"/>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r>
        <w:rPr>
          <w:rFonts w:hint="eastAsia"/>
        </w:rPr>
        <w:drawing>
          <wp:anchor distT="0" distB="0" distL="114300" distR="114300" simplePos="0" relativeHeight="252112896" behindDoc="0" locked="0" layoutInCell="1" allowOverlap="1">
            <wp:simplePos x="0" y="0"/>
            <wp:positionH relativeFrom="column">
              <wp:posOffset>-47625</wp:posOffset>
            </wp:positionH>
            <wp:positionV relativeFrom="paragraph">
              <wp:posOffset>112395</wp:posOffset>
            </wp:positionV>
            <wp:extent cx="5203825" cy="3569970"/>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03825" cy="3569970"/>
                    </a:xfrm>
                    <a:prstGeom prst="rect">
                      <a:avLst/>
                    </a:prstGeom>
                    <a:noFill/>
                    <a:ln>
                      <a:noFill/>
                    </a:ln>
                  </pic:spPr>
                </pic:pic>
              </a:graphicData>
            </a:graphic>
          </wp:anchor>
        </w:drawing>
      </w: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p>
    <w:p>
      <w:pPr>
        <w:widowControl/>
        <w:tabs>
          <w:tab w:val="left" w:pos="4040"/>
        </w:tabs>
        <w:spacing w:line="320" w:lineRule="exact"/>
        <w:ind w:left="2720"/>
        <w:jc w:val="left"/>
        <w:rPr>
          <w:rFonts w:cs="Arial" w:asciiTheme="minorEastAsia" w:hAnsiTheme="minorEastAsia"/>
          <w:b/>
          <w:kern w:val="0"/>
          <w:sz w:val="24"/>
          <w:szCs w:val="24"/>
        </w:rPr>
      </w:pPr>
      <w:r>
        <w:rPr>
          <w:rFonts w:cs="Arial" w:asciiTheme="minorEastAsia" w:hAnsiTheme="minorEastAsia"/>
          <w:b/>
          <w:kern w:val="0"/>
          <w:sz w:val="24"/>
          <w:szCs w:val="24"/>
        </w:rPr>
        <w:t xml:space="preserve">图 </w:t>
      </w:r>
      <w:r>
        <w:rPr>
          <w:rFonts w:hint="eastAsia" w:cs="Arial" w:asciiTheme="minorEastAsia" w:hAnsiTheme="minorEastAsia"/>
          <w:b/>
          <w:kern w:val="0"/>
          <w:sz w:val="24"/>
          <w:szCs w:val="24"/>
        </w:rPr>
        <w:t>6.7</w:t>
      </w:r>
      <w:r>
        <w:rPr>
          <w:rFonts w:cs="Arial" w:asciiTheme="minorEastAsia" w:hAnsiTheme="minorEastAsia"/>
          <w:b/>
          <w:kern w:val="0"/>
          <w:sz w:val="24"/>
          <w:szCs w:val="24"/>
        </w:rPr>
        <w:t>-</w:t>
      </w:r>
      <w:r>
        <w:rPr>
          <w:rFonts w:hint="eastAsia" w:cs="Arial" w:asciiTheme="minorEastAsia" w:hAnsiTheme="minorEastAsia"/>
          <w:b/>
          <w:kern w:val="0"/>
          <w:sz w:val="24"/>
          <w:szCs w:val="24"/>
        </w:rPr>
        <w:t>1</w:t>
      </w:r>
      <w:r>
        <w:rPr>
          <w:rFonts w:cs="Arial" w:asciiTheme="minorEastAsia" w:hAnsiTheme="minorEastAsia"/>
          <w:kern w:val="0"/>
          <w:sz w:val="24"/>
          <w:szCs w:val="24"/>
        </w:rPr>
        <w:tab/>
      </w:r>
      <w:r>
        <w:rPr>
          <w:rFonts w:cs="Arial" w:asciiTheme="minorEastAsia" w:hAnsiTheme="minorEastAsia"/>
          <w:b/>
          <w:kern w:val="0"/>
          <w:sz w:val="24"/>
          <w:szCs w:val="24"/>
        </w:rPr>
        <w:t>风险事故处理程序</w:t>
      </w:r>
    </w:p>
    <w:p>
      <w:pPr>
        <w:spacing w:line="360" w:lineRule="auto"/>
        <w:rPr>
          <w:rFonts w:asciiTheme="minorEastAsia" w:hAnsiTheme="minorEastAsia"/>
          <w:b/>
          <w:sz w:val="24"/>
          <w:szCs w:val="24"/>
        </w:rPr>
      </w:pPr>
      <w:r>
        <w:rPr>
          <w:rFonts w:hint="eastAsia" w:asciiTheme="minorEastAsia" w:hAnsiTheme="minorEastAsia"/>
          <w:b/>
          <w:sz w:val="24"/>
          <w:szCs w:val="24"/>
        </w:rPr>
        <w:t>6.7.2事故应急环境监测方案</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由于项目建设单位不具备监测能力，事故监测由政府环保监测部门承担，企业主要负责对外请求支援的联系与协调，应尽可能自购监测仪器，以便做好日常环境管理和简易的应急监测。为了及时有效了解事故对外界环境的影响，便于上级部门决策，发生较大污染事故时，由方城县环境监测站进行监测。</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发生事故以后，立即通知西平县生态环境局和监测站（电话：12369）。环保监测人员到达现场后，查明易挥发液体泄漏后产生的挥发气体浓度和扩散情况，根据当时风向、风速、判断扩散的方向、速度，并对挥发气体下风向扩散区域进行监测；根据液体化学品、废水、废液等泄漏情况，对排出厂区的高浓度废水进行跟踪监测，掌控有毒有害污染物的排放情况。同时，监测情况及时向领导小组报告。必要时根据领导小组决定通知气体扩散区域内的员工撤离或指导采取简易有效的保护措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针对项目的特点，根据事故类型，制定事故应急环境监测预案，包括污染源监测、厂界环境质量监测和厂外环境质量监测三类，满足事故应急处理的需求。</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①初步确定应急监测项目：炭黑尘、非甲烷总烃、H</w:t>
      </w:r>
      <w:r>
        <w:rPr>
          <w:rFonts w:hint="eastAsia" w:asciiTheme="minorEastAsia" w:hAnsiTheme="minorEastAsia"/>
          <w:sz w:val="24"/>
          <w:szCs w:val="24"/>
          <w:vertAlign w:val="subscript"/>
        </w:rPr>
        <w:t>2</w:t>
      </w:r>
      <w:r>
        <w:rPr>
          <w:rFonts w:hint="eastAsia" w:asciiTheme="minorEastAsia" w:hAnsiTheme="minorEastAsia"/>
          <w:sz w:val="24"/>
          <w:szCs w:val="24"/>
        </w:rPr>
        <w:t>S、氯化氢、苯并[a]芘及废水中的CDO、氨氮、石油类等。</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②确定应急监测对象：监测对象为污染发生区域及扩散区域内的空气，排出厂外的事故废水等。</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③选定监测分析方法：按照国家制定的环境监测分析方法技术规范执行。</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④确定相应的监测仪器和采样设备</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监测仪器和采样设备应由应急监测部门提供，如监测条件不足指挥领导小组应组织协调。</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⑤应急防护范围的划定：监测主要是针对风险源及有害物质扩散，大气根据风向在厂界四周及周围环境布点，水根据废水流向及敏感目标布点。。</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⑥监测报告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一般要求在到达现场后及时出具第一份监测报告，然后按照污染跟踪监测根据监测数据、预测污染迁移强度、速度和影响范围以及主管部门的意见定时编制报告，并报告应急处置小组作为事故处理的技术依据，直至环境污染状况消除。</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应急监测工作结束后，编写应急监测工作总结并建档，对整个事件发生过程中形成的监测报告进行汇总分析，及时向应急处置小组、相关部门报告，为以后环境污染事故的预警、监测、处理积累经验。</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⑧监测人员的防护和监护措施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a、危险化学品事故发生后，通信警戒组人员根据事故性质、发展趋势，</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联系当地环保、卫生监督等部门来厂协助进行现场监测。</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b、监测人员必须正确佩带好防护用具，进入事故波及区必须登记。监测人员不得单独行动，须2-3人一起进行监测。必须相互间能够联络、监护。可能发生更大事故时应立即撤离监测区域。</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事故得到控制，紧急情况解除后，污染事故应急处理人员立即进入现场，配合消防、卫生等部门指导相关人员清除泄漏现场遗留危险物质，消除泄漏对环境产生的影响，同时检测核实没有隐患、空气环境质量达标后，通知被疏散群众返回，恢复正常生产和生活。</w:t>
      </w:r>
    </w:p>
    <w:p>
      <w:pPr>
        <w:spacing w:line="360" w:lineRule="auto"/>
        <w:rPr>
          <w:rFonts w:asciiTheme="minorEastAsia" w:hAnsiTheme="minorEastAsia"/>
          <w:b/>
          <w:sz w:val="24"/>
          <w:szCs w:val="24"/>
        </w:rPr>
      </w:pPr>
      <w:r>
        <w:rPr>
          <w:rFonts w:hint="eastAsia" w:asciiTheme="minorEastAsia" w:hAnsiTheme="minorEastAsia"/>
          <w:b/>
          <w:sz w:val="24"/>
          <w:szCs w:val="24"/>
        </w:rPr>
        <w:t>6.7.3环境风险防范措施和应急预案“三同时”验收表</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环境风险防范必须从项目建设的前期工作开始，在项目初步设计、试运行和生产等各阶段纳入议事日程，专题研究，加以落实，形成区域风险安全系统工程。本报告提出的环境风险防范措施和应急预案列入“三同时”验收范围，具体内容见表 6.7-2。</w:t>
      </w:r>
    </w:p>
    <w:tbl>
      <w:tblPr>
        <w:tblStyle w:val="27"/>
        <w:tblW w:w="8710" w:type="dxa"/>
        <w:tblInd w:w="0" w:type="dxa"/>
        <w:tblLayout w:type="fixed"/>
        <w:tblCellMar>
          <w:top w:w="0" w:type="dxa"/>
          <w:left w:w="0" w:type="dxa"/>
          <w:bottom w:w="0" w:type="dxa"/>
          <w:right w:w="0" w:type="dxa"/>
        </w:tblCellMar>
      </w:tblPr>
      <w:tblGrid>
        <w:gridCol w:w="687"/>
        <w:gridCol w:w="1312"/>
        <w:gridCol w:w="375"/>
        <w:gridCol w:w="20"/>
        <w:gridCol w:w="1733"/>
        <w:gridCol w:w="2155"/>
        <w:gridCol w:w="808"/>
        <w:gridCol w:w="334"/>
        <w:gridCol w:w="1286"/>
      </w:tblGrid>
      <w:tr>
        <w:tblPrEx>
          <w:tblCellMar>
            <w:top w:w="0" w:type="dxa"/>
            <w:left w:w="0" w:type="dxa"/>
            <w:bottom w:w="0" w:type="dxa"/>
            <w:right w:w="0" w:type="dxa"/>
          </w:tblCellMar>
        </w:tblPrEx>
        <w:trPr>
          <w:trHeight w:val="344" w:hRule="atLeast"/>
        </w:trPr>
        <w:tc>
          <w:tcPr>
            <w:tcW w:w="8710" w:type="dxa"/>
            <w:gridSpan w:val="9"/>
            <w:shd w:val="clear" w:color="auto" w:fill="auto"/>
            <w:vAlign w:val="bottom"/>
          </w:tcPr>
          <w:p>
            <w:pPr>
              <w:widowControl/>
              <w:spacing w:line="360" w:lineRule="auto"/>
              <w:ind w:left="400"/>
              <w:jc w:val="center"/>
              <w:rPr>
                <w:rFonts w:cs="Arial" w:asciiTheme="minorEastAsia" w:hAnsiTheme="minorEastAsia"/>
                <w:b/>
                <w:kern w:val="0"/>
                <w:sz w:val="24"/>
                <w:szCs w:val="24"/>
              </w:rPr>
            </w:pPr>
            <w:r>
              <w:rPr>
                <w:rFonts w:cs="Arial" w:asciiTheme="minorEastAsia" w:hAnsiTheme="minorEastAsia"/>
                <w:b/>
                <w:kern w:val="0"/>
                <w:sz w:val="24"/>
                <w:szCs w:val="24"/>
              </w:rPr>
              <w:t xml:space="preserve">表 </w:t>
            </w:r>
            <w:r>
              <w:rPr>
                <w:rFonts w:hint="eastAsia" w:cs="Arial" w:asciiTheme="minorEastAsia" w:hAnsiTheme="minorEastAsia"/>
                <w:b/>
                <w:kern w:val="0"/>
                <w:sz w:val="24"/>
                <w:szCs w:val="24"/>
              </w:rPr>
              <w:t xml:space="preserve">6.7-2  </w:t>
            </w:r>
            <w:r>
              <w:rPr>
                <w:rFonts w:cs="Arial" w:asciiTheme="minorEastAsia" w:hAnsiTheme="minorEastAsia"/>
                <w:b/>
                <w:kern w:val="0"/>
                <w:sz w:val="24"/>
                <w:szCs w:val="24"/>
              </w:rPr>
              <w:t>环境风险防范措施和应急预案三同时检查表</w:t>
            </w:r>
          </w:p>
        </w:tc>
      </w:tr>
      <w:tr>
        <w:tblPrEx>
          <w:tblCellMar>
            <w:top w:w="0" w:type="dxa"/>
            <w:left w:w="0" w:type="dxa"/>
            <w:bottom w:w="0" w:type="dxa"/>
            <w:right w:w="0" w:type="dxa"/>
          </w:tblCellMar>
        </w:tblPrEx>
        <w:trPr>
          <w:trHeight w:val="42" w:hRule="atLeast"/>
        </w:trPr>
        <w:tc>
          <w:tcPr>
            <w:tcW w:w="687" w:type="dxa"/>
            <w:tcBorders>
              <w:bottom w:val="single" w:color="auto" w:sz="4" w:space="0"/>
            </w:tcBorders>
            <w:shd w:val="clear" w:color="auto" w:fill="auto"/>
            <w:vAlign w:val="bottom"/>
          </w:tcPr>
          <w:p>
            <w:pPr>
              <w:widowControl/>
              <w:spacing w:line="0" w:lineRule="atLeast"/>
              <w:jc w:val="left"/>
              <w:rPr>
                <w:rFonts w:ascii="Times New Roman" w:hAnsi="Times New Roman" w:eastAsia="Times New Roman" w:cs="Arial"/>
                <w:kern w:val="0"/>
                <w:sz w:val="3"/>
                <w:szCs w:val="20"/>
              </w:rPr>
            </w:pPr>
          </w:p>
        </w:tc>
        <w:tc>
          <w:tcPr>
            <w:tcW w:w="1687" w:type="dxa"/>
            <w:gridSpan w:val="2"/>
            <w:tcBorders>
              <w:bottom w:val="single" w:color="auto" w:sz="4" w:space="0"/>
            </w:tcBorders>
            <w:shd w:val="clear" w:color="auto" w:fill="auto"/>
            <w:vAlign w:val="bottom"/>
          </w:tcPr>
          <w:p>
            <w:pPr>
              <w:widowControl/>
              <w:spacing w:line="0" w:lineRule="atLeast"/>
              <w:jc w:val="left"/>
              <w:rPr>
                <w:rFonts w:ascii="Times New Roman" w:hAnsi="Times New Roman" w:eastAsia="Times New Roman" w:cs="Arial"/>
                <w:kern w:val="0"/>
                <w:sz w:val="3"/>
                <w:szCs w:val="20"/>
              </w:rPr>
            </w:pPr>
          </w:p>
        </w:tc>
        <w:tc>
          <w:tcPr>
            <w:tcW w:w="20" w:type="dxa"/>
            <w:tcBorders>
              <w:bottom w:val="single" w:color="auto" w:sz="4" w:space="0"/>
            </w:tcBorders>
            <w:shd w:val="clear" w:color="auto" w:fill="auto"/>
            <w:vAlign w:val="bottom"/>
          </w:tcPr>
          <w:p>
            <w:pPr>
              <w:widowControl/>
              <w:spacing w:line="0" w:lineRule="atLeast"/>
              <w:jc w:val="left"/>
              <w:rPr>
                <w:rFonts w:ascii="Times New Roman" w:hAnsi="Times New Roman" w:eastAsia="Times New Roman" w:cs="Arial"/>
                <w:kern w:val="0"/>
                <w:sz w:val="3"/>
                <w:szCs w:val="20"/>
              </w:rPr>
            </w:pPr>
          </w:p>
        </w:tc>
        <w:tc>
          <w:tcPr>
            <w:tcW w:w="3888" w:type="dxa"/>
            <w:gridSpan w:val="2"/>
            <w:tcBorders>
              <w:bottom w:val="single" w:color="auto" w:sz="4" w:space="0"/>
            </w:tcBorders>
            <w:shd w:val="clear" w:color="auto" w:fill="auto"/>
            <w:vAlign w:val="bottom"/>
          </w:tcPr>
          <w:p>
            <w:pPr>
              <w:widowControl/>
              <w:spacing w:line="0" w:lineRule="atLeast"/>
              <w:jc w:val="left"/>
              <w:rPr>
                <w:rFonts w:ascii="Times New Roman" w:hAnsi="Times New Roman" w:eastAsia="Times New Roman" w:cs="Arial"/>
                <w:kern w:val="0"/>
                <w:sz w:val="3"/>
                <w:szCs w:val="20"/>
              </w:rPr>
            </w:pPr>
          </w:p>
        </w:tc>
        <w:tc>
          <w:tcPr>
            <w:tcW w:w="808" w:type="dxa"/>
            <w:tcBorders>
              <w:bottom w:val="single" w:color="auto" w:sz="4" w:space="0"/>
            </w:tcBorders>
            <w:shd w:val="clear" w:color="auto" w:fill="auto"/>
            <w:vAlign w:val="bottom"/>
          </w:tcPr>
          <w:p>
            <w:pPr>
              <w:widowControl/>
              <w:spacing w:line="0" w:lineRule="atLeast"/>
              <w:jc w:val="left"/>
              <w:rPr>
                <w:rFonts w:ascii="Times New Roman" w:hAnsi="Times New Roman" w:eastAsia="Times New Roman" w:cs="Arial"/>
                <w:kern w:val="0"/>
                <w:sz w:val="3"/>
                <w:szCs w:val="20"/>
              </w:rPr>
            </w:pPr>
          </w:p>
        </w:tc>
        <w:tc>
          <w:tcPr>
            <w:tcW w:w="334" w:type="dxa"/>
            <w:tcBorders>
              <w:bottom w:val="single" w:color="auto" w:sz="4" w:space="0"/>
            </w:tcBorders>
            <w:shd w:val="clear" w:color="auto" w:fill="auto"/>
            <w:vAlign w:val="bottom"/>
          </w:tcPr>
          <w:p>
            <w:pPr>
              <w:widowControl/>
              <w:spacing w:line="0" w:lineRule="atLeast"/>
              <w:jc w:val="left"/>
              <w:rPr>
                <w:rFonts w:ascii="Times New Roman" w:hAnsi="Times New Roman" w:eastAsia="Times New Roman" w:cs="Arial"/>
                <w:kern w:val="0"/>
                <w:sz w:val="3"/>
                <w:szCs w:val="20"/>
              </w:rPr>
            </w:pPr>
          </w:p>
        </w:tc>
        <w:tc>
          <w:tcPr>
            <w:tcW w:w="1286" w:type="dxa"/>
            <w:tcBorders>
              <w:bottom w:val="single" w:color="auto" w:sz="4" w:space="0"/>
            </w:tcBorders>
            <w:shd w:val="clear" w:color="auto" w:fill="auto"/>
            <w:vAlign w:val="bottom"/>
          </w:tcPr>
          <w:p>
            <w:pPr>
              <w:widowControl/>
              <w:spacing w:line="0" w:lineRule="atLeast"/>
              <w:jc w:val="left"/>
              <w:rPr>
                <w:rFonts w:ascii="Times New Roman" w:hAnsi="Times New Roman" w:eastAsia="Times New Roman" w:cs="Arial"/>
                <w:kern w:val="0"/>
                <w:sz w:val="3"/>
                <w:szCs w:val="20"/>
              </w:rPr>
            </w:pPr>
          </w:p>
        </w:tc>
      </w:tr>
      <w:tr>
        <w:tblPrEx>
          <w:tblCellMar>
            <w:top w:w="0" w:type="dxa"/>
            <w:left w:w="0" w:type="dxa"/>
            <w:bottom w:w="0" w:type="dxa"/>
            <w:right w:w="0" w:type="dxa"/>
          </w:tblCellMar>
        </w:tblPrEx>
        <w:trPr>
          <w:trHeight w:val="22" w:hRule="atLeast"/>
        </w:trPr>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序号</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措施名称</w:t>
            </w:r>
          </w:p>
        </w:tc>
        <w:tc>
          <w:tcPr>
            <w:tcW w:w="428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措施内容</w:t>
            </w:r>
          </w:p>
        </w:tc>
        <w:tc>
          <w:tcPr>
            <w:tcW w:w="114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完成时间</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 xml:space="preserve"> </w:t>
            </w:r>
            <w:r>
              <w:rPr>
                <w:rFonts w:cs="Arial" w:asciiTheme="minorEastAsia" w:hAnsiTheme="minorEastAsia"/>
                <w:w w:val="99"/>
                <w:kern w:val="0"/>
                <w:szCs w:val="21"/>
              </w:rPr>
              <w:t>经费(万元)</w:t>
            </w:r>
          </w:p>
        </w:tc>
      </w:tr>
      <w:tr>
        <w:tblPrEx>
          <w:tblCellMar>
            <w:top w:w="0" w:type="dxa"/>
            <w:left w:w="0" w:type="dxa"/>
            <w:bottom w:w="0" w:type="dxa"/>
            <w:right w:w="0" w:type="dxa"/>
          </w:tblCellMar>
        </w:tblPrEx>
        <w:trPr>
          <w:trHeight w:val="22" w:hRule="atLeast"/>
        </w:trPr>
        <w:tc>
          <w:tcPr>
            <w:tcW w:w="687" w:type="dxa"/>
            <w:vMerge w:val="restart"/>
            <w:tcBorders>
              <w:top w:val="single" w:color="auto" w:sz="4" w:space="0"/>
              <w:left w:val="single" w:color="auto" w:sz="4" w:space="0"/>
              <w:right w:val="single" w:color="auto" w:sz="4" w:space="0"/>
            </w:tcBorders>
            <w:shd w:val="clear" w:color="auto" w:fill="auto"/>
            <w:vAlign w:val="center"/>
          </w:tcPr>
          <w:p>
            <w:pPr>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1</w:t>
            </w:r>
          </w:p>
        </w:tc>
        <w:tc>
          <w:tcPr>
            <w:tcW w:w="1312" w:type="dxa"/>
            <w:vMerge w:val="restart"/>
            <w:tcBorders>
              <w:top w:val="single" w:color="auto" w:sz="4" w:space="0"/>
              <w:left w:val="single" w:color="auto" w:sz="4" w:space="0"/>
              <w:right w:val="single" w:color="auto" w:sz="4" w:space="0"/>
            </w:tcBorders>
            <w:shd w:val="clear" w:color="auto" w:fill="auto"/>
            <w:vAlign w:val="center"/>
          </w:tcPr>
          <w:p>
            <w:pPr>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t>水防范措施</w:t>
            </w:r>
          </w:p>
        </w:tc>
        <w:tc>
          <w:tcPr>
            <w:tcW w:w="212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储罐区围堰</w:t>
            </w:r>
          </w:p>
        </w:tc>
        <w:tc>
          <w:tcPr>
            <w:tcW w:w="21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储罐总围堰容积不小于150m</w:t>
            </w:r>
            <w:r>
              <w:rPr>
                <w:rFonts w:hint="eastAsia" w:cs="Arial" w:asciiTheme="minorEastAsia" w:hAnsiTheme="minorEastAsia"/>
                <w:color w:val="0D0D0D" w:themeColor="text1" w:themeTint="F2"/>
                <w:w w:val="99"/>
                <w:kern w:val="0"/>
                <w:szCs w:val="21"/>
                <w:vertAlign w:val="superscript"/>
                <w14:textFill>
                  <w14:solidFill>
                    <w14:schemeClr w14:val="tx1">
                      <w14:lumMod w14:val="95000"/>
                      <w14:lumOff w14:val="5000"/>
                    </w14:schemeClr>
                  </w14:solidFill>
                </w14:textFill>
              </w:rPr>
              <w:t>3</w:t>
            </w:r>
          </w:p>
        </w:tc>
        <w:tc>
          <w:tcPr>
            <w:tcW w:w="1142" w:type="dxa"/>
            <w:gridSpan w:val="2"/>
            <w:vMerge w:val="restart"/>
            <w:tcBorders>
              <w:top w:val="single" w:color="auto" w:sz="4" w:space="0"/>
              <w:left w:val="single" w:color="auto" w:sz="4" w:space="0"/>
              <w:right w:val="single" w:color="auto" w:sz="4" w:space="0"/>
            </w:tcBorders>
            <w:shd w:val="clear" w:color="auto" w:fill="auto"/>
            <w:vAlign w:val="center"/>
          </w:tcPr>
          <w:p>
            <w:pPr>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试生产前</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3.0</w:t>
            </w:r>
          </w:p>
        </w:tc>
      </w:tr>
      <w:tr>
        <w:tblPrEx>
          <w:tblCellMar>
            <w:top w:w="0" w:type="dxa"/>
            <w:left w:w="0" w:type="dxa"/>
            <w:bottom w:w="0" w:type="dxa"/>
            <w:right w:w="0" w:type="dxa"/>
          </w:tblCellMar>
        </w:tblPrEx>
        <w:trPr>
          <w:trHeight w:val="22" w:hRule="atLeast"/>
        </w:trPr>
        <w:tc>
          <w:tcPr>
            <w:tcW w:w="687" w:type="dxa"/>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312" w:type="dxa"/>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p>
        </w:tc>
        <w:tc>
          <w:tcPr>
            <w:tcW w:w="212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事故废水收集池</w:t>
            </w:r>
          </w:p>
        </w:tc>
        <w:tc>
          <w:tcPr>
            <w:tcW w:w="21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1座 500m</w:t>
            </w:r>
            <w:r>
              <w:rPr>
                <w:rFonts w:hint="eastAsia" w:cs="Arial" w:asciiTheme="minorEastAsia" w:hAnsiTheme="minorEastAsia"/>
                <w:color w:val="0D0D0D" w:themeColor="text1" w:themeTint="F2"/>
                <w:w w:val="99"/>
                <w:kern w:val="0"/>
                <w:szCs w:val="21"/>
                <w:vertAlign w:val="superscript"/>
                <w14:textFill>
                  <w14:solidFill>
                    <w14:schemeClr w14:val="tx1">
                      <w14:lumMod w14:val="95000"/>
                      <w14:lumOff w14:val="5000"/>
                    </w14:schemeClr>
                  </w14:solidFill>
                </w14:textFill>
              </w:rPr>
              <w:t>3</w:t>
            </w:r>
          </w:p>
        </w:tc>
        <w:tc>
          <w:tcPr>
            <w:tcW w:w="1142" w:type="dxa"/>
            <w:gridSpan w:val="2"/>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28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5.0</w:t>
            </w:r>
          </w:p>
        </w:tc>
      </w:tr>
      <w:tr>
        <w:tblPrEx>
          <w:tblCellMar>
            <w:top w:w="0" w:type="dxa"/>
            <w:left w:w="0" w:type="dxa"/>
            <w:bottom w:w="0" w:type="dxa"/>
            <w:right w:w="0" w:type="dxa"/>
          </w:tblCellMar>
        </w:tblPrEx>
        <w:trPr>
          <w:trHeight w:val="22" w:hRule="atLeast"/>
        </w:trPr>
        <w:tc>
          <w:tcPr>
            <w:tcW w:w="687" w:type="dxa"/>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312" w:type="dxa"/>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p>
        </w:tc>
        <w:tc>
          <w:tcPr>
            <w:tcW w:w="212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消防水池</w:t>
            </w:r>
          </w:p>
        </w:tc>
        <w:tc>
          <w:tcPr>
            <w:tcW w:w="21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1座, 500m</w:t>
            </w:r>
            <w:r>
              <w:rPr>
                <w:rFonts w:hint="eastAsia" w:cs="Arial" w:asciiTheme="minorEastAsia" w:hAnsiTheme="minorEastAsia"/>
                <w:color w:val="0D0D0D" w:themeColor="text1" w:themeTint="F2"/>
                <w:w w:val="99"/>
                <w:kern w:val="0"/>
                <w:szCs w:val="21"/>
                <w:vertAlign w:val="superscript"/>
                <w14:textFill>
                  <w14:solidFill>
                    <w14:schemeClr w14:val="tx1">
                      <w14:lumMod w14:val="95000"/>
                      <w14:lumOff w14:val="5000"/>
                    </w14:schemeClr>
                  </w14:solidFill>
                </w14:textFill>
              </w:rPr>
              <w:t>3</w:t>
            </w:r>
          </w:p>
        </w:tc>
        <w:tc>
          <w:tcPr>
            <w:tcW w:w="1142" w:type="dxa"/>
            <w:gridSpan w:val="2"/>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2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r>
      <w:tr>
        <w:tblPrEx>
          <w:tblCellMar>
            <w:top w:w="0" w:type="dxa"/>
            <w:left w:w="0" w:type="dxa"/>
            <w:bottom w:w="0" w:type="dxa"/>
            <w:right w:w="0" w:type="dxa"/>
          </w:tblCellMar>
        </w:tblPrEx>
        <w:trPr>
          <w:trHeight w:val="555" w:hRule="atLeast"/>
        </w:trPr>
        <w:tc>
          <w:tcPr>
            <w:tcW w:w="687" w:type="dxa"/>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312" w:type="dxa"/>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p>
        </w:tc>
        <w:tc>
          <w:tcPr>
            <w:tcW w:w="2128" w:type="dxa"/>
            <w:gridSpan w:val="3"/>
            <w:tcBorders>
              <w:top w:val="single" w:color="auto" w:sz="4" w:space="0"/>
              <w:left w:val="single" w:color="auto" w:sz="4" w:space="0"/>
              <w:right w:val="single" w:color="auto" w:sz="4" w:space="0"/>
            </w:tcBorders>
            <w:shd w:val="clear" w:color="auto" w:fill="auto"/>
            <w:vAlign w:val="center"/>
          </w:tcPr>
          <w:p>
            <w:pPr>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车间泄漏液体收集槽</w:t>
            </w:r>
          </w:p>
        </w:tc>
        <w:tc>
          <w:tcPr>
            <w:tcW w:w="2155" w:type="dxa"/>
            <w:tcBorders>
              <w:top w:val="single" w:color="auto" w:sz="4" w:space="0"/>
              <w:left w:val="single" w:color="auto" w:sz="4" w:space="0"/>
              <w:right w:val="single" w:color="auto" w:sz="4" w:space="0"/>
            </w:tcBorders>
            <w:shd w:val="clear" w:color="auto" w:fill="auto"/>
            <w:vAlign w:val="center"/>
          </w:tcPr>
          <w:p>
            <w:pPr>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0.5m</w:t>
            </w:r>
            <w:r>
              <w:rPr>
                <w:rFonts w:hint="eastAsia" w:cs="Arial" w:asciiTheme="minorEastAsia" w:hAnsiTheme="minorEastAsia"/>
                <w:color w:val="0D0D0D" w:themeColor="text1" w:themeTint="F2"/>
                <w:w w:val="99"/>
                <w:kern w:val="0"/>
                <w:szCs w:val="21"/>
                <w:vertAlign w:val="superscript"/>
                <w14:textFill>
                  <w14:solidFill>
                    <w14:schemeClr w14:val="tx1">
                      <w14:lumMod w14:val="95000"/>
                      <w14:lumOff w14:val="5000"/>
                    </w14:schemeClr>
                  </w14:solidFill>
                </w14:textFill>
              </w:rPr>
              <w:t>3</w:t>
            </w: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/个，3个</w:t>
            </w:r>
          </w:p>
        </w:tc>
        <w:tc>
          <w:tcPr>
            <w:tcW w:w="1142" w:type="dxa"/>
            <w:gridSpan w:val="2"/>
            <w:vMerge w:val="continue"/>
            <w:tcBorders>
              <w:left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2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r>
      <w:tr>
        <w:tblPrEx>
          <w:tblCellMar>
            <w:top w:w="0" w:type="dxa"/>
            <w:left w:w="0" w:type="dxa"/>
            <w:bottom w:w="0" w:type="dxa"/>
            <w:right w:w="0" w:type="dxa"/>
          </w:tblCellMar>
        </w:tblPrEx>
        <w:trPr>
          <w:trHeight w:val="22" w:hRule="atLeast"/>
        </w:trPr>
        <w:tc>
          <w:tcPr>
            <w:tcW w:w="687" w:type="dxa"/>
            <w:vMerge w:val="continue"/>
            <w:tcBorders>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312" w:type="dxa"/>
            <w:vMerge w:val="continue"/>
            <w:tcBorders>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p>
        </w:tc>
        <w:tc>
          <w:tcPr>
            <w:tcW w:w="2128"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厂区雨水、污水排放口应急切断阀门</w:t>
            </w:r>
          </w:p>
        </w:tc>
        <w:tc>
          <w:tcPr>
            <w:tcW w:w="215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color w:val="0D0D0D" w:themeColor="text1" w:themeTint="F2"/>
                <w:w w:val="99"/>
                <w:kern w:val="0"/>
                <w:szCs w:val="21"/>
                <w14:textFill>
                  <w14:solidFill>
                    <w14:schemeClr w14:val="tx1">
                      <w14:lumMod w14:val="95000"/>
                      <w14:lumOff w14:val="5000"/>
                    </w14:schemeClr>
                  </w14:solidFill>
                </w14:textFill>
              </w:rPr>
            </w:pPr>
            <w:r>
              <w:rPr>
                <w:rFonts w:hint="eastAsia" w:cs="Arial" w:asciiTheme="minorEastAsia" w:hAnsiTheme="minorEastAsia"/>
                <w:color w:val="0D0D0D" w:themeColor="text1" w:themeTint="F2"/>
                <w:w w:val="99"/>
                <w:kern w:val="0"/>
                <w:szCs w:val="21"/>
                <w14:textFill>
                  <w14:solidFill>
                    <w14:schemeClr w14:val="tx1">
                      <w14:lumMod w14:val="95000"/>
                      <w14:lumOff w14:val="5000"/>
                    </w14:schemeClr>
                  </w14:solidFill>
                </w14:textFill>
              </w:rPr>
              <w:t>2个</w:t>
            </w:r>
          </w:p>
        </w:tc>
        <w:tc>
          <w:tcPr>
            <w:tcW w:w="1142" w:type="dxa"/>
            <w:gridSpan w:val="2"/>
            <w:vMerge w:val="continue"/>
            <w:tcBorders>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c>
          <w:tcPr>
            <w:tcW w:w="12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p>
        </w:tc>
      </w:tr>
      <w:tr>
        <w:tblPrEx>
          <w:tblCellMar>
            <w:top w:w="0" w:type="dxa"/>
            <w:left w:w="0" w:type="dxa"/>
            <w:bottom w:w="0" w:type="dxa"/>
            <w:right w:w="0" w:type="dxa"/>
          </w:tblCellMar>
        </w:tblPrEx>
        <w:trPr>
          <w:trHeight w:val="22" w:hRule="atLeast"/>
        </w:trPr>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2</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气防范措施</w:t>
            </w:r>
          </w:p>
        </w:tc>
        <w:tc>
          <w:tcPr>
            <w:tcW w:w="428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ind w:left="80"/>
              <w:jc w:val="center"/>
              <w:rPr>
                <w:rFonts w:cs="Arial" w:asciiTheme="minorEastAsia" w:hAnsiTheme="minorEastAsia"/>
                <w:w w:val="99"/>
                <w:kern w:val="0"/>
                <w:szCs w:val="21"/>
              </w:rPr>
            </w:pPr>
            <w:r>
              <w:rPr>
                <w:rFonts w:hint="eastAsia" w:cs="Arial" w:asciiTheme="minorEastAsia" w:hAnsiTheme="minorEastAsia"/>
                <w:w w:val="99"/>
                <w:kern w:val="0"/>
                <w:szCs w:val="21"/>
              </w:rPr>
              <w:t>生产自动化控制系统14套，气</w:t>
            </w:r>
            <w:r>
              <w:rPr>
                <w:rFonts w:cs="Arial" w:asciiTheme="minorEastAsia" w:hAnsiTheme="minorEastAsia"/>
                <w:w w:val="99"/>
                <w:kern w:val="0"/>
                <w:szCs w:val="21"/>
              </w:rPr>
              <w:t>体泄漏检测报警装置和火灾报警系统</w:t>
            </w:r>
            <w:r>
              <w:rPr>
                <w:rFonts w:hint="eastAsia" w:cs="Arial" w:asciiTheme="minorEastAsia" w:hAnsiTheme="minorEastAsia"/>
                <w:w w:val="99"/>
                <w:kern w:val="0"/>
                <w:szCs w:val="21"/>
              </w:rPr>
              <w:t>各10套。</w:t>
            </w:r>
          </w:p>
        </w:tc>
        <w:tc>
          <w:tcPr>
            <w:tcW w:w="114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试生产前</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14</w:t>
            </w:r>
            <w:r>
              <w:rPr>
                <w:rFonts w:cs="Arial" w:asciiTheme="minorEastAsia" w:hAnsiTheme="minorEastAsia"/>
                <w:w w:val="99"/>
                <w:kern w:val="0"/>
                <w:szCs w:val="21"/>
              </w:rPr>
              <w:t>.5</w:t>
            </w:r>
          </w:p>
        </w:tc>
      </w:tr>
      <w:tr>
        <w:tblPrEx>
          <w:tblCellMar>
            <w:top w:w="0" w:type="dxa"/>
            <w:left w:w="0" w:type="dxa"/>
            <w:bottom w:w="0" w:type="dxa"/>
            <w:right w:w="0" w:type="dxa"/>
          </w:tblCellMar>
        </w:tblPrEx>
        <w:trPr>
          <w:trHeight w:val="22" w:hRule="atLeast"/>
        </w:trPr>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3</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应急</w:t>
            </w:r>
            <w:r>
              <w:rPr>
                <w:rFonts w:hint="eastAsia" w:cs="Arial" w:asciiTheme="minorEastAsia" w:hAnsiTheme="minorEastAsia"/>
                <w:w w:val="99"/>
                <w:kern w:val="0"/>
                <w:szCs w:val="21"/>
              </w:rPr>
              <w:t>装备</w:t>
            </w:r>
          </w:p>
        </w:tc>
        <w:tc>
          <w:tcPr>
            <w:tcW w:w="428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应急监测设施和</w:t>
            </w:r>
            <w:r>
              <w:rPr>
                <w:rFonts w:hint="eastAsia" w:cs="Arial" w:asciiTheme="minorEastAsia" w:hAnsiTheme="minorEastAsia"/>
                <w:w w:val="99"/>
                <w:kern w:val="0"/>
                <w:szCs w:val="21"/>
              </w:rPr>
              <w:t>应急</w:t>
            </w:r>
            <w:r>
              <w:rPr>
                <w:rFonts w:cs="Arial" w:asciiTheme="minorEastAsia" w:hAnsiTheme="minorEastAsia"/>
                <w:w w:val="99"/>
                <w:kern w:val="0"/>
                <w:szCs w:val="21"/>
              </w:rPr>
              <w:t>物资</w:t>
            </w:r>
          </w:p>
        </w:tc>
        <w:tc>
          <w:tcPr>
            <w:tcW w:w="114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试生产前</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1</w:t>
            </w:r>
            <w:r>
              <w:rPr>
                <w:rFonts w:cs="Arial" w:asciiTheme="minorEastAsia" w:hAnsiTheme="minorEastAsia"/>
                <w:w w:val="99"/>
                <w:kern w:val="0"/>
                <w:szCs w:val="21"/>
              </w:rPr>
              <w:t>.5</w:t>
            </w:r>
          </w:p>
        </w:tc>
      </w:tr>
      <w:tr>
        <w:tblPrEx>
          <w:tblCellMar>
            <w:top w:w="0" w:type="dxa"/>
            <w:left w:w="0" w:type="dxa"/>
            <w:bottom w:w="0" w:type="dxa"/>
            <w:right w:w="0" w:type="dxa"/>
          </w:tblCellMar>
        </w:tblPrEx>
        <w:trPr>
          <w:trHeight w:val="22" w:hRule="atLeast"/>
        </w:trPr>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4</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设备安全防护系统</w:t>
            </w:r>
          </w:p>
        </w:tc>
        <w:tc>
          <w:tcPr>
            <w:tcW w:w="428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ind w:left="80"/>
              <w:jc w:val="center"/>
              <w:rPr>
                <w:rFonts w:cs="Arial" w:asciiTheme="minorEastAsia" w:hAnsiTheme="minorEastAsia"/>
                <w:w w:val="99"/>
                <w:kern w:val="0"/>
                <w:szCs w:val="21"/>
              </w:rPr>
            </w:pPr>
            <w:r>
              <w:rPr>
                <w:rFonts w:hint="eastAsia" w:cs="Arial" w:asciiTheme="minorEastAsia" w:hAnsiTheme="minorEastAsia"/>
                <w:w w:val="99"/>
                <w:kern w:val="0"/>
                <w:szCs w:val="21"/>
              </w:rPr>
              <w:t>电器过载保护设施、防雷、静电设</w:t>
            </w:r>
            <w:r>
              <w:rPr>
                <w:rFonts w:cs="Arial" w:asciiTheme="minorEastAsia" w:hAnsiTheme="minorEastAsia"/>
                <w:w w:val="99"/>
                <w:kern w:val="0"/>
                <w:szCs w:val="21"/>
              </w:rPr>
              <w:t>备等；自动联锁控制系统、爆破片、安全阀、放空管等</w:t>
            </w:r>
          </w:p>
        </w:tc>
        <w:tc>
          <w:tcPr>
            <w:tcW w:w="114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试生产前</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2</w:t>
            </w:r>
          </w:p>
        </w:tc>
      </w:tr>
      <w:tr>
        <w:tblPrEx>
          <w:tblCellMar>
            <w:top w:w="0" w:type="dxa"/>
            <w:left w:w="0" w:type="dxa"/>
            <w:bottom w:w="0" w:type="dxa"/>
            <w:right w:w="0" w:type="dxa"/>
          </w:tblCellMar>
        </w:tblPrEx>
        <w:trPr>
          <w:trHeight w:val="22" w:hRule="atLeast"/>
        </w:trPr>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5</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个体救护</w:t>
            </w:r>
          </w:p>
        </w:tc>
        <w:tc>
          <w:tcPr>
            <w:tcW w:w="428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ind w:left="80"/>
              <w:jc w:val="center"/>
              <w:rPr>
                <w:rFonts w:cs="Arial" w:asciiTheme="minorEastAsia" w:hAnsiTheme="minorEastAsia"/>
                <w:w w:val="99"/>
                <w:kern w:val="0"/>
                <w:szCs w:val="21"/>
              </w:rPr>
            </w:pPr>
            <w:r>
              <w:rPr>
                <w:rFonts w:cs="Arial" w:asciiTheme="minorEastAsia" w:hAnsiTheme="minorEastAsia"/>
                <w:w w:val="99"/>
                <w:kern w:val="0"/>
                <w:szCs w:val="21"/>
              </w:rPr>
              <w:t>洗眼器、应急照明灯、防毒面具、急救箱</w:t>
            </w:r>
          </w:p>
        </w:tc>
        <w:tc>
          <w:tcPr>
            <w:tcW w:w="114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试生产前</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1.5</w:t>
            </w:r>
          </w:p>
        </w:tc>
      </w:tr>
      <w:tr>
        <w:tblPrEx>
          <w:tblCellMar>
            <w:top w:w="0" w:type="dxa"/>
            <w:left w:w="0" w:type="dxa"/>
            <w:bottom w:w="0" w:type="dxa"/>
            <w:right w:w="0" w:type="dxa"/>
          </w:tblCellMar>
        </w:tblPrEx>
        <w:trPr>
          <w:trHeight w:val="22" w:hRule="atLeast"/>
        </w:trPr>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6</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应急预案</w:t>
            </w:r>
          </w:p>
        </w:tc>
        <w:tc>
          <w:tcPr>
            <w:tcW w:w="428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ind w:left="80"/>
              <w:jc w:val="center"/>
              <w:rPr>
                <w:rFonts w:cs="Arial" w:asciiTheme="minorEastAsia" w:hAnsiTheme="minorEastAsia"/>
                <w:w w:val="99"/>
                <w:kern w:val="0"/>
                <w:szCs w:val="21"/>
              </w:rPr>
            </w:pPr>
            <w:r>
              <w:rPr>
                <w:rFonts w:hint="eastAsia" w:cs="Arial" w:asciiTheme="minorEastAsia" w:hAnsiTheme="minorEastAsia"/>
                <w:w w:val="99"/>
                <w:kern w:val="0"/>
                <w:szCs w:val="21"/>
              </w:rPr>
              <w:t>建立环境应急救援组织体系，制定环境应急预案、开展环境应急演练等</w:t>
            </w:r>
          </w:p>
        </w:tc>
        <w:tc>
          <w:tcPr>
            <w:tcW w:w="114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试生产前</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2.0</w:t>
            </w:r>
          </w:p>
        </w:tc>
      </w:tr>
      <w:tr>
        <w:tblPrEx>
          <w:tblCellMar>
            <w:top w:w="0" w:type="dxa"/>
            <w:left w:w="0" w:type="dxa"/>
            <w:bottom w:w="0" w:type="dxa"/>
            <w:right w:w="0" w:type="dxa"/>
          </w:tblCellMar>
        </w:tblPrEx>
        <w:trPr>
          <w:trHeight w:val="22" w:hRule="atLeast"/>
        </w:trPr>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cs="Arial" w:asciiTheme="minorEastAsia" w:hAnsiTheme="minorEastAsia"/>
                <w:w w:val="99"/>
                <w:kern w:val="0"/>
                <w:szCs w:val="21"/>
              </w:rPr>
              <w:t>合计</w:t>
            </w:r>
          </w:p>
        </w:tc>
        <w:tc>
          <w:tcPr>
            <w:tcW w:w="13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w:t>
            </w:r>
          </w:p>
        </w:tc>
        <w:tc>
          <w:tcPr>
            <w:tcW w:w="428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ind w:left="1260"/>
              <w:jc w:val="center"/>
              <w:rPr>
                <w:rFonts w:cs="Arial" w:asciiTheme="minorEastAsia" w:hAnsiTheme="minorEastAsia"/>
                <w:w w:val="99"/>
                <w:kern w:val="0"/>
                <w:szCs w:val="21"/>
              </w:rPr>
            </w:pPr>
            <w:r>
              <w:rPr>
                <w:rFonts w:cs="Arial" w:asciiTheme="minorEastAsia" w:hAnsiTheme="minorEastAsia"/>
                <w:w w:val="99"/>
                <w:kern w:val="0"/>
                <w:szCs w:val="21"/>
              </w:rPr>
              <w:t>/</w:t>
            </w:r>
          </w:p>
        </w:tc>
        <w:tc>
          <w:tcPr>
            <w:tcW w:w="114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w:t>
            </w:r>
          </w:p>
        </w:tc>
        <w:tc>
          <w:tcPr>
            <w:tcW w:w="12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0" w:lineRule="atLeast"/>
              <w:jc w:val="center"/>
              <w:rPr>
                <w:rFonts w:cs="Arial" w:asciiTheme="minorEastAsia" w:hAnsiTheme="minorEastAsia"/>
                <w:w w:val="99"/>
                <w:kern w:val="0"/>
                <w:szCs w:val="21"/>
              </w:rPr>
            </w:pPr>
            <w:r>
              <w:rPr>
                <w:rFonts w:hint="eastAsia" w:cs="Arial" w:asciiTheme="minorEastAsia" w:hAnsiTheme="minorEastAsia"/>
                <w:w w:val="99"/>
                <w:kern w:val="0"/>
                <w:szCs w:val="21"/>
              </w:rPr>
              <w:t>30.0</w:t>
            </w:r>
          </w:p>
        </w:tc>
      </w:tr>
    </w:tbl>
    <w:p>
      <w:pPr>
        <w:spacing w:line="360" w:lineRule="auto"/>
        <w:rPr>
          <w:rFonts w:asciiTheme="minorEastAsia" w:hAnsiTheme="minorEastAsia"/>
          <w:b/>
          <w:sz w:val="30"/>
          <w:szCs w:val="30"/>
        </w:rPr>
      </w:pPr>
      <w:r>
        <w:rPr>
          <w:rFonts w:hint="eastAsia" w:asciiTheme="minorEastAsia" w:hAnsiTheme="minorEastAsia"/>
          <w:b/>
          <w:sz w:val="30"/>
          <w:szCs w:val="30"/>
        </w:rPr>
        <w:t>6.8环境风险评价结论</w:t>
      </w:r>
    </w:p>
    <w:p>
      <w:pPr>
        <w:pStyle w:val="99"/>
        <w:ind w:firstLine="480" w:firstLineChars="200"/>
        <w:rPr>
          <w:rFonts w:ascii="宋体" w:hAnsi="宋体"/>
          <w:color w:val="0D0D0D"/>
          <w:sz w:val="24"/>
        </w:rPr>
      </w:pPr>
      <w:r>
        <w:rPr>
          <w:rFonts w:ascii="宋体" w:hAnsi="宋体"/>
          <w:color w:val="0D0D0D"/>
          <w:sz w:val="24"/>
        </w:rPr>
        <w:t>综上</w:t>
      </w:r>
      <w:r>
        <w:rPr>
          <w:rFonts w:hint="eastAsia" w:ascii="宋体" w:hAnsi="宋体"/>
          <w:color w:val="0D0D0D"/>
          <w:sz w:val="24"/>
        </w:rPr>
        <w:t>分析</w:t>
      </w:r>
      <w:r>
        <w:rPr>
          <w:rFonts w:ascii="宋体" w:hAnsi="宋体"/>
          <w:color w:val="0D0D0D"/>
          <w:sz w:val="24"/>
        </w:rPr>
        <w:t>，本项目</w:t>
      </w:r>
      <w:r>
        <w:rPr>
          <w:rFonts w:hint="eastAsia" w:ascii="宋体" w:hAnsi="宋体"/>
          <w:color w:val="0D0D0D"/>
          <w:sz w:val="24"/>
        </w:rPr>
        <w:t>环境风险潜势较低，周边环境敏感程度不高，发生环境风险事故对周边环境的影响不大；</w:t>
      </w:r>
      <w:r>
        <w:rPr>
          <w:rFonts w:ascii="宋体" w:hAnsi="宋体"/>
          <w:color w:val="0D0D0D"/>
          <w:sz w:val="24"/>
        </w:rPr>
        <w:t>营运期</w:t>
      </w:r>
      <w:r>
        <w:rPr>
          <w:rFonts w:hint="eastAsia" w:ascii="宋体" w:hAnsi="宋体"/>
          <w:color w:val="0D0D0D"/>
          <w:sz w:val="24"/>
        </w:rPr>
        <w:t>采取的环境</w:t>
      </w:r>
      <w:r>
        <w:rPr>
          <w:rFonts w:ascii="宋体" w:hAnsi="宋体"/>
          <w:color w:val="0D0D0D"/>
          <w:sz w:val="24"/>
        </w:rPr>
        <w:t>风险防范措施</w:t>
      </w:r>
      <w:r>
        <w:rPr>
          <w:rFonts w:hint="eastAsia" w:ascii="宋体" w:hAnsi="宋体"/>
          <w:color w:val="0D0D0D"/>
          <w:sz w:val="24"/>
        </w:rPr>
        <w:t>比较有效</w:t>
      </w:r>
      <w:r>
        <w:rPr>
          <w:rFonts w:ascii="宋体" w:hAnsi="宋体"/>
          <w:color w:val="0D0D0D"/>
          <w:sz w:val="24"/>
        </w:rPr>
        <w:t>，</w:t>
      </w:r>
      <w:r>
        <w:rPr>
          <w:rFonts w:hint="eastAsia" w:ascii="宋体" w:hAnsi="宋体"/>
          <w:color w:val="0D0D0D"/>
          <w:sz w:val="24"/>
        </w:rPr>
        <w:t>能够有效防范环境风险</w:t>
      </w:r>
      <w:r>
        <w:rPr>
          <w:rFonts w:ascii="宋体" w:hAnsi="宋体"/>
          <w:color w:val="0D0D0D"/>
          <w:sz w:val="24"/>
        </w:rPr>
        <w:t>事故的</w:t>
      </w:r>
      <w:r>
        <w:rPr>
          <w:rFonts w:hint="eastAsia" w:ascii="宋体" w:hAnsi="宋体"/>
          <w:color w:val="0D0D0D"/>
          <w:sz w:val="24"/>
        </w:rPr>
        <w:t>发生</w:t>
      </w:r>
      <w:r>
        <w:rPr>
          <w:rFonts w:ascii="宋体" w:hAnsi="宋体"/>
          <w:color w:val="0D0D0D"/>
          <w:sz w:val="24"/>
        </w:rPr>
        <w:t>，环境风险</w:t>
      </w:r>
      <w:r>
        <w:rPr>
          <w:rFonts w:hint="eastAsia" w:ascii="宋体" w:hAnsi="宋体"/>
          <w:color w:val="0D0D0D"/>
          <w:sz w:val="24"/>
        </w:rPr>
        <w:t>水平</w:t>
      </w:r>
      <w:r>
        <w:rPr>
          <w:rFonts w:ascii="宋体" w:hAnsi="宋体"/>
          <w:color w:val="0D0D0D"/>
          <w:sz w:val="24"/>
        </w:rPr>
        <w:t>可以接受。</w:t>
      </w:r>
    </w:p>
    <w:p>
      <w:pPr>
        <w:spacing w:line="360" w:lineRule="auto"/>
        <w:jc w:val="center"/>
        <w:rPr>
          <w:rFonts w:asciiTheme="minorEastAsia" w:hAnsiTheme="minorEastAsia"/>
          <w:b/>
          <w:sz w:val="24"/>
          <w:szCs w:val="24"/>
        </w:rPr>
      </w:pPr>
      <w:r>
        <w:rPr>
          <w:rFonts w:hint="eastAsia" w:asciiTheme="minorEastAsia" w:hAnsiTheme="minorEastAsia"/>
          <w:b/>
          <w:sz w:val="24"/>
          <w:szCs w:val="24"/>
        </w:rPr>
        <w:t>6.8-1     环境风险简单分析内容表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5"/>
        <w:gridCol w:w="6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155" w:type="dxa"/>
            <w:shd w:val="clear" w:color="auto" w:fill="auto"/>
            <w:vAlign w:val="center"/>
          </w:tcPr>
          <w:p>
            <w:pPr>
              <w:jc w:val="center"/>
              <w:rPr>
                <w:rFonts w:ascii="宋体" w:hAnsi="宋体" w:eastAsia="宋体" w:cs="Times New Roman"/>
                <w:color w:val="0D0D0D"/>
                <w:szCs w:val="21"/>
              </w:rPr>
            </w:pPr>
            <w:r>
              <w:rPr>
                <w:rFonts w:hint="eastAsia" w:ascii="宋体" w:hAnsi="宋体" w:eastAsia="宋体" w:cs="Times New Roman"/>
                <w:color w:val="0D0D0D"/>
                <w:szCs w:val="21"/>
              </w:rPr>
              <w:t>建设项目名称</w:t>
            </w:r>
          </w:p>
        </w:tc>
        <w:tc>
          <w:tcPr>
            <w:tcW w:w="6639" w:type="dxa"/>
            <w:shd w:val="clear" w:color="auto" w:fill="auto"/>
          </w:tcPr>
          <w:p>
            <w:pPr>
              <w:rPr>
                <w:rFonts w:ascii="宋体" w:hAnsi="宋体" w:eastAsia="宋体" w:cs="Times New Roman"/>
                <w:color w:val="0D0D0D"/>
                <w:szCs w:val="21"/>
              </w:rPr>
            </w:pPr>
            <w:r>
              <w:rPr>
                <w:rFonts w:hint="eastAsia" w:ascii="宋体" w:hAnsi="宋体" w:eastAsia="宋体" w:cs="Times New Roman"/>
                <w:color w:val="0D0D0D"/>
                <w:szCs w:val="21"/>
              </w:rPr>
              <w:t>西平县景虹再生资源有限公司年处理10万吨废轮胎低温裂解无害化资源化环保处理及循环再利用建设项目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155" w:type="dxa"/>
            <w:shd w:val="clear" w:color="auto" w:fill="auto"/>
            <w:vAlign w:val="center"/>
          </w:tcPr>
          <w:p>
            <w:pPr>
              <w:jc w:val="center"/>
              <w:rPr>
                <w:rFonts w:ascii="宋体" w:hAnsi="宋体" w:eastAsia="宋体" w:cs="Times New Roman"/>
                <w:color w:val="0D0D0D"/>
                <w:szCs w:val="21"/>
              </w:rPr>
            </w:pPr>
            <w:r>
              <w:rPr>
                <w:rFonts w:hint="eastAsia" w:ascii="宋体" w:hAnsi="宋体" w:eastAsia="宋体" w:cs="Times New Roman"/>
                <w:color w:val="0D0D0D"/>
                <w:szCs w:val="21"/>
              </w:rPr>
              <w:t>建设地点</w:t>
            </w:r>
          </w:p>
        </w:tc>
        <w:tc>
          <w:tcPr>
            <w:tcW w:w="6639" w:type="dxa"/>
            <w:shd w:val="clear" w:color="auto" w:fill="auto"/>
          </w:tcPr>
          <w:p>
            <w:pPr>
              <w:rPr>
                <w:rFonts w:ascii="宋体" w:hAnsi="宋体" w:eastAsia="宋体" w:cs="Times New Roman"/>
                <w:color w:val="0D0D0D"/>
                <w:szCs w:val="21"/>
              </w:rPr>
            </w:pPr>
            <w:r>
              <w:rPr>
                <w:rFonts w:hint="eastAsia" w:ascii="宋体" w:hAnsi="宋体" w:eastAsia="宋体" w:cs="Times New Roman"/>
                <w:color w:val="0D0D0D"/>
                <w:szCs w:val="21"/>
              </w:rPr>
              <w:t>西平县产业集聚区启航路静脉产业园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155" w:type="dxa"/>
            <w:shd w:val="clear" w:color="auto" w:fill="auto"/>
            <w:vAlign w:val="center"/>
          </w:tcPr>
          <w:p>
            <w:pPr>
              <w:jc w:val="center"/>
              <w:rPr>
                <w:rFonts w:ascii="宋体" w:hAnsi="宋体" w:eastAsia="宋体" w:cs="Times New Roman"/>
                <w:color w:val="0D0D0D"/>
                <w:szCs w:val="21"/>
              </w:rPr>
            </w:pPr>
            <w:r>
              <w:rPr>
                <w:rFonts w:hint="eastAsia" w:ascii="宋体" w:hAnsi="宋体" w:eastAsia="宋体" w:cs="Times New Roman"/>
                <w:color w:val="0D0D0D"/>
                <w:szCs w:val="21"/>
              </w:rPr>
              <w:t>地理坐标</w:t>
            </w:r>
          </w:p>
        </w:tc>
        <w:tc>
          <w:tcPr>
            <w:tcW w:w="6639" w:type="dxa"/>
            <w:shd w:val="clear" w:color="auto" w:fill="auto"/>
          </w:tcPr>
          <w:p>
            <w:pPr>
              <w:rPr>
                <w:rFonts w:ascii="宋体" w:hAnsi="宋体" w:eastAsia="宋体" w:cs="Times New Roman"/>
                <w:color w:val="0D0D0D"/>
                <w:szCs w:val="21"/>
              </w:rPr>
            </w:pPr>
            <w:r>
              <w:rPr>
                <w:rFonts w:hint="eastAsia" w:ascii="宋体" w:hAnsi="宋体" w:eastAsia="宋体" w:cs="Times New Roman"/>
                <w:color w:val="0D0D0D"/>
                <w:szCs w:val="21"/>
              </w:rPr>
              <w:t>经度：</w:t>
            </w:r>
            <w:r>
              <w:rPr>
                <w:rFonts w:ascii="宋体" w:hAnsi="宋体" w:eastAsia="宋体" w:cs="Times New Roman"/>
                <w:color w:val="0D0D0D"/>
                <w:szCs w:val="21"/>
              </w:rPr>
              <w:t>114.051561</w:t>
            </w:r>
            <w:r>
              <w:rPr>
                <w:rFonts w:hint="eastAsia" w:ascii="宋体" w:hAnsi="宋体" w:eastAsia="宋体" w:cs="Times New Roman"/>
                <w:color w:val="0D0D0D"/>
                <w:szCs w:val="21"/>
              </w:rPr>
              <w:t xml:space="preserve">   纬度:</w:t>
            </w:r>
            <w:r>
              <w:rPr>
                <w:rFonts w:ascii="宋体" w:hAnsi="宋体" w:eastAsia="宋体" w:cs="Times New Roman"/>
                <w:color w:val="0D0D0D"/>
                <w:szCs w:val="21"/>
              </w:rPr>
              <w:t xml:space="preserve"> 33.351968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2155" w:type="dxa"/>
            <w:shd w:val="clear" w:color="auto" w:fill="auto"/>
            <w:vAlign w:val="center"/>
          </w:tcPr>
          <w:p>
            <w:pPr>
              <w:jc w:val="center"/>
              <w:rPr>
                <w:rFonts w:ascii="宋体" w:hAnsi="宋体" w:eastAsia="宋体" w:cs="Times New Roman"/>
                <w:color w:val="0D0D0D"/>
                <w:szCs w:val="21"/>
              </w:rPr>
            </w:pPr>
            <w:r>
              <w:rPr>
                <w:rFonts w:hint="eastAsia" w:ascii="宋体" w:hAnsi="宋体" w:eastAsia="宋体" w:cs="Times New Roman"/>
                <w:color w:val="0D0D0D"/>
                <w:szCs w:val="21"/>
              </w:rPr>
              <w:t>主要危险物质及分布</w:t>
            </w:r>
          </w:p>
        </w:tc>
        <w:tc>
          <w:tcPr>
            <w:tcW w:w="6639" w:type="dxa"/>
            <w:shd w:val="clear" w:color="auto" w:fill="auto"/>
          </w:tcPr>
          <w:p>
            <w:pPr>
              <w:rPr>
                <w:rFonts w:ascii="宋体" w:hAnsi="宋体" w:eastAsia="宋体" w:cs="Times New Roman"/>
                <w:color w:val="0D0D0D"/>
                <w:szCs w:val="21"/>
              </w:rPr>
            </w:pPr>
            <w:r>
              <w:rPr>
                <w:rFonts w:hint="eastAsia" w:ascii="宋体" w:hAnsi="宋体" w:eastAsia="宋体" w:cs="Times New Roman"/>
                <w:color w:val="0D0D0D"/>
                <w:szCs w:val="21"/>
              </w:rPr>
              <w:t>热裂解油、柴油、废油泥渣、氢氧化钠等，主要分布辅料库、储罐区及危废库等。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2155" w:type="dxa"/>
            <w:shd w:val="clear" w:color="auto" w:fill="auto"/>
            <w:vAlign w:val="center"/>
          </w:tcPr>
          <w:p>
            <w:pPr>
              <w:jc w:val="center"/>
              <w:rPr>
                <w:rFonts w:ascii="宋体" w:hAnsi="宋体" w:eastAsia="宋体" w:cs="Times New Roman"/>
                <w:color w:val="0D0D0D"/>
                <w:szCs w:val="21"/>
              </w:rPr>
            </w:pPr>
            <w:r>
              <w:rPr>
                <w:rFonts w:hint="eastAsia" w:ascii="宋体" w:hAnsi="宋体" w:eastAsia="宋体" w:cs="Times New Roman"/>
                <w:color w:val="0D0D0D"/>
                <w:szCs w:val="21"/>
              </w:rPr>
              <w:t>环境影响途径及危害后果（大气、地表水、地下水等）</w:t>
            </w:r>
          </w:p>
        </w:tc>
        <w:tc>
          <w:tcPr>
            <w:tcW w:w="6639" w:type="dxa"/>
            <w:shd w:val="clear" w:color="auto" w:fill="auto"/>
          </w:tcPr>
          <w:p>
            <w:pPr>
              <w:rPr>
                <w:rFonts w:ascii="宋体" w:hAnsi="宋体" w:eastAsia="宋体" w:cs="Times New Roman"/>
                <w:color w:val="0D0D0D"/>
                <w:szCs w:val="21"/>
              </w:rPr>
            </w:pPr>
            <w:r>
              <w:rPr>
                <w:rFonts w:hint="eastAsia" w:ascii="宋体" w:hAnsi="宋体" w:eastAsia="宋体" w:cs="Times New Roman"/>
                <w:color w:val="0D0D0D"/>
                <w:szCs w:val="21"/>
              </w:rPr>
              <w:t>项目储罐泄漏、化学品原料及危废包装袋（桶）破埙、车间设备泄漏、废水收集管道及水处理池泄漏、消防废水泄漏等，可能导致污染物进入土壤、地表水及地下水环境造成污染影响；挥发的有害气体或发生火灾产生的次生大气污染物排放大气环境，对周边环境空气造成污染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5" w:hRule="atLeast"/>
        </w:trPr>
        <w:tc>
          <w:tcPr>
            <w:tcW w:w="2155" w:type="dxa"/>
            <w:shd w:val="clear" w:color="auto" w:fill="auto"/>
            <w:vAlign w:val="center"/>
          </w:tcPr>
          <w:p>
            <w:pPr>
              <w:jc w:val="center"/>
              <w:rPr>
                <w:rFonts w:ascii="宋体" w:hAnsi="宋体" w:eastAsia="宋体" w:cs="Times New Roman"/>
                <w:color w:val="0D0D0D"/>
                <w:szCs w:val="21"/>
              </w:rPr>
            </w:pPr>
            <w:r>
              <w:rPr>
                <w:rFonts w:hint="eastAsia" w:ascii="宋体" w:hAnsi="宋体" w:eastAsia="宋体" w:cs="Times New Roman"/>
                <w:color w:val="0D0D0D"/>
                <w:szCs w:val="21"/>
              </w:rPr>
              <w:t>风险防范措施要求</w:t>
            </w:r>
          </w:p>
        </w:tc>
        <w:tc>
          <w:tcPr>
            <w:tcW w:w="6639" w:type="dxa"/>
            <w:shd w:val="clear" w:color="auto" w:fill="auto"/>
          </w:tcPr>
          <w:p>
            <w:pPr>
              <w:rPr>
                <w:rFonts w:ascii="宋体" w:hAnsi="宋体" w:eastAsia="宋体" w:cs="Times New Roman"/>
                <w:color w:val="0D0D0D"/>
                <w:szCs w:val="21"/>
              </w:rPr>
            </w:pPr>
            <w:r>
              <w:rPr>
                <w:rFonts w:hint="eastAsia" w:ascii="宋体" w:hAnsi="宋体" w:eastAsia="宋体" w:cs="Times New Roman"/>
                <w:color w:val="0D0D0D"/>
                <w:szCs w:val="21"/>
              </w:rPr>
              <w:t>①选址、总图布置和建筑安全防范措施。厂区建（构）筑物应严格按照《建筑设计防火规范》（GB50016-2006）等有关防火规定进行设计。按照生产工艺流程和消防安全的要求，厂房的主要安全通道宽度按大于3m设计，通道两侧边缘涂上醒目的安全标志线，每个工位与安全通道相连，既达到物流顺畅，又便于人员安全疏散。在车间周围设有道路，并与厂区主、次干道相连，以保证消防车辆畅通无阻。</w:t>
            </w:r>
          </w:p>
          <w:p>
            <w:pPr>
              <w:rPr>
                <w:rFonts w:ascii="宋体" w:hAnsi="宋体" w:eastAsia="宋体" w:cs="Times New Roman"/>
                <w:color w:val="0D0D0D"/>
                <w:szCs w:val="21"/>
              </w:rPr>
            </w:pPr>
            <w:r>
              <w:rPr>
                <w:rFonts w:hint="eastAsia" w:ascii="宋体" w:hAnsi="宋体" w:eastAsia="宋体" w:cs="Times New Roman"/>
                <w:color w:val="0D0D0D"/>
                <w:szCs w:val="21"/>
              </w:rPr>
              <w:t>②物料储存风险防范措施。危险化学品的存储和使用应符合《危险化学品储存管理规定》的有关规定和要求。储罐区区、车间、化学品辅料库及危废库落实“三防”措施，储罐区、各物料储存区周边设置防泄漏围堰及泄漏收集沟渠；同时，设置泄漏液体收集池，厂房内配备充足的泄漏液体收集储存容器。罐区、车间等分析物质存在单元安装气体泄漏检测报警装置和火灾报警系统。</w:t>
            </w:r>
          </w:p>
          <w:p>
            <w:pPr>
              <w:rPr>
                <w:rFonts w:ascii="宋体" w:hAnsi="宋体" w:eastAsia="宋体" w:cs="Times New Roman"/>
                <w:color w:val="0D0D0D"/>
                <w:szCs w:val="21"/>
              </w:rPr>
            </w:pPr>
            <w:r>
              <w:rPr>
                <w:rFonts w:hint="eastAsia" w:ascii="宋体" w:hAnsi="宋体" w:eastAsia="宋体" w:cs="Times New Roman"/>
                <w:color w:val="0D0D0D"/>
                <w:szCs w:val="21"/>
              </w:rPr>
              <w:t>③厂区雨水及污水排放口应设置应急截断阀门或其他截留设施；厂区设置500m</w:t>
            </w:r>
            <w:r>
              <w:rPr>
                <w:rFonts w:hint="eastAsia" w:ascii="宋体" w:hAnsi="宋体" w:eastAsia="宋体" w:cs="Times New Roman"/>
                <w:color w:val="0D0D0D"/>
                <w:szCs w:val="21"/>
                <w:vertAlign w:val="superscript"/>
              </w:rPr>
              <w:t>3</w:t>
            </w:r>
            <w:r>
              <w:rPr>
                <w:rFonts w:hint="eastAsia" w:ascii="宋体" w:hAnsi="宋体" w:eastAsia="宋体" w:cs="Times New Roman"/>
                <w:color w:val="0D0D0D"/>
                <w:szCs w:val="21"/>
              </w:rPr>
              <w:t>事故废水收集池。</w:t>
            </w:r>
          </w:p>
          <w:p>
            <w:pPr>
              <w:rPr>
                <w:rFonts w:ascii="宋体" w:hAnsi="宋体" w:eastAsia="宋体" w:cs="Times New Roman"/>
                <w:color w:val="0D0D0D"/>
                <w:szCs w:val="21"/>
              </w:rPr>
            </w:pPr>
            <w:r>
              <w:rPr>
                <w:rFonts w:hint="eastAsia" w:ascii="宋体" w:hAnsi="宋体" w:eastAsia="宋体" w:cs="Times New Roman"/>
                <w:color w:val="0D0D0D"/>
                <w:szCs w:val="21"/>
              </w:rPr>
              <w:t>④建立健全安全环境管理制度，制定环境应急预案。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8794" w:type="dxa"/>
            <w:gridSpan w:val="2"/>
            <w:shd w:val="clear" w:color="auto" w:fill="auto"/>
            <w:vAlign w:val="center"/>
          </w:tcPr>
          <w:p>
            <w:pPr>
              <w:rPr>
                <w:rFonts w:ascii="宋体" w:hAnsi="宋体" w:eastAsia="宋体" w:cs="Times New Roman"/>
                <w:color w:val="0D0D0D"/>
                <w:szCs w:val="21"/>
              </w:rPr>
            </w:pPr>
            <w:r>
              <w:rPr>
                <w:rFonts w:hint="eastAsia" w:ascii="宋体" w:hAnsi="宋体" w:eastAsia="宋体" w:cs="Times New Roman"/>
                <w:color w:val="0D0D0D"/>
                <w:szCs w:val="21"/>
              </w:rPr>
              <w:t>填表说明（列出项目相关信息及评价说明）：</w:t>
            </w:r>
          </w:p>
          <w:p>
            <w:pPr>
              <w:ind w:firstLine="420" w:firstLineChars="200"/>
              <w:rPr>
                <w:rFonts w:ascii="宋体" w:hAnsi="宋体" w:eastAsia="宋体" w:cs="Times New Roman"/>
                <w:color w:val="0D0D0D"/>
                <w:szCs w:val="21"/>
              </w:rPr>
            </w:pPr>
            <w:r>
              <w:rPr>
                <w:rFonts w:hint="eastAsia" w:ascii="宋体" w:hAnsi="宋体" w:eastAsia="宋体" w:cs="Times New Roman"/>
                <w:color w:val="0D0D0D"/>
                <w:szCs w:val="21"/>
              </w:rPr>
              <w:t>项目环境风险潜势较低，周边环境敏感程度不高，发生环境风险事故对周边环境的影响不大；营运期采取的环境风险防范措施比较有效，能够有效防范环境风险事故的发生，环境风险水平可以接受。</w:t>
            </w:r>
          </w:p>
        </w:tc>
      </w:tr>
    </w:tbl>
    <w:p>
      <w:pPr>
        <w:rPr>
          <w:rFonts w:asciiTheme="minorEastAsia" w:hAnsiTheme="minorEastAsia"/>
          <w:b/>
          <w:sz w:val="24"/>
          <w:szCs w:val="24"/>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keepNext/>
        <w:keepLines/>
        <w:adjustRightInd w:val="0"/>
        <w:snapToGrid w:val="0"/>
        <w:spacing w:before="312" w:beforeLines="100" w:after="312" w:afterLines="100" w:line="360" w:lineRule="auto"/>
        <w:jc w:val="center"/>
        <w:outlineLvl w:val="0"/>
        <w:rPr>
          <w:rFonts w:cs="Times New Roman" w:asciiTheme="minorEastAsia" w:hAnsiTheme="minorEastAsia"/>
          <w:b/>
          <w:kern w:val="44"/>
          <w:sz w:val="36"/>
          <w:szCs w:val="24"/>
        </w:rPr>
      </w:pPr>
      <w:bookmarkStart w:id="95" w:name="_Toc22216"/>
      <w:r>
        <w:rPr>
          <w:rFonts w:cs="Times New Roman" w:asciiTheme="minorEastAsia" w:hAnsiTheme="minorEastAsia"/>
          <w:b/>
          <w:kern w:val="44"/>
          <w:sz w:val="36"/>
          <w:szCs w:val="24"/>
        </w:rPr>
        <w:t>第七章  污染防治措施</w:t>
      </w:r>
      <w:r>
        <w:rPr>
          <w:rFonts w:hint="eastAsia" w:cs="Times New Roman" w:asciiTheme="minorEastAsia" w:hAnsiTheme="minorEastAsia"/>
          <w:b/>
          <w:kern w:val="44"/>
          <w:sz w:val="36"/>
          <w:szCs w:val="24"/>
        </w:rPr>
        <w:t>可行性</w:t>
      </w:r>
      <w:r>
        <w:rPr>
          <w:rFonts w:cs="Times New Roman" w:asciiTheme="minorEastAsia" w:hAnsiTheme="minorEastAsia"/>
          <w:b/>
          <w:kern w:val="44"/>
          <w:sz w:val="36"/>
          <w:szCs w:val="24"/>
        </w:rPr>
        <w:t>分析</w:t>
      </w:r>
      <w:bookmarkEnd w:id="95"/>
    </w:p>
    <w:p>
      <w:pPr>
        <w:keepNext/>
        <w:keepLines/>
        <w:adjustRightInd w:val="0"/>
        <w:snapToGrid w:val="0"/>
        <w:spacing w:before="156" w:beforeLines="50" w:line="360" w:lineRule="auto"/>
        <w:outlineLvl w:val="1"/>
        <w:rPr>
          <w:rFonts w:cs="Times New Roman" w:asciiTheme="minorEastAsia" w:hAnsiTheme="minorEastAsia"/>
          <w:b/>
          <w:sz w:val="28"/>
          <w:szCs w:val="24"/>
        </w:rPr>
      </w:pPr>
      <w:bookmarkStart w:id="96" w:name="_Toc4890"/>
      <w:r>
        <w:rPr>
          <w:rFonts w:cs="Times New Roman" w:asciiTheme="minorEastAsia" w:hAnsiTheme="minorEastAsia"/>
          <w:b/>
          <w:sz w:val="28"/>
          <w:szCs w:val="24"/>
        </w:rPr>
        <w:t>7.1 施工期污染防治措施分析</w:t>
      </w:r>
      <w:bookmarkEnd w:id="96"/>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为避免或降低工程施工期对周围环境的影响，保护项目区的生态环境，最大限度地减少工程建设对环境造成的不利影响，评价对施工期环境影响因素进行分析并提出相应的防治措施。同时，在项目建设过程中，建设单位应严格执行建设项目环境管理法律、法规的有关规定，规范设计、建设各类环保设施，将各项环保措施落到实处。</w:t>
      </w:r>
    </w:p>
    <w:p>
      <w:pPr>
        <w:keepNext/>
        <w:keepLines/>
        <w:adjustRightInd w:val="0"/>
        <w:snapToGrid w:val="0"/>
        <w:spacing w:before="156" w:beforeLines="50" w:line="360" w:lineRule="auto"/>
        <w:outlineLvl w:val="2"/>
        <w:rPr>
          <w:rFonts w:cs="Times New Roman" w:asciiTheme="minorEastAsia" w:hAnsiTheme="minorEastAsia"/>
          <w:b/>
          <w:snapToGrid w:val="0"/>
          <w:sz w:val="24"/>
          <w:szCs w:val="24"/>
        </w:rPr>
      </w:pPr>
      <w:r>
        <w:rPr>
          <w:rFonts w:cs="Times New Roman" w:asciiTheme="minorEastAsia" w:hAnsiTheme="minorEastAsia"/>
          <w:b/>
          <w:sz w:val="24"/>
          <w:szCs w:val="24"/>
        </w:rPr>
        <w:t>7.1.1施工期水环境影响及保护措施</w:t>
      </w:r>
    </w:p>
    <w:p>
      <w:pPr>
        <w:spacing w:line="360" w:lineRule="auto"/>
        <w:ind w:firstLine="480" w:firstLineChars="20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施工期废水污染源主要有施工废水和施工人员生活污水，其中以施工人员生活污水为主，污染物为COD</w:t>
      </w:r>
      <w:r>
        <w:rPr>
          <w:rFonts w:hint="eastAsia" w:cs="宋体" w:asciiTheme="minorEastAsia" w:hAnsiTheme="minorEastAsia"/>
          <w:color w:val="0D0D0D" w:themeColor="text1" w:themeTint="F2"/>
          <w:kern w:val="0"/>
          <w:sz w:val="24"/>
          <w:szCs w:val="24"/>
          <w:vertAlign w:val="subscript"/>
          <w14:textFill>
            <w14:solidFill>
              <w14:schemeClr w14:val="tx1">
                <w14:lumMod w14:val="95000"/>
                <w14:lumOff w14:val="5000"/>
              </w14:schemeClr>
            </w14:solidFill>
          </w14:textFill>
        </w:rPr>
        <w:t>Cr</w:t>
      </w: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、BOD</w:t>
      </w:r>
      <w:r>
        <w:rPr>
          <w:rFonts w:hint="eastAsia" w:cs="宋体" w:asciiTheme="minorEastAsia" w:hAnsiTheme="minorEastAsia"/>
          <w:color w:val="0D0D0D" w:themeColor="text1" w:themeTint="F2"/>
          <w:kern w:val="0"/>
          <w:sz w:val="24"/>
          <w:szCs w:val="24"/>
          <w:vertAlign w:val="subscript"/>
          <w14:textFill>
            <w14:solidFill>
              <w14:schemeClr w14:val="tx1">
                <w14:lumMod w14:val="95000"/>
                <w14:lumOff w14:val="5000"/>
              </w14:schemeClr>
            </w14:solidFill>
          </w14:textFill>
        </w:rPr>
        <w:t>5</w:t>
      </w: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、SS等。</w:t>
      </w:r>
    </w:p>
    <w:p>
      <w:pPr>
        <w:spacing w:line="360" w:lineRule="auto"/>
        <w:ind w:firstLine="480" w:firstLineChars="20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（1）施工废水</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项目施工期产生的施工废水中主要污染物为SS。评价建议在施工现场设置1座沉淀池，施工时尽量做到节约用水，施工废水经沉淀后回用于施工作业或场地降尘，不外排；同时做好沉淀池的三防措施。</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施工机械冲洗废水主要含有少量石油类污染物。评价要求施工场地设置1座隔油沉淀池池，冲洗废水经隔油、沉淀处理后，用于施工区洒水降尘，不外排；同时做好隔油沉淀池的三防措施。</w:t>
      </w:r>
    </w:p>
    <w:p>
      <w:pPr>
        <w:spacing w:line="360" w:lineRule="auto"/>
        <w:ind w:firstLine="480" w:firstLineChars="20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（2）生活污水</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施工人员生活污水经厂区前期建好的隔油池和地埋式多级化粪池处理后，通过污水管网排入集聚区污水处理厂处理。</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项目施工期产生废水均可得到有效处理，对水环境影响较小，采取的污染防治措施比较合理。</w:t>
      </w:r>
    </w:p>
    <w:p>
      <w:pPr>
        <w:keepNext/>
        <w:keepLines/>
        <w:adjustRightInd w:val="0"/>
        <w:snapToGrid w:val="0"/>
        <w:spacing w:before="156"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7.1.2施工期环境空气保护措施分析</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施工期废气对区域大气环境的影响主要是施工扬尘，污染因子主要为TSP。施工扬尘主要来自：一是运输车辆运行时产生的道路扬尘；二是车辆运输过程中撒落的砂石、土等材料产生的二次扬尘；三是裸露的施工区表层产生的扬尘；四是建材的装卸过程中产生的扬尘等。</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根据省、市、县大气污染防治攻坚战关于建筑施工扬尘污染防治 “六个百分之百、两个禁止” 的要求及其他相关规定，项目施工过程中应当采取以下扬尘污染控制、治理措施：</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（1）施工期间，施工单位应根据《建设工程施工现场管理规定》规定设置施工标志牌、现场平面布置图和安全生产、消防保卫、环境保护、文明施工制度板和施工扬尘污染防治责任制标识牌。</w:t>
      </w:r>
    </w:p>
    <w:p>
      <w:pPr>
        <w:spacing w:line="360" w:lineRule="auto"/>
        <w:ind w:firstLine="360" w:firstLineChars="15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（2）施工期间，</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做到工地周边围挡、物料堆放覆盖、土方开挖湿法作业、路面硬化、出入车辆清洗、渣土车辆密闭运输“六个百分之百”,禁止施工工地现场搅拌混凝土、现场配置砂浆。</w:t>
      </w: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应尽量提高施工区域硬化面积；在工地边界设置2.5m以上的围挡，围挡间无缝隙，围挡底端须设置防溢座；在施工区域四周设置临时水喷淋抑制扬尘设施，并每天定期进行喷淋作业；同时对施工区域和施工道路安排专人及时洒水降尘。</w:t>
      </w:r>
    </w:p>
    <w:p>
      <w:pPr>
        <w:spacing w:line="360" w:lineRule="auto"/>
        <w:ind w:firstLine="480" w:firstLineChars="20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3）工程材料、砂石、土方或废弃物等易产生扬尘物质应全部当密闭处理。若在工地内堆置，则应采取覆盖防尘布、覆盖防尘网、配合定期喷洒粉尘抑制剂等措施，防止风蚀起尘。根据施工现场实际情况，建设单位应加强此措施的实施，避免建筑材料的随意堆放，并应覆盖防尘设施。</w:t>
      </w:r>
    </w:p>
    <w:p>
      <w:pPr>
        <w:spacing w:line="360" w:lineRule="auto"/>
        <w:ind w:firstLine="480" w:firstLineChars="20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（4）施工期间，施工工地内车行道路，应提前进行硬化或采取铺设钢板、铺设絮凝土、细石或其它功能相当的材料等，防止机动车行驶产生扬尘。</w:t>
      </w:r>
    </w:p>
    <w:p>
      <w:pPr>
        <w:spacing w:line="360" w:lineRule="auto"/>
        <w:ind w:firstLine="360" w:firstLineChars="15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5）进出工地的物料、渣土、垃圾运输车辆，装载的物料、渣土、垃圾高度不得超过车辆槽帮上沿，车斗用苫布遮盖或者采用密闭车斗。若车斗用苫布遮盖，应严实密闭。车辆应当按照批准的路线和时间进行物料、渣土、垃圾的运输。</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（6）应有专人负责逸散性材料、垃圾、渣土、裸地等密闭、覆盖、洒水作业以及车辆清洗作业等，并记录扬尘控制措施的实施情况。</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（7）项目建设单位应按照当地政府和环保部门要求，在重污染天气预警响应时段，落实大气污染应急减排措施。</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项目施工期采取以上大气污染防治措施后，施工扬尘可得到有效控制。 </w:t>
      </w:r>
    </w:p>
    <w:p>
      <w:pPr>
        <w:keepNext/>
        <w:keepLines/>
        <w:adjustRightInd w:val="0"/>
        <w:snapToGrid w:val="0"/>
        <w:spacing w:before="156"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7.1.3施工期声环境污染防治措施</w:t>
      </w:r>
    </w:p>
    <w:p>
      <w:pPr>
        <w:spacing w:line="360" w:lineRule="auto"/>
        <w:ind w:firstLine="480" w:firstLineChars="20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施工噪声影响大多发生在施工初期的挖掘、推土、混凝土搅拌、地基打桩、混凝土浇灌等过程，对周围的环境影响较大。建筑施工单位应采取如下措施以降低施工噪声对周围环境的影响。</w:t>
      </w:r>
    </w:p>
    <w:p>
      <w:pPr>
        <w:spacing w:line="360" w:lineRule="auto"/>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    （1）合理布局施工现场：避免在同一地点安排大量动力机械设备，以避免局部累积声级过高；将高噪声机械置于地块较中间位置工作，离场界的距离应大于按最大声源计算的衰减距离；高噪声设备加装隔声罩使用。</w:t>
      </w:r>
    </w:p>
    <w:p>
      <w:pPr>
        <w:spacing w:line="360" w:lineRule="auto"/>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    （2）合理安排施工时间：制订施工计划时，应尽可能避免大量高噪声设备同时施工；禁止夜间22:00~凌晨06:00进行产生环境噪声污染的建筑施工作业，但抢修、抢险作业和因生产工艺上要求或者特殊需要必须连续作业的除外。 因特殊需要必须连续作业的，须有县级以上人民政府或者相关主管部门的证明，并于作业前提前向周围群众告知。</w:t>
      </w:r>
    </w:p>
    <w:p>
      <w:pPr>
        <w:spacing w:line="360" w:lineRule="auto"/>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   （3）施工时采用降噪作业方式：施工机械选型时尽量选用可替代的低噪声的设备，对动力机械设备进行定期的维修、养护，避免设备因松动部件的振动或消声器的损坏而增加其工作时的声压级；设备用完后或不用时应立即关闭。</w:t>
      </w:r>
    </w:p>
    <w:p>
      <w:pPr>
        <w:spacing w:line="360" w:lineRule="auto"/>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   （4）最大限度地降低人为噪音：不要采取噪声较大的钢模板作业方式；指挥塔吊时尽量使用信号旗，避免使用哨子等；在操作中尽量避免敲打砼导管；搬卸物品应轻放，施工工具不要乱扔、远扔；运输车辆进入现场应减速、并减少鸣笛等等。</w:t>
      </w:r>
    </w:p>
    <w:p>
      <w:pPr>
        <w:spacing w:line="360" w:lineRule="auto"/>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   （5）施工单位应根据建设项目所在地区的环境特点，合理安排高噪声机械使用时间，以减轻噪声对周围环境的影响。</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（6）严格按照国家和地方环境保护法律法规要求，采取各种有效措施，把施工场地边界噪声控制在国家《建筑施工场界环境噪声排放标准》(GB12523-2011)的指标要求范围内。</w:t>
      </w:r>
    </w:p>
    <w:p>
      <w:pPr>
        <w:spacing w:line="360" w:lineRule="auto"/>
        <w:ind w:firstLine="48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通过采取上述噪声污染防治措施，项目施工期施工场界噪声能够达标排放，对周边声环境的影响不大；施工噪声防治措施可行。</w:t>
      </w:r>
    </w:p>
    <w:p>
      <w:pPr>
        <w:keepNext/>
        <w:keepLines/>
        <w:adjustRightInd w:val="0"/>
        <w:snapToGrid w:val="0"/>
        <w:spacing w:before="156" w:beforeLines="50" w:line="360" w:lineRule="auto"/>
        <w:outlineLvl w:val="2"/>
        <w:rPr>
          <w:rFonts w:cs="Times New Roman" w:asciiTheme="minorEastAsia" w:hAnsiTheme="minorEastAsia"/>
          <w:b/>
          <w:sz w:val="24"/>
          <w:szCs w:val="24"/>
        </w:rPr>
      </w:pPr>
      <w:r>
        <w:rPr>
          <w:rFonts w:cs="Times New Roman" w:asciiTheme="minorEastAsia" w:hAnsiTheme="minorEastAsia"/>
          <w:b/>
          <w:sz w:val="24"/>
          <w:szCs w:val="24"/>
        </w:rPr>
        <w:t>7.1.4施工期固废污染防治措施分析</w:t>
      </w:r>
    </w:p>
    <w:p>
      <w:pPr>
        <w:spacing w:line="360" w:lineRule="auto"/>
        <w:ind w:firstLine="480" w:firstLineChars="200"/>
        <w:rPr>
          <w:rFonts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项目施工过程中主要产生施工建筑垃圾、废弃包装材料及废弃土石方、生活垃圾等。建筑废料约10t, 可资源化回收利用的废物分类收集后外售废品收购站；其他无法利用的建筑垃圾等转运集聚区指定的地点堆放。废弃土石方全部作为厂区道路建设及低洼地带填方利用。施工人员生活垃圾量</w:t>
      </w:r>
      <w:r>
        <w:rPr>
          <w:rFonts w:hint="eastAsia" w:cs="宋体" w:asciiTheme="minorEastAsia" w:hAnsiTheme="minorEastAsia"/>
          <w:color w:val="0D0D0D" w:themeColor="text1" w:themeTint="F2"/>
          <w:kern w:val="0"/>
          <w:sz w:val="24"/>
          <w:szCs w:val="24"/>
          <w14:textFill>
            <w14:solidFill>
              <w14:schemeClr w14:val="tx1">
                <w14:lumMod w14:val="95000"/>
                <w14:lumOff w14:val="5000"/>
              </w14:schemeClr>
            </w14:solidFill>
          </w14:textFill>
        </w:rPr>
        <w:t>分类收集后，由集聚区环卫部门定期转移垃圾填埋场处理。</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环评要求建设单位做到以下几点：</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（1）工程建筑施工单位应该在施工前向所在地环卫部门申报建筑垃圾运输处置计划，明确运输方式、线路和去向。</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2）工程施工期结束后，施工单位应及时组织人力和物力，将工地建筑垃圾等处置干净。建筑垃圾应转移指定的堆放地点；废弃土方应综合利用，一般尽量用于厂区绿化或填平项目区域低洼地带，避免远途转移运输过程产生扬尘污染。</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（3）项目施工过程中产生的废弃包装及装修材料分类收集后尽量资源化再利用；生活垃圾经分类收集后，及时转移垃圾填埋场处理。</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经过落实上述处理措施，项目施工期固体废物均可得到妥善处置。</w:t>
      </w:r>
    </w:p>
    <w:p>
      <w:pPr>
        <w:keepNext/>
        <w:keepLines/>
        <w:adjustRightInd w:val="0"/>
        <w:snapToGrid w:val="0"/>
        <w:spacing w:before="156" w:beforeLines="50" w:line="360" w:lineRule="auto"/>
        <w:outlineLvl w:val="1"/>
        <w:rPr>
          <w:rFonts w:cs="Times New Roman" w:asciiTheme="minorEastAsia" w:hAnsiTheme="minorEastAsia"/>
          <w:b/>
          <w:sz w:val="28"/>
          <w:szCs w:val="24"/>
        </w:rPr>
      </w:pPr>
      <w:bookmarkStart w:id="97" w:name="_Toc14312"/>
      <w:r>
        <w:rPr>
          <w:rFonts w:cs="Times New Roman" w:asciiTheme="minorEastAsia" w:hAnsiTheme="minorEastAsia"/>
          <w:b/>
          <w:sz w:val="28"/>
          <w:szCs w:val="24"/>
        </w:rPr>
        <w:t>7.2 营运期污染防治措施</w:t>
      </w:r>
      <w:r>
        <w:rPr>
          <w:rFonts w:hint="eastAsia" w:cs="Times New Roman" w:asciiTheme="minorEastAsia" w:hAnsiTheme="minorEastAsia"/>
          <w:b/>
          <w:sz w:val="28"/>
          <w:szCs w:val="24"/>
        </w:rPr>
        <w:t>可行性</w:t>
      </w:r>
      <w:r>
        <w:rPr>
          <w:rFonts w:cs="Times New Roman" w:asciiTheme="minorEastAsia" w:hAnsiTheme="minorEastAsia"/>
          <w:b/>
          <w:sz w:val="28"/>
          <w:szCs w:val="24"/>
        </w:rPr>
        <w:t>分析</w:t>
      </w:r>
      <w:bookmarkEnd w:id="97"/>
    </w:p>
    <w:p>
      <w:pPr>
        <w:keepNext/>
        <w:keepLines/>
        <w:adjustRightInd w:val="0"/>
        <w:snapToGrid w:val="0"/>
        <w:spacing w:before="156" w:beforeLines="50" w:line="360" w:lineRule="auto"/>
        <w:outlineLvl w:val="2"/>
        <w:rPr>
          <w:rFonts w:cs="Times New Roman" w:asciiTheme="minorEastAsia" w:hAnsiTheme="minorEastAsia"/>
          <w:sz w:val="24"/>
          <w:szCs w:val="24"/>
        </w:rPr>
      </w:pPr>
      <w:r>
        <w:rPr>
          <w:rFonts w:cs="Times New Roman" w:asciiTheme="minorEastAsia" w:hAnsiTheme="minorEastAsia"/>
          <w:sz w:val="24"/>
          <w:szCs w:val="24"/>
        </w:rPr>
        <w:t>7</w:t>
      </w:r>
      <w:r>
        <w:rPr>
          <w:rFonts w:cs="Times New Roman" w:asciiTheme="minorEastAsia" w:hAnsiTheme="minorEastAsia"/>
          <w:b/>
          <w:sz w:val="24"/>
          <w:szCs w:val="24"/>
        </w:rPr>
        <w:t xml:space="preserve">.2.1 </w:t>
      </w:r>
      <w:bookmarkStart w:id="98" w:name="_Toc13458"/>
      <w:bookmarkStart w:id="99" w:name="_Toc22833"/>
      <w:r>
        <w:rPr>
          <w:rFonts w:cs="Times New Roman" w:asciiTheme="minorEastAsia" w:hAnsiTheme="minorEastAsia"/>
          <w:b/>
          <w:sz w:val="24"/>
          <w:szCs w:val="24"/>
        </w:rPr>
        <w:t>废气防治措施及可行性分析</w:t>
      </w:r>
      <w:bookmarkEnd w:id="98"/>
      <w:bookmarkEnd w:id="99"/>
    </w:p>
    <w:p>
      <w:pPr>
        <w:tabs>
          <w:tab w:val="left" w:pos="0"/>
        </w:tabs>
        <w:adjustRightInd w:val="0"/>
        <w:snapToGrid w:val="0"/>
        <w:spacing w:line="360" w:lineRule="auto"/>
        <w:outlineLvl w:val="3"/>
        <w:rPr>
          <w:rFonts w:cs="Times New Roman" w:asciiTheme="minorEastAsia" w:hAnsiTheme="minorEastAsia"/>
          <w:sz w:val="24"/>
          <w:szCs w:val="24"/>
        </w:rPr>
      </w:pPr>
      <w:bookmarkStart w:id="100" w:name="_Toc17443"/>
      <w:bookmarkStart w:id="101" w:name="_Toc10040"/>
      <w:bookmarkStart w:id="102" w:name="_Toc376242514"/>
      <w:r>
        <w:rPr>
          <w:rFonts w:cs="Times New Roman" w:asciiTheme="minorEastAsia" w:hAnsiTheme="minorEastAsia"/>
          <w:sz w:val="24"/>
          <w:szCs w:val="24"/>
        </w:rPr>
        <w:t>7.2.1.1废气</w:t>
      </w:r>
      <w:bookmarkEnd w:id="100"/>
      <w:bookmarkEnd w:id="101"/>
      <w:bookmarkEnd w:id="102"/>
      <w:r>
        <w:rPr>
          <w:rFonts w:hint="eastAsia" w:cs="Times New Roman" w:asciiTheme="minorEastAsia" w:hAnsiTheme="minorEastAsia"/>
          <w:sz w:val="24"/>
          <w:szCs w:val="24"/>
        </w:rPr>
        <w:t>治理路线</w:t>
      </w:r>
    </w:p>
    <w:p>
      <w:pPr>
        <w:adjustRightInd w:val="0"/>
        <w:snapToGrid w:val="0"/>
        <w:spacing w:line="360" w:lineRule="auto"/>
        <w:ind w:firstLine="420" w:firstLineChars="200"/>
        <w:rPr>
          <w:rFonts w:cs="Times New Roman" w:asciiTheme="minorEastAsia" w:hAnsiTheme="minorEastAsia"/>
          <w:sz w:val="24"/>
          <w:szCs w:val="24"/>
        </w:rPr>
      </w:pPr>
      <w:r>
        <w:drawing>
          <wp:anchor distT="0" distB="0" distL="114300" distR="114300" simplePos="0" relativeHeight="252125184" behindDoc="0" locked="0" layoutInCell="1" allowOverlap="1">
            <wp:simplePos x="0" y="0"/>
            <wp:positionH relativeFrom="column">
              <wp:posOffset>-28575</wp:posOffset>
            </wp:positionH>
            <wp:positionV relativeFrom="paragraph">
              <wp:posOffset>1458595</wp:posOffset>
            </wp:positionV>
            <wp:extent cx="5670550" cy="3650615"/>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9" cstate="print">
                      <a:extLst>
                        <a:ext uri="{28A0092B-C50C-407E-A947-70E740481C1C}">
                          <a14:useLocalDpi xmlns:a14="http://schemas.microsoft.com/office/drawing/2010/main" val="0"/>
                        </a:ext>
                      </a:extLst>
                    </a:blip>
                    <a:srcRect l="-1811" t="5482" r="-2862" b="6805"/>
                    <a:stretch>
                      <a:fillRect/>
                    </a:stretch>
                  </pic:blipFill>
                  <pic:spPr>
                    <a:xfrm>
                      <a:off x="0" y="0"/>
                      <a:ext cx="5670550" cy="3650615"/>
                    </a:xfrm>
                    <a:prstGeom prst="rect">
                      <a:avLst/>
                    </a:prstGeom>
                    <a:noFill/>
                    <a:ln>
                      <a:noFill/>
                    </a:ln>
                  </pic:spPr>
                </pic:pic>
              </a:graphicData>
            </a:graphic>
          </wp:anchor>
        </w:drawing>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根据工程分析章节内容，本次工程运营期排放废气主要包括</w:t>
      </w:r>
      <w:r>
        <w:rPr>
          <w:rFonts w:cs="Times New Roman" w:asciiTheme="minorEastAsia" w:hAnsiTheme="minorEastAsia"/>
          <w:sz w:val="24"/>
          <w:szCs w:val="24"/>
        </w:rPr>
        <w:t>裂解炉燃烧室</w:t>
      </w:r>
      <w:r>
        <w:rPr>
          <w:rFonts w:hint="eastAsia" w:cs="Times New Roman" w:asciiTheme="minorEastAsia" w:hAnsiTheme="minorEastAsia"/>
          <w:sz w:val="24"/>
          <w:szCs w:val="24"/>
        </w:rPr>
        <w:t>及余气燃烧装置燃烧废气，</w:t>
      </w:r>
      <w:r>
        <w:rPr>
          <w:rFonts w:cs="Times New Roman" w:asciiTheme="minorEastAsia" w:hAnsiTheme="minorEastAsia"/>
          <w:sz w:val="24"/>
          <w:szCs w:val="24"/>
        </w:rPr>
        <w:t>裂解炉开炉、出料过程</w:t>
      </w:r>
      <w:r>
        <w:rPr>
          <w:rFonts w:hint="eastAsia" w:cs="Times New Roman" w:asciiTheme="minorEastAsia" w:hAnsiTheme="minorEastAsia"/>
          <w:sz w:val="24"/>
          <w:szCs w:val="24"/>
        </w:rPr>
        <w:t>逸散</w:t>
      </w:r>
      <w:r>
        <w:rPr>
          <w:rFonts w:cs="Times New Roman" w:asciiTheme="minorEastAsia" w:hAnsiTheme="minorEastAsia"/>
          <w:sz w:val="24"/>
          <w:szCs w:val="24"/>
        </w:rPr>
        <w:t>的少量</w:t>
      </w:r>
      <w:r>
        <w:rPr>
          <w:rFonts w:hint="eastAsia" w:cs="Times New Roman" w:asciiTheme="minorEastAsia" w:hAnsiTheme="minorEastAsia"/>
          <w:sz w:val="24"/>
          <w:szCs w:val="24"/>
        </w:rPr>
        <w:t>裂解</w:t>
      </w:r>
      <w:r>
        <w:rPr>
          <w:rFonts w:cs="Times New Roman" w:asciiTheme="minorEastAsia" w:hAnsiTheme="minorEastAsia"/>
          <w:sz w:val="24"/>
          <w:szCs w:val="24"/>
        </w:rPr>
        <w:t>气；</w:t>
      </w:r>
      <w:r>
        <w:rPr>
          <w:rFonts w:hint="eastAsia" w:cs="Times New Roman" w:asciiTheme="minorEastAsia" w:hAnsiTheme="minorEastAsia"/>
          <w:sz w:val="24"/>
          <w:szCs w:val="24"/>
        </w:rPr>
        <w:t>裂解油</w:t>
      </w:r>
      <w:r>
        <w:rPr>
          <w:rFonts w:cs="Times New Roman" w:asciiTheme="minorEastAsia" w:hAnsiTheme="minorEastAsia"/>
          <w:sz w:val="24"/>
          <w:szCs w:val="24"/>
        </w:rPr>
        <w:t>储罐产生的少量</w:t>
      </w:r>
      <w:r>
        <w:rPr>
          <w:rFonts w:hint="eastAsia" w:cs="Times New Roman" w:asciiTheme="minorEastAsia" w:hAnsiTheme="minorEastAsia"/>
          <w:sz w:val="24"/>
          <w:szCs w:val="24"/>
        </w:rPr>
        <w:t>呼吸</w:t>
      </w:r>
      <w:r>
        <w:rPr>
          <w:rFonts w:cs="Times New Roman" w:asciiTheme="minorEastAsia" w:hAnsiTheme="minorEastAsia"/>
          <w:sz w:val="24"/>
          <w:szCs w:val="24"/>
        </w:rPr>
        <w:t>废气；炭黑出料、包装过程产生</w:t>
      </w:r>
      <w:r>
        <w:rPr>
          <w:rFonts w:hint="eastAsia" w:cs="Times New Roman" w:asciiTheme="minorEastAsia" w:hAnsiTheme="minorEastAsia"/>
          <w:sz w:val="24"/>
          <w:szCs w:val="24"/>
        </w:rPr>
        <w:t>碳黑尘</w:t>
      </w:r>
      <w:r>
        <w:rPr>
          <w:rFonts w:cs="Times New Roman" w:asciiTheme="minorEastAsia" w:hAnsiTheme="minorEastAsia"/>
          <w:sz w:val="24"/>
          <w:szCs w:val="24"/>
        </w:rPr>
        <w:t>；</w:t>
      </w:r>
      <w:r>
        <w:rPr>
          <w:rFonts w:hint="eastAsia" w:cs="Times New Roman" w:asciiTheme="minorEastAsia" w:hAnsiTheme="minorEastAsia"/>
          <w:sz w:val="24"/>
          <w:szCs w:val="24"/>
        </w:rPr>
        <w:t>一体化污水处理设施恶臭气味及</w:t>
      </w:r>
      <w:r>
        <w:rPr>
          <w:rFonts w:cs="Times New Roman" w:asciiTheme="minorEastAsia" w:hAnsiTheme="minorEastAsia"/>
          <w:sz w:val="24"/>
          <w:szCs w:val="24"/>
        </w:rPr>
        <w:t>食堂油烟等。</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根据废气产生环节、种类、性质及排放规律等，项目设计废气治理路线如下图7.2-1。</w:t>
      </w: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2" w:firstLineChars="200"/>
        <w:jc w:val="center"/>
        <w:rPr>
          <w:rFonts w:cs="Times New Roman" w:asciiTheme="minorEastAsia" w:hAnsiTheme="minorEastAsia"/>
          <w:b/>
          <w:sz w:val="24"/>
          <w:szCs w:val="24"/>
        </w:rPr>
      </w:pPr>
      <w:r>
        <w:rPr>
          <w:rFonts w:hint="eastAsia" w:cs="Times New Roman" w:asciiTheme="minorEastAsia" w:hAnsiTheme="minorEastAsia"/>
          <w:b/>
          <w:sz w:val="24"/>
          <w:szCs w:val="24"/>
        </w:rPr>
        <w:t>图7.2-1   项目营运期废气治理路线图</w:t>
      </w:r>
    </w:p>
    <w:p>
      <w:pPr>
        <w:adjustRightInd w:val="0"/>
        <w:snapToGrid w:val="0"/>
        <w:spacing w:line="360" w:lineRule="auto"/>
        <w:rPr>
          <w:rFonts w:cs="Times New Roman" w:asciiTheme="minorEastAsia" w:hAnsiTheme="minorEastAsia"/>
          <w:sz w:val="24"/>
          <w:szCs w:val="24"/>
        </w:rPr>
      </w:pPr>
      <w:r>
        <w:rPr>
          <w:rFonts w:hint="eastAsia" w:cs="Times New Roman" w:asciiTheme="minorEastAsia" w:hAnsiTheme="minorEastAsia"/>
          <w:sz w:val="24"/>
          <w:szCs w:val="24"/>
        </w:rPr>
        <w:t>7.2.1.2 废气治理措施分析</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（1）治理工艺选择</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项目</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排放主要大气污染物包括：烟尘、碳黑尘、SO</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、NOx、H</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S、HCL、苯并芘及挥发性有机物等。主要污染因素为裂解不凝气燃烧烟气及车间生产过程中产生的炭黑粉尘。</w:t>
      </w:r>
    </w:p>
    <w:p>
      <w:pPr>
        <w:adjustRightInd w:val="0"/>
        <w:snapToGrid w:val="0"/>
        <w:spacing w:line="360" w:lineRule="auto"/>
        <w:ind w:firstLine="480" w:firstLineChars="200"/>
        <w:rPr>
          <w:rFonts w:cs="Times New Roman" w:asciiTheme="minorEastAsia" w:hAnsiTheme="minorEastAsia"/>
          <w:sz w:val="24"/>
          <w:szCs w:val="24"/>
          <w:u w:val="single"/>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针对项目排放主要污染物及排污特征，工程燃烧废气拟采取</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“SCR脱硝反应器+二级雾化喷淋脱硫塔+除雾器+袋式除尘器+UV光解一体机+活性炭吸附装置”</w:t>
      </w: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处理工艺工艺，可达到较为理想的脱硫、脱硝及除尘目的，同时，配套UV光解一体机+活性炭吸附装置，可对有机废气及恶臭气体进行有效去除；处理后尾气满足达标排放要求。对于车间碳黑尘，采取集气+袋除尘措施，可降低碳黑尘无组织排放对环境的影响。对于燃料油储罐呼吸废气，采取平衡鹤管装卸工艺及储罐配套氮封、油气回收装置，可有效控制储罐区废气排放。因此，评价认为项目选取的废气治理工艺比较合理。</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（2）主要治理工艺技术原理分析</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①“3T+E”燃烧控制技术</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工程废轮胎热裂解炉燃烧室采用国内比较先进的“3T+E”燃烧控制技术，可减少氮氧化物的产生。</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T+1E”是指温度、时间、扰动和空气过剩系数综合控制的原则。“3T+1E”原则能确保废轮胎裂解不凝气中有害成份的充分分解，从源头上控制酸性气体及其他有害气体的生成，全面控制烟气排放造成的二次污染。</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温度是保证在不凝气得到彻底燃烧及去除有害气体的最重要的因素，工程热裂解炉燃烧室设计运行温度为1000-1300℃，正常运行温度为1100℃，不凝气流速一般控制在2-6米/秒，停留时间大于2秒。保证了不凝气充分燃烧。</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进入燃烧炉膛中的不凝气必须同氧气充分接触，才能全部快速高效的燃烧氧化，不凝气和空气混合越均匀越有利于焚烧。不凝气燃烧过程中，空气过剩系数反应了燃烧状况。空气过剩系数大，燃烧速度快，燃烧充分，但供风量较大，产生的烟气量大，使后续的烟气处理负荷增大，不够经济。反之，则燃烧不完全，甚至产生黑烟，有害气体燃烧分解不彻底。根据实践经验，通常取空气过剩系数为1.1-1.3，可控制氮氧化物产生量。</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②双碱法脱硫工艺</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双碱法烟气脱硫技术是利用氢氧化钠或碳酸钠溶液作为启动脱硫剂，配制好的氢氧化钠或碳酸钠溶液直接打入脱硫塔洗涤脱除烟气中SO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来达到烟气脱硫的目的，然后脱硫产物经脱硫剂再生池再生成亚硫酸钠或氢氧化钠再打回脱硫塔内循环使用。</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脱硫工艺主要包括5个部分：吸收剂制备与补充；吸收剂浆液喷淋；塔内雾滴与烟气接触混合；再生池浆液还原钠基碱；石膏脱水处理。</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双碱法脱硫的化学反应：</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吸收反应</w:t>
      </w:r>
    </w:p>
    <w:p>
      <w:pPr>
        <w:adjustRightInd w:val="0"/>
        <w:snapToGrid w:val="0"/>
        <w:spacing w:line="360" w:lineRule="auto"/>
        <w:ind w:firstLine="1920" w:firstLineChars="8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O</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p>
    <w:p>
      <w:pPr>
        <w:adjustRightInd w:val="0"/>
        <w:snapToGrid w:val="0"/>
        <w:spacing w:line="360" w:lineRule="auto"/>
        <w:ind w:firstLine="1920" w:firstLineChars="8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O</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 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4</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在主塔中以钠碱溶液吸收烟气中的SO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1920" w:firstLineChars="8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2NaOH</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 Na</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 + 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O              </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吸收液中尚有部分的NaOH，因此吸收过程中还生成亚硫酸钠：</w:t>
      </w:r>
    </w:p>
    <w:p>
      <w:pPr>
        <w:adjustRightInd w:val="0"/>
        <w:snapToGrid w:val="0"/>
        <w:spacing w:line="360" w:lineRule="auto"/>
        <w:ind w:firstLine="1920" w:firstLineChars="8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Na</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H2O</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2NaH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S</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再生反应</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吸收液流到反应池中与加入的石灰料浆反应：</w:t>
      </w:r>
    </w:p>
    <w:p>
      <w:pPr>
        <w:adjustRightInd w:val="0"/>
        <w:snapToGrid w:val="0"/>
        <w:spacing w:line="360" w:lineRule="auto"/>
        <w:ind w:firstLine="1200" w:firstLineChars="5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2NaHSO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Ca(OH)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 Na</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CaSO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O↓+</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 xml:space="preserve">O </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  </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Na</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Ca(OH)</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?H2O</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2NaOH</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CaSO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·?H2O↓         </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再生后的浆液经钙盐沉淀后，Na</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清液送回吸收塔循环使用。</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双碱法脱硫系统组成</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包括：</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脱硫剂制备系统，烟气系统，SO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吸收系统，脱硫液循环系统与脱硫渣处理系统，电气控制系统，自动补水</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加药控制系统组成</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吸收系统由循环池</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循环泵</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文丘里段</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除尘脱硫塔主体</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接管</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喷嘴及旋流板等内件</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除雾装置</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操作平台</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爬梯及电气控制系统等组成。</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脱硫液循环系统与脱硫渣处理系统</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流程为：</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泵前池的脱硫液通过循环水泵泵送到脱硫塔内与烟气接触反应后，从脱硫装置底部排出，排出的含有CaSO4.CaSO</w:t>
      </w:r>
      <w:r>
        <w:rPr>
          <w:rFonts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3</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及少量粉尘渣的混合渣浆液体进入再生池.沉淀池，与从石灰浆液池过来的石灰浆液发生再生反应，并进行脱硫副产物的沉淀，上清液流经泵前池，经沉淀后的池底渣浆由人工清出，滤液返流回泵前池，由循环水泵抽送到脱硫装置进行脱硫循环利用。</w:t>
      </w:r>
    </w:p>
    <w:p>
      <w:pPr>
        <w:adjustRightInd w:val="0"/>
        <w:snapToGrid w:val="0"/>
        <w:spacing w:line="360" w:lineRule="auto"/>
        <w:ind w:firstLine="480" w:firstLineChars="200"/>
        <w:rPr>
          <w:rFonts w:cs="Times New Roman" w:asciiTheme="minorEastAsia" w:hAnsiTheme="minorEastAsia"/>
          <w:sz w:val="24"/>
          <w:szCs w:val="24"/>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自动补水.加药控制系统</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包括：</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循环池PH计</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循环池高低液位开关</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等。</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③SCR脱硝工艺</w:t>
      </w:r>
    </w:p>
    <w:p>
      <w:pPr>
        <w:pStyle w:val="22"/>
        <w:shd w:val="clear" w:color="auto" w:fill="FFFFFF"/>
        <w:spacing w:before="0" w:beforeAutospacing="0" w:after="0" w:afterAutospacing="0" w:line="360" w:lineRule="auto"/>
        <w:ind w:firstLine="480" w:firstLineChars="200"/>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pP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SCR脱硝(Selective Catalytic Reduction)——选择性催化还原法</w:t>
      </w:r>
      <w:r>
        <w:fldChar w:fldCharType="begin"/>
      </w:r>
      <w:r>
        <w:instrText xml:space="preserve"> HYPERLINK "http://www.tuoliutuoxiaoshebei.com/" \t "_blank" </w:instrText>
      </w:r>
      <w:r>
        <w:fldChar w:fldCharType="separate"/>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脱硝</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fldChar w:fldCharType="end"/>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技术，该工艺是目前国际上应用广泛的烟气脱硝技术，它没有副产物，不形成二次污染，装置结构简单，并且脱除效率高(可达90%以上)，运行可靠，便于维护等优点。</w:t>
      </w:r>
      <w:r>
        <w:rPr>
          <w:rFonts w:hint="eastAsia"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在氮氧化物(NOx)选择催化还原过程中，通过加氨(NH</w:t>
      </w:r>
      <w:r>
        <w:rPr>
          <w:rFonts w:hint="eastAsia"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3</w:t>
      </w:r>
      <w:r>
        <w:rPr>
          <w:rFonts w:hint="eastAsia"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)，在320～400℃，TI-V-W(Mo)催化剂的作用下，可以把NOx转化为氮气(N</w:t>
      </w:r>
      <w:r>
        <w:rPr>
          <w:rFonts w:hint="eastAsia"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hint="eastAsia"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)和水(H</w:t>
      </w:r>
      <w:r>
        <w:rPr>
          <w:rFonts w:hint="eastAsia"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hint="eastAsia"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O)。</w:t>
      </w:r>
    </w:p>
    <w:p>
      <w:pPr>
        <w:pStyle w:val="22"/>
        <w:shd w:val="clear" w:color="auto" w:fill="FFFFFF"/>
        <w:spacing w:before="0" w:beforeAutospacing="0" w:after="0" w:afterAutospacing="0" w:line="360" w:lineRule="auto"/>
        <w:ind w:firstLine="480" w:firstLineChars="200"/>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pP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主要化学反应：</w:t>
      </w:r>
    </w:p>
    <w:p>
      <w:pPr>
        <w:pStyle w:val="22"/>
        <w:shd w:val="clear" w:color="auto" w:fill="FFFFFF"/>
        <w:spacing w:before="150" w:beforeAutospacing="0" w:after="150" w:afterAutospacing="0" w:line="360" w:lineRule="auto"/>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pP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w:t>
      </w:r>
      <w:r>
        <w:rPr>
          <w:rFonts w:hint="eastAsia"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4NO + 4NH</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3</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 O</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 4N</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+ 6H</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O</w:t>
      </w:r>
    </w:p>
    <w:p>
      <w:pPr>
        <w:pStyle w:val="22"/>
        <w:shd w:val="clear" w:color="auto" w:fill="FFFFFF"/>
        <w:spacing w:before="150" w:beforeAutospacing="0" w:after="150" w:afterAutospacing="0" w:line="360" w:lineRule="auto"/>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pP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w:t>
      </w:r>
      <w:r>
        <w:rPr>
          <w:rFonts w:hint="eastAsia"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2NO</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+ 4NH</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3</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 3N</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 xml:space="preserve"> + 6H</w:t>
      </w:r>
      <w:r>
        <w:rPr>
          <w:rFonts w:asciiTheme="minorEastAsia" w:hAnsiTheme="minorEastAsia" w:eastAsiaTheme="minorEastAsia" w:cstheme="minorBidi"/>
          <w:color w:val="0D0D0D" w:themeColor="text1" w:themeTint="F2"/>
          <w:kern w:val="2"/>
          <w:vertAlign w:val="subscript"/>
          <w14:textFill>
            <w14:solidFill>
              <w14:schemeClr w14:val="tx1">
                <w14:lumMod w14:val="95000"/>
                <w14:lumOff w14:val="5000"/>
              </w14:schemeClr>
            </w14:solidFill>
          </w14:textFill>
        </w:rPr>
        <w:t>2</w:t>
      </w:r>
      <w:r>
        <w:rPr>
          <w:rFonts w:asciiTheme="minorEastAsia" w:hAnsiTheme="minorEastAsia" w:eastAsiaTheme="minorEastAsia" w:cstheme="minorBidi"/>
          <w:color w:val="0D0D0D" w:themeColor="text1" w:themeTint="F2"/>
          <w:kern w:val="2"/>
          <w14:textFill>
            <w14:solidFill>
              <w14:schemeClr w14:val="tx1">
                <w14:lumMod w14:val="95000"/>
                <w14:lumOff w14:val="5000"/>
              </w14:schemeClr>
            </w14:solidFill>
          </w14:textFill>
        </w:rPr>
        <w:t>O</w:t>
      </w:r>
    </w:p>
    <w:p>
      <w:pPr>
        <w:adjustRightInd w:val="0"/>
        <w:snapToGrid w:val="0"/>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SCR脱硝</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还原剂主要为液氨、尿素、氨水等；烟气从燃烧设备出来，与脱硝剂充分混合，经过脱硝装置导流片和整流板均布后，进入催化剂层进行脱硝反应，反应后的烟气至下游的烟气脱硫处理系统。</w:t>
      </w:r>
    </w:p>
    <w:p>
      <w:pPr>
        <w:spacing w:line="360" w:lineRule="auto"/>
        <w:ind w:firstLine="480" w:firstLineChars="200"/>
        <w:rPr>
          <w:rFonts w:cs="Arial" w:asciiTheme="minorEastAsia" w:hAnsiTheme="minorEastAsia"/>
          <w:color w:val="0D0D0D" w:themeColor="text1" w:themeTint="F2"/>
          <w:sz w:val="24"/>
          <w:szCs w:val="24"/>
          <w:shd w:val="clear" w:color="auto" w:fill="FFFFFF"/>
          <w14:textFill>
            <w14:solidFill>
              <w14:schemeClr w14:val="tx1">
                <w14:lumMod w14:val="95000"/>
                <w14:lumOff w14:val="5000"/>
              </w14:schemeClr>
            </w14:solidFill>
          </w14:textFill>
        </w:rPr>
      </w:pPr>
      <w:r>
        <w:rPr>
          <w:rFonts w:hint="eastAsia" w:cs="Arial" w:asciiTheme="minorEastAsia" w:hAnsiTheme="minorEastAsia"/>
          <w:color w:val="0D0D0D" w:themeColor="text1" w:themeTint="F2"/>
          <w:sz w:val="24"/>
          <w:szCs w:val="24"/>
          <w:shd w:val="clear" w:color="auto" w:fill="FFFFFF"/>
          <w14:textFill>
            <w14:solidFill>
              <w14:schemeClr w14:val="tx1">
                <w14:lumMod w14:val="95000"/>
                <w14:lumOff w14:val="5000"/>
              </w14:schemeClr>
            </w14:solidFill>
          </w14:textFill>
        </w:rPr>
        <w:t>④UV光解一体机装置</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UV光解一体机装置</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工作原理见下图7.2-2。</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宋体" w:asciiTheme="minorEastAsia" w:hAnsiTheme="minorEastAsia"/>
          <w:color w:val="0D0D0D" w:themeColor="text1" w:themeTint="F2"/>
          <w:kern w:val="0"/>
          <w:szCs w:val="21"/>
          <w14:textFill>
            <w14:solidFill>
              <w14:schemeClr w14:val="tx1">
                <w14:lumMod w14:val="95000"/>
                <w14:lumOff w14:val="5000"/>
              </w14:schemeClr>
            </w14:solidFill>
          </w14:textFill>
        </w:rPr>
        <w:drawing>
          <wp:anchor distT="0" distB="0" distL="114300" distR="114300" simplePos="0" relativeHeight="252127232" behindDoc="0" locked="0" layoutInCell="1" allowOverlap="1">
            <wp:simplePos x="0" y="0"/>
            <wp:positionH relativeFrom="margin">
              <wp:posOffset>85725</wp:posOffset>
            </wp:positionH>
            <wp:positionV relativeFrom="margin">
              <wp:posOffset>3745230</wp:posOffset>
            </wp:positionV>
            <wp:extent cx="5065395" cy="2524125"/>
            <wp:effectExtent l="0" t="0" r="1905" b="9525"/>
            <wp:wrapNone/>
            <wp:docPr id="26" name="图片 26" descr="http://www.doeho.com/images/image/20140628172384208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http://www.doeho.com/images/image/20140628172384208420.jpg"/>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bright="-20000" contrast="40000"/>
                              </a14:imgEffect>
                              <a14:imgEffect>
                                <a14:colorTemperature colorTemp="11200"/>
                              </a14:imgEffect>
                            </a14:imgLayer>
                          </a14:imgProps>
                        </a:ext>
                        <a:ext uri="{28A0092B-C50C-407E-A947-70E740481C1C}">
                          <a14:useLocalDpi xmlns:a14="http://schemas.microsoft.com/office/drawing/2010/main" val="0"/>
                        </a:ext>
                      </a:extLst>
                    </a:blip>
                    <a:srcRect l="6835" t="5866" r="8470" b="10833"/>
                    <a:stretch>
                      <a:fillRect/>
                    </a:stretch>
                  </pic:blipFill>
                  <pic:spPr>
                    <a:xfrm>
                      <a:off x="0" y="0"/>
                      <a:ext cx="5065395" cy="2524125"/>
                    </a:xfrm>
                    <a:prstGeom prst="rect">
                      <a:avLst/>
                    </a:prstGeom>
                    <a:noFill/>
                    <a:ln>
                      <a:noFill/>
                    </a:ln>
                  </pic:spPr>
                </pic:pic>
              </a:graphicData>
            </a:graphic>
          </wp:anchor>
        </w:drawing>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spacing w:line="360" w:lineRule="auto"/>
        <w:ind w:firstLine="480"/>
        <w:jc w:val="cente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0"/>
        <w:jc w:val="cente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pPr>
    </w:p>
    <w:p>
      <w:pPr>
        <w:spacing w:line="360" w:lineRule="auto"/>
        <w:ind w:firstLine="48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图7.2-2   UV光解装置工作原理图</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利用特制的高能高臭氧UV紫外线光束照射有机气体，改变有机废气分子链结构，再分解空气中的氧分子产生游离氧，即活性氧，因游离氧所携正负电子不平衡所以需与氧分子结合，进而产生臭氧，众所周知，臭氧对有机物具有极强的氧化作用。有机气体通过设备后，净化设备运用高能UV紫外线光束及臭氧对恶臭气体进行协同分解氧化反应，裂解气体分子键，再通过臭氧进行氧化反应，对污染物进行催化氧化反应，最终使有机气体物质降解转化成低分子化合物、水和二氧化碳。</w:t>
      </w:r>
    </w:p>
    <w:p>
      <w:pPr>
        <w:spacing w:line="360" w:lineRule="auto"/>
        <w:ind w:firstLine="470" w:firstLineChars="196"/>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UV光解设备能高效去除挥发性有机物、硫化氢、氨气等无机物类污染物，以及各种恶臭味，效率可达80%以上。可习惯于绝大部分高浓度，大气量，不同恶臭气体物质的脱臭净化处理，可每天24小时连续工作，运行安稳可靠。</w:t>
      </w:r>
    </w:p>
    <w:p>
      <w:pPr>
        <w:spacing w:line="360" w:lineRule="auto"/>
        <w:ind w:firstLine="470" w:firstLineChars="196"/>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（3）燃烧烟气处理工艺流程</w:t>
      </w:r>
    </w:p>
    <w:p>
      <w:pPr>
        <w:spacing w:line="360" w:lineRule="auto"/>
        <w:ind w:firstLine="470" w:firstLineChars="196"/>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根据上述工艺选择分析，工程裂解不凝气燃烧烟气采用2套“SCN脱硝反应器+二级脱硫雾化塔+UV光解一体机装置+活性炭吸附装置”处理系统处理，其中6台热裂解炉燃烧室和1套余气燃烧装置排放烟气共用1套装置；处理后尾气通过2根20m排气筒（集束排放）排放。烟气工艺流程见下图7.2-3。</w:t>
      </w:r>
    </w:p>
    <w:p>
      <w:pPr>
        <w:adjustRightInd w:val="0"/>
        <w:snapToGrid w:val="0"/>
        <w:spacing w:line="360" w:lineRule="auto"/>
        <w:ind w:firstLine="420" w:firstLineChars="200"/>
        <w:rPr>
          <w:rFonts w:cs="Times New Roman" w:asciiTheme="minorEastAsia" w:hAnsiTheme="minorEastAsia"/>
          <w:sz w:val="24"/>
          <w:szCs w:val="24"/>
        </w:rPr>
      </w:pPr>
      <w:r>
        <w:drawing>
          <wp:anchor distT="0" distB="0" distL="114300" distR="114300" simplePos="0" relativeHeight="252128256" behindDoc="0" locked="0" layoutInCell="1" allowOverlap="1">
            <wp:simplePos x="0" y="0"/>
            <wp:positionH relativeFrom="column">
              <wp:posOffset>516890</wp:posOffset>
            </wp:positionH>
            <wp:positionV relativeFrom="paragraph">
              <wp:posOffset>141605</wp:posOffset>
            </wp:positionV>
            <wp:extent cx="4928235" cy="6132830"/>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59" cstate="print">
                      <a:extLst>
                        <a:ext uri="{28A0092B-C50C-407E-A947-70E740481C1C}">
                          <a14:useLocalDpi xmlns:a14="http://schemas.microsoft.com/office/drawing/2010/main" val="0"/>
                        </a:ext>
                      </a:extLst>
                    </a:blip>
                    <a:srcRect r="2015" b="4735"/>
                    <a:stretch>
                      <a:fillRect/>
                    </a:stretch>
                  </pic:blipFill>
                  <pic:spPr>
                    <a:xfrm>
                      <a:off x="0" y="0"/>
                      <a:ext cx="4928235" cy="6132830"/>
                    </a:xfrm>
                    <a:prstGeom prst="rect">
                      <a:avLst/>
                    </a:prstGeom>
                    <a:noFill/>
                    <a:ln>
                      <a:noFill/>
                    </a:ln>
                  </pic:spPr>
                </pic:pic>
              </a:graphicData>
            </a:graphic>
          </wp:anchor>
        </w:drawing>
      </w: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480" w:firstLineChars="200"/>
        <w:rPr>
          <w:rFonts w:hint="eastAsia" w:cs="Times New Roman" w:asciiTheme="minorEastAsia" w:hAnsiTheme="minorEastAsia"/>
          <w:sz w:val="24"/>
          <w:szCs w:val="24"/>
        </w:rPr>
      </w:pPr>
    </w:p>
    <w:p>
      <w:pPr>
        <w:adjustRightInd w:val="0"/>
        <w:snapToGrid w:val="0"/>
        <w:spacing w:line="360" w:lineRule="auto"/>
        <w:ind w:firstLine="480" w:firstLineChars="200"/>
        <w:rPr>
          <w:rFonts w:hint="eastAsia" w:cs="Times New Roman" w:asciiTheme="minorEastAsia" w:hAnsiTheme="minorEastAsia"/>
          <w:sz w:val="24"/>
          <w:szCs w:val="24"/>
        </w:rPr>
      </w:pPr>
    </w:p>
    <w:p>
      <w:pPr>
        <w:adjustRightInd w:val="0"/>
        <w:snapToGrid w:val="0"/>
        <w:spacing w:line="360" w:lineRule="auto"/>
        <w:ind w:firstLine="480" w:firstLineChars="200"/>
        <w:rPr>
          <w:rFonts w:hint="eastAsia" w:cs="Times New Roman" w:asciiTheme="minorEastAsia" w:hAnsiTheme="minorEastAsia"/>
          <w:sz w:val="24"/>
          <w:szCs w:val="24"/>
        </w:rPr>
      </w:pPr>
    </w:p>
    <w:p>
      <w:pPr>
        <w:adjustRightInd w:val="0"/>
        <w:snapToGrid w:val="0"/>
        <w:spacing w:line="360" w:lineRule="auto"/>
        <w:ind w:firstLine="480" w:firstLineChars="200"/>
        <w:rPr>
          <w:rFonts w:hint="eastAsia" w:cs="Times New Roman" w:asciiTheme="minorEastAsia" w:hAnsiTheme="minorEastAsia"/>
          <w:sz w:val="24"/>
          <w:szCs w:val="24"/>
        </w:rPr>
      </w:pPr>
    </w:p>
    <w:p>
      <w:pPr>
        <w:adjustRightInd w:val="0"/>
        <w:snapToGrid w:val="0"/>
        <w:spacing w:line="360" w:lineRule="auto"/>
        <w:ind w:firstLine="480" w:firstLineChars="200"/>
        <w:rPr>
          <w:rFonts w:cs="Times New Roman" w:asciiTheme="minorEastAsia" w:hAnsiTheme="minorEastAsia"/>
          <w:sz w:val="24"/>
          <w:szCs w:val="24"/>
        </w:rPr>
      </w:pPr>
    </w:p>
    <w:p>
      <w:pPr>
        <w:adjustRightInd w:val="0"/>
        <w:snapToGrid w:val="0"/>
        <w:spacing w:line="360" w:lineRule="auto"/>
        <w:ind w:firstLine="1687" w:firstLineChars="700"/>
        <w:rPr>
          <w:rFonts w:cs="Times New Roman" w:asciiTheme="minorEastAsia" w:hAnsiTheme="minorEastAsia"/>
          <w:b/>
          <w:sz w:val="24"/>
          <w:szCs w:val="24"/>
        </w:rPr>
      </w:pPr>
      <w:r>
        <w:rPr>
          <w:rFonts w:hint="eastAsia" w:cs="Times New Roman" w:asciiTheme="minorEastAsia" w:hAnsiTheme="minorEastAsia"/>
          <w:b/>
          <w:sz w:val="24"/>
          <w:szCs w:val="24"/>
        </w:rPr>
        <w:t>图7.2-3    工程燃烧废气处理工艺流程图</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（4）工程有组织废气处理效果及可行性分析</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① 燃烧废气处理效果及可行性分析</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类比同类项目及参考类似废气处理设备运行资料，本次工程</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燃烧废气处理系统对</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颗粒物去除率</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达到</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9</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以上</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对N</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O</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x</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H</w:t>
      </w:r>
      <w:r>
        <w:rPr>
          <w:rFonts w:cs="Times New Roman" w:asciiTheme="minorEastAsia" w:hAnsiTheme="minorEastAsia"/>
          <w:color w:val="0D0D0D" w:themeColor="text1" w:themeTint="F2"/>
          <w:kern w:val="0"/>
          <w:sz w:val="16"/>
          <w:szCs w:val="16"/>
          <w:lang w:bidi="ar"/>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苯并[a]芘</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的去除率</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达到8</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左右，对</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非甲烷总烃</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的去除率</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达到</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90%</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以上</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；对</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氨的</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去除率</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约50%左右</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p>
    <w:p>
      <w:pPr>
        <w:adjustRightInd w:val="0"/>
        <w:snapToGrid w:val="0"/>
        <w:spacing w:line="360" w:lineRule="auto"/>
        <w:ind w:firstLine="480" w:firstLineChars="200"/>
        <w:rPr>
          <w:rFonts w:cs="Times New Roman" w:asciiTheme="minorEastAsia" w:hAnsiTheme="minorEastAsia"/>
          <w:sz w:val="24"/>
          <w:szCs w:val="24"/>
        </w:rPr>
        <w:sectPr>
          <w:headerReference r:id="rId11" w:type="default"/>
          <w:footerReference r:id="rId12" w:type="default"/>
          <w:pgSz w:w="11906" w:h="16838"/>
          <w:pgMar w:top="1417" w:right="1417" w:bottom="1417" w:left="1701" w:header="851" w:footer="680" w:gutter="0"/>
          <w:cols w:space="720" w:num="1"/>
          <w:docGrid w:type="lines" w:linePitch="312" w:charSpace="0"/>
        </w:sect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工程燃烧废气处理系统各处理单元运行效果分析如下表7.2-1。项目燃烧废气产生及处理后排放情况见下表7.2-2。</w:t>
      </w:r>
    </w:p>
    <w:p>
      <w:pPr>
        <w:spacing w:line="360" w:lineRule="auto"/>
        <w:ind w:firstLine="48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表7.2-1   项目裂解不凝气燃烧废气处理设施效率核算表</w:t>
      </w:r>
    </w:p>
    <w:tbl>
      <w:tblPr>
        <w:tblStyle w:val="89"/>
        <w:tblW w:w="14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993"/>
        <w:gridCol w:w="850"/>
        <w:gridCol w:w="851"/>
        <w:gridCol w:w="992"/>
        <w:gridCol w:w="567"/>
        <w:gridCol w:w="850"/>
        <w:gridCol w:w="709"/>
        <w:gridCol w:w="851"/>
        <w:gridCol w:w="567"/>
        <w:gridCol w:w="850"/>
        <w:gridCol w:w="567"/>
        <w:gridCol w:w="851"/>
        <w:gridCol w:w="708"/>
        <w:gridCol w:w="915"/>
        <w:gridCol w:w="800"/>
        <w:gridCol w:w="865"/>
        <w:gridCol w:w="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restart"/>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排放源</w:t>
            </w:r>
          </w:p>
        </w:tc>
        <w:tc>
          <w:tcPr>
            <w:tcW w:w="993" w:type="dxa"/>
            <w:vMerge w:val="restart"/>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废气量（Nm</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/h）</w:t>
            </w:r>
          </w:p>
        </w:tc>
        <w:tc>
          <w:tcPr>
            <w:tcW w:w="850" w:type="dxa"/>
            <w:vMerge w:val="restart"/>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污染物</w:t>
            </w:r>
          </w:p>
        </w:tc>
        <w:tc>
          <w:tcPr>
            <w:tcW w:w="851" w:type="dxa"/>
            <w:vMerge w:val="restart"/>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产生量（t/a）</w:t>
            </w:r>
          </w:p>
        </w:tc>
        <w:tc>
          <w:tcPr>
            <w:tcW w:w="992" w:type="dxa"/>
            <w:vMerge w:val="restart"/>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产生源强（kg/h）</w:t>
            </w:r>
          </w:p>
        </w:tc>
        <w:tc>
          <w:tcPr>
            <w:tcW w:w="1417" w:type="dxa"/>
            <w:gridSpan w:val="2"/>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SCR脱硝反应器</w:t>
            </w:r>
          </w:p>
        </w:tc>
        <w:tc>
          <w:tcPr>
            <w:tcW w:w="1560" w:type="dxa"/>
            <w:gridSpan w:val="2"/>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一级、二级脱硫塔</w:t>
            </w:r>
          </w:p>
        </w:tc>
        <w:tc>
          <w:tcPr>
            <w:tcW w:w="1417" w:type="dxa"/>
            <w:gridSpan w:val="2"/>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袋式除尘器</w:t>
            </w:r>
          </w:p>
        </w:tc>
        <w:tc>
          <w:tcPr>
            <w:tcW w:w="1418" w:type="dxa"/>
            <w:gridSpan w:val="2"/>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UV光解一体机+活性炭吸附装置</w:t>
            </w:r>
          </w:p>
        </w:tc>
        <w:tc>
          <w:tcPr>
            <w:tcW w:w="4147" w:type="dxa"/>
            <w:gridSpan w:val="5"/>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总处理效率及污染物排放情况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675"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1"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2"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效率（%）</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排放量（t/a）</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效率（%）</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排放量（t/a）</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效率（%）</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排放量（t/a）</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效率（%）</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排放量（t/a）</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总效率（%）</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排放量（t/a）</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消减量（t/a）</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排放源强（kg/h）</w:t>
            </w:r>
          </w:p>
        </w:tc>
        <w:tc>
          <w:tcPr>
            <w:tcW w:w="85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排放浓度（mg/m</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restart"/>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1#等效排气筒（不凝气燃烧废气处理装置）</w:t>
            </w:r>
          </w:p>
        </w:tc>
        <w:tc>
          <w:tcPr>
            <w:tcW w:w="993" w:type="dxa"/>
            <w:vMerge w:val="restart"/>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20000</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（2根等效排气筒）</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颗粒物</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20.71</w:t>
            </w:r>
          </w:p>
        </w:tc>
        <w:tc>
          <w:tcPr>
            <w:tcW w:w="992"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2.876</w:t>
            </w:r>
          </w:p>
        </w:tc>
        <w:tc>
          <w:tcPr>
            <w:tcW w:w="567"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20.71</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10.36</w:t>
            </w:r>
          </w:p>
        </w:tc>
        <w:tc>
          <w:tcPr>
            <w:tcW w:w="567"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90</w:t>
            </w:r>
          </w:p>
        </w:tc>
        <w:tc>
          <w:tcPr>
            <w:tcW w:w="850"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1.036</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1.036</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95</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1.036</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19.674</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0.144</w:t>
            </w:r>
          </w:p>
        </w:tc>
        <w:tc>
          <w:tcPr>
            <w:tcW w:w="85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2</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39.981</w:t>
            </w:r>
          </w:p>
        </w:tc>
        <w:tc>
          <w:tcPr>
            <w:tcW w:w="992"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5.553</w:t>
            </w:r>
          </w:p>
        </w:tc>
        <w:tc>
          <w:tcPr>
            <w:tcW w:w="567"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39.981</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4.0</w:t>
            </w:r>
          </w:p>
        </w:tc>
        <w:tc>
          <w:tcPr>
            <w:tcW w:w="567"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4.0</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4.0</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90</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4.0</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35.981</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0.555</w:t>
            </w:r>
          </w:p>
        </w:tc>
        <w:tc>
          <w:tcPr>
            <w:tcW w:w="85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27.77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NOx</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19.797</w:t>
            </w:r>
          </w:p>
        </w:tc>
        <w:tc>
          <w:tcPr>
            <w:tcW w:w="992"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2.75</w:t>
            </w:r>
          </w:p>
        </w:tc>
        <w:tc>
          <w:tcPr>
            <w:tcW w:w="567"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3.96</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3.96</w:t>
            </w:r>
          </w:p>
        </w:tc>
        <w:tc>
          <w:tcPr>
            <w:tcW w:w="567"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3.96</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3.96</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3.6</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16.197</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0.55</w:t>
            </w:r>
          </w:p>
        </w:tc>
        <w:tc>
          <w:tcPr>
            <w:tcW w:w="85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S</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0.213</w:t>
            </w:r>
          </w:p>
        </w:tc>
        <w:tc>
          <w:tcPr>
            <w:tcW w:w="992"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0.03</w:t>
            </w:r>
          </w:p>
        </w:tc>
        <w:tc>
          <w:tcPr>
            <w:tcW w:w="567"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0.213</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0.17</w:t>
            </w:r>
          </w:p>
        </w:tc>
        <w:tc>
          <w:tcPr>
            <w:tcW w:w="567"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0.17</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75</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0.043</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0.043</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0.17</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0.006</w:t>
            </w:r>
          </w:p>
        </w:tc>
        <w:tc>
          <w:tcPr>
            <w:tcW w:w="85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氨</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w:t>
            </w:r>
          </w:p>
        </w:tc>
        <w:tc>
          <w:tcPr>
            <w:tcW w:w="992"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w:t>
            </w:r>
          </w:p>
        </w:tc>
        <w:tc>
          <w:tcPr>
            <w:tcW w:w="567"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1.44</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1.44</w:t>
            </w:r>
          </w:p>
        </w:tc>
        <w:tc>
          <w:tcPr>
            <w:tcW w:w="567"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1.44</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0.72</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50</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0.72</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0.72</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w:t>
            </w:r>
          </w:p>
        </w:tc>
        <w:tc>
          <w:tcPr>
            <w:tcW w:w="85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非甲烷总烃</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7.5</w:t>
            </w:r>
          </w:p>
        </w:tc>
        <w:tc>
          <w:tcPr>
            <w:tcW w:w="992"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1.04</w:t>
            </w:r>
          </w:p>
        </w:tc>
        <w:tc>
          <w:tcPr>
            <w:tcW w:w="567"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7.5</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7.5</w:t>
            </w:r>
          </w:p>
        </w:tc>
        <w:tc>
          <w:tcPr>
            <w:tcW w:w="567"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7.5</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0.75</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90</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0.75</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6.75</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0.104</w:t>
            </w:r>
          </w:p>
        </w:tc>
        <w:tc>
          <w:tcPr>
            <w:tcW w:w="85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675"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苯并[a]芘</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992"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1.4</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-5</w:t>
            </w:r>
          </w:p>
        </w:tc>
        <w:tc>
          <w:tcPr>
            <w:tcW w:w="567"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709"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20</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0.8</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567" w:type="dxa"/>
            <w:vAlign w:val="center"/>
          </w:tcPr>
          <w:p>
            <w:pPr>
              <w:spacing w:line="240" w:lineRule="atLeast"/>
              <w:jc w:val="cente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w:t>
            </w:r>
          </w:p>
        </w:tc>
        <w:tc>
          <w:tcPr>
            <w:tcW w:w="85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0.8</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567"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75</w:t>
            </w:r>
          </w:p>
        </w:tc>
        <w:tc>
          <w:tcPr>
            <w:tcW w:w="85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708"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91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800"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0.8</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865"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2.8</w:t>
            </w:r>
          </w:p>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6</w:t>
            </w:r>
          </w:p>
        </w:tc>
        <w:tc>
          <w:tcPr>
            <w:tcW w:w="859"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0.14</w:t>
            </w:r>
          </w:p>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3</w:t>
            </w:r>
          </w:p>
        </w:tc>
      </w:tr>
    </w:tbl>
    <w:p>
      <w:pPr>
        <w:spacing w:line="360" w:lineRule="auto"/>
        <w:jc w:val="center"/>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表7.2-2     项目裂解不凝气燃烧废气产生及处理后排放情况表</w:t>
      </w:r>
    </w:p>
    <w:tbl>
      <w:tblPr>
        <w:tblStyle w:val="27"/>
        <w:tblW w:w="149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88"/>
        <w:gridCol w:w="953"/>
        <w:gridCol w:w="1113"/>
        <w:gridCol w:w="1114"/>
        <w:gridCol w:w="1113"/>
        <w:gridCol w:w="953"/>
        <w:gridCol w:w="1114"/>
        <w:gridCol w:w="953"/>
        <w:gridCol w:w="1113"/>
        <w:gridCol w:w="1114"/>
        <w:gridCol w:w="1113"/>
        <w:gridCol w:w="1023"/>
        <w:gridCol w:w="1021"/>
        <w:gridCol w:w="1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05" w:hRule="atLeast"/>
          <w:jc w:val="center"/>
        </w:trPr>
        <w:tc>
          <w:tcPr>
            <w:tcW w:w="1188" w:type="dxa"/>
            <w:vMerge w:val="restart"/>
            <w:vAlign w:val="center"/>
          </w:tcPr>
          <w:p>
            <w:pPr>
              <w:adjustRightInd w:val="0"/>
              <w:snapToGrid w:val="0"/>
              <w:spacing w:line="240" w:lineRule="atLeast"/>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污染源</w:t>
            </w:r>
          </w:p>
        </w:tc>
        <w:tc>
          <w:tcPr>
            <w:tcW w:w="953" w:type="dxa"/>
            <w:vMerge w:val="restart"/>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废气量</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N</w:t>
            </w: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m</w:t>
            </w:r>
            <w:r>
              <w:rPr>
                <w:rFonts w:cs="Times New Roman" w:asciiTheme="minorEastAsia" w:hAnsiTheme="minorEastAsia"/>
                <w:b/>
                <w:bCs/>
                <w:color w:val="0D0D0D" w:themeColor="text1" w:themeTint="F2"/>
                <w:sz w:val="15"/>
                <w:szCs w:val="15"/>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/h)</w:t>
            </w:r>
          </w:p>
        </w:tc>
        <w:tc>
          <w:tcPr>
            <w:tcW w:w="1113" w:type="dxa"/>
            <w:vMerge w:val="restart"/>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污染物类别</w:t>
            </w:r>
          </w:p>
        </w:tc>
        <w:tc>
          <w:tcPr>
            <w:tcW w:w="3180" w:type="dxa"/>
            <w:gridSpan w:val="3"/>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污染物产生状况</w:t>
            </w:r>
          </w:p>
        </w:tc>
        <w:tc>
          <w:tcPr>
            <w:tcW w:w="1114" w:type="dxa"/>
            <w:vMerge w:val="restart"/>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治理</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措施</w:t>
            </w:r>
          </w:p>
        </w:tc>
        <w:tc>
          <w:tcPr>
            <w:tcW w:w="953" w:type="dxa"/>
            <w:vMerge w:val="restart"/>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污染物</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去除率</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w:t>
            </w:r>
          </w:p>
        </w:tc>
        <w:tc>
          <w:tcPr>
            <w:tcW w:w="3340" w:type="dxa"/>
            <w:gridSpan w:val="3"/>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污染物排放状况</w:t>
            </w:r>
          </w:p>
        </w:tc>
        <w:tc>
          <w:tcPr>
            <w:tcW w:w="2044" w:type="dxa"/>
            <w:gridSpan w:val="2"/>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排放标准</w:t>
            </w:r>
          </w:p>
        </w:tc>
        <w:tc>
          <w:tcPr>
            <w:tcW w:w="1021" w:type="dxa"/>
            <w:vMerge w:val="restart"/>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达标排放</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75" w:hRule="atLeast"/>
          <w:jc w:val="center"/>
        </w:trPr>
        <w:tc>
          <w:tcPr>
            <w:tcW w:w="1188" w:type="dxa"/>
            <w:vMerge w:val="continue"/>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p>
        </w:tc>
        <w:tc>
          <w:tcPr>
            <w:tcW w:w="1113" w:type="dxa"/>
            <w:vMerge w:val="continue"/>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p>
        </w:tc>
        <w:tc>
          <w:tcPr>
            <w:tcW w:w="1114"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浓度</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(mg/m</w:t>
            </w:r>
            <w:r>
              <w:rPr>
                <w:rFonts w:cs="Times New Roman" w:asciiTheme="minorEastAsia" w:hAnsiTheme="minorEastAsia"/>
                <w:b/>
                <w:bCs/>
                <w:color w:val="0D0D0D" w:themeColor="text1" w:themeTint="F2"/>
                <w:sz w:val="15"/>
                <w:szCs w:val="15"/>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w:t>
            </w:r>
          </w:p>
        </w:tc>
        <w:tc>
          <w:tcPr>
            <w:tcW w:w="1113"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速率</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(kg/h)</w:t>
            </w:r>
          </w:p>
        </w:tc>
        <w:tc>
          <w:tcPr>
            <w:tcW w:w="953"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产生量</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t</w:t>
            </w: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/a)</w:t>
            </w:r>
          </w:p>
        </w:tc>
        <w:tc>
          <w:tcPr>
            <w:tcW w:w="1114" w:type="dxa"/>
            <w:vMerge w:val="continue"/>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p>
        </w:tc>
        <w:tc>
          <w:tcPr>
            <w:tcW w:w="1113"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浓度</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(mg/m</w:t>
            </w:r>
            <w:r>
              <w:rPr>
                <w:rFonts w:cs="Times New Roman" w:asciiTheme="minorEastAsia" w:hAnsiTheme="minorEastAsia"/>
                <w:b/>
                <w:bCs/>
                <w:color w:val="0D0D0D" w:themeColor="text1" w:themeTint="F2"/>
                <w:sz w:val="15"/>
                <w:szCs w:val="15"/>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w:t>
            </w:r>
          </w:p>
        </w:tc>
        <w:tc>
          <w:tcPr>
            <w:tcW w:w="1114"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速率</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(kg/h)</w:t>
            </w:r>
          </w:p>
        </w:tc>
        <w:tc>
          <w:tcPr>
            <w:tcW w:w="1113"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排放量</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w:t>
            </w:r>
            <w:r>
              <w:rPr>
                <w:rFonts w:hint="eastAsia"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t</w:t>
            </w: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/a)</w:t>
            </w:r>
          </w:p>
        </w:tc>
        <w:tc>
          <w:tcPr>
            <w:tcW w:w="1023"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浓度</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(mg/m</w:t>
            </w:r>
            <w:r>
              <w:rPr>
                <w:rFonts w:cs="Times New Roman" w:asciiTheme="minorEastAsia" w:hAnsiTheme="minorEastAsia"/>
                <w:b/>
                <w:bCs/>
                <w:color w:val="0D0D0D" w:themeColor="text1" w:themeTint="F2"/>
                <w:sz w:val="15"/>
                <w:szCs w:val="15"/>
                <w:vertAlign w:val="superscript"/>
                <w14:textFill>
                  <w14:solidFill>
                    <w14:schemeClr w14:val="tx1">
                      <w14:lumMod w14:val="95000"/>
                      <w14:lumOff w14:val="5000"/>
                    </w14:schemeClr>
                  </w14:solidFill>
                </w14:textFill>
              </w:rPr>
              <w:t>3</w:t>
            </w: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w:t>
            </w:r>
          </w:p>
        </w:tc>
        <w:tc>
          <w:tcPr>
            <w:tcW w:w="1021" w:type="dxa"/>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速率</w:t>
            </w:r>
          </w:p>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t>(kg/h)</w:t>
            </w:r>
          </w:p>
        </w:tc>
        <w:tc>
          <w:tcPr>
            <w:tcW w:w="1021" w:type="dxa"/>
            <w:vMerge w:val="continue"/>
            <w:vAlign w:val="center"/>
          </w:tcPr>
          <w:p>
            <w:pPr>
              <w:jc w:val="center"/>
              <w:rPr>
                <w:rFonts w:cs="Times New Roman" w:asciiTheme="minorEastAsia" w:hAnsiTheme="minorEastAsia"/>
                <w:b/>
                <w:bCs/>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1188" w:type="dxa"/>
            <w:vMerge w:val="restart"/>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不凝气燃烧废气处理装置（1#等效排气筒）</w:t>
            </w:r>
          </w:p>
        </w:tc>
        <w:tc>
          <w:tcPr>
            <w:tcW w:w="953" w:type="dxa"/>
            <w:vMerge w:val="restart"/>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20000</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颗粒物</w:t>
            </w:r>
          </w:p>
        </w:tc>
        <w:tc>
          <w:tcPr>
            <w:tcW w:w="1114"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143.8</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2.876</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20.71</w:t>
            </w:r>
          </w:p>
        </w:tc>
        <w:tc>
          <w:tcPr>
            <w:tcW w:w="1114" w:type="dxa"/>
            <w:vMerge w:val="restart"/>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SCR脱硝反应器+二级雾化喷淋脱硫塔+除雾器+袋式除尘器+UV光解一体机+活性炭吸附装置+20m排气筒</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95</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7.19</w:t>
            </w:r>
          </w:p>
        </w:tc>
        <w:tc>
          <w:tcPr>
            <w:tcW w:w="1114"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0.144</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1.036</w:t>
            </w:r>
          </w:p>
        </w:tc>
        <w:tc>
          <w:tcPr>
            <w:tcW w:w="102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w:t>
            </w:r>
          </w:p>
        </w:tc>
        <w:tc>
          <w:tcPr>
            <w:tcW w:w="102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5.9</w:t>
            </w:r>
          </w:p>
        </w:tc>
        <w:tc>
          <w:tcPr>
            <w:tcW w:w="1021" w:type="dxa"/>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1188"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2</w:t>
            </w:r>
          </w:p>
        </w:tc>
        <w:tc>
          <w:tcPr>
            <w:tcW w:w="1114"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277.65</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5.553</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39.981</w:t>
            </w:r>
          </w:p>
        </w:tc>
        <w:tc>
          <w:tcPr>
            <w:tcW w:w="1114"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90</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27.77</w:t>
            </w:r>
          </w:p>
        </w:tc>
        <w:tc>
          <w:tcPr>
            <w:tcW w:w="1114"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0.555</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4.0</w:t>
            </w:r>
          </w:p>
        </w:tc>
        <w:tc>
          <w:tcPr>
            <w:tcW w:w="102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35</w:t>
            </w:r>
          </w:p>
        </w:tc>
        <w:tc>
          <w:tcPr>
            <w:tcW w:w="102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4.3</w:t>
            </w:r>
          </w:p>
        </w:tc>
        <w:tc>
          <w:tcPr>
            <w:tcW w:w="1021"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1188"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NOx</w:t>
            </w:r>
          </w:p>
        </w:tc>
        <w:tc>
          <w:tcPr>
            <w:tcW w:w="1114"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137.5</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2.75</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19.797</w:t>
            </w:r>
          </w:p>
        </w:tc>
        <w:tc>
          <w:tcPr>
            <w:tcW w:w="1114"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27.5</w:t>
            </w:r>
          </w:p>
        </w:tc>
        <w:tc>
          <w:tcPr>
            <w:tcW w:w="1114"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0.55</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3.96</w:t>
            </w:r>
          </w:p>
        </w:tc>
        <w:tc>
          <w:tcPr>
            <w:tcW w:w="102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50</w:t>
            </w:r>
          </w:p>
        </w:tc>
        <w:tc>
          <w:tcPr>
            <w:tcW w:w="102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1.3</w:t>
            </w:r>
          </w:p>
        </w:tc>
        <w:tc>
          <w:tcPr>
            <w:tcW w:w="1021"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1188"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S</w:t>
            </w:r>
          </w:p>
        </w:tc>
        <w:tc>
          <w:tcPr>
            <w:tcW w:w="1114"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1.5</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0.03</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0.213</w:t>
            </w:r>
          </w:p>
        </w:tc>
        <w:tc>
          <w:tcPr>
            <w:tcW w:w="1114"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0.3</w:t>
            </w:r>
          </w:p>
        </w:tc>
        <w:tc>
          <w:tcPr>
            <w:tcW w:w="1114"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0.006</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0.043</w:t>
            </w:r>
          </w:p>
        </w:tc>
        <w:tc>
          <w:tcPr>
            <w:tcW w:w="102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w:t>
            </w:r>
          </w:p>
        </w:tc>
        <w:tc>
          <w:tcPr>
            <w:tcW w:w="102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0.58</w:t>
            </w:r>
          </w:p>
        </w:tc>
        <w:tc>
          <w:tcPr>
            <w:tcW w:w="1021"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1188"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氨</w:t>
            </w:r>
          </w:p>
        </w:tc>
        <w:tc>
          <w:tcPr>
            <w:tcW w:w="1114"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1.44</w:t>
            </w:r>
          </w:p>
        </w:tc>
        <w:tc>
          <w:tcPr>
            <w:tcW w:w="1114"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50</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5.0</w:t>
            </w:r>
          </w:p>
        </w:tc>
        <w:tc>
          <w:tcPr>
            <w:tcW w:w="1114"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0.72</w:t>
            </w:r>
          </w:p>
        </w:tc>
        <w:tc>
          <w:tcPr>
            <w:tcW w:w="102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w:t>
            </w:r>
          </w:p>
        </w:tc>
        <w:tc>
          <w:tcPr>
            <w:tcW w:w="102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8.7</w:t>
            </w:r>
          </w:p>
        </w:tc>
        <w:tc>
          <w:tcPr>
            <w:tcW w:w="1021"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1188"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非甲烷总烃</w:t>
            </w:r>
          </w:p>
        </w:tc>
        <w:tc>
          <w:tcPr>
            <w:tcW w:w="1114"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52</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1.04</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7.5</w:t>
            </w:r>
          </w:p>
        </w:tc>
        <w:tc>
          <w:tcPr>
            <w:tcW w:w="1114"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90</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5.2</w:t>
            </w:r>
          </w:p>
        </w:tc>
        <w:tc>
          <w:tcPr>
            <w:tcW w:w="1114"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0.104</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0.75</w:t>
            </w:r>
          </w:p>
        </w:tc>
        <w:tc>
          <w:tcPr>
            <w:tcW w:w="102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102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17</w:t>
            </w:r>
          </w:p>
        </w:tc>
        <w:tc>
          <w:tcPr>
            <w:tcW w:w="1021"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jc w:val="center"/>
        </w:trPr>
        <w:tc>
          <w:tcPr>
            <w:tcW w:w="1188"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苯并[a]芘</w:t>
            </w:r>
          </w:p>
        </w:tc>
        <w:tc>
          <w:tcPr>
            <w:tcW w:w="1114"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0.7</w:t>
            </w: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3</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1.4×10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-5</w:t>
            </w: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asciiTheme="minorEastAsia" w:hAnsiTheme="minorEastAsia"/>
                <w:color w:val="0D0D0D" w:themeColor="text1" w:themeTint="F2"/>
                <w:sz w:val="15"/>
                <w:szCs w:val="15"/>
                <w14:textFill>
                  <w14:solidFill>
                    <w14:schemeClr w14:val="tx1">
                      <w14:lumMod w14:val="95000"/>
                      <w14:lumOff w14:val="5000"/>
                    </w14:schemeClr>
                  </w14:solidFill>
                </w14:textFill>
              </w:rPr>
              <w:t>1.0×10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1114" w:type="dxa"/>
            <w:vMerge w:val="continue"/>
            <w:vAlign w:val="center"/>
          </w:tcPr>
          <w:p>
            <w:pPr>
              <w:jc w:val="cente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95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80</w:t>
            </w:r>
          </w:p>
        </w:tc>
        <w:tc>
          <w:tcPr>
            <w:tcW w:w="1113"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0.14</w:t>
            </w: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3</w:t>
            </w:r>
          </w:p>
        </w:tc>
        <w:tc>
          <w:tcPr>
            <w:tcW w:w="1114"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0.28</w:t>
            </w: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5</w:t>
            </w:r>
          </w:p>
        </w:tc>
        <w:tc>
          <w:tcPr>
            <w:tcW w:w="111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0.2</w:t>
            </w: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4</w:t>
            </w:r>
          </w:p>
        </w:tc>
        <w:tc>
          <w:tcPr>
            <w:tcW w:w="1023"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0.3</w:t>
            </w: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3</w:t>
            </w:r>
          </w:p>
        </w:tc>
        <w:tc>
          <w:tcPr>
            <w:tcW w:w="1021" w:type="dxa"/>
            <w:vAlign w:val="center"/>
          </w:tcPr>
          <w:p>
            <w:pPr>
              <w:spacing w:line="240" w:lineRule="atLeast"/>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asciiTheme="minorEastAsia" w:hAnsiTheme="minorEastAsia"/>
                <w:color w:val="0D0D0D" w:themeColor="text1" w:themeTint="F2"/>
                <w:sz w:val="15"/>
                <w:szCs w:val="15"/>
                <w14:textFill>
                  <w14:solidFill>
                    <w14:schemeClr w14:val="tx1">
                      <w14:lumMod w14:val="95000"/>
                      <w14:lumOff w14:val="5000"/>
                    </w14:schemeClr>
                  </w14:solidFill>
                </w14:textFill>
              </w:rPr>
              <w:t>0.85</w:t>
            </w:r>
            <w:r>
              <w:rPr>
                <w:rFonts w:asciiTheme="minorEastAsia" w:hAnsiTheme="minorEastAsia"/>
                <w:color w:val="0D0D0D" w:themeColor="text1" w:themeTint="F2"/>
                <w:sz w:val="15"/>
                <w:szCs w:val="15"/>
                <w14:textFill>
                  <w14:solidFill>
                    <w14:schemeClr w14:val="tx1">
                      <w14:lumMod w14:val="95000"/>
                      <w14:lumOff w14:val="5000"/>
                    </w14:schemeClr>
                  </w14:solidFill>
                </w14:textFill>
              </w:rPr>
              <w:t>×10</w:t>
            </w:r>
            <w:r>
              <w:rPr>
                <w:rFonts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5"/>
                <w:szCs w:val="15"/>
                <w:vertAlign w:val="superscript"/>
                <w14:textFill>
                  <w14:solidFill>
                    <w14:schemeClr w14:val="tx1">
                      <w14:lumMod w14:val="95000"/>
                      <w14:lumOff w14:val="5000"/>
                    </w14:schemeClr>
                  </w14:solidFill>
                </w14:textFill>
              </w:rPr>
              <w:t>5</w:t>
            </w:r>
          </w:p>
        </w:tc>
        <w:tc>
          <w:tcPr>
            <w:tcW w:w="1021" w:type="dxa"/>
            <w:vAlign w:val="center"/>
          </w:tcPr>
          <w:p>
            <w:pPr>
              <w:jc w:val="center"/>
              <w:rPr>
                <w:rFonts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达标</w:t>
            </w:r>
          </w:p>
        </w:tc>
      </w:tr>
    </w:tbl>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sectPr>
          <w:pgSz w:w="16838" w:h="11906" w:orient="landscape"/>
          <w:pgMar w:top="1417" w:right="1417" w:bottom="1701" w:left="1417" w:header="851" w:footer="680" w:gutter="0"/>
          <w:cols w:space="720" w:num="1"/>
          <w:docGrid w:type="lines" w:linePitch="312" w:charSpace="0"/>
        </w:sectPr>
      </w:pPr>
    </w:p>
    <w:p>
      <w:pPr>
        <w:adjustRightInd w:val="0"/>
        <w:snapToGrid w:val="0"/>
        <w:spacing w:line="360" w:lineRule="auto"/>
        <w:ind w:firstLine="600" w:firstLineChars="25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由上表7.2-.2内容可知，工程燃烧废气经处理后，各类污染物排放速率均可满足相应的排放限值要求；评价认为项目废轮胎热裂解不凝气燃烧废气治理措施可行。</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②有组织碳黑尘治理措施及可行性分析</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为减少生产过程中废轮胎热裂解炉进、出料和粗碳黑收料、包装及废钢丝打包工序无组织碳黑尘的排放，工程拟在热裂解炉出料口、炭黑包装设备和钢丝打包设备上方分别设置集气罩，收集碳黑尘废气统一引入2套袋式除尘器处理，处理后废气经2根15m排气筒排放。2台除尘器设计收集废气量及运行工况一致。单台除尘器设计运行时间7200h/a，设计处理废气量均为5000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/h，处理效率均达到99%以上。</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根据工程分析，项目有组织碳黑尘经袋除尘器处理后，尾气中碳黑尘排放浓度</w:t>
      </w:r>
      <w:r>
        <w:rPr>
          <w:rFonts w:hint="eastAsia" w:cs="Times New Roman" w:asciiTheme="minorEastAsia" w:hAnsiTheme="minorEastAsia"/>
          <w:sz w:val="24"/>
          <w:szCs w:val="24"/>
        </w:rPr>
        <w:t>4.38mg/m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，排放速率约为0.022kg/h，满足《大气污染物综合排放标准》（GB16297-1996）表2规定的排放限值要求，治理措施可行。</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③职工食堂油烟治理措施</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工程职工食堂设置</w:t>
      </w:r>
      <w:r>
        <w:rPr>
          <w:rFonts w:cs="Times New Roman" w:asciiTheme="minorEastAsia" w:hAnsiTheme="minorEastAsia"/>
          <w:sz w:val="24"/>
          <w:szCs w:val="24"/>
        </w:rPr>
        <w:t>一台风量为3000</w:t>
      </w:r>
      <w:r>
        <w:rPr>
          <w:rFonts w:cs="Times New Roman" w:asciiTheme="minorEastAsia" w:hAnsiTheme="minorEastAsia"/>
          <w:iCs/>
          <w:sz w:val="24"/>
          <w:szCs w:val="24"/>
        </w:rPr>
        <w:t>m</w:t>
      </w:r>
      <w:r>
        <w:rPr>
          <w:rFonts w:cs="Times New Roman" w:asciiTheme="minorEastAsia" w:hAnsiTheme="minorEastAsia"/>
          <w:iCs/>
          <w:sz w:val="24"/>
          <w:szCs w:val="24"/>
          <w:vertAlign w:val="superscript"/>
        </w:rPr>
        <w:t>3</w:t>
      </w:r>
      <w:r>
        <w:rPr>
          <w:rFonts w:cs="Times New Roman" w:asciiTheme="minorEastAsia" w:hAnsiTheme="minorEastAsia"/>
          <w:iCs/>
          <w:sz w:val="24"/>
          <w:szCs w:val="24"/>
        </w:rPr>
        <w:t>/h的油烟净化器</w:t>
      </w:r>
      <w:r>
        <w:rPr>
          <w:rFonts w:hint="eastAsia" w:cs="Times New Roman" w:asciiTheme="minorEastAsia" w:hAnsiTheme="minorEastAsia"/>
          <w:iCs/>
          <w:sz w:val="24"/>
          <w:szCs w:val="24"/>
        </w:rPr>
        <w:t>，</w:t>
      </w:r>
      <w:r>
        <w:rPr>
          <w:rFonts w:cs="Times New Roman" w:asciiTheme="minorEastAsia" w:hAnsiTheme="minorEastAsia"/>
          <w:iCs/>
          <w:sz w:val="24"/>
          <w:szCs w:val="24"/>
        </w:rPr>
        <w:t>对产生的油烟废气处理后经排烟管道引至楼顶排放</w:t>
      </w:r>
      <w:r>
        <w:rPr>
          <w:rFonts w:hint="eastAsia" w:cs="Times New Roman" w:asciiTheme="minorEastAsia" w:hAnsiTheme="minorEastAsia"/>
          <w:iCs/>
          <w:sz w:val="24"/>
          <w:szCs w:val="24"/>
        </w:rPr>
        <w:t>（排气筒高度15m）</w:t>
      </w:r>
      <w:r>
        <w:rPr>
          <w:rFonts w:cs="Times New Roman" w:asciiTheme="minorEastAsia" w:hAnsiTheme="minorEastAsia"/>
          <w:iCs/>
          <w:sz w:val="24"/>
          <w:szCs w:val="24"/>
        </w:rPr>
        <w:t>，油烟去除率不低于90</w:t>
      </w:r>
      <w:r>
        <w:rPr>
          <w:rFonts w:cs="Times New Roman" w:asciiTheme="minorEastAsia" w:hAnsiTheme="minorEastAsia"/>
          <w:sz w:val="24"/>
          <w:szCs w:val="24"/>
        </w:rPr>
        <w:t>％，处理后油烟排放浓度为0.3mg/m</w:t>
      </w:r>
      <w:r>
        <w:rPr>
          <w:rFonts w:cs="Times New Roman" w:asciiTheme="minorEastAsia" w:hAnsiTheme="minorEastAsia"/>
          <w:sz w:val="24"/>
          <w:szCs w:val="24"/>
          <w:vertAlign w:val="superscript"/>
        </w:rPr>
        <w:t>3</w:t>
      </w:r>
      <w:r>
        <w:rPr>
          <w:rFonts w:cs="Times New Roman" w:asciiTheme="minorEastAsia" w:hAnsiTheme="minorEastAsia"/>
          <w:sz w:val="24"/>
          <w:szCs w:val="24"/>
        </w:rPr>
        <w:t>，能够满足河南省地方标准《餐饮业油烟污染物排放标准》（DB41/1604-2018）小型规模限值要求（油烟排放浓度≤1.5mg/m</w:t>
      </w:r>
      <w:r>
        <w:rPr>
          <w:rFonts w:cs="Times New Roman" w:asciiTheme="minorEastAsia" w:hAnsiTheme="minorEastAsia"/>
          <w:sz w:val="24"/>
          <w:szCs w:val="24"/>
          <w:vertAlign w:val="superscript"/>
        </w:rPr>
        <w:t>3</w:t>
      </w:r>
      <w:r>
        <w:rPr>
          <w:rFonts w:cs="Times New Roman" w:asciiTheme="minorEastAsia" w:hAnsiTheme="minorEastAsia"/>
          <w:sz w:val="24"/>
          <w:szCs w:val="24"/>
        </w:rPr>
        <w:t>）。</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（5）无组织废气治理措施及可行性分析</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①车间无组织废气治理措施</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项目营运期生产车间无组织废气主要是热裂解炉反应釜开炉过程中未能收集的热裂解气和粗炭黑出料、包装及废钢丝打包过程中未能收集的碳黑尘废气。</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针对热裂解生产车间无组织废气产生环节，工程主要采取以下污染防治措施：</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a）</w:t>
      </w:r>
      <w:r>
        <w:rPr>
          <w:rFonts w:cs="Times New Roman" w:asciiTheme="minorEastAsia" w:hAnsiTheme="minorEastAsia"/>
          <w:sz w:val="24"/>
          <w:szCs w:val="24"/>
        </w:rPr>
        <w:t>开闭裂解炉加料仓仓门时</w:t>
      </w:r>
      <w:r>
        <w:rPr>
          <w:rFonts w:hint="eastAsia" w:cs="Times New Roman" w:asciiTheme="minorEastAsia" w:hAnsiTheme="minorEastAsia"/>
          <w:sz w:val="24"/>
          <w:szCs w:val="24"/>
        </w:rPr>
        <w:t>，继续保持热裂解反应釜内处于微负压状态；</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b）采用的封闭式接料箱和螺旋出渣机回收粗碳黑产品；</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c）在热裂解炉出料口、炭黑包装设备和钢丝打包设备上方分别设置集气罩收集处理逸散的炭黑尘；收集粉尘进入袋除尘器处理；</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d）收集粗碳黑利用密闭包装袋包装、储存、转移，禁止采用散料方式转移、储存或外售；</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e）车间地面应及时利用吸尘器打扫保洁，减少人为因素起尘量。</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通过落实以上措施，工程车间无组织废气可得到有效控制和治理。</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②燃料油储罐区无组织废气治理措施</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工程储罐区无组织废气主要为储罐大小呼吸排气。采取的污染防治措施主要包括：取</w:t>
      </w:r>
      <w:r>
        <w:rPr>
          <w:rFonts w:hint="eastAsia" w:asciiTheme="minorEastAsia" w:hAnsiTheme="minorEastAsia"/>
          <w:sz w:val="24"/>
          <w:szCs w:val="24"/>
        </w:rPr>
        <w:t>储油罐油品出料装车采用平衡鹤管，罐车出气口与储罐排气口密闭链接，减少大呼吸排放量；储罐配置氮封装置和油气回收装置，减少小呼吸排放量；车间产出油品通过油泵及密闭管道输送至储罐，杜绝油品收集、输送过程中挥发有机废气。经采取上述措施后，工程储罐区废气排放量很小，对环境影响不大。</w:t>
      </w:r>
    </w:p>
    <w:p>
      <w:pPr>
        <w:spacing w:line="360" w:lineRule="auto"/>
        <w:ind w:firstLine="720" w:firstLineChars="300"/>
        <w:rPr>
          <w:rFonts w:cs="Times New Roman" w:asciiTheme="minorEastAsia" w:hAnsiTheme="minorEastAsia"/>
          <w:sz w:val="24"/>
          <w:szCs w:val="24"/>
        </w:rPr>
      </w:pPr>
      <w:r>
        <w:rPr>
          <w:rFonts w:hint="eastAsia" w:cs="Times New Roman" w:asciiTheme="minorEastAsia" w:hAnsiTheme="minorEastAsia"/>
          <w:sz w:val="24"/>
          <w:szCs w:val="24"/>
        </w:rPr>
        <w:t>③其他无组织废气控制措施</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主要包括建设密闭产品库，禁止露天堆存物料，采用袋装储存、转运粗碳黑产品，库内装卸车，仓库及时利用吸尘器保洁等措施，可有效控制堆场扬尘产生。运输车辆进出场区对轮胎车身进行清扫、清洗，厂区及道路及时喷雾降尘，减少道路扬尘。</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综上分析，工程采取以上无组织废气控制、治理措施后，</w:t>
      </w:r>
      <w:r>
        <w:rPr>
          <w:rFonts w:cs="Times New Roman" w:asciiTheme="minorEastAsia" w:hAnsiTheme="minorEastAsia"/>
          <w:color w:val="000000"/>
          <w:sz w:val="24"/>
          <w:szCs w:val="24"/>
        </w:rPr>
        <w:t>根据</w:t>
      </w:r>
      <w:r>
        <w:rPr>
          <w:rFonts w:hint="eastAsia" w:cs="Times New Roman" w:asciiTheme="minorEastAsia" w:hAnsiTheme="minorEastAsia"/>
          <w:color w:val="000000"/>
          <w:sz w:val="24"/>
          <w:szCs w:val="24"/>
        </w:rPr>
        <w:t>预测</w:t>
      </w:r>
      <w:r>
        <w:rPr>
          <w:rFonts w:cs="Times New Roman" w:asciiTheme="minorEastAsia" w:hAnsiTheme="minorEastAsia"/>
          <w:color w:val="000000"/>
          <w:sz w:val="24"/>
          <w:szCs w:val="24"/>
        </w:rPr>
        <w:t>，</w:t>
      </w:r>
      <w:r>
        <w:rPr>
          <w:rFonts w:hint="eastAsia" w:cs="Times New Roman" w:asciiTheme="minorEastAsia" w:hAnsiTheme="minorEastAsia"/>
          <w:color w:val="000000"/>
          <w:sz w:val="24"/>
          <w:szCs w:val="24"/>
        </w:rPr>
        <w:t>营运期</w:t>
      </w:r>
      <w:r>
        <w:rPr>
          <w:rFonts w:cs="Times New Roman" w:asciiTheme="minorEastAsia" w:hAnsiTheme="minorEastAsia"/>
          <w:sz w:val="24"/>
          <w:szCs w:val="24"/>
        </w:rPr>
        <w:t>厂界H</w:t>
      </w:r>
      <w:r>
        <w:rPr>
          <w:rFonts w:cs="Times New Roman" w:asciiTheme="minorEastAsia" w:hAnsiTheme="minorEastAsia"/>
          <w:sz w:val="24"/>
          <w:szCs w:val="24"/>
          <w:vertAlign w:val="subscript"/>
        </w:rPr>
        <w:t>2</w:t>
      </w:r>
      <w:r>
        <w:rPr>
          <w:rFonts w:cs="Times New Roman" w:asciiTheme="minorEastAsia" w:hAnsiTheme="minorEastAsia"/>
          <w:sz w:val="24"/>
          <w:szCs w:val="24"/>
        </w:rPr>
        <w:t>S的预测浓度均能够满足《恶臭污染物排放标准》（GB14554-93）表1二级标准的要求，非甲烷总烃的预测浓度能够满足豫环攻坚办[2017]162号《关于全省开展工业企业挥发性有机物专项治理工作中排放建议值的通知》中其他行业建议限值要求。</w:t>
      </w:r>
      <w:r>
        <w:rPr>
          <w:rFonts w:hint="eastAsia" w:cs="Times New Roman" w:asciiTheme="minorEastAsia" w:hAnsiTheme="minorEastAsia"/>
          <w:sz w:val="24"/>
          <w:szCs w:val="24"/>
        </w:rPr>
        <w:t>因此，总体评价，项目采取的无组织排放控制措施合理、可行</w:t>
      </w:r>
      <w:r>
        <w:rPr>
          <w:rFonts w:cs="Times New Roman" w:asciiTheme="minorEastAsia" w:hAnsiTheme="minorEastAsia"/>
          <w:sz w:val="24"/>
          <w:szCs w:val="24"/>
        </w:rPr>
        <w:t>。</w:t>
      </w:r>
    </w:p>
    <w:p>
      <w:pPr>
        <w:spacing w:line="360" w:lineRule="auto"/>
        <w:rPr>
          <w:rFonts w:cs="Times New Roman" w:asciiTheme="minorEastAsia" w:hAnsiTheme="minorEastAsia"/>
          <w:sz w:val="24"/>
          <w:szCs w:val="24"/>
        </w:rPr>
      </w:pPr>
      <w:r>
        <w:rPr>
          <w:rFonts w:hint="eastAsia" w:cs="Times New Roman" w:asciiTheme="minorEastAsia" w:hAnsiTheme="minorEastAsia"/>
          <w:sz w:val="24"/>
          <w:szCs w:val="24"/>
        </w:rPr>
        <w:t>7.2.1.3项目建设与《挥发性有机物无组织排放控制标准》（GB37822-2019）的相符性分析</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结合工程拟采取的污染防治措施，项目建设与《挥发性有机物无组织排放控制标准》（GB37822-2019）</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的相关规定及要求对照情况见下表7.2-3。</w:t>
      </w:r>
    </w:p>
    <w:p>
      <w:pPr>
        <w:spacing w:line="360" w:lineRule="auto"/>
        <w:ind w:firstLine="602" w:firstLineChars="25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表7.2-3   项目与GB37822-2019规定及要求比对情况表</w:t>
      </w:r>
    </w:p>
    <w:tbl>
      <w:tblPr>
        <w:tblStyle w:val="27"/>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708"/>
        <w:gridCol w:w="3544"/>
        <w:gridCol w:w="2977"/>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3" w:type="dxa"/>
            <w:gridSpan w:val="3"/>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控制要求</w:t>
            </w:r>
          </w:p>
        </w:tc>
        <w:tc>
          <w:tcPr>
            <w:tcW w:w="2977"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本次工程</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VOC</w:t>
            </w:r>
            <w:r>
              <w:rPr>
                <w:rFonts w:hint="eastAsia" w:cs="Times New Roman"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物料储存无组织排放控制要求</w:t>
            </w: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基本</w:t>
            </w:r>
          </w:p>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要求</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VOC</w:t>
            </w:r>
            <w:r>
              <w:rPr>
                <w:rFonts w:hint="eastAsia" w:cs="Times New Roman"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物料应储存于密闭的容器、包装袋、储罐、储库、料仓中。</w:t>
            </w:r>
          </w:p>
        </w:tc>
        <w:tc>
          <w:tcPr>
            <w:tcW w:w="2977" w:type="dxa"/>
            <w:vMerge w:val="restart"/>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回收燃料油采用密闭的固定顶罐储存。各类固废等均采用防渗包装袋或包装桶储存；粗碳黑产品采用密闭包装袋储存；各类物料均储存于密闭的专用库房内。</w:t>
            </w:r>
          </w:p>
        </w:tc>
        <w:tc>
          <w:tcPr>
            <w:tcW w:w="850"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盛装VOC</w:t>
            </w:r>
            <w:r>
              <w:rPr>
                <w:rFonts w:hint="eastAsia" w:cs="Times New Roman"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物料的容器或包装袋应存放于室内，或存放于设置有雨棚、遮阳和防渗设施的专用场地。盛装VOC</w:t>
            </w:r>
            <w:r>
              <w:rPr>
                <w:rFonts w:hint="eastAsia" w:cs="Times New Roman"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物料的容器或包装袋在非取用状态时应加盖、封口，保持密闭。</w:t>
            </w:r>
          </w:p>
        </w:tc>
        <w:tc>
          <w:tcPr>
            <w:tcW w:w="2977" w:type="dxa"/>
            <w:vMerge w:val="continue"/>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挥发性有机液体储罐</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采用固定顶罐，排放的废气应收集处理并满足相关行业排放标准的要求，或者处理效率不低于80%。</w:t>
            </w:r>
          </w:p>
        </w:tc>
        <w:tc>
          <w:tcPr>
            <w:tcW w:w="2977" w:type="dxa"/>
            <w:vMerge w:val="restart"/>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项目油品储罐装卸采用平衡鹤管；储罐呼吸废气通过油气回收装置处理后排放；处理效率不低于80%</w:t>
            </w:r>
          </w:p>
        </w:tc>
        <w:tc>
          <w:tcPr>
            <w:tcW w:w="850"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采用气相平衡系统</w:t>
            </w:r>
          </w:p>
        </w:tc>
        <w:tc>
          <w:tcPr>
            <w:tcW w:w="2977" w:type="dxa"/>
            <w:vMerge w:val="continue"/>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VOC</w:t>
            </w:r>
            <w:r>
              <w:rPr>
                <w:rFonts w:hint="eastAsia" w:cs="Times New Roman" w:asciiTheme="minorEastAsia" w:hAnsiTheme="minorEastAsia"/>
                <w:color w:val="0D0D0D" w:themeColor="text1" w:themeTint="F2"/>
                <w:sz w:val="15"/>
                <w:szCs w:val="15"/>
                <w:vertAlign w:val="subscript"/>
                <w14:textFill>
                  <w14:solidFill>
                    <w14:schemeClr w14:val="tx1">
                      <w14:lumMod w14:val="95000"/>
                      <w14:lumOff w14:val="5000"/>
                    </w14:schemeClr>
                  </w14:solidFill>
                </w14:textFill>
              </w:rPr>
              <w:t>S</w:t>
            </w: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物料转移和输送无组织排放控制要求</w:t>
            </w: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基本</w:t>
            </w:r>
          </w:p>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要求</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液态VOCs物料应采用密闭管道输送。采用非管道输送方式转移液态VOCs物料时，应采用密闭容器、罐车</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储罐油品采用罐车运输、密闭管道输送。</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粉状、粒状VOCs物料应采用气力输送设备、管状带式输送机、螺旋输送机等密闭输送方式或者采用密闭的包装袋、容器或罐车进行物料转移。</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粉状、粒状物料采用密闭包装袋转移、螺旋输送机输送方式。</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挥发性有机液体装载</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挥发性有机液体应采用底部装载方式；若采用顶部浸没式装载，出料管口距离槽(罐)底部高度应小于200mm</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项目储罐油品装载采用底部或浸没式装载装载方式。</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排放的废气连接至气相平衡系统</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储罐装卸是采用平衡鹤管。</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工艺过程VOCs无组织排放控制要求</w:t>
            </w: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涉VOCs物料的化工生产过程</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t>a)</w:t>
            </w: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液态VOCs物料应采用密闭管道输送方式或采用高位槽(罐)、桶泵等给料方式密闭投加。无法密闭投加的，应在密闭空间内操作，或进行局部气体收集，废气应排至VOCs废气收集处理系统。</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燃料油采用密闭管道输送至储罐储存。</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b)粉状、粒状VOCs物料应采用气力输送方式或采用密闭固体投料器等给料方式密闭投加。无法密闭投加的，应在密闭空间内操作，或进行局部气体收集，废气应排至除尘设施、VOCs废气收集处理系统。</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本次工程投料无VOCS废气排放。</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c)VOCs物料卸(出、放)料过程应密闭，卸料废气应排至VOCs废气收集处理系统；无法密闭的，应采取局部气体收集措施，废气应排至VOCs废气收集处理系统。</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项目热裂解炉进出料保持负压工作状态，出料口设置集气罩，收集废气主要为粉尘，进入袋除尘器处理后排放。</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化学反应</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a)反应设备进料置换废气、挥发排气、反应尾气等应排至VOCs废气收集处理系统。</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项目热裂解炉配备冷凝器，冷凝回收油品后的不凝气均经管道收集后，排至燃烧装置燃烧。</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b)在反应期间，反应设备的进料口、出料口、检修口、搅拌口、观察孔等开口(孔)在不操作时应保持密闭。</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本次工程热裂解炉的进、出料口、检修口、观察孔等开口(孔)在不操作时保持密闭。</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其他</w:t>
            </w:r>
          </w:p>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要求</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企业应建立台账，记录含VOCs原辅材料和含VOCs产品的名称、使用量、回收量、废弃量、去向以及VOCs含量等信息。台账保存期限不少于3年</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评价要求企业按照要求建立台账。</w:t>
            </w:r>
          </w:p>
        </w:tc>
        <w:tc>
          <w:tcPr>
            <w:tcW w:w="850"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通风生产设备、操作工位、车间厂房等应在符合安全生产、职业卫生相关规定的前提下，根据行业作业规程与标准、工业建筑及洁净厂房通风设计规范等的要求，采用合理的通风量。</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评价要求企业按照要求设计通风生产设备、操作工位、车间厂房等</w:t>
            </w:r>
          </w:p>
        </w:tc>
        <w:tc>
          <w:tcPr>
            <w:tcW w:w="850"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载有VOCs物料的设备及其管道在开停工(车)、检维修和清洗时，应在退料阶段将残存物料退净，并用密闭容器盛装，退料过程废气应排至VOCs废气收集处理系统；清洗及吹扫过程排气应排至VOCs废气收集处理系统。</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 xml:space="preserve">  评价要求企业在开停工(车)、检维修时按照要求进行操作。</w:t>
            </w:r>
          </w:p>
        </w:tc>
        <w:tc>
          <w:tcPr>
            <w:tcW w:w="850"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工艺过程产生的含VOCs废料(渣、液)应按照第5章、第6章的要求进行储存、转移和输送。盛装过VOCs物料的废包装容器应加盖密闭</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项目产生的固废采用防渗密闭容器或防渗包装袋储存于危废暂存间内，废包装桶加盖密闭储存于密闭危废暂存间内。</w:t>
            </w:r>
          </w:p>
        </w:tc>
        <w:tc>
          <w:tcPr>
            <w:tcW w:w="850"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设备与管线组件VOCs泄漏控制要求</w:t>
            </w:r>
          </w:p>
        </w:tc>
        <w:tc>
          <w:tcPr>
            <w:tcW w:w="708"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管控</w:t>
            </w:r>
          </w:p>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范围</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企业中载有气态VOCs物料、液态VOCs物料的设备与管线组件的密封点≥2000个，应开展泄漏检测与修复工作。</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项目液态VOCs物料的设备与管线组件的密封点＜2000个</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敞开液面VOCs无组织排放控制要求</w:t>
            </w:r>
          </w:p>
        </w:tc>
        <w:tc>
          <w:tcPr>
            <w:tcW w:w="708"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废水液面控制要求</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a)采用密闭管道输送，接入口和排出口采取与环境空气隔离的措施</w:t>
            </w:r>
          </w:p>
        </w:tc>
        <w:tc>
          <w:tcPr>
            <w:tcW w:w="2977" w:type="dxa"/>
            <w:vMerge w:val="restart"/>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 xml:space="preserve">  项目含VOCs废水采用雾化后进入不凝气余气燃烧装置焚烧处理，其他废水采用加盖管渠进入一体化污水处理系统进行处理；污水处理池等加盖密封，喷洒除臭剂等减少恶臭污染物排放。</w:t>
            </w:r>
          </w:p>
        </w:tc>
        <w:tc>
          <w:tcPr>
            <w:tcW w:w="850" w:type="dxa"/>
            <w:vMerge w:val="restart"/>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符合要求，集气率为95%。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b)采用沟渠输送，若敵开液面上方100mm处VOCs检测浓度≥200 umol/mol，应加盖密闭，接入口和排出口采取与环境空气隔离的措施</w:t>
            </w:r>
          </w:p>
        </w:tc>
        <w:tc>
          <w:tcPr>
            <w:tcW w:w="2977" w:type="dxa"/>
            <w:vMerge w:val="continue"/>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废水储存、处理设施</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含VOCs废水储存和处理设施敵开液面上方100mm处VOCs检测浓度≥200 umol/ mol，应符合下列规定之一：a)采用浮动顶盖；</w:t>
            </w:r>
          </w:p>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b)采用固定顶盖，收集废气至 VOCS废气收集处理系统c)其他等效措施。</w:t>
            </w:r>
          </w:p>
        </w:tc>
        <w:tc>
          <w:tcPr>
            <w:tcW w:w="2977" w:type="dxa"/>
            <w:vMerge w:val="continue"/>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850"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vMerge w:val="continue"/>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p>
        </w:tc>
        <w:tc>
          <w:tcPr>
            <w:tcW w:w="708"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循环冷却水系统要求</w:t>
            </w:r>
          </w:p>
        </w:tc>
        <w:tc>
          <w:tcPr>
            <w:tcW w:w="3544"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对开式循环冷却水系统，每6个月对流经换热器进口和出口的循环冷却水中的总有机碳(TOC)浓度进行检测，若出口浓度大于进口浓度1096，则认定发生了泄漏，应按照8.4条、8.5条规定进行泄漏源修复与记录。</w:t>
            </w:r>
          </w:p>
        </w:tc>
        <w:tc>
          <w:tcPr>
            <w:tcW w:w="2977" w:type="dxa"/>
            <w:shd w:val="clear" w:color="auto" w:fill="auto"/>
            <w:vAlign w:val="center"/>
          </w:tcPr>
          <w:p>
            <w:pP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评价要求本次工程严格按照循环冷却水系统要求进行检测</w:t>
            </w:r>
          </w:p>
        </w:tc>
        <w:tc>
          <w:tcPr>
            <w:tcW w:w="850" w:type="dxa"/>
            <w:shd w:val="clear" w:color="auto" w:fill="auto"/>
            <w:vAlign w:val="center"/>
          </w:tcPr>
          <w:p>
            <w:pPr>
              <w:jc w:val="center"/>
              <w:outlineLvl w:val="0"/>
              <w:rPr>
                <w:rFonts w:cs="Times New Roman" w:asciiTheme="minorEastAsia" w:hAnsiTheme="minorEastAsia"/>
                <w:color w:val="0D0D0D" w:themeColor="text1" w:themeTint="F2"/>
                <w:sz w:val="15"/>
                <w:szCs w:val="15"/>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5"/>
                <w:szCs w:val="15"/>
                <w14:textFill>
                  <w14:solidFill>
                    <w14:schemeClr w14:val="tx1">
                      <w14:lumMod w14:val="95000"/>
                      <w14:lumOff w14:val="5000"/>
                    </w14:schemeClr>
                  </w14:solidFill>
                </w14:textFill>
              </w:rPr>
              <w:t>符合要求</w:t>
            </w:r>
          </w:p>
        </w:tc>
      </w:tr>
    </w:tbl>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由上表内容可知，项目挥发性有机物无组织排放控制措施符合《挥发性有机物无组织排放控制标准》（GB37822-2019）中的各项规定与要求。</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7.2.1.4</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工程废气污染防治措施可行性分析结论</w:t>
      </w: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综上内容分析，本次工程采取的有组织、无组织废气污染治理措施技术成熟，工艺可行，处理后废气污染物排放均可满足达标排放要求；废气处理设施运行成本在企业可承受范围内。因此，评价认为项目采取的废气污染防治措施合理、可行，能够满足环境管理要求。</w:t>
      </w: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spacing w:line="360" w:lineRule="auto"/>
        <w:ind w:firstLine="48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p>
    <w:p>
      <w:pPr>
        <w:keepNext/>
        <w:keepLines/>
        <w:adjustRightInd w:val="0"/>
        <w:snapToGrid w:val="0"/>
        <w:spacing w:before="156" w:beforeLines="50" w:line="360" w:lineRule="auto"/>
        <w:outlineLvl w:val="2"/>
        <w:rPr>
          <w:rFonts w:cs="Times New Roman" w:asciiTheme="minorEastAsia" w:hAnsiTheme="minorEastAsia"/>
          <w:b/>
          <w:sz w:val="24"/>
          <w:szCs w:val="24"/>
        </w:rPr>
      </w:pPr>
      <w:bookmarkStart w:id="103" w:name="_Toc31985"/>
      <w:bookmarkStart w:id="104" w:name="_Toc12573"/>
      <w:r>
        <w:rPr>
          <w:rFonts w:cs="Times New Roman" w:asciiTheme="minorEastAsia" w:hAnsiTheme="minorEastAsia"/>
          <w:b/>
          <w:sz w:val="24"/>
          <w:szCs w:val="24"/>
        </w:rPr>
        <w:t>7.2.2</w:t>
      </w:r>
      <w:r>
        <w:rPr>
          <w:rFonts w:hint="eastAsia" w:cs="Times New Roman" w:asciiTheme="minorEastAsia" w:hAnsiTheme="minorEastAsia"/>
          <w:b/>
          <w:sz w:val="24"/>
          <w:szCs w:val="24"/>
        </w:rPr>
        <w:t>废水治理措施可行性分析</w:t>
      </w:r>
      <w:bookmarkEnd w:id="103"/>
      <w:bookmarkEnd w:id="104"/>
    </w:p>
    <w:p>
      <w:pPr>
        <w:tabs>
          <w:tab w:val="left" w:pos="0"/>
        </w:tabs>
        <w:adjustRightInd w:val="0"/>
        <w:snapToGrid w:val="0"/>
        <w:spacing w:line="360" w:lineRule="auto"/>
        <w:outlineLvl w:val="3"/>
        <w:rPr>
          <w:rFonts w:cs="Times New Roman" w:asciiTheme="minorEastAsia" w:hAnsiTheme="minorEastAsia"/>
          <w:sz w:val="24"/>
          <w:szCs w:val="24"/>
        </w:rPr>
      </w:pPr>
      <w:r>
        <w:rPr>
          <w:rFonts w:cs="Times New Roman" w:asciiTheme="minorEastAsia" w:hAnsiTheme="minorEastAsia"/>
          <w:sz w:val="24"/>
          <w:szCs w:val="24"/>
        </w:rPr>
        <w:t xml:space="preserve">7.2.2.1 </w:t>
      </w:r>
      <w:r>
        <w:rPr>
          <w:rFonts w:hint="eastAsia" w:cs="Times New Roman" w:asciiTheme="minorEastAsia" w:hAnsiTheme="minorEastAsia"/>
          <w:sz w:val="24"/>
          <w:szCs w:val="24"/>
        </w:rPr>
        <w:t>项目废水治理方案</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营运期废水产生类别</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包括</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燃烧废气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脱硫除尘</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系统富裕</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热裂解废气冷凝回收裂解油系统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油水分离废水、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热裂解不凝气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水封</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装置检修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职工生活污水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和厂区初期雨水、冷却系统</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冷却废水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、厂区洗车废水</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等。</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根据各类废水性质，采取处理方案如下图7.2-4。</w:t>
      </w:r>
    </w:p>
    <w:p>
      <w:pPr>
        <w:tabs>
          <w:tab w:val="left" w:pos="0"/>
        </w:tabs>
        <w:adjustRightInd w:val="0"/>
        <w:snapToGrid w:val="0"/>
        <w:spacing w:line="360" w:lineRule="auto"/>
        <w:outlineLvl w:val="3"/>
        <w:rPr>
          <w:rFonts w:cs="Times New Roman" w:asciiTheme="minorEastAsia" w:hAnsiTheme="minorEastAsia"/>
          <w:sz w:val="24"/>
          <w:szCs w:val="24"/>
        </w:rPr>
      </w:pPr>
      <w:r>
        <w:rPr>
          <w:rFonts w:hint="eastAsia"/>
        </w:rPr>
        <w:drawing>
          <wp:anchor distT="0" distB="0" distL="114300" distR="114300" simplePos="0" relativeHeight="252122112" behindDoc="0" locked="0" layoutInCell="1" allowOverlap="1">
            <wp:simplePos x="0" y="0"/>
            <wp:positionH relativeFrom="column">
              <wp:posOffset>36195</wp:posOffset>
            </wp:positionH>
            <wp:positionV relativeFrom="paragraph">
              <wp:posOffset>15875</wp:posOffset>
            </wp:positionV>
            <wp:extent cx="5478145" cy="4147185"/>
            <wp:effectExtent l="0" t="0" r="8255"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60" cstate="print">
                      <a:extLst>
                        <a:ext uri="{28A0092B-C50C-407E-A947-70E740481C1C}">
                          <a14:useLocalDpi xmlns:a14="http://schemas.microsoft.com/office/drawing/2010/main" val="0"/>
                        </a:ext>
                      </a:extLst>
                    </a:blip>
                    <a:srcRect l="-1" t="4150" r="891" b="3586"/>
                    <a:stretch>
                      <a:fillRect/>
                    </a:stretch>
                  </pic:blipFill>
                  <pic:spPr>
                    <a:xfrm>
                      <a:off x="0" y="0"/>
                      <a:ext cx="5478308" cy="4146892"/>
                    </a:xfrm>
                    <a:prstGeom prst="rect">
                      <a:avLst/>
                    </a:prstGeom>
                    <a:noFill/>
                    <a:ln>
                      <a:noFill/>
                    </a:ln>
                  </pic:spPr>
                </pic:pic>
              </a:graphicData>
            </a:graphic>
          </wp:anchor>
        </w:drawing>
      </w: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jc w:val="center"/>
        <w:outlineLvl w:val="3"/>
        <w:rPr>
          <w:rFonts w:cs="Times New Roman" w:asciiTheme="minorEastAsia" w:hAnsiTheme="minorEastAsia"/>
          <w:b/>
          <w:sz w:val="24"/>
          <w:szCs w:val="24"/>
        </w:rPr>
      </w:pPr>
      <w:r>
        <w:rPr>
          <w:rFonts w:hint="eastAsia" w:cs="Times New Roman" w:asciiTheme="minorEastAsia" w:hAnsiTheme="minorEastAsia"/>
          <w:b/>
          <w:sz w:val="24"/>
          <w:szCs w:val="24"/>
        </w:rPr>
        <w:t>图7.2-4   工程营运期废水处理方案</w:t>
      </w:r>
    </w:p>
    <w:p>
      <w:pPr>
        <w:tabs>
          <w:tab w:val="left" w:pos="0"/>
        </w:tabs>
        <w:adjustRightInd w:val="0"/>
        <w:snapToGrid w:val="0"/>
        <w:spacing w:line="360" w:lineRule="auto"/>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项目各类废水产生量及治理措施分述如下：</w:t>
      </w:r>
    </w:p>
    <w:p>
      <w:pPr>
        <w:tabs>
          <w:tab w:val="left" w:pos="0"/>
        </w:tabs>
        <w:adjustRightInd w:val="0"/>
        <w:snapToGrid w:val="0"/>
        <w:spacing w:line="360" w:lineRule="auto"/>
        <w:outlineLvl w:val="3"/>
        <w:rPr>
          <w:rFonts w:cs="Times New Roman" w:asciiTheme="minorEastAsia" w:hAnsiTheme="minorEastAsia"/>
          <w:sz w:val="24"/>
          <w:szCs w:val="24"/>
        </w:rPr>
      </w:pPr>
      <w:r>
        <w:rPr>
          <w:rFonts w:hint="eastAsia" w:cs="Times New Roman" w:asciiTheme="minorEastAsia" w:hAnsiTheme="minorEastAsia"/>
          <w:sz w:val="24"/>
          <w:szCs w:val="24"/>
        </w:rPr>
        <w:t xml:space="preserve">    1、含油废水治理</w:t>
      </w:r>
      <w:r>
        <w:rPr>
          <w:rFonts w:cs="Times New Roman" w:asciiTheme="minorEastAsia" w:hAnsiTheme="minorEastAsia"/>
          <w:sz w:val="24"/>
          <w:szCs w:val="24"/>
        </w:rPr>
        <w:t>措施</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工程</w:t>
      </w:r>
      <w:r>
        <w:rPr>
          <w:rFonts w:cs="Times New Roman" w:asciiTheme="minorEastAsia" w:hAnsiTheme="minorEastAsia"/>
          <w:sz w:val="24"/>
          <w:szCs w:val="24"/>
        </w:rPr>
        <w:t>裂解含油废水</w:t>
      </w:r>
      <w:r>
        <w:rPr>
          <w:rFonts w:hint="eastAsia" w:cs="Times New Roman" w:asciiTheme="minorEastAsia" w:hAnsiTheme="minorEastAsia"/>
          <w:sz w:val="24"/>
          <w:szCs w:val="24"/>
        </w:rPr>
        <w:t>及</w:t>
      </w:r>
      <w:r>
        <w:rPr>
          <w:rFonts w:hint="eastAsia" w:cs="Times New Roman" w:asciiTheme="minorEastAsia" w:hAnsiTheme="minorEastAsia"/>
          <w:kern w:val="0"/>
          <w:sz w:val="24"/>
          <w:szCs w:val="24"/>
          <w:lang w:bidi="ar"/>
        </w:rPr>
        <w:t>水封罐废水产生量约480m</w:t>
      </w:r>
      <w:r>
        <w:rPr>
          <w:rFonts w:hint="eastAsia" w:cs="Times New Roman" w:asciiTheme="minorEastAsia" w:hAnsiTheme="minorEastAsia"/>
          <w:kern w:val="0"/>
          <w:sz w:val="24"/>
          <w:szCs w:val="24"/>
          <w:vertAlign w:val="superscript"/>
          <w:lang w:bidi="ar"/>
        </w:rPr>
        <w:t>3</w:t>
      </w:r>
      <w:r>
        <w:rPr>
          <w:rFonts w:hint="eastAsia" w:cs="Times New Roman" w:asciiTheme="minorEastAsia" w:hAnsiTheme="minorEastAsia"/>
          <w:kern w:val="0"/>
          <w:sz w:val="24"/>
          <w:szCs w:val="24"/>
          <w:lang w:bidi="ar"/>
        </w:rPr>
        <w:t>/a，主要含有石油类，浓度在3000mg/L以上，具有一定热值；分类收集后</w:t>
      </w:r>
      <w:r>
        <w:rPr>
          <w:rFonts w:cs="Times New Roman" w:asciiTheme="minorEastAsia" w:hAnsiTheme="minorEastAsia"/>
          <w:sz w:val="24"/>
          <w:szCs w:val="24"/>
        </w:rPr>
        <w:t>雾化喷入裂解</w:t>
      </w:r>
      <w:r>
        <w:rPr>
          <w:rFonts w:hint="eastAsia" w:cs="Times New Roman" w:asciiTheme="minorEastAsia" w:hAnsiTheme="minorEastAsia"/>
          <w:sz w:val="24"/>
          <w:szCs w:val="24"/>
        </w:rPr>
        <w:t>不凝气余气燃烧装置焚烧</w:t>
      </w:r>
      <w:r>
        <w:rPr>
          <w:rFonts w:cs="Times New Roman" w:asciiTheme="minorEastAsia" w:hAnsiTheme="minorEastAsia"/>
          <w:sz w:val="24"/>
          <w:szCs w:val="24"/>
        </w:rPr>
        <w:t>处理</w:t>
      </w:r>
      <w:r>
        <w:rPr>
          <w:rFonts w:hint="eastAsia" w:cs="Times New Roman" w:asciiTheme="minorEastAsia" w:hAnsiTheme="minorEastAsia"/>
          <w:sz w:val="24"/>
          <w:szCs w:val="24"/>
        </w:rPr>
        <w:t>，焚烧后烟气进入燃烧废气处理系统处理。该处理措施即可减少废水产生量，又可以节约废水处理成本，处理措施比较合理、可行。</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2、洗车废水处理措施</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工程营运期洗车废水经1座5m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三级沉淀系统处理后，全部回用于洗车，不外排。</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3、冷却系统排放清下水</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项目热裂解炉、热裂解气冷凝装置等均需要大量的冷凝水进行间接冷却，冷却水循环使用一定时间后，需要少量排放；根据工程冷却水系统用水量分析，预计冷却系统排放清下水约26m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/d，主要含有SS及无机盐类，经简单沉淀后，可通过厂区污水总排口排入城市污水厂处理后，排放地表水体。</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4、燃烧废气处理系统排放废水</w:t>
      </w: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根据项目燃烧废气处理系统用排水平衡分析，工程营运期脱硫除尘设备排放废水约16.8m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/d。类比同类项目，废水主要含有有机物、氨氮、硫化物、SS及少量石油类；经1座25m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隔油池（与初期雨水共用）预处理后，进入厂区一体化污水处理系统处理。</w:t>
      </w:r>
    </w:p>
    <w:p>
      <w:pPr>
        <w:tabs>
          <w:tab w:val="left" w:pos="0"/>
        </w:tabs>
        <w:adjustRightInd w:val="0"/>
        <w:snapToGrid w:val="0"/>
        <w:spacing w:line="360" w:lineRule="auto"/>
        <w:ind w:firstLine="480" w:firstLineChars="200"/>
        <w:outlineLvl w:val="3"/>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5、厂区初期雨水</w:t>
      </w:r>
    </w:p>
    <w:p>
      <w:pPr>
        <w:tabs>
          <w:tab w:val="left" w:pos="0"/>
        </w:tabs>
        <w:adjustRightInd w:val="0"/>
        <w:snapToGrid w:val="0"/>
        <w:spacing w:line="360" w:lineRule="auto"/>
        <w:ind w:firstLine="480" w:firstLineChars="200"/>
        <w:outlineLvl w:val="3"/>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项目全年初期雨水收集量</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约</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243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0m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/a，折合</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8.1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/d。</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根据项目特点，类比同类工程，</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初期雨水主要污染物为COD、BOD</w:t>
      </w:r>
      <w:r>
        <w:rPr>
          <w:rFonts w:hint="eastAsia" w:cs="宋体"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、氨氮、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SS</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、石油类等</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，经隔油预处理后，进入厂区一体化污水处理系统处理。</w:t>
      </w:r>
    </w:p>
    <w:p>
      <w:pPr>
        <w:tabs>
          <w:tab w:val="left" w:pos="0"/>
        </w:tabs>
        <w:adjustRightInd w:val="0"/>
        <w:snapToGrid w:val="0"/>
        <w:spacing w:line="360" w:lineRule="auto"/>
        <w:ind w:firstLine="480" w:firstLineChars="200"/>
        <w:outlineLvl w:val="3"/>
        <w:rPr>
          <w:rFonts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6、生活污水</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项目生活污水产生量约2.4m</w:t>
      </w:r>
      <w:r>
        <w:rPr>
          <w:rFonts w:hint="eastAsia" w:cs="Times New Roman" w:asciiTheme="minorEastAsia" w:hAnsiTheme="minorEastAsia"/>
          <w:sz w:val="24"/>
          <w:szCs w:val="24"/>
          <w:vertAlign w:val="superscript"/>
        </w:rPr>
        <w:t xml:space="preserve">3 </w:t>
      </w:r>
      <w:r>
        <w:rPr>
          <w:rFonts w:hint="eastAsia" w:cs="Times New Roman" w:asciiTheme="minorEastAsia" w:hAnsiTheme="minorEastAsia"/>
          <w:sz w:val="24"/>
          <w:szCs w:val="24"/>
        </w:rPr>
        <w:t>/d。</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主要污染物为COD、BOD</w:t>
      </w:r>
      <w:r>
        <w:rPr>
          <w:rFonts w:hint="eastAsia" w:cs="宋体" w:asciiTheme="minorEastAsia" w:hAnsiTheme="minorEastAsia"/>
          <w:color w:val="0D0D0D" w:themeColor="text1" w:themeTint="F2"/>
          <w:kern w:val="0"/>
          <w:sz w:val="24"/>
          <w:szCs w:val="24"/>
          <w:vertAlign w:val="subscript"/>
          <w:lang w:bidi="ar"/>
          <w14:textFill>
            <w14:solidFill>
              <w14:schemeClr w14:val="tx1">
                <w14:lumMod w14:val="95000"/>
                <w14:lumOff w14:val="5000"/>
              </w14:schemeClr>
            </w14:solidFill>
          </w14:textFill>
        </w:rPr>
        <w:t>5</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、氨氮、</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SS</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、总磷、动植物油等，经厂区1座15m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隔油化粪池预处理后，</w:t>
      </w: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进入一体化污水处理系统处理。</w:t>
      </w:r>
    </w:p>
    <w:p>
      <w:pPr>
        <w:tabs>
          <w:tab w:val="left" w:pos="0"/>
        </w:tabs>
        <w:adjustRightInd w:val="0"/>
        <w:snapToGrid w:val="0"/>
        <w:spacing w:line="360" w:lineRule="auto"/>
        <w:outlineLvl w:val="3"/>
        <w:rPr>
          <w:rFonts w:cs="Times New Roman" w:asciiTheme="minorEastAsia" w:hAnsiTheme="minorEastAsia"/>
          <w:sz w:val="24"/>
          <w:szCs w:val="24"/>
        </w:rPr>
      </w:pPr>
      <w:r>
        <w:rPr>
          <w:rFonts w:hint="eastAsia" w:cs="Times New Roman" w:asciiTheme="minorEastAsia" w:hAnsiTheme="minorEastAsia"/>
          <w:sz w:val="24"/>
          <w:szCs w:val="24"/>
        </w:rPr>
        <w:t>7.2.2.2 工程废水处理工艺及处理效率分析</w:t>
      </w:r>
    </w:p>
    <w:p>
      <w:pPr>
        <w:tabs>
          <w:tab w:val="left" w:pos="0"/>
        </w:tabs>
        <w:adjustRightInd w:val="0"/>
        <w:snapToGrid w:val="0"/>
        <w:spacing w:line="360" w:lineRule="auto"/>
        <w:ind w:firstLine="480"/>
        <w:outlineLvl w:val="3"/>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hint="eastAsia" w:cs="Times New Roman" w:asciiTheme="minorEastAsia" w:hAnsiTheme="minorEastAsia"/>
          <w:sz w:val="24"/>
          <w:szCs w:val="24"/>
        </w:rPr>
        <w:t>根据上述内容分析，</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项目排放废水主要是燃烧废气处理系统排放废水、职工水污水及生产区初期雨水等，平均产生量约27.3m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/d。结合各类废水污染特征及产生情况，工程拟建设1套一体化污水处理设施，采取</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“调节池+气浮池+接触氧化池+絮凝沉淀池+二沉池+清水池+达标排放”处理工艺，设计处理规模40m</w:t>
      </w:r>
      <w:r>
        <w:rPr>
          <w:rFonts w:hint="eastAsia"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/d。</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类比同类工程及类似废水处理设施，结合工程分析内容，项目一体化污水处理设施对各类污染物的处理效率分析见下表7.2-3。</w:t>
      </w:r>
    </w:p>
    <w:p>
      <w:pPr>
        <w:adjustRightInd w:val="0"/>
        <w:snapToGrid w:val="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7.2</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3</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 xml:space="preserve">   项目</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一体化污水处理设施处理效率及排放情况</w:t>
      </w:r>
      <w: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表</w:t>
      </w:r>
    </w:p>
    <w:tbl>
      <w:tblPr>
        <w:tblStyle w:val="100"/>
        <w:tblW w:w="86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024"/>
        <w:gridCol w:w="866"/>
        <w:gridCol w:w="865"/>
        <w:gridCol w:w="866"/>
        <w:gridCol w:w="632"/>
        <w:gridCol w:w="955"/>
        <w:gridCol w:w="866"/>
        <w:gridCol w:w="865"/>
        <w:gridCol w:w="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817" w:type="dxa"/>
            <w:vMerge w:val="restart"/>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废水量（m</w:t>
            </w:r>
            <w:r>
              <w:rPr>
                <w:rFonts w:hint="eastAsia" w:eastAsia="宋体" w:cs="Times New Roman" w:asciiTheme="minorEastAsia" w:hAnsi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3</w:t>
            </w: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/d）</w:t>
            </w:r>
          </w:p>
        </w:tc>
        <w:tc>
          <w:tcPr>
            <w:tcW w:w="1024" w:type="dxa"/>
            <w:vMerge w:val="restart"/>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污染物</w:t>
            </w:r>
          </w:p>
        </w:tc>
        <w:tc>
          <w:tcPr>
            <w:tcW w:w="2597" w:type="dxa"/>
            <w:gridSpan w:val="3"/>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产生情况</w:t>
            </w:r>
          </w:p>
        </w:tc>
        <w:tc>
          <w:tcPr>
            <w:tcW w:w="632" w:type="dxa"/>
            <w:vMerge w:val="restart"/>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处理效率（%）</w:t>
            </w:r>
          </w:p>
        </w:tc>
        <w:tc>
          <w:tcPr>
            <w:tcW w:w="2686" w:type="dxa"/>
            <w:gridSpan w:val="3"/>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排放情况</w:t>
            </w:r>
          </w:p>
        </w:tc>
        <w:tc>
          <w:tcPr>
            <w:tcW w:w="882" w:type="dxa"/>
            <w:vMerge w:val="restart"/>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排放</w:t>
            </w:r>
          </w:p>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标准（mg/L）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浓度（mg/L）</w:t>
            </w:r>
          </w:p>
        </w:tc>
        <w:tc>
          <w:tcPr>
            <w:tcW w:w="865"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源强（kg/d）</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产生量（t/a）</w:t>
            </w:r>
          </w:p>
        </w:tc>
        <w:tc>
          <w:tcPr>
            <w:tcW w:w="632"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955"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浓度（mg/L）</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源强（kg/d）</w:t>
            </w:r>
          </w:p>
        </w:tc>
        <w:tc>
          <w:tcPr>
            <w:tcW w:w="865"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排放量（t/a）</w:t>
            </w:r>
          </w:p>
        </w:tc>
        <w:tc>
          <w:tcPr>
            <w:tcW w:w="882"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817" w:type="dxa"/>
            <w:vMerge w:val="restart"/>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27.3</w:t>
            </w:r>
          </w:p>
          <w:p>
            <w:pPr>
              <w:widowControl/>
              <w:adjustRightInd w:val="0"/>
              <w:snapToGrid w:val="0"/>
              <w:spacing w:line="240" w:lineRule="atLeast"/>
              <w:jc w:val="cente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（8190</w:t>
            </w:r>
          </w:p>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m</w:t>
            </w:r>
            <w:r>
              <w:rPr>
                <w:rFonts w:hint="eastAsia" w:eastAsia="宋体" w:cs="Times New Roman" w:asciiTheme="minorEastAsia" w:hAnsiTheme="minorEastAsia"/>
                <w:color w:val="0D0D0D" w:themeColor="text1" w:themeTint="F2"/>
                <w:kern w:val="0"/>
                <w:sz w:val="18"/>
                <w:szCs w:val="18"/>
                <w:vertAlign w:val="superscript"/>
                <w:lang w:bidi="ar"/>
                <w14:textFill>
                  <w14:solidFill>
                    <w14:schemeClr w14:val="tx1">
                      <w14:lumMod w14:val="95000"/>
                      <w14:lumOff w14:val="5000"/>
                    </w14:schemeClr>
                  </w14:solidFill>
                </w14:textFill>
              </w:rPr>
              <w:t>3</w:t>
            </w: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/a）</w:t>
            </w: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COD</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440.17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12.017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3.605</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80</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88.03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2.403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0.721</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BOD</w:t>
            </w:r>
            <w:r>
              <w:rPr>
                <w:rFonts w:hint="eastAsia" w:eastAsia="宋体" w:cs="Times New Roman" w:asciiTheme="minorEastAsia" w:hAnsiTheme="minorEastAsia"/>
                <w:color w:val="0D0D0D" w:themeColor="text1" w:themeTint="F2"/>
                <w:kern w:val="0"/>
                <w:sz w:val="18"/>
                <w:szCs w:val="18"/>
                <w:vertAlign w:val="subscript"/>
                <w:lang w:bidi="ar"/>
                <w14:textFill>
                  <w14:solidFill>
                    <w14:schemeClr w14:val="tx1">
                      <w14:lumMod w14:val="95000"/>
                      <w14:lumOff w14:val="5000"/>
                    </w14:schemeClr>
                  </w14:solidFill>
                </w14:textFill>
              </w:rPr>
              <w:t>5</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227.47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6.210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1.863</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75</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56.9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1.553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0.466</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氨氮</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17.70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0.483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0.145</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30</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12.45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0.34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0.102</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总磷</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0.37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0.010 </w:t>
            </w:r>
          </w:p>
        </w:tc>
        <w:tc>
          <w:tcPr>
            <w:tcW w:w="866" w:type="dxa"/>
            <w:vAlign w:val="center"/>
          </w:tcPr>
          <w:p>
            <w:pPr>
              <w:widowControl/>
              <w:adjustRightInd w:val="0"/>
              <w:snapToGrid w:val="0"/>
              <w:spacing w:line="240" w:lineRule="atLeast"/>
              <w:jc w:val="cente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0.003</w:t>
            </w:r>
          </w:p>
        </w:tc>
        <w:tc>
          <w:tcPr>
            <w:tcW w:w="632" w:type="dxa"/>
            <w:vAlign w:val="center"/>
          </w:tcPr>
          <w:p>
            <w:pPr>
              <w:widowControl/>
              <w:adjustRightInd w:val="0"/>
              <w:snapToGrid w:val="0"/>
              <w:spacing w:line="240" w:lineRule="atLeast"/>
              <w:jc w:val="cente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30</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0.24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0.007 </w:t>
            </w:r>
          </w:p>
        </w:tc>
        <w:tc>
          <w:tcPr>
            <w:tcW w:w="865" w:type="dxa"/>
            <w:vAlign w:val="bottom"/>
          </w:tcPr>
          <w:p>
            <w:pPr>
              <w:widowControl/>
              <w:adjustRightInd w:val="0"/>
              <w:snapToGrid w:val="0"/>
              <w:spacing w:line="240" w:lineRule="atLeast"/>
              <w:jc w:val="cente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0.002</w:t>
            </w:r>
          </w:p>
        </w:tc>
        <w:tc>
          <w:tcPr>
            <w:tcW w:w="882" w:type="dxa"/>
            <w:vAlign w:val="center"/>
          </w:tcPr>
          <w:p>
            <w:pPr>
              <w:widowControl/>
              <w:adjustRightInd w:val="0"/>
              <w:snapToGrid w:val="0"/>
              <w:spacing w:line="240" w:lineRule="atLeast"/>
              <w:jc w:val="cente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SS</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261.05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7.127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2.138</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85</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39.19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1.07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0.321</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硫化物</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1.54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0.042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0.013</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10</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1.47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0.04</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0.012</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石油类</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7.58</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0.207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0.062</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20</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6.11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0.167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0.05</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17" w:type="dxa"/>
            <w:vMerge w:val="continue"/>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p>
        </w:tc>
        <w:tc>
          <w:tcPr>
            <w:tcW w:w="1024"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动植物油</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5.24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0.143 </w:t>
            </w:r>
          </w:p>
        </w:tc>
        <w:tc>
          <w:tcPr>
            <w:tcW w:w="866"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0.043</w:t>
            </w:r>
          </w:p>
        </w:tc>
        <w:tc>
          <w:tcPr>
            <w:tcW w:w="63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40</w:t>
            </w:r>
          </w:p>
        </w:tc>
        <w:tc>
          <w:tcPr>
            <w:tcW w:w="95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3.17 </w:t>
            </w:r>
          </w:p>
        </w:tc>
        <w:tc>
          <w:tcPr>
            <w:tcW w:w="866"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 xml:space="preserve">0.087 </w:t>
            </w:r>
          </w:p>
        </w:tc>
        <w:tc>
          <w:tcPr>
            <w:tcW w:w="865" w:type="dxa"/>
            <w:vAlign w:val="bottom"/>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0.026</w:t>
            </w:r>
          </w:p>
        </w:tc>
        <w:tc>
          <w:tcPr>
            <w:tcW w:w="882" w:type="dxa"/>
            <w:vAlign w:val="center"/>
          </w:tcPr>
          <w:p>
            <w:pPr>
              <w:widowControl/>
              <w:adjustRightInd w:val="0"/>
              <w:snapToGrid w:val="0"/>
              <w:spacing w:line="240" w:lineRule="atLeast"/>
              <w:jc w:val="center"/>
              <w:rPr>
                <w:rFonts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eastAsia="宋体"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100</w:t>
            </w:r>
          </w:p>
        </w:tc>
      </w:tr>
    </w:tbl>
    <w:p>
      <w:pPr>
        <w:adjustRightInd w:val="0"/>
        <w:snapToGrid w:val="0"/>
        <w:spacing w:before="156" w:beforeLines="50"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00000"/>
          <w:kern w:val="0"/>
          <w:sz w:val="24"/>
          <w:szCs w:val="24"/>
          <w:lang w:bidi="ar"/>
        </w:rPr>
        <w:t>由上表可知，工程一体化污水处理设施排水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各类污染物排放浓度均可</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能够满足《污水综合排放标准》（GB8978-1996）表4三级标准及西平县第三污水处理厂进水水质要求。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按照项目排水方案，一体化污水处理设施</w:t>
      </w:r>
      <w:r>
        <w:rPr>
          <w:rFonts w:hint="eastAsia" w:cs="Times New Roman" w:asciiTheme="minorEastAsia" w:hAnsiTheme="minorEastAsia"/>
          <w:bCs/>
          <w:color w:val="0D0D0D" w:themeColor="text1" w:themeTint="F2"/>
          <w:sz w:val="24"/>
          <w:szCs w:val="24"/>
          <w14:textFill>
            <w14:solidFill>
              <w14:schemeClr w14:val="tx1">
                <w14:lumMod w14:val="95000"/>
                <w14:lumOff w14:val="5000"/>
              </w14:schemeClr>
            </w14:solidFill>
          </w14:textFill>
        </w:rPr>
        <w:t>达标废水</w:t>
      </w:r>
      <w:r>
        <w:rPr>
          <w:rFonts w:cs="Times New Roman" w:asciiTheme="minorEastAsia" w:hAnsiTheme="minorEastAsia"/>
          <w:color w:val="000000"/>
          <w:kern w:val="0"/>
          <w:sz w:val="24"/>
          <w:szCs w:val="24"/>
          <w:lang w:bidi="ar"/>
        </w:rPr>
        <w:t>通过</w:t>
      </w:r>
      <w:r>
        <w:rPr>
          <w:rFonts w:cs="Times New Roman" w:asciiTheme="minorEastAsia" w:hAnsiTheme="minorEastAsia"/>
          <w:sz w:val="24"/>
          <w:szCs w:val="24"/>
        </w:rPr>
        <w:t>市政污水管网，排入西平县第三污水处理厂进一步处理</w:t>
      </w:r>
      <w:r>
        <w:rPr>
          <w:rFonts w:hint="eastAsia" w:cs="Times New Roman" w:asciiTheme="minorEastAsia" w:hAnsiTheme="minorEastAsia"/>
          <w:sz w:val="24"/>
          <w:szCs w:val="24"/>
        </w:rPr>
        <w:t>，满足《城镇污水处理厂污染物排放标准》(GB18918－2002)一级A排放标准，排放红澍河</w:t>
      </w:r>
      <w:r>
        <w:rPr>
          <w:rFonts w:cs="Times New Roman" w:asciiTheme="minorEastAsia" w:hAnsiTheme="minorEastAsia"/>
          <w:sz w:val="24"/>
          <w:szCs w:val="24"/>
        </w:rPr>
        <w:t>。</w:t>
      </w:r>
    </w:p>
    <w:p>
      <w:pPr>
        <w:adjustRightInd w:val="0"/>
        <w:snapToGrid w:val="0"/>
        <w:spacing w:line="360" w:lineRule="auto"/>
        <w:rPr>
          <w:rFonts w:cs="Times New Roman" w:asciiTheme="minorEastAsia" w:hAnsiTheme="minorEastAsia"/>
          <w:sz w:val="24"/>
          <w:szCs w:val="24"/>
        </w:rPr>
      </w:pPr>
      <w:r>
        <w:rPr>
          <w:rFonts w:hint="eastAsia" w:cs="Times New Roman" w:asciiTheme="minorEastAsia" w:hAnsiTheme="minorEastAsia"/>
          <w:sz w:val="24"/>
          <w:szCs w:val="24"/>
        </w:rPr>
        <w:t>7.2.2.3</w:t>
      </w:r>
      <w:r>
        <w:rPr>
          <w:rFonts w:cs="Times New Roman" w:asciiTheme="minorEastAsia" w:hAnsiTheme="minorEastAsia"/>
          <w:sz w:val="24"/>
          <w:szCs w:val="24"/>
        </w:rPr>
        <w:t>项目废水进入</w:t>
      </w:r>
      <w:r>
        <w:rPr>
          <w:rFonts w:cs="Times New Roman" w:asciiTheme="minorEastAsia" w:hAnsiTheme="minorEastAsia"/>
          <w:color w:val="000000"/>
          <w:kern w:val="0"/>
          <w:sz w:val="24"/>
          <w:szCs w:val="24"/>
          <w:lang w:bidi="ar"/>
        </w:rPr>
        <w:t>西平县第三污水处理厂</w:t>
      </w:r>
      <w:r>
        <w:rPr>
          <w:rFonts w:cs="Times New Roman" w:asciiTheme="minorEastAsia" w:hAnsiTheme="minorEastAsia"/>
          <w:sz w:val="24"/>
          <w:szCs w:val="24"/>
        </w:rPr>
        <w:t>可行性分析</w:t>
      </w:r>
    </w:p>
    <w:p>
      <w:pPr>
        <w:adjustRightInd w:val="0"/>
        <w:snapToGrid w:val="0"/>
        <w:spacing w:line="360" w:lineRule="auto"/>
        <w:ind w:firstLine="480" w:firstLineChars="200"/>
        <w:rPr>
          <w:rFonts w:cs="Times New Roman" w:asciiTheme="minorEastAsia" w:hAnsiTheme="minorEastAsia"/>
          <w:color w:val="000000"/>
          <w:sz w:val="24"/>
          <w:szCs w:val="20"/>
        </w:rPr>
      </w:pPr>
      <w:r>
        <w:rPr>
          <w:rFonts w:cs="Times New Roman" w:asciiTheme="minorEastAsia" w:hAnsiTheme="minorEastAsia"/>
          <w:color w:val="000000"/>
          <w:sz w:val="24"/>
          <w:szCs w:val="20"/>
        </w:rPr>
        <w:t>西平县第三污水处理厂建设在县城东南郊，在红澍河北岸、原油粘厂北侧、紧靠西平――重渠公路东侧的区域，设计建设规模为5万m</w:t>
      </w:r>
      <w:r>
        <w:rPr>
          <w:rFonts w:cs="Times New Roman" w:asciiTheme="minorEastAsia" w:hAnsiTheme="minorEastAsia"/>
          <w:color w:val="000000"/>
          <w:sz w:val="24"/>
          <w:szCs w:val="20"/>
          <w:vertAlign w:val="superscript"/>
        </w:rPr>
        <w:t>3</w:t>
      </w:r>
      <w:r>
        <w:rPr>
          <w:rFonts w:cs="Times New Roman" w:asciiTheme="minorEastAsia" w:hAnsiTheme="minorEastAsia"/>
          <w:color w:val="000000"/>
          <w:sz w:val="24"/>
          <w:szCs w:val="20"/>
        </w:rPr>
        <w:t>/d</w:t>
      </w:r>
      <w:r>
        <w:rPr>
          <w:rFonts w:hint="eastAsia" w:cs="Times New Roman" w:asciiTheme="minorEastAsia" w:hAnsiTheme="minorEastAsia"/>
          <w:color w:val="000000"/>
          <w:sz w:val="24"/>
          <w:szCs w:val="20"/>
        </w:rPr>
        <w:t>，</w:t>
      </w:r>
      <w:r>
        <w:rPr>
          <w:rFonts w:cs="Times New Roman" w:asciiTheme="minorEastAsia" w:hAnsiTheme="minorEastAsia"/>
          <w:color w:val="000000"/>
          <w:sz w:val="24"/>
          <w:szCs w:val="20"/>
        </w:rPr>
        <w:t>一期2.5万m</w:t>
      </w:r>
      <w:r>
        <w:rPr>
          <w:rFonts w:cs="Times New Roman" w:asciiTheme="minorEastAsia" w:hAnsiTheme="minorEastAsia"/>
          <w:color w:val="000000"/>
          <w:sz w:val="24"/>
          <w:szCs w:val="20"/>
          <w:vertAlign w:val="superscript"/>
        </w:rPr>
        <w:t>3</w:t>
      </w:r>
      <w:r>
        <w:rPr>
          <w:rFonts w:cs="Times New Roman" w:asciiTheme="minorEastAsia" w:hAnsiTheme="minorEastAsia"/>
          <w:color w:val="000000"/>
          <w:sz w:val="24"/>
          <w:szCs w:val="20"/>
        </w:rPr>
        <w:t>/d已经建成</w:t>
      </w:r>
      <w:r>
        <w:rPr>
          <w:rFonts w:hint="eastAsia" w:cs="Times New Roman" w:asciiTheme="minorEastAsia" w:hAnsiTheme="minorEastAsia"/>
          <w:color w:val="000000"/>
          <w:sz w:val="24"/>
          <w:szCs w:val="20"/>
        </w:rPr>
        <w:t>并投入正常运行</w:t>
      </w:r>
      <w:r>
        <w:rPr>
          <w:rFonts w:cs="Times New Roman" w:asciiTheme="minorEastAsia" w:hAnsiTheme="minorEastAsia"/>
          <w:color w:val="000000"/>
          <w:sz w:val="24"/>
          <w:szCs w:val="20"/>
        </w:rPr>
        <w:t>，服务范围为洪河以东的东城区全部的工业废水和生活污水，即东至东环路、南到红澍河以南延伸500m、西到107国道、北面以洪河为界。本项目选址位于西平县第三污水处理厂</w:t>
      </w:r>
      <w:r>
        <w:rPr>
          <w:rFonts w:hint="eastAsia" w:cs="Times New Roman" w:asciiTheme="minorEastAsia" w:hAnsiTheme="minorEastAsia"/>
          <w:color w:val="000000"/>
          <w:sz w:val="24"/>
          <w:szCs w:val="20"/>
        </w:rPr>
        <w:t>南</w:t>
      </w:r>
      <w:r>
        <w:rPr>
          <w:rFonts w:cs="Times New Roman" w:asciiTheme="minorEastAsia" w:hAnsiTheme="minorEastAsia"/>
          <w:color w:val="000000"/>
          <w:sz w:val="24"/>
          <w:szCs w:val="20"/>
        </w:rPr>
        <w:t>侧约8</w:t>
      </w:r>
      <w:r>
        <w:rPr>
          <w:rFonts w:hint="eastAsia" w:cs="Times New Roman" w:asciiTheme="minorEastAsia" w:hAnsiTheme="minorEastAsia"/>
          <w:color w:val="000000"/>
          <w:sz w:val="24"/>
          <w:szCs w:val="20"/>
        </w:rPr>
        <w:t>5</w:t>
      </w:r>
      <w:r>
        <w:rPr>
          <w:rFonts w:cs="Times New Roman" w:asciiTheme="minorEastAsia" w:hAnsiTheme="minorEastAsia"/>
          <w:color w:val="000000"/>
          <w:sz w:val="24"/>
          <w:szCs w:val="20"/>
        </w:rPr>
        <w:t>0米处，在其收水范围内之内</w:t>
      </w:r>
      <w:r>
        <w:rPr>
          <w:rFonts w:cs="Times New Roman" w:asciiTheme="minorEastAsia" w:hAnsiTheme="minorEastAsia"/>
          <w:sz w:val="24"/>
          <w:szCs w:val="24"/>
        </w:rPr>
        <w:t>。</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本次</w:t>
      </w:r>
      <w:r>
        <w:rPr>
          <w:rFonts w:cs="Times New Roman" w:asciiTheme="minorEastAsia" w:hAnsiTheme="minorEastAsia"/>
          <w:sz w:val="24"/>
          <w:szCs w:val="24"/>
        </w:rPr>
        <w:t>工程外排废水总量为</w:t>
      </w:r>
      <w:r>
        <w:rPr>
          <w:rFonts w:hint="eastAsia" w:cs="Times New Roman" w:asciiTheme="minorEastAsia" w:hAnsiTheme="minorEastAsia"/>
          <w:sz w:val="24"/>
          <w:szCs w:val="24"/>
        </w:rPr>
        <w:t>27.3</w:t>
      </w:r>
      <w:r>
        <w:rPr>
          <w:rFonts w:cs="Times New Roman" w:asciiTheme="minorEastAsia" w:hAnsiTheme="minorEastAsia"/>
          <w:sz w:val="24"/>
          <w:szCs w:val="24"/>
        </w:rPr>
        <w:t>m</w:t>
      </w:r>
      <w:r>
        <w:rPr>
          <w:rFonts w:cs="Times New Roman" w:asciiTheme="minorEastAsia" w:hAnsiTheme="minorEastAsia"/>
          <w:sz w:val="24"/>
          <w:szCs w:val="24"/>
          <w:vertAlign w:val="superscript"/>
        </w:rPr>
        <w:t>3</w:t>
      </w:r>
      <w:r>
        <w:rPr>
          <w:rFonts w:cs="Times New Roman" w:asciiTheme="minorEastAsia" w:hAnsiTheme="minorEastAsia"/>
          <w:sz w:val="24"/>
          <w:szCs w:val="24"/>
        </w:rPr>
        <w:t>/d，仅占污水处理厂总处理水量的</w:t>
      </w:r>
      <w:r>
        <w:rPr>
          <w:rFonts w:hint="eastAsia" w:cs="Times New Roman" w:asciiTheme="minorEastAsia" w:hAnsiTheme="minorEastAsia"/>
          <w:sz w:val="24"/>
          <w:szCs w:val="24"/>
        </w:rPr>
        <w:t>0.11</w:t>
      </w:r>
      <w:r>
        <w:rPr>
          <w:rFonts w:cs="Times New Roman" w:asciiTheme="minorEastAsia" w:hAnsiTheme="minorEastAsia"/>
          <w:sz w:val="24"/>
          <w:szCs w:val="24"/>
        </w:rPr>
        <w:t>%</w:t>
      </w:r>
      <w:r>
        <w:rPr>
          <w:rFonts w:hint="eastAsia" w:cs="Times New Roman" w:asciiTheme="minorEastAsia" w:hAnsiTheme="minorEastAsia"/>
          <w:sz w:val="24"/>
          <w:szCs w:val="24"/>
        </w:rPr>
        <w:t>；同时，项目处理后废水排放浓度满足</w:t>
      </w:r>
      <w:r>
        <w:rPr>
          <w:rFonts w:cs="Times New Roman" w:asciiTheme="minorEastAsia" w:hAnsiTheme="minorEastAsia"/>
          <w:sz w:val="24"/>
          <w:szCs w:val="24"/>
        </w:rPr>
        <w:t>污水处理厂</w:t>
      </w:r>
      <w:r>
        <w:rPr>
          <w:rFonts w:hint="eastAsia" w:cs="Times New Roman" w:asciiTheme="minorEastAsia" w:hAnsiTheme="minorEastAsia"/>
          <w:sz w:val="24"/>
          <w:szCs w:val="24"/>
        </w:rPr>
        <w:t>进水控制标准要求，不含重金属、难降解的持久性污染物等，对污水厂正常运行不会造成冲击影响和其他不良影响。因此，评价认为项目废水进入西平县城市污水厂处理是可行的。</w:t>
      </w:r>
    </w:p>
    <w:p>
      <w:pPr>
        <w:adjustRightInd w:val="0"/>
        <w:snapToGrid w:val="0"/>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综上分析，</w:t>
      </w:r>
      <w:r>
        <w:rPr>
          <w:rFonts w:hint="eastAsia" w:cs="Times New Roman" w:asciiTheme="minorEastAsia" w:hAnsiTheme="minorEastAsia"/>
          <w:kern w:val="0"/>
          <w:sz w:val="24"/>
          <w:szCs w:val="20"/>
          <w:lang w:bidi="ar"/>
        </w:rPr>
        <w:t>本项目营运期各类</w:t>
      </w:r>
      <w:r>
        <w:rPr>
          <w:rFonts w:cs="Times New Roman" w:asciiTheme="minorEastAsia" w:hAnsiTheme="minorEastAsia"/>
          <w:sz w:val="24"/>
          <w:szCs w:val="20"/>
        </w:rPr>
        <w:t>废水均得到合理处置，不会对项目所在区域地表水体产生</w:t>
      </w:r>
      <w:r>
        <w:rPr>
          <w:rFonts w:hint="eastAsia" w:cs="Times New Roman" w:asciiTheme="minorEastAsia" w:hAnsiTheme="minorEastAsia"/>
          <w:sz w:val="24"/>
          <w:szCs w:val="20"/>
        </w:rPr>
        <w:t>明显</w:t>
      </w:r>
      <w:r>
        <w:rPr>
          <w:rFonts w:cs="Times New Roman" w:asciiTheme="minorEastAsia" w:hAnsiTheme="minorEastAsia"/>
          <w:sz w:val="24"/>
          <w:szCs w:val="20"/>
        </w:rPr>
        <w:t>不利影响</w:t>
      </w:r>
      <w:r>
        <w:rPr>
          <w:rFonts w:hint="eastAsia" w:cs="Times New Roman" w:asciiTheme="minorEastAsia" w:hAnsiTheme="minorEastAsia"/>
          <w:sz w:val="24"/>
          <w:szCs w:val="20"/>
        </w:rPr>
        <w:t>，治理</w:t>
      </w:r>
      <w:r>
        <w:rPr>
          <w:rFonts w:cs="Times New Roman" w:asciiTheme="minorEastAsia" w:hAnsiTheme="minorEastAsia"/>
          <w:sz w:val="24"/>
          <w:szCs w:val="20"/>
        </w:rPr>
        <w:t>措施可行。</w:t>
      </w:r>
    </w:p>
    <w:p>
      <w:pPr>
        <w:tabs>
          <w:tab w:val="left" w:pos="0"/>
        </w:tabs>
        <w:adjustRightInd w:val="0"/>
        <w:snapToGrid w:val="0"/>
        <w:spacing w:line="360" w:lineRule="auto"/>
        <w:outlineLvl w:val="3"/>
        <w:rPr>
          <w:rFonts w:cs="Times New Roman" w:asciiTheme="minorEastAsia" w:hAnsiTheme="minorEastAsia"/>
          <w:b/>
          <w:sz w:val="24"/>
          <w:szCs w:val="24"/>
        </w:rPr>
      </w:pPr>
      <w:r>
        <w:rPr>
          <w:rFonts w:hint="eastAsia" w:cs="Times New Roman" w:asciiTheme="minorEastAsia" w:hAnsiTheme="minorEastAsia"/>
          <w:b/>
          <w:sz w:val="24"/>
          <w:szCs w:val="24"/>
        </w:rPr>
        <w:t>7.2.3噪声污染防治措施</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本项目营运期噪声主要来自进料机、送风机、出渣机、引风机、包装机、循环泵、减速机及变频电机、空压机、冷却塔等设备运行过程中产生的噪声。</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工程采取的主要噪声污染防治措施如下：</w:t>
      </w:r>
    </w:p>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（1）从声源上降噪</w:t>
      </w:r>
    </w:p>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根据本项目噪声源特征，建议在设计和设备采购阶段，优先选用低噪声设备，如选用低噪的低压风机等，从而从声源上降低设备本身的噪声。</w:t>
      </w:r>
    </w:p>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对于各生产加工环节中噪声较为突出的，且又难以对声源进行降噪可能的设备，采用隔声降噪、局部吸声技术。对于产躁较大的独立设备，可采用固定或密封式隔声罩以及局部隔声罩，将噪声影响控制在较小范围内。隔声罩的壳壁采用薄钢板制成，在罩内涂刷沥青阻尼层，为了降低罩的声能密度和提高隔声效果，可在罩内附吸声层。如：空压机采用全罩式机箱，箱内衬吸声材料，吸气口装消声器，墙壁加装吸声材料等。</w:t>
      </w:r>
    </w:p>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（3）采用“闹静分开”和合理布局的设施原则，如将风机等高噪声源远离噪声敏感区域或厂界。在车间产噪设备周围建设一定高度的隔声屏障，如围墙、挡板等，减少对车间外或厂区外声环境的影响。</w:t>
      </w:r>
    </w:p>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（4）加强设备维护，确保设备处于良好的运转状态，杜绝因设备不正常运转时产生的高噪声现象。</w:t>
      </w:r>
    </w:p>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车间通风和排气系统的综合降噪措施。除选择低噪设备外，在安装上注意到风机本身应带减振底座，安装位置具有减振台基础，主排风管在风气出口要配置消声器，排风管道进出口加柔性软接头。对于设置在屋顶的风机或排气口考虑加设风机隔声罩，以降低风机噪声对周围环境的影响。</w:t>
      </w:r>
    </w:p>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工程对各类噪声源采取上述噪声防治措施后，厂界噪声值能够满足《工业企业厂界环境噪声排放标准》（GB12348-2008）中的3类标准限值要求。因此，评价认为项目噪声污染防治措施比较合理。</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7.2.4 固体废物污染防治措施分析</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7.2.4.1一般固废及生活垃圾处理措施可行性分析</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项目运行期产生的一般固废包括</w:t>
      </w:r>
      <w:r>
        <w:rPr>
          <w:rFonts w:ascii="Times New Roman" w:hAnsi="Times New Roman" w:eastAsia="宋体" w:cs="Times New Roman"/>
          <w:color w:val="000000"/>
          <w:kern w:val="0"/>
          <w:sz w:val="24"/>
          <w:szCs w:val="24"/>
          <w:lang w:bidi="ar"/>
        </w:rPr>
        <w:t>脱硫泥渣</w:t>
      </w:r>
      <w:r>
        <w:rPr>
          <w:rFonts w:hint="eastAsia" w:ascii="Times New Roman" w:hAnsi="Times New Roman" w:eastAsia="宋体" w:cs="Times New Roman"/>
          <w:color w:val="000000"/>
          <w:kern w:val="0"/>
          <w:sz w:val="24"/>
          <w:szCs w:val="24"/>
          <w:lang w:bidi="ar"/>
        </w:rPr>
        <w:t>、脉冲除尘及车间吸尘器收集粉尘、脱水污泥、生活垃圾等。</w:t>
      </w:r>
      <w:r>
        <w:rPr>
          <w:rFonts w:hint="eastAsia" w:asciiTheme="minorEastAsia" w:hAnsiTheme="minorEastAsia"/>
          <w:sz w:val="24"/>
          <w:szCs w:val="24"/>
        </w:rPr>
        <w:t>根据各一般固废资源化再利用原则，项目运营期产生的脱硫除尘泥渣外售作为新型建材企业作为烧结砖生产原料资源化利用；</w:t>
      </w:r>
      <w:r>
        <w:rPr>
          <w:rFonts w:hint="eastAsia" w:ascii="Times New Roman" w:hAnsi="Times New Roman" w:eastAsia="宋体" w:cs="Times New Roman"/>
          <w:color w:val="000000"/>
          <w:kern w:val="0"/>
          <w:sz w:val="24"/>
          <w:szCs w:val="24"/>
          <w:lang w:bidi="ar"/>
        </w:rPr>
        <w:t>袋除尘器及车间吸尘器收集粉尘作为产品出售；脱水污泥及生活垃圾送入西平县生活垃圾填埋场处置。</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经采取以上措施，项目一般固废均可得到妥善处置，不会对环境造成“二次污染”，处置措施满足环保要求。</w:t>
      </w:r>
    </w:p>
    <w:p>
      <w:pPr>
        <w:tabs>
          <w:tab w:val="left" w:pos="0"/>
        </w:tabs>
        <w:adjustRightInd w:val="0"/>
        <w:snapToGrid w:val="0"/>
        <w:spacing w:line="360" w:lineRule="auto"/>
        <w:outlineLvl w:val="3"/>
        <w:rPr>
          <w:rFonts w:cs="Times New Roman" w:asciiTheme="minorEastAsia" w:hAnsiTheme="minorEastAsia"/>
          <w:sz w:val="24"/>
          <w:szCs w:val="24"/>
        </w:rPr>
      </w:pPr>
      <w:r>
        <w:rPr>
          <w:rFonts w:hint="eastAsia" w:cs="Times New Roman" w:asciiTheme="minorEastAsia" w:hAnsiTheme="minorEastAsia"/>
          <w:sz w:val="24"/>
          <w:szCs w:val="24"/>
        </w:rPr>
        <w:t>7.2.4.2危险废物收集、暂存及处置措施可行性分析</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项目运行期危险废物产生环节及类别主要包括：废脱硝催化剂、废紫外灯管、废活性炭、储油罐废油泥渣、水封罐底泥、隔油浮渣等。</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按照工程设计，项目各类半固体危险废物均采用专用容器收集，暂存厂区危废库液体危险废物储存区，固体危险废物采用防渗包装袋收集，暂存厂区危废库固体危险废物储存区；定期委托有危废处置资质的单位安全转移处置。</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项目运行期危险废物产生总量约68.6t/a，全部委托有资质单位处置，处置费用约25万元/年，在企业经济能力承受范围之内。</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综合以上措施，项目运行期危险废物污染防治措施可靠，处置费用经济合理；一般固废、生活垃圾等处置措施符合环保管理要求。因此，评价认为工程固体废物处置措施合理、可行。</w:t>
      </w:r>
    </w:p>
    <w:p>
      <w:pPr>
        <w:tabs>
          <w:tab w:val="left" w:pos="0"/>
        </w:tabs>
        <w:adjustRightInd w:val="0"/>
        <w:snapToGrid w:val="0"/>
        <w:spacing w:line="360" w:lineRule="auto"/>
        <w:outlineLvl w:val="3"/>
        <w:rPr>
          <w:rFonts w:cs="Times New Roman" w:asciiTheme="minorEastAsia" w:hAnsiTheme="minorEastAsia"/>
          <w:sz w:val="24"/>
          <w:szCs w:val="24"/>
        </w:rPr>
      </w:pPr>
      <w:r>
        <w:rPr>
          <w:rFonts w:hint="eastAsia" w:cs="Times New Roman" w:asciiTheme="minorEastAsia" w:hAnsiTheme="minorEastAsia"/>
          <w:sz w:val="24"/>
          <w:szCs w:val="24"/>
        </w:rPr>
        <w:t>7.2.4.3危险废物贮存场所（设施）污染防治措施</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本项目厂区位于西平县产业集聚区静脉产业园，所在区域地质结构稳定，地震烈度在7度以下，不易发生洪水、泥石流、滑坡等自然灾害，处于西平县县城常年主导风向的侧下风向，厂界外200m范围内无地表水域及村庄；环境敏感性不强。项目拟在厂区设置1座规范化的50m</w:t>
      </w:r>
      <w:r>
        <w:rPr>
          <w:rFonts w:hint="eastAsia" w:cs="Times New Roman" w:asciiTheme="minorEastAsia" w:hAnsiTheme="minorEastAsia"/>
          <w:sz w:val="24"/>
          <w:szCs w:val="24"/>
          <w:vertAlign w:val="superscript"/>
        </w:rPr>
        <w:t>2</w:t>
      </w:r>
      <w:r>
        <w:rPr>
          <w:rFonts w:hint="eastAsia" w:cs="Times New Roman" w:asciiTheme="minorEastAsia" w:hAnsiTheme="minorEastAsia"/>
          <w:sz w:val="24"/>
          <w:szCs w:val="24"/>
        </w:rPr>
        <w:t>危废库，储存能力达到100m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左右。</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根据项目设计方案，项目危废库四面设置砖混水泥墙面防渗隔离墙，地面采取铺设三层防渗膜及涂刷防腐漆进行防渗、防腐处理，库内四周设置渗漏收集槽，外部设置堵截泄漏的裙脚，地面与裙脚所围建的容积不低于100m</w:t>
      </w:r>
      <w:r>
        <w:rPr>
          <w:rFonts w:hint="eastAsia" w:cs="Times New Roman" w:asciiTheme="minorEastAsia" w:hAnsiTheme="minorEastAsia"/>
          <w:sz w:val="24"/>
          <w:szCs w:val="24"/>
          <w:vertAlign w:val="superscript"/>
        </w:rPr>
        <w:t>3</w:t>
      </w:r>
      <w:r>
        <w:rPr>
          <w:rFonts w:hint="eastAsia" w:cs="Times New Roman" w:asciiTheme="minorEastAsia" w:hAnsiTheme="minorEastAsia"/>
          <w:sz w:val="24"/>
          <w:szCs w:val="24"/>
        </w:rPr>
        <w:t>，库外明显部位设置危险废物警示标示；按照《危险废物贮存污染控制标准》（GB18597-2001）及其修改单中的贮存容器要求、相容性要求等，采用专用防渗漏容器或包装袋收集储存各类危险废物，并在库内分区存放，各类不相容的危险废物必须分开存放，并设有隔离间隔断。危险库应配备照明设施、安全防护服装及工具，并设有应急防护设施。危险库内清理出来的泄漏物，一律按危险废物处理。</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同时，生产车间内危险废物临时堆放或处理应落实以下污染防治要求：</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①生产车间内设置固定的危险废物临时堆放场所，并落实“四防”（防风、防雨、防晒、防渗漏）措施，将产生的危险废物装入专用包装容器，及时转移危废库，禁止在生产车间内长期堆放。</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②在常温常压下易爆、易燃及排出有毒气体的危险废物必须进行预处理，使之稳定后贮存，否则，按易爆、易燃危险品贮存。</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③禁止将不相容（相互反应）的危险废物在同一容器内混装。</w:t>
      </w: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r>
        <w:rPr>
          <w:rFonts w:hint="eastAsia" w:cs="Times New Roman" w:asciiTheme="minorEastAsia" w:hAnsiTheme="minorEastAsia"/>
          <w:sz w:val="24"/>
          <w:szCs w:val="24"/>
        </w:rPr>
        <w:t>④废油泥渣应使用专用容器收集、盛装，及时安全转移危废库；禁止在车间内长期存放。</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本项目危险废物储存场所（处理设施）基本情况见下表7.2-4。</w:t>
      </w:r>
    </w:p>
    <w:p>
      <w:pPr>
        <w:topLinePunct/>
        <w:adjustRightInd w:val="0"/>
        <w:snapToGrid w:val="0"/>
        <w:jc w:val="center"/>
        <w:textAlignment w:val="baseline"/>
        <w:rPr>
          <w:rFonts w:ascii="宋体" w:hAnsi="宋体" w:eastAsia="宋体" w:cs="Times New Roman"/>
          <w:b/>
          <w:color w:val="0D0D0D" w:themeColor="text1" w:themeTint="F2"/>
          <w:kern w:val="0"/>
          <w:sz w:val="24"/>
          <w:szCs w:val="24"/>
          <w14:textFill>
            <w14:solidFill>
              <w14:schemeClr w14:val="tx1">
                <w14:lumMod w14:val="95000"/>
                <w14:lumOff w14:val="5000"/>
              </w14:schemeClr>
            </w14:solidFill>
          </w14:textFill>
        </w:rPr>
      </w:pPr>
      <w:r>
        <w:rPr>
          <w:rFonts w:ascii="宋体" w:hAnsi="宋体" w:eastAsia="宋体" w:cs="Times New Roman"/>
          <w:b/>
          <w:color w:val="0D0D0D" w:themeColor="text1" w:themeTint="F2"/>
          <w:kern w:val="0"/>
          <w:sz w:val="24"/>
          <w14:textFill>
            <w14:solidFill>
              <w14:schemeClr w14:val="tx1">
                <w14:lumMod w14:val="95000"/>
                <w14:lumOff w14:val="5000"/>
              </w14:schemeClr>
            </w14:solidFill>
          </w14:textFill>
        </w:rPr>
        <w:t>表</w:t>
      </w:r>
      <w:r>
        <w:rPr>
          <w:rFonts w:hint="eastAsia" w:ascii="宋体" w:hAnsi="宋体" w:eastAsia="宋体" w:cs="Times New Roman"/>
          <w:b/>
          <w:color w:val="0D0D0D" w:themeColor="text1" w:themeTint="F2"/>
          <w:kern w:val="0"/>
          <w:sz w:val="24"/>
          <w14:textFill>
            <w14:solidFill>
              <w14:schemeClr w14:val="tx1">
                <w14:lumMod w14:val="95000"/>
                <w14:lumOff w14:val="5000"/>
              </w14:schemeClr>
            </w14:solidFill>
          </w14:textFill>
        </w:rPr>
        <w:t>7.2-4  项目</w:t>
      </w:r>
      <w:r>
        <w:rPr>
          <w:rFonts w:ascii="宋体" w:hAnsi="宋体" w:eastAsia="宋体" w:cs="Times New Roman"/>
          <w:b/>
          <w:color w:val="0D0D0D" w:themeColor="text1" w:themeTint="F2"/>
          <w:kern w:val="0"/>
          <w:sz w:val="24"/>
          <w14:textFill>
            <w14:solidFill>
              <w14:schemeClr w14:val="tx1">
                <w14:lumMod w14:val="95000"/>
                <w14:lumOff w14:val="5000"/>
              </w14:schemeClr>
            </w14:solidFill>
          </w14:textFill>
        </w:rPr>
        <w:t>危险废物贮存场所基本情况表</w:t>
      </w:r>
    </w:p>
    <w:tbl>
      <w:tblPr>
        <w:tblStyle w:val="27"/>
        <w:tblW w:w="8839"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69"/>
        <w:gridCol w:w="632"/>
        <w:gridCol w:w="1348"/>
        <w:gridCol w:w="773"/>
        <w:gridCol w:w="1281"/>
        <w:gridCol w:w="850"/>
        <w:gridCol w:w="709"/>
        <w:gridCol w:w="615"/>
        <w:gridCol w:w="710"/>
        <w:gridCol w:w="709"/>
        <w:gridCol w:w="74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6" w:hRule="atLeast"/>
        </w:trPr>
        <w:tc>
          <w:tcPr>
            <w:tcW w:w="469"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序号</w:t>
            </w:r>
          </w:p>
        </w:tc>
        <w:tc>
          <w:tcPr>
            <w:tcW w:w="632"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贮存场所名称</w:t>
            </w:r>
          </w:p>
        </w:tc>
        <w:tc>
          <w:tcPr>
            <w:tcW w:w="1348"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危险废物名称</w:t>
            </w:r>
          </w:p>
        </w:tc>
        <w:tc>
          <w:tcPr>
            <w:tcW w:w="773"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危险废物类别</w:t>
            </w:r>
          </w:p>
        </w:tc>
        <w:tc>
          <w:tcPr>
            <w:tcW w:w="1281"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危险废物</w:t>
            </w:r>
          </w:p>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代码</w:t>
            </w:r>
          </w:p>
        </w:tc>
        <w:tc>
          <w:tcPr>
            <w:tcW w:w="850"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产生情况（t/a）</w:t>
            </w:r>
          </w:p>
        </w:tc>
        <w:tc>
          <w:tcPr>
            <w:tcW w:w="709"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位置</w:t>
            </w:r>
          </w:p>
        </w:tc>
        <w:tc>
          <w:tcPr>
            <w:tcW w:w="615"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占地面积</w:t>
            </w:r>
          </w:p>
        </w:tc>
        <w:tc>
          <w:tcPr>
            <w:tcW w:w="710"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贮存</w:t>
            </w:r>
          </w:p>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方式</w:t>
            </w:r>
          </w:p>
        </w:tc>
        <w:tc>
          <w:tcPr>
            <w:tcW w:w="709"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贮存</w:t>
            </w:r>
          </w:p>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能力</w:t>
            </w:r>
          </w:p>
        </w:tc>
        <w:tc>
          <w:tcPr>
            <w:tcW w:w="743" w:type="dxa"/>
            <w:vAlign w:val="center"/>
          </w:tcPr>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贮存</w:t>
            </w:r>
          </w:p>
          <w:p>
            <w:pPr>
              <w:topLinePunct/>
              <w:adjustRightInd w:val="0"/>
              <w:snapToGrid w:val="0"/>
              <w:jc w:val="center"/>
              <w:textAlignment w:val="baseline"/>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b/>
                <w:color w:val="0D0D0D" w:themeColor="text1" w:themeTint="F2"/>
                <w:kern w:val="0"/>
                <w:sz w:val="18"/>
                <w:szCs w:val="18"/>
                <w14:textFill>
                  <w14:solidFill>
                    <w14:schemeClr w14:val="tx1">
                      <w14:lumMod w14:val="95000"/>
                      <w14:lumOff w14:val="5000"/>
                    </w14:schemeClr>
                  </w14:solidFill>
                </w14:textFill>
              </w:rPr>
              <w:t>周期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69"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1</w:t>
            </w:r>
          </w:p>
        </w:tc>
        <w:tc>
          <w:tcPr>
            <w:tcW w:w="632" w:type="dxa"/>
            <w:vMerge w:val="restart"/>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危废</w:t>
            </w: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库</w:t>
            </w:r>
          </w:p>
        </w:tc>
        <w:tc>
          <w:tcPr>
            <w:tcW w:w="13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废脱硝催化剂</w:t>
            </w:r>
          </w:p>
        </w:tc>
        <w:tc>
          <w:tcPr>
            <w:tcW w:w="77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HW50</w:t>
            </w:r>
          </w:p>
        </w:tc>
        <w:tc>
          <w:tcPr>
            <w:tcW w:w="128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772-007-50</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w:t>
            </w:r>
          </w:p>
        </w:tc>
        <w:tc>
          <w:tcPr>
            <w:tcW w:w="709" w:type="dxa"/>
            <w:vMerge w:val="restart"/>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厂区</w:t>
            </w:r>
          </w:p>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北部</w:t>
            </w:r>
          </w:p>
        </w:tc>
        <w:tc>
          <w:tcPr>
            <w:tcW w:w="615" w:type="dxa"/>
            <w:vMerge w:val="restart"/>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50</w:t>
            </w: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m</w:t>
            </w:r>
            <w:r>
              <w:rPr>
                <w:rFonts w:cs="Times New Roman"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2</w:t>
            </w:r>
          </w:p>
        </w:tc>
        <w:tc>
          <w:tcPr>
            <w:tcW w:w="710" w:type="dxa"/>
            <w:vMerge w:val="restart"/>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密闭防渗防腐包装</w:t>
            </w: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袋或</w:t>
            </w: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包装</w:t>
            </w:r>
            <w:r>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桶</w:t>
            </w:r>
          </w:p>
        </w:tc>
        <w:tc>
          <w:tcPr>
            <w:tcW w:w="709" w:type="dxa"/>
            <w:vMerge w:val="restart"/>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100m</w:t>
            </w:r>
            <w:r>
              <w:rPr>
                <w:rFonts w:hint="eastAsia" w:cs="Times New Roman" w:asciiTheme="minorEastAsia" w:hAnsiTheme="minorEastAsia"/>
                <w:color w:val="0D0D0D" w:themeColor="text1" w:themeTint="F2"/>
                <w:kern w:val="0"/>
                <w:sz w:val="18"/>
                <w:szCs w:val="18"/>
                <w:vertAlign w:val="superscript"/>
                <w14:textFill>
                  <w14:solidFill>
                    <w14:schemeClr w14:val="tx1">
                      <w14:lumMod w14:val="95000"/>
                      <w14:lumOff w14:val="5000"/>
                    </w14:schemeClr>
                  </w14:solidFill>
                </w14:textFill>
              </w:rPr>
              <w:t>3</w:t>
            </w:r>
          </w:p>
        </w:tc>
        <w:tc>
          <w:tcPr>
            <w:tcW w:w="743"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90天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69"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2</w:t>
            </w:r>
          </w:p>
        </w:tc>
        <w:tc>
          <w:tcPr>
            <w:tcW w:w="632"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3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废活性炭</w:t>
            </w:r>
          </w:p>
        </w:tc>
        <w:tc>
          <w:tcPr>
            <w:tcW w:w="77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HW49</w:t>
            </w:r>
          </w:p>
        </w:tc>
        <w:tc>
          <w:tcPr>
            <w:tcW w:w="128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900-039-49</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18.2</w:t>
            </w: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615"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10"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43"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60天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69"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3</w:t>
            </w:r>
          </w:p>
        </w:tc>
        <w:tc>
          <w:tcPr>
            <w:tcW w:w="632"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3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废紫外灯管</w:t>
            </w:r>
          </w:p>
        </w:tc>
        <w:tc>
          <w:tcPr>
            <w:tcW w:w="77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HW29</w:t>
            </w:r>
          </w:p>
        </w:tc>
        <w:tc>
          <w:tcPr>
            <w:tcW w:w="128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asciiTheme="minorEastAsia" w:hAnsiTheme="minorEastAsia"/>
                <w:color w:val="0D0D0D" w:themeColor="text1" w:themeTint="F2"/>
                <w:sz w:val="18"/>
                <w:szCs w:val="18"/>
                <w14:textFill>
                  <w14:solidFill>
                    <w14:schemeClr w14:val="tx1">
                      <w14:lumMod w14:val="95000"/>
                      <w14:lumOff w14:val="5000"/>
                    </w14:schemeClr>
                  </w14:solidFill>
                </w14:textFill>
              </w:rPr>
              <w:t>900-023-29</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615"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10"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43"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60天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69"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4</w:t>
            </w:r>
          </w:p>
        </w:tc>
        <w:tc>
          <w:tcPr>
            <w:tcW w:w="632"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3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废油泥渣</w:t>
            </w:r>
          </w:p>
        </w:tc>
        <w:tc>
          <w:tcPr>
            <w:tcW w:w="77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HW08</w:t>
            </w:r>
          </w:p>
        </w:tc>
        <w:tc>
          <w:tcPr>
            <w:tcW w:w="128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900-210-08</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w:t>
            </w: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615"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10"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43"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30天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469"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5</w:t>
            </w:r>
          </w:p>
        </w:tc>
        <w:tc>
          <w:tcPr>
            <w:tcW w:w="632"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3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水封罐底泥</w:t>
            </w:r>
          </w:p>
        </w:tc>
        <w:tc>
          <w:tcPr>
            <w:tcW w:w="77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HW08</w:t>
            </w:r>
          </w:p>
        </w:tc>
        <w:tc>
          <w:tcPr>
            <w:tcW w:w="128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900-210-08</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615"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10"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43"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30天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469"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6</w:t>
            </w:r>
          </w:p>
        </w:tc>
        <w:tc>
          <w:tcPr>
            <w:tcW w:w="632"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1348"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隔油浮渣</w:t>
            </w:r>
          </w:p>
        </w:tc>
        <w:tc>
          <w:tcPr>
            <w:tcW w:w="77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HW08</w:t>
            </w:r>
          </w:p>
        </w:tc>
        <w:tc>
          <w:tcPr>
            <w:tcW w:w="1281"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900-210-08</w:t>
            </w:r>
          </w:p>
        </w:tc>
        <w:tc>
          <w:tcPr>
            <w:tcW w:w="85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615"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10"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09" w:type="dxa"/>
            <w:vMerge w:val="continue"/>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p>
        </w:tc>
        <w:tc>
          <w:tcPr>
            <w:tcW w:w="743" w:type="dxa"/>
            <w:vAlign w:val="center"/>
          </w:tcPr>
          <w:p>
            <w:pPr>
              <w:topLinePunct/>
              <w:adjustRightInd w:val="0"/>
              <w:snapToGrid w:val="0"/>
              <w:jc w:val="center"/>
              <w:textAlignment w:val="baseline"/>
              <w:rPr>
                <w:rFonts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14:textFill>
                  <w14:solidFill>
                    <w14:schemeClr w14:val="tx1">
                      <w14:lumMod w14:val="95000"/>
                      <w14:lumOff w14:val="5000"/>
                    </w14:schemeClr>
                  </w14:solidFill>
                </w14:textFill>
              </w:rPr>
              <w:t>30天</w:t>
            </w:r>
          </w:p>
        </w:tc>
      </w:tr>
    </w:tbl>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7.3 地下水、土壤污染防治措施分析</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7.3.1地下水、土壤污染环节分析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各类生产设施、储存设施、污染治理设施、厂房及库房地面采取了分区防渗措施，只要不发生严重的液体化学品、油品、废水泄漏事故，一般情况下，少量液体泄漏经采取堵漏、收集措施，不会流入地表水体造成污染影响，也不会对土壤、地下水环境造成污染影响。</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运行期可能对地下水造成污染影响的环节主要包括：污水收集、排放管线的跑、冒、滴、漏等造成废水下渗对地下水的影响；事故状态下消防污水外溢对地下水的影响；危险废物转运过程中包装容器破损造成液体泄漏下渗对地下水的影响；固体化学品及危险废物转运过程中散落地表而未及时收集，经雨淋后产生含有有害物质的浸出液下渗影响地下水；厂区生产车间、储罐区、危废库、原料库、污水站等防渗措施落实不到位，液体化学品、油品、废水泄漏后长期渗漏，溢流到车间外地表对土壤环境造成污染影响，以及下渗对地下水造成影响。</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7.3.2地下水、土壤污染防治措施</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7.3.2.1地下水、土壤污染防治措施</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针对以上土壤、地下水污染隐患，评价要求项目建设期、运营期采取以下地下水污染防治措施：</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（1）从设计、管理各种工艺设备和物料运输管线上，防止和减少污染物的跑冒滴漏；合理布局，减少污染物泄漏途径。</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（2）对厂区内污水排放管线特别是地下管线建设应做到基础防渗，使用高质量的污水输送管材，对各类管线采取防腐、防氧化、防冻、防晒等保护措施，及时更换破损、老化的输水管材及各类阀门。</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（3）完善厂区消防废水收集管道，建设不低于500m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的消防水池及500m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的事故废水收集池。</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（4）热裂解油采用密闭管道输送，罐车运输，严格执行危险化学品运输管理规定，转运过程中按照规范要求作业；产生的废油泥不随意堆放、处置，及时转移危废库，定期交有资质单位处理。</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（5）固体化学品及危险废物转移过程中应保持包装完好，严禁物料散落地面，一旦出现泄漏，应及时清理收集。</w:t>
      </w:r>
    </w:p>
    <w:p>
      <w:pPr>
        <w:spacing w:line="360" w:lineRule="auto"/>
        <w:ind w:firstLine="480"/>
        <w:rPr>
          <w:rFonts w:asciiTheme="minorEastAsia" w:hAnsiTheme="minorEastAsia"/>
          <w:sz w:val="24"/>
          <w:szCs w:val="24"/>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6）对各类涉及危险化学品、油品、废水的生产装置、设施等，采取严格的三布四油防渗措施，布为玻纤布，油为防水油膏。先上油后贴布，反复三次，后上一次油，总共三布四油。厂区应按照污染区和非污染区进行隔离，污染区分为重点污染区及一般污染区，按照不同分区要求，采取不同等级的防渗措施，并确保其可靠性和有效性。一般污染区的防渗设计应满足《一般工业固体废物贮存、处置场污染控制标准》（GB18599-2001）及修改单的规定，重点污染区防渗设计应满足</w:t>
      </w:r>
      <w:r>
        <w:rPr>
          <w:rFonts w:hint="eastAsia" w:asciiTheme="minorEastAsia" w:hAnsiTheme="minorEastAsia"/>
          <w:sz w:val="24"/>
          <w:szCs w:val="24"/>
        </w:rPr>
        <w:t>《危险废物填埋污染控制标准》（GBl8598-2019）规定。</w:t>
      </w:r>
    </w:p>
    <w:p>
      <w:pPr>
        <w:spacing w:line="360" w:lineRule="auto"/>
        <w:rPr>
          <w:rFonts w:asciiTheme="minorEastAsia" w:hAnsiTheme="minorEastAsia"/>
          <w:sz w:val="24"/>
          <w:szCs w:val="24"/>
        </w:rPr>
      </w:pPr>
      <w:r>
        <w:rPr>
          <w:rFonts w:hint="eastAsia" w:asciiTheme="minorEastAsia" w:hAnsiTheme="minorEastAsia"/>
          <w:sz w:val="24"/>
          <w:szCs w:val="24"/>
        </w:rPr>
        <w:t>7.3.2.2 厂区分区防渗措施</w:t>
      </w:r>
    </w:p>
    <w:p>
      <w:pPr>
        <w:spacing w:line="360" w:lineRule="auto"/>
        <w:ind w:firstLine="48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为确保项目所在地地下水不受到污染，建设单位应严格参照《化工建设项目环境保护设计规范》（GB50483-2009）、《石油化工防渗工程技术规范》（征求 意见稿）及中国石油天然气集团公司企业标准《石油化工企业防渗涉及通则》（Q/SY1303-2010）进行防渗。</w:t>
      </w:r>
    </w:p>
    <w:p>
      <w:pPr>
        <w:spacing w:line="360" w:lineRule="auto"/>
        <w:ind w:firstLine="480"/>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根据《环境影响评价技术导则-地下水环境》（HJ610- 2016）厂区可划分为重点防渗区、一般防渗区。</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本项目防渗分区划分及防渗等级见表7.3-1，设计采取的各项防渗措施具体见表7.3-2。</w:t>
      </w:r>
    </w:p>
    <w:p>
      <w:pPr>
        <w:spacing w:line="360" w:lineRule="auto"/>
        <w:ind w:firstLine="48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表7.3-1     项目污染区划分及防渗等级一览表</w:t>
      </w:r>
    </w:p>
    <w:tbl>
      <w:tblPr>
        <w:tblStyle w:val="28"/>
        <w:tblW w:w="88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1134"/>
        <w:gridCol w:w="2693"/>
        <w:gridCol w:w="2410"/>
        <w:gridCol w:w="17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951" w:type="dxa"/>
            <w:gridSpan w:val="2"/>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分区</w:t>
            </w:r>
          </w:p>
        </w:tc>
        <w:tc>
          <w:tcPr>
            <w:tcW w:w="2693"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定义</w:t>
            </w:r>
          </w:p>
        </w:tc>
        <w:tc>
          <w:tcPr>
            <w:tcW w:w="2410"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厂内分区</w:t>
            </w:r>
          </w:p>
        </w:tc>
        <w:tc>
          <w:tcPr>
            <w:tcW w:w="1775" w:type="dxa"/>
            <w:vAlign w:val="center"/>
          </w:tcPr>
          <w:p>
            <w:pPr>
              <w:spacing w:line="240" w:lineRule="atLeast"/>
              <w:jc w:val="center"/>
              <w:rPr>
                <w:rFonts w:asciiTheme="minorEastAsia" w:hAnsiTheme="minorEastAsia"/>
                <w:b/>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14:textFill>
                  <w14:solidFill>
                    <w14:schemeClr w14:val="tx1">
                      <w14:lumMod w14:val="95000"/>
                      <w14:lumOff w14:val="5000"/>
                    </w14:schemeClr>
                  </w14:solidFill>
                </w14:textFill>
              </w:rPr>
              <w:t>防渗等级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1951"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非污染区</w:t>
            </w:r>
          </w:p>
        </w:tc>
        <w:tc>
          <w:tcPr>
            <w:tcW w:w="26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除污染区的其余区域</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办公区、食宿区等</w:t>
            </w:r>
          </w:p>
        </w:tc>
        <w:tc>
          <w:tcPr>
            <w:tcW w:w="177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水泥硬化地面，不需设置防渗等级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817" w:type="dxa"/>
            <w:vMerge w:val="restart"/>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污染区</w:t>
            </w: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一般污染区</w:t>
            </w:r>
          </w:p>
        </w:tc>
        <w:tc>
          <w:tcPr>
            <w:tcW w:w="26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无毒性或毒性小的生产设施区</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配电间、产品库、包装车间、一般固废库等</w:t>
            </w:r>
          </w:p>
        </w:tc>
        <w:tc>
          <w:tcPr>
            <w:tcW w:w="177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渗透系数</w:t>
            </w:r>
          </w:p>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≤0.5×</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-8</w:t>
            </w:r>
            <w:r>
              <w:rPr>
                <w:rFonts w:asciiTheme="minorEastAsia" w:hAnsiTheme="minorEastAsia"/>
                <w:color w:val="0D0D0D" w:themeColor="text1" w:themeTint="F2"/>
                <w:szCs w:val="21"/>
                <w14:textFill>
                  <w14:solidFill>
                    <w14:schemeClr w14:val="tx1">
                      <w14:lumMod w14:val="95000"/>
                      <w14:lumOff w14:val="5000"/>
                    </w14:schemeClr>
                  </w14:solidFill>
                </w14:textFill>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817" w:type="dxa"/>
            <w:vMerge w:val="continue"/>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p>
        </w:tc>
        <w:tc>
          <w:tcPr>
            <w:tcW w:w="113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重点污染区</w:t>
            </w:r>
          </w:p>
        </w:tc>
        <w:tc>
          <w:tcPr>
            <w:tcW w:w="2693"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危害性大、毒性较大的生产装置区、物料储罐区、化学品库、液体原料产品装卸区等</w:t>
            </w:r>
          </w:p>
        </w:tc>
        <w:tc>
          <w:tcPr>
            <w:tcW w:w="241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热裂解车间、危废库、地下管线、污水处理区、事故池等</w:t>
            </w:r>
          </w:p>
        </w:tc>
        <w:tc>
          <w:tcPr>
            <w:tcW w:w="1775"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渗透系数</w:t>
            </w:r>
          </w:p>
          <w:p>
            <w:pPr>
              <w:spacing w:line="240" w:lineRule="atLeast"/>
              <w:jc w:val="center"/>
              <w:rPr>
                <w:rFonts w:asciiTheme="minorEastAsia" w:hAnsiTheme="minorEastAsia"/>
                <w:color w:val="0D0D0D" w:themeColor="text1" w:themeTint="F2"/>
                <w:szCs w:val="21"/>
                <w14:textFill>
                  <w14:solidFill>
                    <w14:schemeClr w14:val="tx1">
                      <w14:lumMod w14:val="95000"/>
                      <w14:lumOff w14:val="5000"/>
                    </w14:schemeClr>
                  </w14:solidFill>
                </w14:textFill>
              </w:rPr>
            </w:pPr>
            <w:r>
              <w:rPr>
                <w:rFonts w:hint="eastAsia"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14:textFill>
                  <w14:solidFill>
                    <w14:schemeClr w14:val="tx1">
                      <w14:lumMod w14:val="95000"/>
                      <w14:lumOff w14:val="5000"/>
                    </w14:schemeClr>
                  </w14:solidFill>
                </w14:textFill>
              </w:rPr>
              <w:t>10</w:t>
            </w:r>
            <w:r>
              <w:rPr>
                <w:rFonts w:asciiTheme="minorEastAsia" w:hAnsiTheme="minorEastAsia"/>
                <w:color w:val="0D0D0D" w:themeColor="text1" w:themeTint="F2"/>
                <w:szCs w:val="21"/>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Cs w:val="21"/>
                <w:vertAlign w:val="superscript"/>
                <w14:textFill>
                  <w14:solidFill>
                    <w14:schemeClr w14:val="tx1">
                      <w14:lumMod w14:val="95000"/>
                      <w14:lumOff w14:val="5000"/>
                    </w14:schemeClr>
                  </w14:solidFill>
                </w14:textFill>
              </w:rPr>
              <w:t>12</w:t>
            </w:r>
            <w:r>
              <w:rPr>
                <w:rFonts w:asciiTheme="minorEastAsia" w:hAnsiTheme="minorEastAsia"/>
                <w:color w:val="0D0D0D" w:themeColor="text1" w:themeTint="F2"/>
                <w:szCs w:val="21"/>
                <w14:textFill>
                  <w14:solidFill>
                    <w14:schemeClr w14:val="tx1">
                      <w14:lumMod w14:val="95000"/>
                      <w14:lumOff w14:val="5000"/>
                    </w14:schemeClr>
                  </w14:solidFill>
                </w14:textFill>
              </w:rPr>
              <w:t>cm/s</w:t>
            </w:r>
          </w:p>
        </w:tc>
      </w:tr>
    </w:tbl>
    <w:p>
      <w:pPr>
        <w:spacing w:line="360" w:lineRule="auto"/>
        <w:ind w:firstLine="480"/>
        <w:jc w:val="center"/>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表7.3-2   项目设计采取的防渗处理措施一览表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1240"/>
        <w:gridCol w:w="6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序号</w:t>
            </w:r>
          </w:p>
        </w:tc>
        <w:tc>
          <w:tcPr>
            <w:tcW w:w="124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主要环节</w:t>
            </w:r>
          </w:p>
        </w:tc>
        <w:tc>
          <w:tcPr>
            <w:tcW w:w="6854"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防渗处理措施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w:t>
            </w:r>
          </w:p>
        </w:tc>
        <w:tc>
          <w:tcPr>
            <w:tcW w:w="124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配电间、产品库、一般固废库等</w:t>
            </w:r>
          </w:p>
        </w:tc>
        <w:tc>
          <w:tcPr>
            <w:tcW w:w="6854" w:type="dxa"/>
            <w:vAlign w:val="center"/>
          </w:tcPr>
          <w:p>
            <w:pPr>
              <w:spacing w:line="240" w:lineRule="atLeas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建议自上而下采用人工大理石+水泥防渗结构，路面全部进行粘土夯实、混凝硬化；按照建筑防渗设计规范，基础采用高标号的防水混凝土，集中做防渗地坪，使用环氧树脂进行防腐防渗漏处理；渗透系数≤0.5×</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-8</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cm/s</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，满足《一般工业固体废物贮存、处置场污染控制标准》（GB18599-2001）要求。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w:t>
            </w:r>
          </w:p>
        </w:tc>
        <w:tc>
          <w:tcPr>
            <w:tcW w:w="124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生产车间、储罐区、化学品原料库</w:t>
            </w:r>
          </w:p>
        </w:tc>
        <w:tc>
          <w:tcPr>
            <w:tcW w:w="6854" w:type="dxa"/>
            <w:vAlign w:val="center"/>
          </w:tcPr>
          <w:p>
            <w:pPr>
              <w:spacing w:line="240" w:lineRule="atLeas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①设施设置于地面以上，便于跑、冒、滴、漏的直接观察；②严格按照建筑防渗设计规范，采用高标号的防水混凝土；③地坪做严格的三布四油防渗措施，表层使用环氧树脂进行防腐处理；④修建降水和浸淋水的集水设施（集水沟和集水池），并在四周设置围堰和边沟，一旦发生跑冒滴漏，确保不污染地下水，重点污染区的防渗设计必须满足</w:t>
            </w:r>
            <w:r>
              <w:rPr>
                <w:rFonts w:hint="eastAsia" w:asciiTheme="minorEastAsia" w:hAnsiTheme="minorEastAsia"/>
                <w:sz w:val="18"/>
                <w:szCs w:val="18"/>
              </w:rPr>
              <w:t>《危险废物填埋污染控制标准》（GB18598-2019）要求。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w:t>
            </w:r>
          </w:p>
        </w:tc>
        <w:tc>
          <w:tcPr>
            <w:tcW w:w="124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废水等输送管道、阀门</w:t>
            </w:r>
          </w:p>
        </w:tc>
        <w:tc>
          <w:tcPr>
            <w:tcW w:w="6854" w:type="dxa"/>
            <w:vAlign w:val="center"/>
          </w:tcPr>
          <w:p>
            <w:pPr>
              <w:spacing w:line="240" w:lineRule="atLeas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①管道、阀门严格检查，有质量问题的及时更换，阀门采用优质产品；②在工艺条件允许的情况下，管道置在地上，如出现渗漏问题及时解决；③对工艺要求必须地下走管的管道、阀门设专门防渗管沟，管沟上设活动观察顶盖，以便出现渗漏问题及时观察、解决，管沟与污水集水池相连，并设计合理的排水坡度，便于废水统一排入污水收集池。</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0" w:type="auto"/>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w:t>
            </w:r>
          </w:p>
        </w:tc>
        <w:tc>
          <w:tcPr>
            <w:tcW w:w="124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污水收集及预处理系统</w:t>
            </w:r>
          </w:p>
        </w:tc>
        <w:tc>
          <w:tcPr>
            <w:tcW w:w="6854" w:type="dxa"/>
            <w:vAlign w:val="center"/>
          </w:tcPr>
          <w:p>
            <w:pPr>
              <w:spacing w:line="240" w:lineRule="atLeas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①厂区内集水池、事故水池等蓄水构筑物应采用防水混凝土并结合防水砂浆构建建筑主体，各管道基础、集水池底面及池壁做严格的三布四油防渗措施；施工缝应采用外贴式止水带利外涂防水涂料结合使用，做好防渗措施。②污水处理池等池体按照水压计算，严格按照建筑防渗设计规范，采用足够厚度的钢筋混凝土结构；底面及池壁做严格的三布四油防渗措施；施工缝应采用外贴式止水带利外涂防水涂料结合使用，做好防渗措施；③严格按照施工规范施工，保证施工质量，保证无废水渗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5</w:t>
            </w:r>
          </w:p>
        </w:tc>
        <w:tc>
          <w:tcPr>
            <w:tcW w:w="1240" w:type="dxa"/>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危废库</w:t>
            </w:r>
          </w:p>
        </w:tc>
        <w:tc>
          <w:tcPr>
            <w:tcW w:w="6854" w:type="dxa"/>
            <w:vAlign w:val="center"/>
          </w:tcPr>
          <w:p>
            <w:pPr>
              <w:spacing w:line="240" w:lineRule="atLeast"/>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①按《危险废物贮存污染控制标准》（GBl8597-2001）进行设计、建设，采取防淋、防渗措施，地坪做严格的三布四油防渗措施，以防止淋漏液渗入地下；②设专门容器贮存，容器安装在各个操作区的防渗地槽内；地面采用 HDPE 土工膜防渗处理。</w:t>
            </w:r>
          </w:p>
        </w:tc>
      </w:tr>
    </w:tbl>
    <w:p>
      <w:pPr>
        <w:spacing w:line="360" w:lineRule="auto"/>
        <w:ind w:firstLine="482"/>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依据厂区可能发生渗漏的区域的污染物性质和生产单元的构筑方式，结合厂区地质和水文地质条件，</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评价对项目厂区防渗提出以下要求：</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（1）车间地面 </w:t>
      </w:r>
    </w:p>
    <w:p>
      <w:pPr>
        <w:widowControl/>
        <w:adjustRightInd w:val="0"/>
        <w:snapToGrid w:val="0"/>
        <w:spacing w:line="360" w:lineRule="auto"/>
        <w:ind w:firstLine="482"/>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在生产车间地面全部采用防渗混凝土硬化，混凝土厚度不小于15cm。对涉及的其它废水储存构筑物也采用混凝土结构，并进行防腐防渗设计，以上地面建设具体施工操作应严格按照《一般工业固体废物贮存、处置场污染控制标准》（GB18599-2001）及其环保部 2013 年第 36 号修改单的要求进行设计，地面防渗设施为 1.0mm 高密度聚乙烯防渗膜（渗透系数K≤5×10</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-11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cm/s） +150mm 防渗水泥硬化（渗透系数 K≤1.0×10</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-7</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cm/s）。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（2）储罐区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储罐区事故风险发生概率较高，物料一旦</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泄漏</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对周围环境包括地下水影响较大，评价建议在罐区</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地基</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设置300mm防水性能优异的膨润土防水垫。膨润土防水垫是一种新型的土工合成材料。它由天然纳基膨润土颗粒和相应的外加剂混合后，经特殊的工艺及设备，把膨润土颗粒固定在两层土工布之间，制成膨润土防水毯，既具有土工材料的全部特性，又具有优异的防水（渗）性能。 膨润土防水垫抗渗静水压可达1.0MPa 以上，渗透系数5×10</w:t>
      </w:r>
      <w:r>
        <w:rPr>
          <w:rFonts w:cs="Times New Roman" w:asciiTheme="minorEastAsia" w:hAnsiTheme="minorEastAsia"/>
          <w:color w:val="0D0D0D" w:themeColor="text1" w:themeTint="F2"/>
          <w:kern w:val="0"/>
          <w:sz w:val="24"/>
          <w:szCs w:val="24"/>
          <w:vertAlign w:val="superscript"/>
          <w:lang w:bidi="ar"/>
          <w14:textFill>
            <w14:solidFill>
              <w14:schemeClr w14:val="tx1">
                <w14:lumMod w14:val="95000"/>
                <w14:lumOff w14:val="5000"/>
              </w14:schemeClr>
            </w14:solidFill>
          </w14:textFill>
        </w:rPr>
        <w:t>-11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cm/s，可以满足罐区的防渗要求。</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同时，储罐周边应设置1.5m防泄漏围堰及防火墙，围堰容积大于储罐最大容积的1.5倍以上，罐区应配备泄漏收集池、油泵等应急设施。</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（3）危险废物存储间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危险废物存储间地面、墙裙、环形事故沟及管道井采用3mm防腐环氧树脂地面，主要原料为环氧树脂、固化剂、稀释剂、石英粉、石英砂、玻璃纤维布等。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具体措施如下：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①</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基层处理：机械打花、打磨、吸尘、清洗及烘干地面；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②</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防潮处理：特种防潮防水涂料封闭地面（仅在建筑底层地面采用）；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③</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底涂：滚涂或刮涂环氧树脂底漆；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④</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中涂：A.环氧树脂粘涂玻璃纤维布二层；B.刮中涂环氧树脂腻子找平层，打磨、吸尘、清洗地面；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宋体"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⑤</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面涂：镘涂环氧树脂自流平面涂（侧壁滚涂 4 遍）。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（4）</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废水收集池、水处理</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池</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及</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事故水池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各类废水池</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和事故水池采用环氧树脂和玻璃纤维布打底，严格按照相关规范进行设计和施工；管道：污水管道的内衬 HDPE 防渗膜；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（5）地基：先清除表面灰尘及浮浆，采用普通混凝土摊平，上面覆盖防水毛毡一层，再浇注钢筋混凝土层，地基填密封膏后，再涂刷混凝土专用界面剂一道，水泥净浆一道（厚度约 10~15cm），平整后再贴地砖； </w:t>
      </w:r>
    </w:p>
    <w:p>
      <w:pPr>
        <w:widowControl/>
        <w:adjustRightInd w:val="0"/>
        <w:snapToGrid w:val="0"/>
        <w:spacing w:line="360" w:lineRule="auto"/>
        <w:ind w:firstLine="482"/>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（6）地沟：界面剂一道，界面剂水泥净浆一道，丙砂浆二道（厚度约 2cm）。 </w:t>
      </w:r>
    </w:p>
    <w:p>
      <w:pPr>
        <w:widowControl/>
        <w:adjustRightInd w:val="0"/>
        <w:snapToGrid w:val="0"/>
        <w:spacing w:line="360" w:lineRule="auto"/>
        <w:ind w:firstLine="482"/>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厂区：生产厂区其他区域（除绿化用地之外）应全部进行硬化处理，实现厂区不裸露土层。在项目投产后，加强现场巡查，重点检查有无渗漏情况。若发现问题，及时分析原因，找到泄漏点指定整改措施，尽快修补，确保防腐防渗层的完整性。</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项目厂区防渗分区示意图见图7.3-1。</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 </w:t>
      </w:r>
    </w:p>
    <w:p>
      <w:pPr>
        <w:widowControl/>
        <w:adjustRightInd w:val="0"/>
        <w:snapToGrid w:val="0"/>
        <w:spacing w:line="360" w:lineRule="auto"/>
        <w:ind w:firstLine="482"/>
        <w:jc w:val="left"/>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pPr>
      <w:r>
        <w:drawing>
          <wp:anchor distT="0" distB="0" distL="114300" distR="114300" simplePos="0" relativeHeight="252123136" behindDoc="0" locked="0" layoutInCell="1" allowOverlap="1">
            <wp:simplePos x="0" y="0"/>
            <wp:positionH relativeFrom="column">
              <wp:posOffset>-106680</wp:posOffset>
            </wp:positionH>
            <wp:positionV relativeFrom="paragraph">
              <wp:posOffset>102870</wp:posOffset>
            </wp:positionV>
            <wp:extent cx="5537835" cy="3625215"/>
            <wp:effectExtent l="0" t="0" r="5715"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1" cstate="print">
                      <a:extLst>
                        <a:ext uri="{28A0092B-C50C-407E-A947-70E740481C1C}">
                          <a14:useLocalDpi xmlns:a14="http://schemas.microsoft.com/office/drawing/2010/main" val="0"/>
                        </a:ext>
                      </a:extLst>
                    </a:blip>
                    <a:srcRect t="7469" r="2182" b="6017"/>
                    <a:stretch>
                      <a:fillRect/>
                    </a:stretch>
                  </pic:blipFill>
                  <pic:spPr>
                    <a:xfrm>
                      <a:off x="0" y="0"/>
                      <a:ext cx="5537825" cy="3625232"/>
                    </a:xfrm>
                    <a:prstGeom prst="rect">
                      <a:avLst/>
                    </a:prstGeom>
                    <a:noFill/>
                    <a:ln>
                      <a:noFill/>
                    </a:ln>
                  </pic:spPr>
                </pic:pic>
              </a:graphicData>
            </a:graphic>
          </wp:anchor>
        </w:drawing>
      </w:r>
    </w:p>
    <w:p>
      <w:pPr>
        <w:spacing w:line="240" w:lineRule="atLeast"/>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0" w:firstLineChars="200"/>
        <w:outlineLvl w:val="3"/>
        <w:rPr>
          <w:rFonts w:cs="Times New Roman" w:asciiTheme="minorEastAsia" w:hAnsiTheme="minorEastAsia"/>
          <w:sz w:val="24"/>
          <w:szCs w:val="24"/>
        </w:rPr>
      </w:pPr>
    </w:p>
    <w:p>
      <w:pPr>
        <w:tabs>
          <w:tab w:val="left" w:pos="0"/>
        </w:tabs>
        <w:adjustRightInd w:val="0"/>
        <w:snapToGrid w:val="0"/>
        <w:spacing w:line="360" w:lineRule="auto"/>
        <w:ind w:firstLine="482" w:firstLineChars="200"/>
        <w:jc w:val="center"/>
        <w:outlineLvl w:val="3"/>
        <w:rPr>
          <w:rFonts w:cs="Times New Roman" w:asciiTheme="minorEastAsia" w:hAnsiTheme="minorEastAsia"/>
          <w:b/>
          <w:sz w:val="24"/>
          <w:szCs w:val="24"/>
        </w:rPr>
      </w:pPr>
      <w:r>
        <w:rPr>
          <w:rFonts w:hint="eastAsia" w:cs="Times New Roman" w:asciiTheme="minorEastAsia" w:hAnsiTheme="minorEastAsia"/>
          <w:b/>
          <w:sz w:val="24"/>
          <w:szCs w:val="24"/>
        </w:rPr>
        <w:t>图7.3-1   项目厂区分区防渗示意图</w:t>
      </w:r>
    </w:p>
    <w:p>
      <w:pPr>
        <w:widowControl/>
        <w:adjustRightInd w:val="0"/>
        <w:snapToGrid w:val="0"/>
        <w:spacing w:line="360" w:lineRule="auto"/>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bookmarkStart w:id="105" w:name="_Toc14862975"/>
      <w:bookmarkStart w:id="106" w:name="_Toc2743"/>
      <w:bookmarkStart w:id="107" w:name="_Toc15174663"/>
      <w:bookmarkStart w:id="108" w:name="_Toc11601"/>
      <w:bookmarkStart w:id="109" w:name="_Toc18727835"/>
      <w:bookmarkStart w:id="110" w:name="_Toc246145032"/>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7.3.2.3</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渗漏检测及地下水污染监控措施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建立项目区的</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油品、</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废水渗漏检测和地下水环境监控体系，包括建立渗漏检测、地下水监控制度和环境管理体系、制定监测计划、配备必要的检测仪器和设备，以便及时发现问题，及时采取措施。</w:t>
      </w:r>
    </w:p>
    <w:p>
      <w:pPr>
        <w:widowControl/>
        <w:adjustRightInd w:val="0"/>
        <w:snapToGrid w:val="0"/>
        <w:spacing w:line="360" w:lineRule="auto"/>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7.3.2.4地下水、土壤污染</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应急处置措施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（1）应急预案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企业应按国家、地方及行业相关规范要求，制定地下水污染应急预案，并在发现地下水受到污染时立刻启动应急预案，采取应急措施阻止污染扩散，降低地下水受污染程度，防止周边居民人体健康及生态环境受到影响。地下水污染应急预案应包括以下要点：如发现地下水污染事故，应立即向公司环保部门及行政管 理部门报告，调查并确认污染源位置；采取有效措施及时阻断确认的污染源，防止污染物继续渗漏到地下，导致土壤和地下水受污染范围扩大；对泄漏至地面的污染物及时进行清理；组织对重污染区域采取有效的修复措施，包括开挖并移走重污染土壤作危险废物处置等。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（2）应急措施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A、厂区地面的防渗层或罐区、废水输送管道等出现破损或破裂时，应及时对其进行修补，避免污废水发生渗漏。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B、污水处理站中各污废水暂存池及处理池等若发生破裂，导致废水发生渗漏时，应将池中废水抽出并暂存于事故池中进行处理，对池中破损部位进行修补，杜绝形成持续的污染源。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C、危废暂存库应避免雨淋，屋顶或地面防渗层若出现破损须及时进行修补。 </w:t>
      </w:r>
    </w:p>
    <w:p>
      <w:pPr>
        <w:widowControl/>
        <w:adjustRightInd w:val="0"/>
        <w:snapToGrid w:val="0"/>
        <w:spacing w:line="360" w:lineRule="auto"/>
        <w:ind w:firstLine="480" w:firstLineChars="200"/>
        <w:jc w:val="left"/>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 xml:space="preserve">D、对厂区内泄漏至地面的污染物，须及时进行清理并妥善处置。 </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在采取上述分区防渗措施后，</w:t>
      </w:r>
      <w:r>
        <w:rPr>
          <w:rFonts w:hint="eastAsia" w:cs="Times New Roman" w:asciiTheme="minorEastAsia" w:hAnsiTheme="minorEastAsia"/>
          <w:sz w:val="24"/>
          <w:szCs w:val="24"/>
        </w:rPr>
        <w:t>项目营运期</w:t>
      </w:r>
      <w:r>
        <w:rPr>
          <w:rFonts w:cs="Times New Roman" w:asciiTheme="minorEastAsia" w:hAnsiTheme="minorEastAsia"/>
          <w:sz w:val="24"/>
          <w:szCs w:val="24"/>
        </w:rPr>
        <w:t>能够有效防止对地下水造成污染</w:t>
      </w:r>
      <w:r>
        <w:rPr>
          <w:rFonts w:hint="eastAsia" w:cs="Times New Roman" w:asciiTheme="minorEastAsia" w:hAnsiTheme="minorEastAsia"/>
          <w:sz w:val="24"/>
          <w:szCs w:val="24"/>
        </w:rPr>
        <w:t>，</w:t>
      </w:r>
      <w:r>
        <w:rPr>
          <w:rFonts w:cs="Times New Roman" w:asciiTheme="minorEastAsia" w:hAnsiTheme="minorEastAsia"/>
          <w:sz w:val="24"/>
          <w:szCs w:val="24"/>
        </w:rPr>
        <w:t>正常工况下不会发生废水或</w:t>
      </w:r>
      <w:r>
        <w:rPr>
          <w:rFonts w:hint="eastAsia" w:cs="Times New Roman" w:asciiTheme="minorEastAsia" w:hAnsiTheme="minorEastAsia"/>
          <w:sz w:val="24"/>
          <w:szCs w:val="24"/>
        </w:rPr>
        <w:t>裂解油</w:t>
      </w:r>
      <w:r>
        <w:rPr>
          <w:rFonts w:cs="Times New Roman" w:asciiTheme="minorEastAsia" w:hAnsiTheme="minorEastAsia"/>
          <w:sz w:val="24"/>
          <w:szCs w:val="24"/>
        </w:rPr>
        <w:t>储罐渗漏现象。</w:t>
      </w:r>
      <w:r>
        <w:rPr>
          <w:rFonts w:hint="eastAsia" w:cs="Times New Roman" w:asciiTheme="minorEastAsia" w:hAnsiTheme="minorEastAsia"/>
          <w:sz w:val="24"/>
          <w:szCs w:val="24"/>
        </w:rPr>
        <w:t>评价认为</w:t>
      </w:r>
      <w:r>
        <w:rPr>
          <w:rFonts w:cs="Times New Roman" w:asciiTheme="minorEastAsia" w:hAnsiTheme="minorEastAsia"/>
          <w:sz w:val="24"/>
          <w:szCs w:val="24"/>
        </w:rPr>
        <w:t>本项目地下水</w:t>
      </w:r>
      <w:r>
        <w:rPr>
          <w:rFonts w:hint="eastAsia" w:cs="Times New Roman" w:asciiTheme="minorEastAsia" w:hAnsiTheme="minorEastAsia"/>
          <w:sz w:val="24"/>
          <w:szCs w:val="24"/>
        </w:rPr>
        <w:t>、土壤</w:t>
      </w:r>
      <w:r>
        <w:rPr>
          <w:rFonts w:cs="Times New Roman" w:asciiTheme="minorEastAsia" w:hAnsiTheme="minorEastAsia"/>
          <w:sz w:val="24"/>
          <w:szCs w:val="24"/>
        </w:rPr>
        <w:t>污染防治措施可行。</w:t>
      </w:r>
      <w:bookmarkEnd w:id="105"/>
      <w:bookmarkEnd w:id="106"/>
      <w:bookmarkEnd w:id="107"/>
      <w:bookmarkEnd w:id="108"/>
      <w:bookmarkEnd w:id="109"/>
      <w:bookmarkEnd w:id="110"/>
    </w:p>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7.4 项目污染防治措施汇总及环保投资分析</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项目总投资5000万元，环保投资估算429万元，占比8.58%，运行期污染防治设施运行费用估算56.8万元/年，工程建设期环境保护投资占比不大，运行期环保治理设施运行费用不高，均在企业承受范围之内。因此，评价认为本项目污染防治措施经济可行。</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项目污染防治措施汇总和环保设施投资及运行费用估算情况见下表7.4-1。</w:t>
      </w:r>
    </w:p>
    <w:p>
      <w:pPr>
        <w:spacing w:line="360" w:lineRule="auto"/>
        <w:jc w:val="center"/>
        <w:rPr>
          <w:rFonts w:asciiTheme="minorEastAsia" w:hAnsiTheme="minorEastAsia"/>
          <w:b/>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u w:val="single"/>
          <w14:textFill>
            <w14:solidFill>
              <w14:schemeClr w14:val="tx1">
                <w14:lumMod w14:val="95000"/>
                <w14:lumOff w14:val="5000"/>
              </w14:schemeClr>
            </w14:solidFill>
          </w14:textFill>
        </w:rPr>
        <w:t>表7.4-1    项目环保设施投资及运行费用估算表</w:t>
      </w:r>
    </w:p>
    <w:tbl>
      <w:tblPr>
        <w:tblStyle w:val="28"/>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1148"/>
        <w:gridCol w:w="851"/>
        <w:gridCol w:w="1984"/>
        <w:gridCol w:w="287"/>
        <w:gridCol w:w="564"/>
        <w:gridCol w:w="269"/>
        <w:gridCol w:w="1006"/>
        <w:gridCol w:w="993"/>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803" w:type="dxa"/>
            <w:vAlign w:val="center"/>
          </w:tcPr>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污染源</w:t>
            </w:r>
          </w:p>
        </w:tc>
        <w:tc>
          <w:tcPr>
            <w:tcW w:w="3983" w:type="dxa"/>
            <w:gridSpan w:val="3"/>
            <w:vAlign w:val="center"/>
          </w:tcPr>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措施及设施名称</w:t>
            </w:r>
          </w:p>
        </w:tc>
        <w:tc>
          <w:tcPr>
            <w:tcW w:w="851" w:type="dxa"/>
            <w:gridSpan w:val="2"/>
            <w:vAlign w:val="center"/>
          </w:tcPr>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数量</w:t>
            </w:r>
          </w:p>
        </w:tc>
        <w:tc>
          <w:tcPr>
            <w:tcW w:w="1275" w:type="dxa"/>
            <w:gridSpan w:val="2"/>
            <w:vAlign w:val="center"/>
          </w:tcPr>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处理</w:t>
            </w:r>
          </w:p>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能力</w:t>
            </w:r>
          </w:p>
        </w:tc>
        <w:tc>
          <w:tcPr>
            <w:tcW w:w="993" w:type="dxa"/>
            <w:vAlign w:val="center"/>
          </w:tcPr>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建设投资</w:t>
            </w:r>
          </w:p>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（万元）</w:t>
            </w:r>
          </w:p>
        </w:tc>
        <w:tc>
          <w:tcPr>
            <w:tcW w:w="1134" w:type="dxa"/>
            <w:vAlign w:val="center"/>
          </w:tcPr>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运行费</w:t>
            </w:r>
          </w:p>
          <w:p>
            <w:pPr>
              <w:spacing w:line="240" w:lineRule="atLeast"/>
              <w:jc w:val="center"/>
              <w:rPr>
                <w:rFonts w:asciiTheme="minorEastAsia" w:hAnsiTheme="minorEastAsia"/>
                <w:b/>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b/>
                <w:color w:val="0D0D0D" w:themeColor="text1" w:themeTint="F2"/>
                <w:sz w:val="18"/>
                <w:szCs w:val="18"/>
                <w:u w:val="single"/>
                <w14:textFill>
                  <w14:solidFill>
                    <w14:schemeClr w14:val="tx1">
                      <w14:lumMod w14:val="95000"/>
                      <w14:lumOff w14:val="5000"/>
                    </w14:schemeClr>
                  </w14:solidFill>
                </w14:textFill>
              </w:rPr>
              <w:t>（万元/年）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3" w:hRule="atLeast"/>
        </w:trPr>
        <w:tc>
          <w:tcPr>
            <w:tcW w:w="803"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废气</w:t>
            </w: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燃烧废气</w:t>
            </w:r>
          </w:p>
        </w:tc>
        <w:tc>
          <w:tcPr>
            <w:tcW w:w="2835" w:type="dxa"/>
            <w:gridSpan w:val="2"/>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进入14套“SCR脱硝反应器+二级雾化喷淋脱硫塔+除雾器+袋式除尘器+UV光解一体机+活性炭吸附装置”处理，尾气通过2根20m高排气筒集束排放。</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14套</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20000Nm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/h</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280.0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炭黑尘废气</w:t>
            </w:r>
          </w:p>
        </w:tc>
        <w:tc>
          <w:tcPr>
            <w:tcW w:w="2835" w:type="dxa"/>
            <w:gridSpan w:val="2"/>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热裂解炉投、出料时裂解炉内保持微负压状态，出料口与粗黑尘包装、废钢丝打包设备上方设置集气罩，收集废气通过2套袋除尘处理后，经2根15m排气筒排放。</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2套</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单套5000m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/h</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食堂油烟</w:t>
            </w:r>
          </w:p>
        </w:tc>
        <w:tc>
          <w:tcPr>
            <w:tcW w:w="2835" w:type="dxa"/>
            <w:gridSpan w:val="2"/>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通过效率不低于90%的油烟净化器处理，尾气经15m排气筒排放</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1套</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3000m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/h</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储罐区废气</w:t>
            </w:r>
          </w:p>
        </w:tc>
        <w:tc>
          <w:tcPr>
            <w:tcW w:w="2835" w:type="dxa"/>
            <w:gridSpan w:val="2"/>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装卸料采用平衡鹤管；储罐设置氮封装置和油气回收装置。</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6套</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6.0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车间无组织废气</w:t>
            </w:r>
          </w:p>
        </w:tc>
        <w:tc>
          <w:tcPr>
            <w:tcW w:w="2835" w:type="dxa"/>
            <w:gridSpan w:val="2"/>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密闭收料设备，</w:t>
            </w: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产尘设备及环节</w:t>
            </w: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设置集气罩集气处理。</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产品库无组织废气</w:t>
            </w:r>
          </w:p>
        </w:tc>
        <w:tc>
          <w:tcPr>
            <w:tcW w:w="2835" w:type="dxa"/>
            <w:gridSpan w:val="2"/>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产品袋装储存、库内装卸料等。</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803"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废水</w:t>
            </w: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油水分离含油废水</w:t>
            </w:r>
          </w:p>
        </w:tc>
        <w:tc>
          <w:tcPr>
            <w:tcW w:w="2835" w:type="dxa"/>
            <w:gridSpan w:val="2"/>
            <w:vMerge w:val="restart"/>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收集进入余气燃烧装置焚烧处理。</w:t>
            </w:r>
          </w:p>
        </w:tc>
        <w:tc>
          <w:tcPr>
            <w:tcW w:w="851" w:type="dxa"/>
            <w:gridSpan w:val="2"/>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275" w:type="dxa"/>
            <w:gridSpan w:val="2"/>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134"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水封罐废水</w:t>
            </w:r>
          </w:p>
        </w:tc>
        <w:tc>
          <w:tcPr>
            <w:tcW w:w="2835" w:type="dxa"/>
            <w:gridSpan w:val="2"/>
            <w:vMerge w:val="continue"/>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851" w:type="dxa"/>
            <w:gridSpan w:val="2"/>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275" w:type="dxa"/>
            <w:gridSpan w:val="2"/>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34"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洗车废水</w:t>
            </w:r>
          </w:p>
        </w:tc>
        <w:tc>
          <w:tcPr>
            <w:tcW w:w="2835" w:type="dxa"/>
            <w:gridSpan w:val="2"/>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三级沉淀后，全部回用，不外排。</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1套</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燃烧废气处理系统富裕废水</w:t>
            </w:r>
          </w:p>
        </w:tc>
        <w:tc>
          <w:tcPr>
            <w:tcW w:w="2835" w:type="dxa"/>
            <w:gridSpan w:val="2"/>
            <w:vMerge w:val="restart"/>
            <w:vAlign w:val="center"/>
          </w:tcPr>
          <w:p>
            <w:pPr>
              <w:spacing w:line="240" w:lineRule="atLeas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隔油预处理后，进入1套一体化污水处理设施处理，采用“调节池+气浮池+接触氧化池+絮凝沉淀池+二沉池+清水池+达标排放”处理工艺，处理达标废水通过管网排入城市污水处理厂处理后排放地表水体。</w:t>
            </w:r>
          </w:p>
        </w:tc>
        <w:tc>
          <w:tcPr>
            <w:tcW w:w="851" w:type="dxa"/>
            <w:gridSpan w:val="2"/>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1套</w:t>
            </w:r>
          </w:p>
        </w:tc>
        <w:tc>
          <w:tcPr>
            <w:tcW w:w="1275" w:type="dxa"/>
            <w:gridSpan w:val="2"/>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40m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/d</w:t>
            </w:r>
          </w:p>
        </w:tc>
        <w:tc>
          <w:tcPr>
            <w:tcW w:w="993"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40</w:t>
            </w:r>
          </w:p>
        </w:tc>
        <w:tc>
          <w:tcPr>
            <w:tcW w:w="1134"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初期雨水</w:t>
            </w:r>
          </w:p>
        </w:tc>
        <w:tc>
          <w:tcPr>
            <w:tcW w:w="2835" w:type="dxa"/>
            <w:gridSpan w:val="2"/>
            <w:vMerge w:val="continue"/>
            <w:vAlign w:val="center"/>
          </w:tcPr>
          <w:p>
            <w:pPr>
              <w:spacing w:line="240" w:lineRule="atLeast"/>
              <w:jc w:val="lef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851" w:type="dxa"/>
            <w:gridSpan w:val="2"/>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275" w:type="dxa"/>
            <w:gridSpan w:val="2"/>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34"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48"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生活污水</w:t>
            </w:r>
          </w:p>
        </w:tc>
        <w:tc>
          <w:tcPr>
            <w:tcW w:w="2835" w:type="dxa"/>
            <w:gridSpan w:val="2"/>
            <w:vMerge w:val="continue"/>
            <w:vAlign w:val="center"/>
          </w:tcPr>
          <w:p>
            <w:pPr>
              <w:spacing w:line="240" w:lineRule="atLeast"/>
              <w:jc w:val="left"/>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851" w:type="dxa"/>
            <w:gridSpan w:val="2"/>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275" w:type="dxa"/>
            <w:gridSpan w:val="2"/>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34"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0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噪声</w:t>
            </w:r>
          </w:p>
        </w:tc>
        <w:tc>
          <w:tcPr>
            <w:tcW w:w="3983" w:type="dxa"/>
            <w:gridSpan w:val="3"/>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设备减振、隔声、消声、厂房隔音</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7" w:hRule="atLeast"/>
        </w:trPr>
        <w:tc>
          <w:tcPr>
            <w:tcW w:w="80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危险</w:t>
            </w:r>
          </w:p>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废物</w:t>
            </w:r>
          </w:p>
        </w:tc>
        <w:tc>
          <w:tcPr>
            <w:tcW w:w="1999"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废脱硝催化剂、废油泥渣、水封罐底泥、隔油浮渣、废紫外灯管、废活性炭等</w:t>
            </w:r>
          </w:p>
        </w:tc>
        <w:tc>
          <w:tcPr>
            <w:tcW w:w="198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专用容器或防渗包装袋收集，暂存厂区危废库固体危废储存区，定期委托有资质单位转移处置。</w:t>
            </w:r>
          </w:p>
        </w:tc>
        <w:tc>
          <w:tcPr>
            <w:tcW w:w="851"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危废库1座，总占地面积50m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2</w:t>
            </w:r>
          </w:p>
        </w:tc>
        <w:tc>
          <w:tcPr>
            <w:tcW w:w="1275"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储存能力100m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803"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一般</w:t>
            </w:r>
          </w:p>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固废</w:t>
            </w:r>
          </w:p>
        </w:tc>
        <w:tc>
          <w:tcPr>
            <w:tcW w:w="1999"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袋除尘器收集粉尘</w:t>
            </w:r>
          </w:p>
        </w:tc>
        <w:tc>
          <w:tcPr>
            <w:tcW w:w="198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作为炭黑产品外售。</w:t>
            </w:r>
          </w:p>
        </w:tc>
        <w:tc>
          <w:tcPr>
            <w:tcW w:w="2126" w:type="dxa"/>
            <w:gridSpan w:val="4"/>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一般固废临时储存库1座，总占地面积50m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2</w:t>
            </w:r>
          </w:p>
        </w:tc>
        <w:tc>
          <w:tcPr>
            <w:tcW w:w="993"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2.0</w:t>
            </w:r>
          </w:p>
        </w:tc>
        <w:tc>
          <w:tcPr>
            <w:tcW w:w="1134"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999"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脱硫泥渣</w:t>
            </w:r>
          </w:p>
        </w:tc>
        <w:tc>
          <w:tcPr>
            <w:tcW w:w="1984"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定期转运垃圾填埋场卫生填埋</w:t>
            </w:r>
          </w:p>
        </w:tc>
        <w:tc>
          <w:tcPr>
            <w:tcW w:w="2126" w:type="dxa"/>
            <w:gridSpan w:val="4"/>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34"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999" w:type="dxa"/>
            <w:gridSpan w:val="2"/>
            <w:vAlign w:val="center"/>
          </w:tcPr>
          <w:p>
            <w:pPr>
              <w:spacing w:line="240" w:lineRule="atLeast"/>
              <w:ind w:firstLine="540" w:firstLineChars="300"/>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脱水污泥</w:t>
            </w:r>
          </w:p>
        </w:tc>
        <w:tc>
          <w:tcPr>
            <w:tcW w:w="1984" w:type="dxa"/>
            <w:vMerge w:val="continue"/>
            <w:vAlign w:val="center"/>
          </w:tcPr>
          <w:p>
            <w:pPr>
              <w:spacing w:line="240" w:lineRule="atLeast"/>
              <w:jc w:val="center"/>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2126" w:type="dxa"/>
            <w:gridSpan w:val="4"/>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34"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999" w:type="dxa"/>
            <w:gridSpan w:val="2"/>
            <w:vAlign w:val="center"/>
          </w:tcPr>
          <w:p>
            <w:pPr>
              <w:spacing w:line="240" w:lineRule="atLeast"/>
              <w:jc w:val="center"/>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生活垃圾</w:t>
            </w:r>
          </w:p>
        </w:tc>
        <w:tc>
          <w:tcPr>
            <w:tcW w:w="1984" w:type="dxa"/>
            <w:vMerge w:val="continue"/>
            <w:vAlign w:val="center"/>
          </w:tcPr>
          <w:p>
            <w:pPr>
              <w:spacing w:line="240" w:lineRule="atLeast"/>
              <w:jc w:val="center"/>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2126" w:type="dxa"/>
            <w:gridSpan w:val="4"/>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99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1134"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排污口规范化整治</w:t>
            </w:r>
          </w:p>
        </w:tc>
        <w:tc>
          <w:tcPr>
            <w:tcW w:w="6109" w:type="dxa"/>
            <w:gridSpan w:val="7"/>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建设2套燃烧废气自动在线监控设备；设置废气采样孔及采样平台，设置废气、废水、固废、噪声等污染源环境保护标志牌等。</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30.0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restart"/>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环境风险防范措施</w:t>
            </w: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厂区厂房分区防渗</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25.0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事故废水收集池</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1座</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消防水池</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1座</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500m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储罐区防泄漏围堰、防火墙等</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6套</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车间泄漏液体收集槽</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个</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0.5m</w:t>
            </w:r>
            <w:r>
              <w:rPr>
                <w:rFonts w:hint="eastAsia" w:asciiTheme="minorEastAsia" w:hAnsiTheme="minorEastAsia"/>
                <w:color w:val="0D0D0D" w:themeColor="text1" w:themeTint="F2"/>
                <w:sz w:val="18"/>
                <w:szCs w:val="18"/>
                <w:u w:val="single"/>
                <w:vertAlign w:val="superscript"/>
                <w14:textFill>
                  <w14:solidFill>
                    <w14:schemeClr w14:val="tx1">
                      <w14:lumMod w14:val="95000"/>
                      <w14:lumOff w14:val="5000"/>
                    </w14:schemeClr>
                  </w14:solidFill>
                </w14:textFill>
              </w:rPr>
              <w:t>3</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0.5</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可燃气体及有毒有害气体检测报警装置。</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10套</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厂区雨水、污水排放口应急切断阀门</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2个</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0.5</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03" w:type="dxa"/>
            <w:vMerge w:val="continue"/>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p>
        </w:tc>
        <w:tc>
          <w:tcPr>
            <w:tcW w:w="4270" w:type="dxa"/>
            <w:gridSpan w:val="4"/>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建立环境应急救援组织体系，制定环境应急预案、开展环境应急演练等</w:t>
            </w:r>
          </w:p>
        </w:tc>
        <w:tc>
          <w:tcPr>
            <w:tcW w:w="833" w:type="dxa"/>
            <w:gridSpan w:val="2"/>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1006"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3.0</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6912" w:type="dxa"/>
            <w:gridSpan w:val="8"/>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合计</w:t>
            </w:r>
          </w:p>
        </w:tc>
        <w:tc>
          <w:tcPr>
            <w:tcW w:w="993"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429</w:t>
            </w:r>
          </w:p>
        </w:tc>
        <w:tc>
          <w:tcPr>
            <w:tcW w:w="1134" w:type="dxa"/>
            <w:vAlign w:val="center"/>
          </w:tcPr>
          <w:p>
            <w:pPr>
              <w:spacing w:line="240" w:lineRule="atLeast"/>
              <w:jc w:val="center"/>
              <w:rPr>
                <w:rFonts w:asciiTheme="minorEastAsia" w:hAnsiTheme="minorEastAsia"/>
                <w:color w:val="0D0D0D" w:themeColor="text1" w:themeTint="F2"/>
                <w:sz w:val="18"/>
                <w:szCs w:val="18"/>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u w:val="single"/>
                <w14:textFill>
                  <w14:solidFill>
                    <w14:schemeClr w14:val="tx1">
                      <w14:lumMod w14:val="95000"/>
                      <w14:lumOff w14:val="5000"/>
                    </w14:schemeClr>
                  </w14:solidFill>
                </w14:textFill>
              </w:rPr>
              <w:t>56.8</w:t>
            </w:r>
          </w:p>
        </w:tc>
      </w:tr>
    </w:tbl>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p>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p>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7.5污染物排放总量控制指标分析</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评价建议本项目大气污染物总量控制指标为：</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颗粒物2.927t/a、</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SO</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 xml:space="preserve">2 </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4.0</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t/a、NO</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 xml:space="preserve">x </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3.96</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t/a、VOC</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 xml:space="preserve">s </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1.264</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t/a；</w:t>
      </w:r>
    </w:p>
    <w:p>
      <w:pPr>
        <w:adjustRightInd w:val="0"/>
        <w:snapToGrid w:val="0"/>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项目排水量27.3m</w:t>
      </w:r>
      <w:r>
        <w:rPr>
          <w:rFonts w:hint="eastAsia" w:cs="Times New Roman" w:asciiTheme="minorEastAsia" w:hAnsiTheme="minorEastAsia"/>
          <w:color w:val="0D0D0D" w:themeColor="text1" w:themeTint="F2"/>
          <w:sz w:val="24"/>
          <w:szCs w:val="24"/>
          <w:u w:val="single"/>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/d，评价建议厂区主要</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水污染物总量控制指标为：COD 0.</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721</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t/a、NH</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-N 0.</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102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t/a</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；经污水厂处理后，按一级A排放标准核算，水污染物排放总量控制指标为：</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COD 0.</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41</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t/a、NH</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-N 0.0</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41</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/a。</w:t>
      </w:r>
    </w:p>
    <w:p>
      <w:pPr>
        <w:spacing w:line="360" w:lineRule="auto"/>
        <w:ind w:firstLine="482"/>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根据《建设项目主要污染物排放总量指标审核及管理暂行办法》和《驻马店市生态环境局西平分局关于西平县景虹再生资源有限公司年处理10万吨废轮胎低温裂解无害化资源化环保处理及循环再利用建设项目二氧化硫、氮氧化物总量指标替代削减方案》（见附件），本次项目所需大气污染物排放量指标分别从西平县2020年燃煤双替代削减的二氧化硫、氮氧化物排放量中替代解决。</w:t>
      </w:r>
    </w:p>
    <w:p>
      <w:pPr>
        <w:spacing w:line="360" w:lineRule="auto"/>
        <w:ind w:firstLine="482"/>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根据西平县发改委提供数据，西平县2020年实施燃煤双替代户数35000户。替代后全部使用清洁能源天然气及电，削减二氧化硫、氮氧化物排放量分别为2016吨、380吨。建设单位申请本项目新增二氧化硫、氮氧化物排放量分别为4吨/年、3.96吨/年；区域替代削减量完全满足项目申请量。建议西平县景虹再生资源有限公司年处理10万吨废轮胎低温裂解无害化资源化环保处理及循环再利用建设项目二氧化硫、氮氧化物总量从以上削减量中2倍扣除:二氧化硫8吨、氮氧化物7.92吨。</w:t>
      </w:r>
    </w:p>
    <w:p>
      <w:pPr>
        <w:spacing w:line="360" w:lineRule="auto"/>
        <w:ind w:firstLine="482"/>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本项目废水经厂区一体化污水设施处理达标后，进入西平县第三污水处理厂进一步处理满足《城镇污水处理厂污染物排放标准》（GB18918-2002）一级A排放标准，排放地表水体。项目废水不直接排放地表水体，主要水污染物总量纳入区域污水厂总量控制指标，不再新申请水污染物排放总量指标。</w:t>
      </w: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keepNext/>
        <w:keepLines/>
        <w:adjustRightInd w:val="0"/>
        <w:snapToGrid w:val="0"/>
        <w:spacing w:before="312" w:beforeLines="100" w:after="312" w:afterLines="100" w:line="360" w:lineRule="auto"/>
        <w:jc w:val="center"/>
        <w:outlineLvl w:val="0"/>
        <w:rPr>
          <w:rFonts w:cs="Times New Roman" w:asciiTheme="minorEastAsia" w:hAnsiTheme="minorEastAsia"/>
          <w:b/>
          <w:kern w:val="44"/>
          <w:sz w:val="36"/>
          <w:szCs w:val="24"/>
        </w:rPr>
      </w:pPr>
      <w:bookmarkStart w:id="111" w:name="_Toc26103"/>
      <w:bookmarkStart w:id="112" w:name="_Toc489812832"/>
      <w:r>
        <w:rPr>
          <w:rFonts w:cs="Times New Roman" w:asciiTheme="minorEastAsia" w:hAnsiTheme="minorEastAsia"/>
          <w:b/>
          <w:kern w:val="44"/>
          <w:sz w:val="36"/>
          <w:szCs w:val="24"/>
        </w:rPr>
        <w:t>第八章 环境经济损益分析</w:t>
      </w:r>
      <w:bookmarkEnd w:id="111"/>
      <w:bookmarkEnd w:id="112"/>
    </w:p>
    <w:p>
      <w:pPr>
        <w:spacing w:line="360" w:lineRule="auto"/>
        <w:ind w:firstLine="480" w:firstLineChars="200"/>
        <w:rPr>
          <w:rFonts w:asciiTheme="minorEastAsia" w:hAnsiTheme="minorEastAsia"/>
          <w:sz w:val="24"/>
          <w:szCs w:val="24"/>
        </w:rPr>
      </w:pPr>
      <w:bookmarkStart w:id="113" w:name="_Toc324492271"/>
      <w:bookmarkStart w:id="114" w:name="_Toc354648817"/>
      <w:bookmarkStart w:id="115" w:name="_Toc343808375"/>
      <w:bookmarkStart w:id="116" w:name="_Toc327538819"/>
      <w:bookmarkStart w:id="117" w:name="_Toc489812833"/>
      <w:r>
        <w:rPr>
          <w:rFonts w:hint="eastAsia" w:asciiTheme="minorEastAsia" w:hAnsiTheme="minorEastAsia"/>
          <w:sz w:val="24"/>
          <w:szCs w:val="24"/>
        </w:rPr>
        <w:t>环境影响经济损益分析是工程开发可行性研究的重要组成部分，是从环境经济的角度对项目的可行性进行评价，以货币的形式定量表述建设项目对环境的影响程度和相应的环境工程效益，从而为决策部门提供科学依据，使建设项目在营运后能更好地实现经济效益、环境效益和社会效益的统一。</w:t>
      </w:r>
    </w:p>
    <w:p>
      <w:pPr>
        <w:spacing w:line="360" w:lineRule="auto"/>
        <w:rPr>
          <w:rFonts w:asciiTheme="minorEastAsia" w:hAnsiTheme="minorEastAsia"/>
          <w:b/>
          <w:sz w:val="28"/>
          <w:szCs w:val="28"/>
        </w:rPr>
      </w:pPr>
      <w:r>
        <w:rPr>
          <w:rFonts w:hint="eastAsia" w:asciiTheme="minorEastAsia" w:hAnsiTheme="minorEastAsia"/>
          <w:b/>
          <w:sz w:val="28"/>
          <w:szCs w:val="28"/>
        </w:rPr>
        <w:t>8.1环境经济损益分析</w:t>
      </w:r>
    </w:p>
    <w:p>
      <w:pPr>
        <w:spacing w:line="360" w:lineRule="auto"/>
        <w:rPr>
          <w:rFonts w:asciiTheme="minorEastAsia" w:hAnsiTheme="minorEastAsia"/>
          <w:b/>
          <w:sz w:val="24"/>
          <w:szCs w:val="24"/>
        </w:rPr>
      </w:pPr>
      <w:r>
        <w:rPr>
          <w:rFonts w:hint="eastAsia" w:asciiTheme="minorEastAsia" w:hAnsiTheme="minorEastAsia"/>
          <w:b/>
          <w:sz w:val="24"/>
          <w:szCs w:val="24"/>
        </w:rPr>
        <w:t>8.1.1目的、内容及方法</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（1）目的和内容</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将项目产生的直接和间接、定量和非定量的各种影响列于分析范围内，通过分析计算用于控制污染所需投资费用、环境经济指标，估算可能收到的环境与经济实效，全面衡量项目建设投资在环保经济上的合理水平，反映项目投资的环保经济效益和社会环境效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（2）分析方法</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采用指标计算方法进行建设项目的环境经济损益分析。将项目对环境产生的损益分解成各项经济指标，包括环保费用指标、污染损失指标和环境效益，逐项计算。然后通过环境经济的静态分析，得出项目环保投资的年净效益、环保费用的经济效益，以及效益与费用比例等各项参数。</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年净效益是指环保投资的直接经济效益，扣除污染控制费用。</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环保污染治理费用的经济效益等于环保效益指标与污染控制费用之比，当比值大于等于1时，可以认为项目的环保治理方案在经济技术上是可行的，否则是不可行的。</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环保效益与费用的比是在对项目污染控制投资进行分析，当比值大于等于1时，可以认为环保费用在环保经济效益上是可行的，否则就认为在经济方案上是不合理的。</w:t>
      </w:r>
    </w:p>
    <w:p>
      <w:pPr>
        <w:spacing w:line="360" w:lineRule="auto"/>
        <w:rPr>
          <w:rFonts w:asciiTheme="minorEastAsia" w:hAnsiTheme="minorEastAsia"/>
          <w:b/>
          <w:sz w:val="24"/>
          <w:szCs w:val="24"/>
        </w:rPr>
      </w:pPr>
      <w:r>
        <w:rPr>
          <w:rFonts w:hint="eastAsia" w:asciiTheme="minorEastAsia" w:hAnsiTheme="minorEastAsia"/>
          <w:b/>
          <w:sz w:val="24"/>
          <w:szCs w:val="24"/>
        </w:rPr>
        <w:t>8.1.2基础数据</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（1）环保投资</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项目环保投资约429万元，占项目总投资额5000万元的8.58%。</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（2）环保运行费</w:t>
      </w:r>
    </w:p>
    <w:p>
      <w:pPr>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环保运行费用包括</w:t>
      </w:r>
      <w:r>
        <w:rPr>
          <w:rFonts w:hint="eastAsia" w:cs="Times New Roman" w:asciiTheme="minorEastAsia" w:hAnsiTheme="minorEastAsia"/>
          <w:sz w:val="24"/>
          <w:szCs w:val="24"/>
        </w:rPr>
        <w:t>“</w:t>
      </w:r>
      <w:r>
        <w:rPr>
          <w:rFonts w:cs="Times New Roman" w:asciiTheme="minorEastAsia" w:hAnsiTheme="minorEastAsia"/>
          <w:sz w:val="24"/>
          <w:szCs w:val="24"/>
        </w:rPr>
        <w:t>三废</w:t>
      </w:r>
      <w:r>
        <w:rPr>
          <w:rFonts w:hint="eastAsia" w:cs="Times New Roman" w:asciiTheme="minorEastAsia" w:hAnsiTheme="minorEastAsia"/>
          <w:sz w:val="24"/>
          <w:szCs w:val="24"/>
        </w:rPr>
        <w:t>”</w:t>
      </w:r>
      <w:r>
        <w:rPr>
          <w:rFonts w:cs="Times New Roman" w:asciiTheme="minorEastAsia" w:hAnsiTheme="minorEastAsia"/>
          <w:sz w:val="24"/>
          <w:szCs w:val="24"/>
        </w:rPr>
        <w:t>处理的成本费和车间固定费用，成本费用包括原辅材料费、燃料动力消耗及人员工资等，车间固定费用包括环保设备维修费、折旧费、技术措施费、环保管理费及其它费用。其费用估算见表</w:t>
      </w:r>
      <w:r>
        <w:rPr>
          <w:rFonts w:hint="eastAsia" w:cs="Times New Roman" w:asciiTheme="minorEastAsia" w:hAnsiTheme="minorEastAsia"/>
          <w:sz w:val="24"/>
          <w:szCs w:val="24"/>
        </w:rPr>
        <w:t>8.1</w:t>
      </w:r>
      <w:r>
        <w:rPr>
          <w:rFonts w:cs="Times New Roman" w:asciiTheme="minorEastAsia" w:hAnsiTheme="minorEastAsia"/>
          <w:sz w:val="24"/>
          <w:szCs w:val="24"/>
        </w:rPr>
        <w:t>-</w:t>
      </w:r>
      <w:r>
        <w:rPr>
          <w:rFonts w:hint="eastAsia" w:cs="Times New Roman" w:asciiTheme="minorEastAsia" w:hAnsiTheme="minorEastAsia"/>
          <w:sz w:val="24"/>
          <w:szCs w:val="24"/>
        </w:rPr>
        <w:t>1</w:t>
      </w:r>
      <w:r>
        <w:rPr>
          <w:rFonts w:cs="Times New Roman" w:asciiTheme="minorEastAsia" w:hAnsiTheme="minorEastAsia"/>
          <w:sz w:val="24"/>
          <w:szCs w:val="24"/>
        </w:rPr>
        <w:t>。</w:t>
      </w:r>
    </w:p>
    <w:p>
      <w:pPr>
        <w:adjustRightInd w:val="0"/>
        <w:snapToGrid w:val="0"/>
        <w:spacing w:line="360" w:lineRule="auto"/>
        <w:ind w:firstLine="420"/>
        <w:jc w:val="center"/>
        <w:rPr>
          <w:rFonts w:cs="Times New Roman" w:asciiTheme="minorEastAsia" w:hAnsiTheme="minorEastAsia"/>
          <w:sz w:val="24"/>
          <w:szCs w:val="24"/>
        </w:rPr>
      </w:pPr>
      <w:r>
        <w:rPr>
          <w:rFonts w:cs="Times New Roman" w:asciiTheme="minorEastAsia" w:hAnsiTheme="minorEastAsia"/>
          <w:b/>
          <w:sz w:val="24"/>
          <w:szCs w:val="24"/>
        </w:rPr>
        <w:t>表</w:t>
      </w:r>
      <w:r>
        <w:rPr>
          <w:rFonts w:hint="eastAsia" w:cs="Times New Roman" w:asciiTheme="minorEastAsia" w:hAnsiTheme="minorEastAsia"/>
          <w:b/>
          <w:sz w:val="24"/>
          <w:szCs w:val="24"/>
        </w:rPr>
        <w:t>8.1-1</w:t>
      </w:r>
      <w:r>
        <w:rPr>
          <w:rFonts w:cs="Times New Roman" w:asciiTheme="minorEastAsia" w:hAnsiTheme="minorEastAsia"/>
          <w:b/>
          <w:sz w:val="24"/>
          <w:szCs w:val="24"/>
        </w:rPr>
        <w:t xml:space="preserve">  </w:t>
      </w:r>
      <w:r>
        <w:rPr>
          <w:rFonts w:hint="eastAsia" w:cs="Times New Roman" w:asciiTheme="minorEastAsia" w:hAnsiTheme="minorEastAsia"/>
          <w:b/>
          <w:sz w:val="24"/>
          <w:szCs w:val="24"/>
        </w:rPr>
        <w:t xml:space="preserve">   </w:t>
      </w:r>
      <w:r>
        <w:rPr>
          <w:rFonts w:cs="Times New Roman" w:asciiTheme="minorEastAsia" w:hAnsiTheme="minorEastAsia"/>
          <w:b/>
          <w:sz w:val="24"/>
          <w:szCs w:val="24"/>
        </w:rPr>
        <w:t xml:space="preserve">环保运行费用估算        </w:t>
      </w:r>
      <w:r>
        <w:rPr>
          <w:rFonts w:cs="Times New Roman" w:asciiTheme="minorEastAsia" w:hAnsiTheme="minorEastAsia"/>
          <w:sz w:val="24"/>
          <w:szCs w:val="24"/>
        </w:rPr>
        <w:t xml:space="preserve"> 单位：万元</w:t>
      </w:r>
    </w:p>
    <w:tbl>
      <w:tblPr>
        <w:tblStyle w:val="27"/>
        <w:tblW w:w="753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87"/>
        <w:gridCol w:w="2588"/>
        <w:gridCol w:w="396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59" w:hRule="atLeast"/>
          <w:jc w:val="center"/>
        </w:trPr>
        <w:tc>
          <w:tcPr>
            <w:tcW w:w="987" w:type="dxa"/>
            <w:vAlign w:val="center"/>
          </w:tcPr>
          <w:p>
            <w:pPr>
              <w:jc w:val="center"/>
              <w:rPr>
                <w:rFonts w:cs="Times New Roman" w:asciiTheme="minorEastAsia" w:hAnsiTheme="minorEastAsia"/>
                <w:b/>
                <w:sz w:val="24"/>
                <w:szCs w:val="24"/>
              </w:rPr>
            </w:pPr>
            <w:r>
              <w:rPr>
                <w:rFonts w:cs="Times New Roman" w:asciiTheme="minorEastAsia" w:hAnsiTheme="minorEastAsia"/>
                <w:b/>
                <w:sz w:val="24"/>
                <w:szCs w:val="24"/>
              </w:rPr>
              <w:t>序号</w:t>
            </w:r>
          </w:p>
        </w:tc>
        <w:tc>
          <w:tcPr>
            <w:tcW w:w="2588" w:type="dxa"/>
            <w:vAlign w:val="center"/>
          </w:tcPr>
          <w:p>
            <w:pPr>
              <w:jc w:val="center"/>
              <w:rPr>
                <w:rFonts w:cs="Times New Roman" w:asciiTheme="minorEastAsia" w:hAnsiTheme="minorEastAsia"/>
                <w:b/>
                <w:sz w:val="24"/>
                <w:szCs w:val="24"/>
              </w:rPr>
            </w:pPr>
            <w:r>
              <w:rPr>
                <w:rFonts w:cs="Times New Roman" w:asciiTheme="minorEastAsia" w:hAnsiTheme="minorEastAsia"/>
                <w:b/>
                <w:sz w:val="24"/>
                <w:szCs w:val="24"/>
              </w:rPr>
              <w:t>环保项目</w:t>
            </w:r>
          </w:p>
        </w:tc>
        <w:tc>
          <w:tcPr>
            <w:tcW w:w="3962" w:type="dxa"/>
            <w:vAlign w:val="center"/>
          </w:tcPr>
          <w:p>
            <w:pPr>
              <w:jc w:val="center"/>
              <w:rPr>
                <w:rFonts w:cs="Times New Roman" w:asciiTheme="minorEastAsia" w:hAnsiTheme="minorEastAsia"/>
                <w:b/>
                <w:sz w:val="24"/>
                <w:szCs w:val="24"/>
              </w:rPr>
            </w:pPr>
            <w:r>
              <w:rPr>
                <w:rFonts w:cs="Times New Roman" w:asciiTheme="minorEastAsia" w:hAnsiTheme="minorEastAsia"/>
                <w:b/>
                <w:sz w:val="24"/>
                <w:szCs w:val="24"/>
              </w:rPr>
              <w:t>年运行费用</w:t>
            </w:r>
            <w:r>
              <w:rPr>
                <w:rFonts w:hint="eastAsia" w:cs="Times New Roman" w:asciiTheme="minorEastAsia" w:hAnsiTheme="minorEastAsia"/>
                <w:b/>
                <w:sz w:val="24"/>
                <w:szCs w:val="24"/>
              </w:rPr>
              <w:t>投入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59" w:hRule="atLeast"/>
          <w:jc w:val="center"/>
        </w:trPr>
        <w:tc>
          <w:tcPr>
            <w:tcW w:w="987" w:type="dxa"/>
            <w:vAlign w:val="center"/>
          </w:tcPr>
          <w:p>
            <w:pPr>
              <w:jc w:val="center"/>
              <w:rPr>
                <w:rFonts w:cs="Times New Roman" w:asciiTheme="minorEastAsia" w:hAnsiTheme="minorEastAsia"/>
                <w:sz w:val="24"/>
                <w:szCs w:val="24"/>
              </w:rPr>
            </w:pPr>
            <w:r>
              <w:rPr>
                <w:rFonts w:cs="Times New Roman" w:asciiTheme="minorEastAsia" w:hAnsiTheme="minorEastAsia"/>
                <w:sz w:val="24"/>
                <w:szCs w:val="24"/>
              </w:rPr>
              <w:t>1</w:t>
            </w:r>
          </w:p>
        </w:tc>
        <w:tc>
          <w:tcPr>
            <w:tcW w:w="2588" w:type="dxa"/>
            <w:vAlign w:val="center"/>
          </w:tcPr>
          <w:p>
            <w:pPr>
              <w:jc w:val="center"/>
              <w:rPr>
                <w:rFonts w:cs="Times New Roman" w:asciiTheme="minorEastAsia" w:hAnsiTheme="minorEastAsia"/>
                <w:sz w:val="24"/>
                <w:szCs w:val="24"/>
              </w:rPr>
            </w:pPr>
            <w:r>
              <w:rPr>
                <w:rFonts w:cs="Times New Roman" w:asciiTheme="minorEastAsia" w:hAnsiTheme="minorEastAsia"/>
                <w:sz w:val="24"/>
                <w:szCs w:val="24"/>
              </w:rPr>
              <w:t>废气处理</w:t>
            </w:r>
          </w:p>
        </w:tc>
        <w:tc>
          <w:tcPr>
            <w:tcW w:w="3962"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运行投入20.6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59" w:hRule="atLeast"/>
          <w:jc w:val="center"/>
        </w:trPr>
        <w:tc>
          <w:tcPr>
            <w:tcW w:w="987" w:type="dxa"/>
            <w:vAlign w:val="center"/>
          </w:tcPr>
          <w:p>
            <w:pPr>
              <w:jc w:val="center"/>
              <w:rPr>
                <w:rFonts w:cs="Times New Roman" w:asciiTheme="minorEastAsia" w:hAnsiTheme="minorEastAsia"/>
                <w:sz w:val="24"/>
                <w:szCs w:val="24"/>
              </w:rPr>
            </w:pPr>
            <w:r>
              <w:rPr>
                <w:rFonts w:cs="Times New Roman" w:asciiTheme="minorEastAsia" w:hAnsiTheme="minorEastAsia"/>
                <w:sz w:val="24"/>
                <w:szCs w:val="24"/>
              </w:rPr>
              <w:t>2</w:t>
            </w:r>
          </w:p>
        </w:tc>
        <w:tc>
          <w:tcPr>
            <w:tcW w:w="2588" w:type="dxa"/>
            <w:vAlign w:val="center"/>
          </w:tcPr>
          <w:p>
            <w:pPr>
              <w:jc w:val="center"/>
              <w:rPr>
                <w:rFonts w:cs="Times New Roman" w:asciiTheme="minorEastAsia" w:hAnsiTheme="minorEastAsia"/>
                <w:sz w:val="24"/>
                <w:szCs w:val="24"/>
              </w:rPr>
            </w:pPr>
            <w:r>
              <w:rPr>
                <w:rFonts w:cs="Times New Roman" w:asciiTheme="minorEastAsia" w:hAnsiTheme="minorEastAsia"/>
                <w:sz w:val="24"/>
                <w:szCs w:val="24"/>
              </w:rPr>
              <w:t>废水处理</w:t>
            </w:r>
          </w:p>
        </w:tc>
        <w:tc>
          <w:tcPr>
            <w:tcW w:w="3962"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运行投入5.2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59" w:hRule="atLeast"/>
          <w:jc w:val="center"/>
        </w:trPr>
        <w:tc>
          <w:tcPr>
            <w:tcW w:w="987"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3</w:t>
            </w:r>
          </w:p>
        </w:tc>
        <w:tc>
          <w:tcPr>
            <w:tcW w:w="2588" w:type="dxa"/>
            <w:vAlign w:val="center"/>
          </w:tcPr>
          <w:p>
            <w:pPr>
              <w:jc w:val="center"/>
              <w:rPr>
                <w:rFonts w:cs="Times New Roman" w:asciiTheme="minorEastAsia" w:hAnsiTheme="minorEastAsia"/>
                <w:sz w:val="24"/>
                <w:szCs w:val="24"/>
              </w:rPr>
            </w:pPr>
            <w:r>
              <w:rPr>
                <w:rFonts w:cs="Times New Roman" w:asciiTheme="minorEastAsia" w:hAnsiTheme="minorEastAsia"/>
                <w:sz w:val="24"/>
                <w:szCs w:val="24"/>
              </w:rPr>
              <w:t>废物</w:t>
            </w:r>
            <w:r>
              <w:rPr>
                <w:rFonts w:hint="eastAsia" w:cs="Times New Roman" w:asciiTheme="minorEastAsia" w:hAnsiTheme="minorEastAsia"/>
                <w:sz w:val="24"/>
                <w:szCs w:val="24"/>
              </w:rPr>
              <w:t>处置</w:t>
            </w:r>
          </w:p>
        </w:tc>
        <w:tc>
          <w:tcPr>
            <w:tcW w:w="3962"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委托处置费25.5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59" w:hRule="atLeast"/>
          <w:jc w:val="center"/>
        </w:trPr>
        <w:tc>
          <w:tcPr>
            <w:tcW w:w="987"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4</w:t>
            </w:r>
          </w:p>
        </w:tc>
        <w:tc>
          <w:tcPr>
            <w:tcW w:w="2588"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其他</w:t>
            </w:r>
          </w:p>
        </w:tc>
        <w:tc>
          <w:tcPr>
            <w:tcW w:w="3962"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5.3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59" w:hRule="atLeast"/>
          <w:jc w:val="center"/>
        </w:trPr>
        <w:tc>
          <w:tcPr>
            <w:tcW w:w="3575" w:type="dxa"/>
            <w:gridSpan w:val="2"/>
            <w:vAlign w:val="center"/>
          </w:tcPr>
          <w:p>
            <w:pPr>
              <w:jc w:val="center"/>
              <w:rPr>
                <w:rFonts w:cs="Times New Roman" w:asciiTheme="minorEastAsia" w:hAnsiTheme="minorEastAsia"/>
                <w:sz w:val="24"/>
                <w:szCs w:val="24"/>
              </w:rPr>
            </w:pPr>
            <w:r>
              <w:rPr>
                <w:rFonts w:cs="Times New Roman" w:asciiTheme="minorEastAsia" w:hAnsiTheme="minorEastAsia"/>
                <w:sz w:val="24"/>
                <w:szCs w:val="24"/>
              </w:rPr>
              <w:t>总   计</w:t>
            </w:r>
          </w:p>
        </w:tc>
        <w:tc>
          <w:tcPr>
            <w:tcW w:w="3962" w:type="dxa"/>
            <w:vAlign w:val="center"/>
          </w:tcPr>
          <w:p>
            <w:pPr>
              <w:jc w:val="center"/>
              <w:rPr>
                <w:rFonts w:cs="Times New Roman" w:asciiTheme="minorEastAsia" w:hAnsiTheme="minorEastAsia"/>
                <w:sz w:val="24"/>
                <w:szCs w:val="24"/>
              </w:rPr>
            </w:pPr>
            <w:r>
              <w:rPr>
                <w:rFonts w:hint="eastAsia" w:cs="Times New Roman" w:asciiTheme="minorEastAsia" w:hAnsiTheme="minorEastAsia"/>
                <w:sz w:val="24"/>
                <w:szCs w:val="24"/>
              </w:rPr>
              <w:t>56.6</w:t>
            </w:r>
          </w:p>
        </w:tc>
      </w:tr>
    </w:tbl>
    <w:p>
      <w:pPr>
        <w:spacing w:line="360" w:lineRule="auto"/>
        <w:ind w:firstLine="480" w:firstLineChars="200"/>
        <w:rPr>
          <w:rFonts w:cs="Times New Roman" w:asciiTheme="minorEastAsia" w:hAnsiTheme="minorEastAsia"/>
          <w:bCs/>
          <w:sz w:val="24"/>
          <w:szCs w:val="20"/>
        </w:rPr>
      </w:pPr>
      <w:r>
        <w:rPr>
          <w:rFonts w:hint="eastAsia" w:cs="Times New Roman" w:asciiTheme="minorEastAsia" w:hAnsiTheme="minorEastAsia"/>
          <w:bCs/>
          <w:sz w:val="24"/>
          <w:szCs w:val="20"/>
        </w:rPr>
        <w:t>由上表分析，项目运行期</w:t>
      </w:r>
      <w:r>
        <w:rPr>
          <w:rFonts w:hint="eastAsia" w:cs="Times New Roman" w:asciiTheme="minorEastAsia" w:hAnsiTheme="minorEastAsia"/>
          <w:sz w:val="24"/>
          <w:szCs w:val="24"/>
        </w:rPr>
        <w:t>环保运行费支出</w:t>
      </w:r>
      <w:r>
        <w:rPr>
          <w:rFonts w:hint="eastAsia" w:cs="Times New Roman" w:asciiTheme="minorEastAsia" w:hAnsiTheme="minorEastAsia"/>
          <w:bCs/>
          <w:sz w:val="24"/>
          <w:szCs w:val="20"/>
        </w:rPr>
        <w:t>约56.6万元/a。</w:t>
      </w:r>
    </w:p>
    <w:p>
      <w:pPr>
        <w:spacing w:line="360" w:lineRule="auto"/>
        <w:ind w:firstLine="480" w:firstLineChars="200"/>
        <w:rPr>
          <w:rFonts w:cs="Times New Roman" w:asciiTheme="minorEastAsia" w:hAnsiTheme="minorEastAsia"/>
          <w:bCs/>
          <w:sz w:val="24"/>
          <w:szCs w:val="20"/>
        </w:rPr>
      </w:pPr>
      <w:r>
        <w:rPr>
          <w:rFonts w:hint="eastAsia" w:cs="Times New Roman" w:asciiTheme="minorEastAsia" w:hAnsiTheme="minorEastAsia"/>
          <w:bCs/>
          <w:sz w:val="24"/>
          <w:szCs w:val="20"/>
        </w:rPr>
        <w:t>（3）</w:t>
      </w:r>
      <w:r>
        <w:rPr>
          <w:rFonts w:cs="Times New Roman" w:asciiTheme="minorEastAsia" w:hAnsiTheme="minorEastAsia"/>
          <w:bCs/>
          <w:sz w:val="24"/>
          <w:szCs w:val="20"/>
        </w:rPr>
        <w:t>环保辅助费用</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环保辅助费用主要包括相关管理部门的办公费、科研技术咨询、学习交流及增设环境机构需投入的资金、人员工资等，根据该项目的实际情况，年环保辅助费用约为</w:t>
      </w:r>
      <w:r>
        <w:rPr>
          <w:rFonts w:hint="eastAsia" w:cs="Times New Roman" w:asciiTheme="minorEastAsia" w:hAnsiTheme="minorEastAsia"/>
          <w:sz w:val="24"/>
          <w:szCs w:val="20"/>
        </w:rPr>
        <w:t>10</w:t>
      </w:r>
      <w:r>
        <w:rPr>
          <w:rFonts w:cs="Times New Roman" w:asciiTheme="minorEastAsia" w:hAnsiTheme="minorEastAsia"/>
          <w:sz w:val="24"/>
          <w:szCs w:val="20"/>
        </w:rPr>
        <w:t>万元。</w:t>
      </w:r>
    </w:p>
    <w:p>
      <w:pPr>
        <w:spacing w:line="360" w:lineRule="auto"/>
        <w:ind w:firstLine="480" w:firstLineChars="200"/>
        <w:rPr>
          <w:rFonts w:cs="Times New Roman" w:asciiTheme="minorEastAsia" w:hAnsiTheme="minorEastAsia"/>
          <w:bCs/>
          <w:sz w:val="24"/>
          <w:szCs w:val="20"/>
        </w:rPr>
      </w:pPr>
      <w:r>
        <w:rPr>
          <w:rFonts w:hint="eastAsia" w:cs="Times New Roman" w:asciiTheme="minorEastAsia" w:hAnsiTheme="minorEastAsia"/>
          <w:bCs/>
          <w:sz w:val="24"/>
          <w:szCs w:val="20"/>
        </w:rPr>
        <w:t>（4）</w:t>
      </w:r>
      <w:r>
        <w:rPr>
          <w:rFonts w:cs="Times New Roman" w:asciiTheme="minorEastAsia" w:hAnsiTheme="minorEastAsia"/>
          <w:bCs/>
          <w:sz w:val="24"/>
          <w:szCs w:val="20"/>
        </w:rPr>
        <w:t>设备折旧年限</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该项目设备有效生产年限按15年计。</w:t>
      </w:r>
    </w:p>
    <w:p>
      <w:pPr>
        <w:spacing w:line="360" w:lineRule="auto"/>
        <w:outlineLvl w:val="2"/>
        <w:rPr>
          <w:rFonts w:cs="Times New Roman" w:asciiTheme="minorEastAsia" w:hAnsiTheme="minorEastAsia"/>
          <w:b/>
          <w:sz w:val="24"/>
          <w:szCs w:val="20"/>
        </w:rPr>
      </w:pPr>
      <w:r>
        <w:rPr>
          <w:rFonts w:hint="eastAsia" w:cs="Times New Roman" w:asciiTheme="minorEastAsia" w:hAnsiTheme="minorEastAsia"/>
          <w:b/>
          <w:sz w:val="24"/>
          <w:szCs w:val="20"/>
        </w:rPr>
        <w:t>8</w:t>
      </w:r>
      <w:r>
        <w:rPr>
          <w:rFonts w:cs="Times New Roman" w:asciiTheme="minorEastAsia" w:hAnsiTheme="minorEastAsia"/>
          <w:b/>
          <w:sz w:val="24"/>
          <w:szCs w:val="20"/>
        </w:rPr>
        <w:t>.</w:t>
      </w:r>
      <w:r>
        <w:rPr>
          <w:rFonts w:hint="eastAsia" w:cs="Times New Roman" w:asciiTheme="minorEastAsia" w:hAnsiTheme="minorEastAsia"/>
          <w:b/>
          <w:sz w:val="24"/>
          <w:szCs w:val="20"/>
        </w:rPr>
        <w:t>1</w:t>
      </w:r>
      <w:r>
        <w:rPr>
          <w:rFonts w:cs="Times New Roman" w:asciiTheme="minorEastAsia" w:hAnsiTheme="minorEastAsia"/>
          <w:b/>
          <w:sz w:val="24"/>
          <w:szCs w:val="20"/>
        </w:rPr>
        <w:t>.3环保经济指标的确定</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环保费用指标是指项目污染治理所需各项投资费用，包括污染治理的投资费用、污染控制运行费用和其它辅助费用构成。</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环保费用指标按下式计算：</w:t>
      </w:r>
    </w:p>
    <w:p>
      <w:pPr>
        <w:spacing w:line="360" w:lineRule="auto"/>
        <w:jc w:val="center"/>
        <w:rPr>
          <w:rFonts w:ascii="Times New Roman" w:hAnsi="Times New Roman" w:eastAsia="宋体" w:cs="Times New Roman"/>
          <w:sz w:val="24"/>
          <w:szCs w:val="20"/>
        </w:rPr>
      </w:pPr>
      <w:r>
        <w:rPr>
          <w:rFonts w:ascii="Times New Roman" w:hAnsi="Times New Roman" w:eastAsia="宋体" w:cs="Times New Roman"/>
          <w:sz w:val="24"/>
          <w:szCs w:val="20"/>
        </w:rPr>
        <w:t>C=C</w:t>
      </w:r>
      <w:r>
        <w:rPr>
          <w:rFonts w:ascii="Times New Roman" w:hAnsi="Times New Roman" w:eastAsia="宋体" w:cs="Times New Roman"/>
          <w:sz w:val="24"/>
          <w:szCs w:val="20"/>
          <w:vertAlign w:val="subscript"/>
        </w:rPr>
        <w:t>1</w:t>
      </w:r>
      <w:r>
        <w:rPr>
          <w:rFonts w:ascii="Times New Roman" w:hAnsi="Times New Roman" w:eastAsia="宋体" w:cs="Times New Roman"/>
          <w:sz w:val="24"/>
          <w:szCs w:val="20"/>
        </w:rPr>
        <w:t>×β/η＋C</w:t>
      </w:r>
      <w:r>
        <w:rPr>
          <w:rFonts w:ascii="Times New Roman" w:hAnsi="Times New Roman" w:eastAsia="宋体" w:cs="Times New Roman"/>
          <w:sz w:val="24"/>
          <w:szCs w:val="20"/>
          <w:vertAlign w:val="subscript"/>
        </w:rPr>
        <w:t>2</w:t>
      </w:r>
      <w:r>
        <w:rPr>
          <w:rFonts w:ascii="Times New Roman" w:hAnsi="Times New Roman" w:eastAsia="宋体" w:cs="Times New Roman"/>
          <w:sz w:val="24"/>
          <w:szCs w:val="20"/>
        </w:rPr>
        <w:t>＋C</w:t>
      </w:r>
      <w:r>
        <w:rPr>
          <w:rFonts w:ascii="Times New Roman" w:hAnsi="Times New Roman" w:eastAsia="宋体" w:cs="Times New Roman"/>
          <w:sz w:val="24"/>
          <w:szCs w:val="20"/>
          <w:vertAlign w:val="subscript"/>
        </w:rPr>
        <w:t>3</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式中：C—环保费用指标；</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C</w:t>
      </w:r>
      <w:r>
        <w:rPr>
          <w:rFonts w:cs="Times New Roman" w:asciiTheme="minorEastAsia" w:hAnsiTheme="minorEastAsia"/>
          <w:sz w:val="24"/>
          <w:szCs w:val="20"/>
          <w:vertAlign w:val="subscript"/>
        </w:rPr>
        <w:t>1</w:t>
      </w:r>
      <w:r>
        <w:rPr>
          <w:rFonts w:cs="Times New Roman" w:asciiTheme="minorEastAsia" w:hAnsiTheme="minorEastAsia"/>
          <w:sz w:val="24"/>
          <w:szCs w:val="20"/>
        </w:rPr>
        <w:t>—投资费用，该工程为</w:t>
      </w:r>
      <w:r>
        <w:rPr>
          <w:rFonts w:hint="eastAsia" w:cs="Times New Roman" w:asciiTheme="minorEastAsia" w:hAnsiTheme="minorEastAsia"/>
          <w:sz w:val="24"/>
          <w:szCs w:val="20"/>
        </w:rPr>
        <w:t>4299</w:t>
      </w:r>
      <w:r>
        <w:rPr>
          <w:rFonts w:cs="Times New Roman" w:asciiTheme="minorEastAsia" w:hAnsiTheme="minorEastAsia"/>
          <w:sz w:val="24"/>
          <w:szCs w:val="20"/>
        </w:rPr>
        <w:t>万元；</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C</w:t>
      </w:r>
      <w:r>
        <w:rPr>
          <w:rFonts w:cs="Times New Roman" w:asciiTheme="minorEastAsia" w:hAnsiTheme="minorEastAsia"/>
          <w:sz w:val="24"/>
          <w:szCs w:val="20"/>
          <w:vertAlign w:val="subscript"/>
        </w:rPr>
        <w:t>2</w:t>
      </w:r>
      <w:r>
        <w:rPr>
          <w:rFonts w:cs="Times New Roman" w:asciiTheme="minorEastAsia" w:hAnsiTheme="minorEastAsia"/>
          <w:sz w:val="24"/>
          <w:szCs w:val="20"/>
        </w:rPr>
        <w:t>—年运行费用，该工程为</w:t>
      </w:r>
      <w:r>
        <w:rPr>
          <w:rFonts w:hint="eastAsia" w:cs="Times New Roman" w:asciiTheme="minorEastAsia" w:hAnsiTheme="minorEastAsia"/>
          <w:sz w:val="24"/>
          <w:szCs w:val="20"/>
        </w:rPr>
        <w:t>56.6</w:t>
      </w:r>
      <w:r>
        <w:rPr>
          <w:rFonts w:cs="Times New Roman" w:asciiTheme="minorEastAsia" w:hAnsiTheme="minorEastAsia"/>
          <w:sz w:val="24"/>
          <w:szCs w:val="20"/>
        </w:rPr>
        <w:t>万元；</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C</w:t>
      </w:r>
      <w:r>
        <w:rPr>
          <w:rFonts w:cs="Times New Roman" w:asciiTheme="minorEastAsia" w:hAnsiTheme="minorEastAsia"/>
          <w:sz w:val="24"/>
          <w:szCs w:val="20"/>
          <w:vertAlign w:val="subscript"/>
        </w:rPr>
        <w:t>3</w:t>
      </w:r>
      <w:r>
        <w:rPr>
          <w:rFonts w:cs="Times New Roman" w:asciiTheme="minorEastAsia" w:hAnsiTheme="minorEastAsia"/>
          <w:sz w:val="24"/>
          <w:szCs w:val="20"/>
        </w:rPr>
        <w:t>—环保辅助费用，该工程为</w:t>
      </w:r>
      <w:r>
        <w:rPr>
          <w:rFonts w:hint="eastAsia" w:cs="Times New Roman" w:asciiTheme="minorEastAsia" w:hAnsiTheme="minorEastAsia"/>
          <w:sz w:val="24"/>
          <w:szCs w:val="20"/>
        </w:rPr>
        <w:t>10</w:t>
      </w:r>
      <w:r>
        <w:rPr>
          <w:rFonts w:cs="Times New Roman" w:asciiTheme="minorEastAsia" w:hAnsiTheme="minorEastAsia"/>
          <w:sz w:val="24"/>
          <w:szCs w:val="20"/>
        </w:rPr>
        <w:t>万元；</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η—设备折旧年限，以15年计；</w:t>
      </w:r>
    </w:p>
    <w:p>
      <w:pPr>
        <w:spacing w:line="360" w:lineRule="auto"/>
        <w:ind w:firstLine="1200" w:firstLineChars="500"/>
        <w:rPr>
          <w:rFonts w:cs="Times New Roman" w:asciiTheme="minorEastAsia" w:hAnsiTheme="minorEastAsia"/>
          <w:sz w:val="24"/>
          <w:szCs w:val="20"/>
        </w:rPr>
      </w:pPr>
      <w:r>
        <w:rPr>
          <w:rFonts w:cs="Times New Roman" w:asciiTheme="minorEastAsia" w:hAnsiTheme="minorEastAsia"/>
          <w:sz w:val="24"/>
          <w:szCs w:val="20"/>
        </w:rPr>
        <w:t>β—为固定资产形成率，该项目</w:t>
      </w:r>
      <w:r>
        <w:rPr>
          <w:rFonts w:hint="eastAsia" w:cs="Times New Roman" w:asciiTheme="minorEastAsia" w:hAnsiTheme="minorEastAsia"/>
          <w:sz w:val="24"/>
          <w:szCs w:val="20"/>
        </w:rPr>
        <w:t>环保</w:t>
      </w:r>
      <w:r>
        <w:rPr>
          <w:rFonts w:cs="Times New Roman" w:asciiTheme="minorEastAsia" w:hAnsiTheme="minorEastAsia"/>
          <w:sz w:val="24"/>
          <w:szCs w:val="20"/>
        </w:rPr>
        <w:t>投资以90%计。</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计算得出该项目环保费用指标为</w:t>
      </w:r>
      <w:r>
        <w:rPr>
          <w:rFonts w:hint="eastAsia" w:cs="Times New Roman" w:asciiTheme="minorEastAsia" w:hAnsiTheme="minorEastAsia"/>
          <w:sz w:val="24"/>
          <w:szCs w:val="20"/>
        </w:rPr>
        <w:t>92</w:t>
      </w:r>
      <w:r>
        <w:rPr>
          <w:rFonts w:cs="Times New Roman" w:asciiTheme="minorEastAsia" w:hAnsiTheme="minorEastAsia"/>
          <w:sz w:val="24"/>
          <w:szCs w:val="20"/>
        </w:rPr>
        <w:t>万元。</w:t>
      </w:r>
    </w:p>
    <w:p>
      <w:pPr>
        <w:spacing w:line="360" w:lineRule="auto"/>
        <w:outlineLvl w:val="2"/>
        <w:rPr>
          <w:rFonts w:cs="Times New Roman" w:asciiTheme="minorEastAsia" w:hAnsiTheme="minorEastAsia"/>
          <w:b/>
          <w:sz w:val="24"/>
          <w:szCs w:val="20"/>
        </w:rPr>
      </w:pPr>
      <w:r>
        <w:rPr>
          <w:rFonts w:hint="eastAsia" w:cs="Times New Roman" w:asciiTheme="minorEastAsia" w:hAnsiTheme="minorEastAsia"/>
          <w:b/>
          <w:sz w:val="24"/>
          <w:szCs w:val="20"/>
        </w:rPr>
        <w:t>8.1</w:t>
      </w:r>
      <w:r>
        <w:rPr>
          <w:rFonts w:cs="Times New Roman" w:asciiTheme="minorEastAsia" w:hAnsiTheme="minorEastAsia"/>
          <w:b/>
          <w:sz w:val="24"/>
          <w:szCs w:val="20"/>
        </w:rPr>
        <w:t>.4污染损失指标</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污染损失指标是指建设项目产生的污染与破坏对环境造成的损失最终以经济形式的表达。主要包括资源和能源流失的损失，各类污染物对生产、生活造成的损失以及各种环境补偿性损失。</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污染损失指标由下式计算：</w:t>
      </w:r>
    </w:p>
    <w:p>
      <w:pPr>
        <w:adjustRightInd w:val="0"/>
        <w:snapToGrid w:val="0"/>
        <w:spacing w:line="360" w:lineRule="auto"/>
        <w:jc w:val="center"/>
        <w:rPr>
          <w:rFonts w:ascii="Times New Roman" w:hAnsi="Times New Roman" w:eastAsia="宋体" w:cs="Times New Roman"/>
          <w:sz w:val="24"/>
          <w:szCs w:val="20"/>
        </w:rPr>
      </w:pPr>
      <w:r>
        <w:rPr>
          <w:rFonts w:ascii="Times New Roman" w:hAnsi="Times New Roman" w:eastAsia="宋体" w:cs="Times New Roman"/>
          <w:snapToGrid w:val="0"/>
          <w:sz w:val="24"/>
          <w:szCs w:val="20"/>
        </w:rPr>
        <w:t>L=</w:t>
      </w:r>
      <w:r>
        <w:rPr>
          <w:rFonts w:ascii="Times New Roman" w:hAnsi="Times New Roman" w:eastAsia="宋体" w:cs="Times New Roman"/>
          <w:snapToGrid w:val="0"/>
          <w:position w:val="-28"/>
          <w:sz w:val="24"/>
          <w:szCs w:val="20"/>
        </w:rPr>
        <w:object>
          <v:shape id="_x0000_i1030" o:spt="75" type="#_x0000_t75" style="height:34.5pt;width:28.5pt;" o:ole="t" filled="f" o:preferrelative="t" stroked="f" coordsize="21600,21600">
            <v:path/>
            <v:fill on="f" focussize="0,0"/>
            <v:stroke on="f" joinstyle="miter"/>
            <v:imagedata r:id="rId63" o:title=""/>
            <o:lock v:ext="edit" aspectratio="t"/>
            <w10:wrap type="none"/>
            <w10:anchorlock/>
          </v:shape>
          <o:OLEObject Type="Embed" ProgID="Equation.3" ShapeID="_x0000_i1030" DrawAspect="Content" ObjectID="_1468075730" r:id="rId62">
            <o:LockedField>false</o:LockedField>
          </o:OLEObject>
        </w:object>
      </w:r>
      <w:r>
        <w:rPr>
          <w:rFonts w:ascii="Times New Roman" w:hAnsi="Times New Roman" w:eastAsia="宋体" w:cs="Times New Roman"/>
          <w:snapToGrid w:val="0"/>
          <w:sz w:val="24"/>
          <w:szCs w:val="20"/>
        </w:rPr>
        <w:t>+</w:t>
      </w:r>
      <w:r>
        <w:rPr>
          <w:rFonts w:ascii="Times New Roman" w:hAnsi="Times New Roman" w:eastAsia="宋体" w:cs="Times New Roman"/>
          <w:snapToGrid w:val="0"/>
          <w:position w:val="-28"/>
          <w:sz w:val="24"/>
          <w:szCs w:val="20"/>
        </w:rPr>
        <w:object>
          <v:shape id="_x0000_i1031" o:spt="75" type="#_x0000_t75" style="height:34.5pt;width:30pt;" o:ole="t" filled="f" o:preferrelative="t" stroked="f" coordsize="21600,21600">
            <v:path/>
            <v:fill on="f" focussize="0,0"/>
            <v:stroke on="f" joinstyle="miter"/>
            <v:imagedata r:id="rId65" o:title=""/>
            <o:lock v:ext="edit" aspectratio="t"/>
            <w10:wrap type="none"/>
            <w10:anchorlock/>
          </v:shape>
          <o:OLEObject Type="Embed" ProgID="Equation.3" ShapeID="_x0000_i1031" DrawAspect="Content" ObjectID="_1468075731" r:id="rId64">
            <o:LockedField>false</o:LockedField>
          </o:OLEObject>
        </w:object>
      </w:r>
      <w:r>
        <w:rPr>
          <w:rFonts w:ascii="Times New Roman" w:hAnsi="Times New Roman" w:eastAsia="宋体" w:cs="Times New Roman"/>
          <w:snapToGrid w:val="0"/>
          <w:sz w:val="24"/>
          <w:szCs w:val="20"/>
        </w:rPr>
        <w:t>+</w:t>
      </w:r>
      <w:r>
        <w:rPr>
          <w:rFonts w:ascii="Times New Roman" w:hAnsi="Times New Roman" w:eastAsia="宋体" w:cs="Times New Roman"/>
          <w:snapToGrid w:val="0"/>
          <w:position w:val="-28"/>
          <w:sz w:val="24"/>
          <w:szCs w:val="20"/>
        </w:rPr>
        <w:object>
          <v:shape id="_x0000_i1032" o:spt="75" type="#_x0000_t75" style="height:34.5pt;width:30pt;" o:ole="t" filled="f" o:preferrelative="t" stroked="f" coordsize="21600,21600">
            <v:path/>
            <v:fill on="f" focussize="0,0"/>
            <v:stroke on="f" joinstyle="miter"/>
            <v:imagedata r:id="rId67" o:title=""/>
            <o:lock v:ext="edit" aspectratio="t"/>
            <w10:wrap type="none"/>
            <w10:anchorlock/>
          </v:shape>
          <o:OLEObject Type="Embed" ProgID="Equation.3" ShapeID="_x0000_i1032" DrawAspect="Content" ObjectID="_1468075732" r:id="rId66">
            <o:LockedField>false</o:LockedField>
          </o:OLEObject>
        </w:object>
      </w:r>
      <w:r>
        <w:rPr>
          <w:rFonts w:ascii="Times New Roman" w:hAnsi="Times New Roman" w:eastAsia="宋体" w:cs="Times New Roman"/>
          <w:snapToGrid w:val="0"/>
          <w:sz w:val="24"/>
          <w:szCs w:val="20"/>
        </w:rPr>
        <w:t>+</w:t>
      </w:r>
      <w:r>
        <w:rPr>
          <w:rFonts w:ascii="Times New Roman" w:hAnsi="Times New Roman" w:eastAsia="宋体" w:cs="Times New Roman"/>
          <w:snapToGrid w:val="0"/>
          <w:position w:val="-28"/>
          <w:sz w:val="24"/>
          <w:szCs w:val="20"/>
        </w:rPr>
        <w:object>
          <v:shape id="_x0000_i1033" o:spt="75" type="#_x0000_t75" style="height:34.5pt;width:30pt;" o:ole="t" filled="f" o:preferrelative="t" stroked="f" coordsize="21600,21600">
            <v:path/>
            <v:fill on="f" focussize="0,0"/>
            <v:stroke on="f" joinstyle="miter"/>
            <v:imagedata r:id="rId69" o:title=""/>
            <o:lock v:ext="edit" aspectratio="t"/>
            <w10:wrap type="none"/>
            <w10:anchorlock/>
          </v:shape>
          <o:OLEObject Type="Embed" ProgID="Equation.3" ShapeID="_x0000_i1033" DrawAspect="Content" ObjectID="_1468075733" r:id="rId68">
            <o:LockedField>false</o:LockedField>
          </o:OLEObject>
        </w:object>
      </w:r>
      <w:r>
        <w:rPr>
          <w:rFonts w:ascii="Times New Roman" w:hAnsi="Times New Roman" w:eastAsia="宋体" w:cs="Times New Roman"/>
          <w:snapToGrid w:val="0"/>
          <w:sz w:val="24"/>
          <w:szCs w:val="20"/>
        </w:rPr>
        <w:t>+</w:t>
      </w:r>
      <w:r>
        <w:rPr>
          <w:rFonts w:ascii="Times New Roman" w:hAnsi="Times New Roman" w:eastAsia="宋体" w:cs="Times New Roman"/>
          <w:snapToGrid w:val="0"/>
          <w:position w:val="-28"/>
          <w:sz w:val="24"/>
          <w:szCs w:val="20"/>
        </w:rPr>
        <w:object>
          <v:shape id="_x0000_i1034" o:spt="75" type="#_x0000_t75" style="height:34.5pt;width:30pt;" o:ole="t" filled="f" o:preferrelative="t" stroked="f" coordsize="21600,21600">
            <v:path/>
            <v:fill on="f" focussize="0,0"/>
            <v:stroke on="f" joinstyle="miter"/>
            <v:imagedata r:id="rId71" o:title=""/>
            <o:lock v:ext="edit" aspectratio="t"/>
            <w10:wrap type="none"/>
            <w10:anchorlock/>
          </v:shape>
          <o:OLEObject Type="Embed" ProgID="Equation.3" ShapeID="_x0000_i1034" DrawAspect="Content" ObjectID="_1468075734" r:id="rId70">
            <o:LockedField>false</o:LockedField>
          </o:OLEObject>
        </w:objec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式中：L—污染损失指标；</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L </w:t>
      </w:r>
      <w:r>
        <w:rPr>
          <w:rFonts w:cs="Times New Roman" w:asciiTheme="minorEastAsia" w:hAnsiTheme="minorEastAsia"/>
          <w:sz w:val="24"/>
          <w:szCs w:val="20"/>
          <w:vertAlign w:val="subscript"/>
        </w:rPr>
        <w:t>1</w:t>
      </w:r>
      <w:r>
        <w:rPr>
          <w:rFonts w:cs="Times New Roman" w:asciiTheme="minorEastAsia" w:hAnsiTheme="minorEastAsia"/>
          <w:sz w:val="24"/>
          <w:szCs w:val="20"/>
        </w:rPr>
        <w:t>—资源和能源流失对生产造成的损失；</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L</w:t>
      </w:r>
      <w:r>
        <w:rPr>
          <w:rFonts w:cs="Times New Roman" w:asciiTheme="minorEastAsia" w:hAnsiTheme="minorEastAsia"/>
          <w:sz w:val="24"/>
          <w:szCs w:val="20"/>
          <w:vertAlign w:val="subscript"/>
        </w:rPr>
        <w:t>2</w:t>
      </w:r>
      <w:r>
        <w:rPr>
          <w:rFonts w:cs="Times New Roman" w:asciiTheme="minorEastAsia" w:hAnsiTheme="minorEastAsia"/>
          <w:sz w:val="24"/>
          <w:szCs w:val="20"/>
        </w:rPr>
        <w:t>—各类污染物对生产造成的损失；</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L</w:t>
      </w:r>
      <w:r>
        <w:rPr>
          <w:rFonts w:cs="Times New Roman" w:asciiTheme="minorEastAsia" w:hAnsiTheme="minorEastAsia"/>
          <w:sz w:val="24"/>
          <w:szCs w:val="20"/>
          <w:vertAlign w:val="subscript"/>
        </w:rPr>
        <w:t>3</w:t>
      </w:r>
      <w:r>
        <w:rPr>
          <w:rFonts w:cs="Times New Roman" w:asciiTheme="minorEastAsia" w:hAnsiTheme="minorEastAsia"/>
          <w:sz w:val="24"/>
          <w:szCs w:val="20"/>
        </w:rPr>
        <w:t>—各类污染物对生活造成的损失；</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L</w:t>
      </w:r>
      <w:r>
        <w:rPr>
          <w:rFonts w:cs="Times New Roman" w:asciiTheme="minorEastAsia" w:hAnsiTheme="minorEastAsia"/>
          <w:sz w:val="24"/>
          <w:szCs w:val="20"/>
          <w:vertAlign w:val="subscript"/>
        </w:rPr>
        <w:t>4</w:t>
      </w:r>
      <w:r>
        <w:rPr>
          <w:rFonts w:cs="Times New Roman" w:asciiTheme="minorEastAsia" w:hAnsiTheme="minorEastAsia"/>
          <w:sz w:val="24"/>
          <w:szCs w:val="20"/>
        </w:rPr>
        <w:t>—污染物对人体健康和劳动力的损失；</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L</w:t>
      </w:r>
      <w:r>
        <w:rPr>
          <w:rFonts w:cs="Times New Roman" w:asciiTheme="minorEastAsia" w:hAnsiTheme="minorEastAsia"/>
          <w:sz w:val="24"/>
          <w:szCs w:val="20"/>
          <w:vertAlign w:val="subscript"/>
        </w:rPr>
        <w:t>5</w:t>
      </w:r>
      <w:r>
        <w:rPr>
          <w:rFonts w:cs="Times New Roman" w:asciiTheme="minorEastAsia" w:hAnsiTheme="minorEastAsia"/>
          <w:sz w:val="24"/>
          <w:szCs w:val="20"/>
        </w:rPr>
        <w:t>—各种补偿性损失。</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i —分别为各项损失的种类。</w:t>
      </w:r>
    </w:p>
    <w:p>
      <w:pPr>
        <w:spacing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本项目不采取各项污染防治措施时，污染损失约</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200</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万元/年，采取相应污染防治措施后，污染损失约</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56.6</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万元/年</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。由此可见，项目采取相应的环保措施后，可直接减少</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污染损失费用</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143.4</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万元/年</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p>
    <w:p>
      <w:pPr>
        <w:spacing w:line="360" w:lineRule="auto"/>
        <w:outlineLvl w:val="2"/>
        <w:rPr>
          <w:rFonts w:cs="Times New Roman" w:asciiTheme="minorEastAsia" w:hAnsiTheme="minorEastAsia"/>
          <w:b/>
          <w:sz w:val="24"/>
          <w:szCs w:val="20"/>
        </w:rPr>
      </w:pPr>
      <w:r>
        <w:rPr>
          <w:rFonts w:hint="eastAsia" w:cs="Times New Roman" w:asciiTheme="minorEastAsia" w:hAnsiTheme="minorEastAsia"/>
          <w:b/>
          <w:sz w:val="24"/>
          <w:szCs w:val="20"/>
        </w:rPr>
        <w:t>8.1.5</w:t>
      </w:r>
      <w:r>
        <w:rPr>
          <w:rFonts w:cs="Times New Roman" w:asciiTheme="minorEastAsia" w:hAnsiTheme="minorEastAsia"/>
          <w:b/>
          <w:sz w:val="24"/>
          <w:szCs w:val="20"/>
        </w:rPr>
        <w:t>环保效益指标</w:t>
      </w:r>
    </w:p>
    <w:p>
      <w:pPr>
        <w:spacing w:line="360" w:lineRule="auto"/>
        <w:ind w:firstLine="540"/>
        <w:rPr>
          <w:rFonts w:cs="Times New Roman" w:asciiTheme="minorEastAsia" w:hAnsiTheme="minorEastAsia"/>
          <w:sz w:val="24"/>
          <w:szCs w:val="20"/>
        </w:rPr>
      </w:pPr>
      <w:r>
        <w:rPr>
          <w:rFonts w:cs="Times New Roman" w:asciiTheme="minorEastAsia" w:hAnsiTheme="minorEastAsia"/>
          <w:sz w:val="24"/>
          <w:szCs w:val="20"/>
        </w:rPr>
        <w:t>环保效益指标包括直接经济效益和间接经济效益。环保效益指标由下式计算：</w:t>
      </w:r>
    </w:p>
    <w:p>
      <w:pPr>
        <w:spacing w:line="360" w:lineRule="auto"/>
        <w:jc w:val="center"/>
        <w:rPr>
          <w:rFonts w:ascii="Times New Roman" w:hAnsi="Times New Roman" w:eastAsia="宋体" w:cs="Times New Roman"/>
          <w:sz w:val="24"/>
          <w:szCs w:val="20"/>
        </w:rPr>
      </w:pPr>
      <w:r>
        <w:rPr>
          <w:rFonts w:ascii="Times New Roman" w:hAnsi="Times New Roman" w:eastAsia="宋体" w:cs="Times New Roman"/>
          <w:sz w:val="24"/>
          <w:szCs w:val="20"/>
        </w:rPr>
        <w:t>R</w:t>
      </w:r>
      <w:r>
        <w:rPr>
          <w:rFonts w:ascii="Times New Roman" w:hAnsi="Times New Roman" w:eastAsia="宋体" w:cs="Times New Roman"/>
          <w:sz w:val="24"/>
          <w:szCs w:val="20"/>
          <w:vertAlign w:val="subscript"/>
        </w:rPr>
        <w:t>1</w:t>
      </w:r>
      <w:r>
        <w:rPr>
          <w:rFonts w:ascii="Times New Roman" w:hAnsi="Times New Roman" w:eastAsia="宋体" w:cs="Times New Roman"/>
          <w:snapToGrid w:val="0"/>
          <w:sz w:val="24"/>
          <w:szCs w:val="20"/>
        </w:rPr>
        <w:t>=</w:t>
      </w:r>
      <w:r>
        <w:rPr>
          <w:rFonts w:ascii="Times New Roman" w:hAnsi="Times New Roman" w:eastAsia="宋体" w:cs="Times New Roman"/>
          <w:snapToGrid w:val="0"/>
          <w:position w:val="-28"/>
          <w:sz w:val="24"/>
          <w:szCs w:val="20"/>
        </w:rPr>
        <w:object>
          <v:shape id="_x0000_i1035" o:spt="75" type="#_x0000_t75" style="height:34.5pt;width:34.5pt;" o:ole="t" filled="f" o:preferrelative="t" stroked="f" coordsize="21600,21600">
            <v:path/>
            <v:fill on="f" focussize="0,0"/>
            <v:stroke on="f" joinstyle="miter"/>
            <v:imagedata r:id="rId73" o:title=""/>
            <o:lock v:ext="edit" aspectratio="t"/>
            <w10:wrap type="none"/>
            <w10:anchorlock/>
          </v:shape>
          <o:OLEObject Type="Embed" ProgID="Equation.3" ShapeID="_x0000_i1035" DrawAspect="Content" ObjectID="_1468075735" r:id="rId72">
            <o:LockedField>false</o:LockedField>
          </o:OLEObject>
        </w:object>
      </w:r>
      <w:r>
        <w:rPr>
          <w:rFonts w:ascii="Times New Roman" w:hAnsi="Times New Roman" w:eastAsia="宋体" w:cs="Times New Roman"/>
          <w:snapToGrid w:val="0"/>
          <w:sz w:val="24"/>
          <w:szCs w:val="20"/>
        </w:rPr>
        <w:t>+</w:t>
      </w:r>
      <w:r>
        <w:rPr>
          <w:rFonts w:ascii="Times New Roman" w:hAnsi="Times New Roman" w:eastAsia="宋体" w:cs="Times New Roman"/>
          <w:snapToGrid w:val="0"/>
          <w:position w:val="-28"/>
          <w:sz w:val="24"/>
          <w:szCs w:val="20"/>
        </w:rPr>
        <w:object>
          <v:shape id="_x0000_i1036" o:spt="75" type="#_x0000_t75" style="height:34.5pt;width:34.5pt;" o:ole="t" filled="f" o:preferrelative="t" stroked="f" coordsize="21600,21600">
            <v:path/>
            <v:fill on="f" focussize="0,0"/>
            <v:stroke on="f" joinstyle="miter"/>
            <v:imagedata r:id="rId75" o:title=""/>
            <o:lock v:ext="edit" aspectratio="t"/>
            <w10:wrap type="none"/>
            <w10:anchorlock/>
          </v:shape>
          <o:OLEObject Type="Embed" ProgID="Equation.3" ShapeID="_x0000_i1036" DrawAspect="Content" ObjectID="_1468075736" r:id="rId74">
            <o:LockedField>false</o:LockedField>
          </o:OLEObject>
        </w:object>
      </w:r>
      <w:r>
        <w:rPr>
          <w:rFonts w:ascii="Times New Roman" w:hAnsi="Times New Roman" w:eastAsia="宋体" w:cs="Times New Roman"/>
          <w:snapToGrid w:val="0"/>
          <w:sz w:val="24"/>
          <w:szCs w:val="20"/>
        </w:rPr>
        <w:t>+</w:t>
      </w:r>
      <w:r>
        <w:rPr>
          <w:rFonts w:ascii="Times New Roman" w:hAnsi="Times New Roman" w:eastAsia="宋体" w:cs="Times New Roman"/>
          <w:snapToGrid w:val="0"/>
          <w:position w:val="-28"/>
          <w:sz w:val="24"/>
          <w:szCs w:val="20"/>
        </w:rPr>
        <w:object>
          <v:shape id="_x0000_i1037" o:spt="75" type="#_x0000_t75" style="height:34.5pt;width:28.5pt;" o:ole="t" filled="f" o:preferrelative="t" stroked="f" coordsize="21600,21600">
            <v:path/>
            <v:fill on="f" focussize="0,0"/>
            <v:stroke on="f" joinstyle="miter"/>
            <v:imagedata r:id="rId77" o:title=""/>
            <o:lock v:ext="edit" aspectratio="t"/>
            <w10:wrap type="none"/>
            <w10:anchorlock/>
          </v:shape>
          <o:OLEObject Type="Embed" ProgID="Equation.3" ShapeID="_x0000_i1037" DrawAspect="Content" ObjectID="_1468075737" r:id="rId76">
            <o:LockedField>false</o:LockedField>
          </o:OLEObject>
        </w:objec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式中：R</w:t>
      </w:r>
      <w:r>
        <w:rPr>
          <w:rFonts w:cs="Times New Roman" w:asciiTheme="minorEastAsia" w:hAnsiTheme="minorEastAsia"/>
          <w:sz w:val="24"/>
          <w:szCs w:val="20"/>
          <w:vertAlign w:val="subscript"/>
        </w:rPr>
        <w:t>1</w:t>
      </w:r>
      <w:r>
        <w:rPr>
          <w:rFonts w:cs="Times New Roman" w:asciiTheme="minorEastAsia" w:hAnsiTheme="minorEastAsia"/>
          <w:sz w:val="24"/>
          <w:szCs w:val="20"/>
        </w:rPr>
        <w:t>—环保效益指标；</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N </w:t>
      </w:r>
      <w:r>
        <w:rPr>
          <w:rFonts w:cs="Times New Roman" w:asciiTheme="minorEastAsia" w:hAnsiTheme="minorEastAsia"/>
          <w:sz w:val="24"/>
          <w:szCs w:val="20"/>
          <w:vertAlign w:val="subscript"/>
        </w:rPr>
        <w:t>i</w:t>
      </w:r>
      <w:r>
        <w:rPr>
          <w:rFonts w:cs="Times New Roman" w:asciiTheme="minorEastAsia" w:hAnsiTheme="minorEastAsia"/>
          <w:sz w:val="24"/>
          <w:szCs w:val="20"/>
        </w:rPr>
        <w:t>—能源利用的经济效益，包括清洁生产工艺带来的动力，原材料利用率提高后产生的环保经济效益；</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w:t>
      </w:r>
      <w:r>
        <w:rPr>
          <w:rFonts w:hint="eastAsia" w:cs="Times New Roman" w:asciiTheme="minorEastAsia" w:hAnsiTheme="minorEastAsia"/>
          <w:sz w:val="24"/>
          <w:szCs w:val="20"/>
        </w:rPr>
        <w:t xml:space="preserve"> </w:t>
      </w:r>
      <w:r>
        <w:rPr>
          <w:rFonts w:cs="Times New Roman" w:asciiTheme="minorEastAsia" w:hAnsiTheme="minorEastAsia"/>
          <w:sz w:val="24"/>
          <w:szCs w:val="20"/>
        </w:rPr>
        <w:t xml:space="preserve"> M</w:t>
      </w:r>
      <w:r>
        <w:rPr>
          <w:rFonts w:cs="Times New Roman" w:asciiTheme="minorEastAsia" w:hAnsiTheme="minorEastAsia"/>
          <w:sz w:val="24"/>
          <w:szCs w:val="20"/>
          <w:vertAlign w:val="subscript"/>
        </w:rPr>
        <w:t xml:space="preserve"> i</w:t>
      </w:r>
      <w:r>
        <w:rPr>
          <w:rFonts w:cs="Times New Roman" w:asciiTheme="minorEastAsia" w:hAnsiTheme="minorEastAsia"/>
          <w:sz w:val="24"/>
          <w:szCs w:val="20"/>
        </w:rPr>
        <w:t>—减少排污的经济效益；</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w:t>
      </w:r>
      <w:r>
        <w:rPr>
          <w:rFonts w:hint="eastAsia" w:cs="Times New Roman" w:asciiTheme="minorEastAsia" w:hAnsiTheme="minorEastAsia"/>
          <w:sz w:val="24"/>
          <w:szCs w:val="20"/>
        </w:rPr>
        <w:t xml:space="preserve"> </w:t>
      </w:r>
      <w:r>
        <w:rPr>
          <w:rFonts w:cs="Times New Roman" w:asciiTheme="minorEastAsia" w:hAnsiTheme="minorEastAsia"/>
          <w:sz w:val="24"/>
          <w:szCs w:val="20"/>
        </w:rPr>
        <w:t xml:space="preserve"> S </w:t>
      </w:r>
      <w:r>
        <w:rPr>
          <w:rFonts w:cs="Times New Roman" w:asciiTheme="minorEastAsia" w:hAnsiTheme="minorEastAsia"/>
          <w:sz w:val="24"/>
          <w:szCs w:val="20"/>
          <w:vertAlign w:val="subscript"/>
        </w:rPr>
        <w:t>i</w:t>
      </w:r>
      <w:r>
        <w:rPr>
          <w:rFonts w:cs="Times New Roman" w:asciiTheme="minorEastAsia" w:hAnsiTheme="minorEastAsia"/>
          <w:sz w:val="24"/>
          <w:szCs w:val="20"/>
        </w:rPr>
        <w:t>—固体废物利用的经济效益；</w:t>
      </w:r>
    </w:p>
    <w:p>
      <w:pPr>
        <w:spacing w:line="360" w:lineRule="auto"/>
        <w:ind w:firstLine="480" w:firstLineChars="200"/>
        <w:rPr>
          <w:rFonts w:cs="Times New Roman" w:asciiTheme="minorEastAsia" w:hAnsiTheme="minorEastAsia"/>
          <w:sz w:val="24"/>
          <w:szCs w:val="20"/>
        </w:rPr>
      </w:pPr>
      <w:r>
        <w:rPr>
          <w:rFonts w:cs="Times New Roman" w:asciiTheme="minorEastAsia" w:hAnsiTheme="minorEastAsia"/>
          <w:sz w:val="24"/>
          <w:szCs w:val="20"/>
        </w:rPr>
        <w:t xml:space="preserve">    </w:t>
      </w:r>
      <w:r>
        <w:rPr>
          <w:rFonts w:hint="eastAsia" w:cs="Times New Roman" w:asciiTheme="minorEastAsia" w:hAnsiTheme="minorEastAsia"/>
          <w:sz w:val="24"/>
          <w:szCs w:val="20"/>
        </w:rPr>
        <w:t xml:space="preserve"> </w:t>
      </w:r>
      <w:r>
        <w:rPr>
          <w:rFonts w:cs="Times New Roman" w:asciiTheme="minorEastAsia" w:hAnsiTheme="minorEastAsia"/>
          <w:sz w:val="24"/>
          <w:szCs w:val="20"/>
        </w:rPr>
        <w:t xml:space="preserve"> i—各项效益的种类。</w:t>
      </w:r>
    </w:p>
    <w:p>
      <w:pPr>
        <w:spacing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cs="Times New Roman" w:asciiTheme="minorEastAsia" w:hAnsiTheme="minorEastAsia"/>
          <w:sz w:val="24"/>
          <w:szCs w:val="20"/>
        </w:rPr>
        <w:t>为使资、能源充分利用，治理“三废”污染，采取了环保措施，使资、能源流失尽可能减少。本项目的环境保护效益就是对正常运行时的污染物排放采取治理措施后而挽回的污染损失总和。在环境经济</w:t>
      </w:r>
      <w:r>
        <w:rPr>
          <w:rFonts w:hint="eastAsia" w:cs="Times New Roman" w:asciiTheme="minorEastAsia" w:hAnsiTheme="minorEastAsia"/>
          <w:sz w:val="24"/>
          <w:szCs w:val="20"/>
        </w:rPr>
        <w:t>损益</w:t>
      </w:r>
      <w:r>
        <w:rPr>
          <w:rFonts w:cs="Times New Roman" w:asciiTheme="minorEastAsia" w:hAnsiTheme="minorEastAsia"/>
          <w:sz w:val="24"/>
          <w:szCs w:val="20"/>
        </w:rPr>
        <w:t>分析中，环境污染损失和环境保护是一个问题的两个方面，</w:t>
      </w:r>
      <w:r>
        <w:rPr>
          <w:rFonts w:hint="eastAsia" w:cs="Times New Roman" w:asciiTheme="minorEastAsia" w:hAnsiTheme="minorEastAsia"/>
          <w:sz w:val="24"/>
          <w:szCs w:val="20"/>
        </w:rPr>
        <w:t>项目</w:t>
      </w:r>
      <w:r>
        <w:rPr>
          <w:rFonts w:cs="Times New Roman" w:asciiTheme="minorEastAsia" w:hAnsiTheme="minorEastAsia"/>
          <w:sz w:val="24"/>
          <w:szCs w:val="20"/>
        </w:rPr>
        <w:t>环境保护</w:t>
      </w:r>
      <w:r>
        <w:rPr>
          <w:rFonts w:hint="eastAsia" w:cs="Times New Roman" w:asciiTheme="minorEastAsia" w:hAnsiTheme="minorEastAsia"/>
          <w:sz w:val="24"/>
          <w:szCs w:val="20"/>
        </w:rPr>
        <w:t>经济</w:t>
      </w:r>
      <w:r>
        <w:rPr>
          <w:rFonts w:cs="Times New Roman" w:asciiTheme="minorEastAsia" w:hAnsiTheme="minorEastAsia"/>
          <w:sz w:val="24"/>
          <w:szCs w:val="20"/>
        </w:rPr>
        <w:t>效益与采取污染治理措施</w:t>
      </w:r>
      <w:r>
        <w:rPr>
          <w:rFonts w:hint="eastAsia" w:cs="Times New Roman" w:asciiTheme="minorEastAsia" w:hAnsiTheme="minorEastAsia"/>
          <w:sz w:val="24"/>
          <w:szCs w:val="20"/>
        </w:rPr>
        <w:t>后减少</w:t>
      </w:r>
      <w:r>
        <w:rPr>
          <w:rFonts w:cs="Times New Roman" w:asciiTheme="minorEastAsia" w:hAnsiTheme="minorEastAsia"/>
          <w:sz w:val="24"/>
          <w:szCs w:val="20"/>
        </w:rPr>
        <w:t>的环境污染损失是相等的</w:t>
      </w:r>
      <w:r>
        <w:rPr>
          <w:rFonts w:hint="eastAsia" w:cs="Times New Roman" w:asciiTheme="minorEastAsia" w:hAnsiTheme="minorEastAsia"/>
          <w:sz w:val="24"/>
          <w:szCs w:val="20"/>
        </w:rPr>
        <w:t>；经核算，</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本项目实施污染治理措施后</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产生</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的环保</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经济</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效益约</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143.4</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万元/年</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，项目整体环境经济损失约56.6万元/年</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w:t>
      </w:r>
    </w:p>
    <w:p>
      <w:pPr>
        <w:spacing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由上估算分析数据可知，本项目环保效益指标与污染控制费用之比为2.53，＞1，可以认为项目的环保治理方案在经济技术上是可行的。</w:t>
      </w:r>
    </w:p>
    <w:p>
      <w:pPr>
        <w:spacing w:line="360" w:lineRule="auto"/>
        <w:rPr>
          <w:rFonts w:asciiTheme="minorEastAsia" w:hAnsiTheme="minorEastAsia"/>
          <w:b/>
          <w:sz w:val="28"/>
          <w:szCs w:val="28"/>
        </w:rPr>
      </w:pPr>
      <w:r>
        <w:rPr>
          <w:rFonts w:hint="eastAsia" w:asciiTheme="minorEastAsia" w:hAnsiTheme="minorEastAsia"/>
          <w:b/>
          <w:sz w:val="28"/>
          <w:szCs w:val="28"/>
        </w:rPr>
        <w:t>8.2社会效益及环境效益分析</w:t>
      </w:r>
    </w:p>
    <w:p>
      <w:pPr>
        <w:spacing w:line="360" w:lineRule="auto"/>
        <w:rPr>
          <w:rFonts w:asciiTheme="minorEastAsia" w:hAnsiTheme="minorEastAsia"/>
          <w:b/>
          <w:sz w:val="24"/>
          <w:szCs w:val="24"/>
        </w:rPr>
      </w:pPr>
      <w:r>
        <w:rPr>
          <w:rFonts w:hint="eastAsia" w:asciiTheme="minorEastAsia" w:hAnsiTheme="minorEastAsia"/>
          <w:b/>
          <w:sz w:val="24"/>
          <w:szCs w:val="24"/>
        </w:rPr>
        <w:t>8.2.1社会效益分析</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项目建成投产后，不仅增加自身的经济效益，而且能够给国家和地方增加财政收入，有助于当地经济的发展。另外，项目可以提供一定的就业机会，能为当地就业群众提供稳定的劳动岗位和较高的经济收入；对促进当地的经济发展和繁荣将起到积极地推动作用。</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（1）采用先进的生产工艺，对满足国内市场需求具有积极意义。</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（2）本项目建成投产后，不仅增加自身的经济效益，而且能够大大增加地方的税收，有助于当地经济的发展。</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（3）本项目能够提供一定的就业机会，增加当地群众劳动收入。</w:t>
      </w:r>
      <w:r>
        <w:rPr>
          <w:rFonts w:hint="eastAsia" w:asciiTheme="minorEastAsia" w:hAnsiTheme="minorEastAsia"/>
          <w:sz w:val="24"/>
          <w:szCs w:val="24"/>
        </w:rPr>
        <w:tab/>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综上所述，本项目具有较好的社会效益。</w:t>
      </w:r>
    </w:p>
    <w:p>
      <w:pPr>
        <w:spacing w:line="360" w:lineRule="auto"/>
        <w:rPr>
          <w:rFonts w:asciiTheme="minorEastAsia" w:hAnsiTheme="minorEastAsia"/>
          <w:b/>
          <w:sz w:val="24"/>
          <w:szCs w:val="24"/>
        </w:rPr>
      </w:pPr>
      <w:r>
        <w:rPr>
          <w:rFonts w:hint="eastAsia" w:asciiTheme="minorEastAsia" w:hAnsiTheme="minorEastAsia"/>
          <w:b/>
          <w:sz w:val="24"/>
          <w:szCs w:val="24"/>
        </w:rPr>
        <w:t>8.2.2环境效益分析</w:t>
      </w:r>
    </w:p>
    <w:p>
      <w:pPr>
        <w:spacing w:line="360" w:lineRule="auto"/>
        <w:rPr>
          <w:rFonts w:asciiTheme="minorEastAsia" w:hAnsiTheme="minorEastAsia"/>
          <w:sz w:val="24"/>
          <w:szCs w:val="24"/>
        </w:rPr>
      </w:pPr>
      <w:r>
        <w:rPr>
          <w:rFonts w:hint="eastAsia" w:asciiTheme="minorEastAsia" w:hAnsiTheme="minorEastAsia"/>
          <w:sz w:val="24"/>
          <w:szCs w:val="24"/>
        </w:rPr>
        <w:t>8.2.2.1环保治理投资费用分析</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根据对该项目的工程分析，本项目建成投产后，所产生的废水、废气、噪声和固体废物等污染物会对环境产生一定影响，因此必须采取相应的环保措施，以保证建设工程对环境的影响降低到最小程度，满足建设项目环境保护管理的要求。</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经对本项目拟采取的环保措施进行估算，本项目所列一次性环保设施投资</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429万元，占工程总投资的8.58%。根据项目的环境影响评价及污染防治措施分析，</w:t>
      </w:r>
      <w:r>
        <w:rPr>
          <w:rFonts w:hint="eastAsia" w:asciiTheme="minorEastAsia" w:hAnsiTheme="minorEastAsia"/>
          <w:sz w:val="24"/>
          <w:szCs w:val="24"/>
        </w:rPr>
        <w:t>上述环保设施的建成与投入运行，可以满足本项目废水、废气、噪声等达标排放、污染物总量控制及清洁生产的要求，并可以保证企业有良好的生产环境。上述情况表明本项目环保投资可以满足环保设施要求。</w:t>
      </w:r>
    </w:p>
    <w:p>
      <w:pPr>
        <w:spacing w:line="360" w:lineRule="auto"/>
        <w:rPr>
          <w:rFonts w:asciiTheme="minorEastAsia" w:hAnsiTheme="minorEastAsia"/>
          <w:sz w:val="24"/>
          <w:szCs w:val="24"/>
        </w:rPr>
      </w:pPr>
      <w:r>
        <w:rPr>
          <w:rFonts w:hint="eastAsia" w:asciiTheme="minorEastAsia" w:hAnsiTheme="minorEastAsia"/>
          <w:sz w:val="24"/>
          <w:szCs w:val="24"/>
        </w:rPr>
        <w:t>8.2.2.2环境效益分析</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工程产生的污染物种类较多，不加治理将对周围环境产生较大的影响。由于本工程采用了先进的生产工艺、设备和较为完善的性能可靠的环保治理措施，使各项环境要素达标排放。各项措施实施后达到：废气、废水、厂界噪声达标排放；固废(含危废)得到妥善处理与处置；污染得到有效的控制，保护周围环境质量达到控制目标。达到了有效控制污染和保护环境的目的，项目环境保护投资的环境效益表现在以下方面：</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（1）排水管网建设</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本项目将建设废水排放系统，厂区实行清污分流，收集废水分类处置，可减少废水处置量。</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（2）废水治理环境效益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本项目废水分类收集，分水质预处理后，进入厂区一体化废水处理系统处理达标后，排入西平县城市处理厂集中处理，达到一级A排放标准，排放地表水体，可有效降低对地表水环境的影响。</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（3）废气治理环境效益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项目工艺废气采取可行性的处理措施，满足标准要求后高空排放，消减了废气污染物排放量，对大气环境的影响较小；职工食堂油烟采用高压静电式油烟净化器处理，效率可达90%以上，降低了油烟排放对环境的影响。</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（4）噪声治理的环境效益分析</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本项目噪声污染防治措施的落实将大大减轻了噪声污染，对厂界的声环境影响较小，均在环境容许的范围内，有较好的环境效益。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（5）固废治理的环境效益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项目对收集炭黑尘等废物作为产品外售，实现废物资源化利用，具有一定经济效益。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无法资源化利用的危险废物均交由有资质的单位进行处理；生活垃圾转运垃圾填埋场规范处置。项目各类固废均得到妥善处理处置，避免出现对环境造成二次污染的隐患，具有一定的环境效益。</w:t>
      </w:r>
    </w:p>
    <w:p>
      <w:pPr>
        <w:spacing w:line="360" w:lineRule="auto"/>
        <w:rPr>
          <w:rFonts w:ascii="宋体" w:hAnsi="宋体" w:eastAsia="宋体" w:cs="宋体"/>
          <w:b/>
          <w:color w:val="0D0D0D" w:themeColor="text1" w:themeTint="F2"/>
          <w:kern w:val="0"/>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8.3</w:t>
      </w:r>
      <w:r>
        <w:rPr>
          <w:rFonts w:hint="eastAsia" w:ascii="宋体" w:hAnsi="宋体" w:eastAsia="宋体" w:cs="宋体"/>
          <w:b/>
          <w:color w:val="0D0D0D" w:themeColor="text1" w:themeTint="F2"/>
          <w:kern w:val="0"/>
          <w:sz w:val="28"/>
          <w:szCs w:val="28"/>
          <w14:textFill>
            <w14:solidFill>
              <w14:schemeClr w14:val="tx1">
                <w14:lumMod w14:val="95000"/>
                <w14:lumOff w14:val="5000"/>
              </w14:schemeClr>
            </w14:solidFill>
          </w14:textFill>
        </w:rPr>
        <w:t>项目经济效益分析</w:t>
      </w:r>
    </w:p>
    <w:p>
      <w:pPr>
        <w:spacing w:line="360" w:lineRule="auto"/>
        <w:ind w:firstLine="494" w:firstLineChars="206"/>
        <w:rPr>
          <w:rFonts w:asciiTheme="minorEastAsia" w:hAnsiTheme="minorEastAsia"/>
          <w:sz w:val="24"/>
        </w:rPr>
      </w:pPr>
      <w:r>
        <w:rPr>
          <w:rFonts w:asciiTheme="minorEastAsia" w:hAnsiTheme="minorEastAsia"/>
          <w:sz w:val="24"/>
        </w:rPr>
        <w:t>项目</w:t>
      </w:r>
      <w:r>
        <w:rPr>
          <w:rFonts w:hint="eastAsia" w:asciiTheme="minorEastAsia" w:hAnsiTheme="minorEastAsia"/>
          <w:sz w:val="24"/>
        </w:rPr>
        <w:t>设计年产处理废旧轮胎10万吨，可回收裂解油45000t/a，粗碳黑核苷类新材料产品35000t/a、钢丝12000t/a；回用裂解不凝气作为燃料7500t/a</w:t>
      </w:r>
      <w:r>
        <w:rPr>
          <w:rFonts w:asciiTheme="minorEastAsia" w:hAnsiTheme="minorEastAsia"/>
          <w:sz w:val="24"/>
        </w:rPr>
        <w:t>。项目投产后</w:t>
      </w:r>
      <w:r>
        <w:rPr>
          <w:rFonts w:hint="eastAsia" w:asciiTheme="minorEastAsia" w:hAnsiTheme="minorEastAsia"/>
          <w:sz w:val="24"/>
        </w:rPr>
        <w:t>的主要经济损益指标</w:t>
      </w:r>
      <w:r>
        <w:rPr>
          <w:rFonts w:asciiTheme="minorEastAsia" w:hAnsiTheme="minorEastAsia"/>
          <w:sz w:val="24"/>
        </w:rPr>
        <w:t>见表</w:t>
      </w:r>
      <w:r>
        <w:rPr>
          <w:rFonts w:hint="eastAsia" w:asciiTheme="minorEastAsia" w:hAnsiTheme="minorEastAsia"/>
          <w:sz w:val="24"/>
        </w:rPr>
        <w:t>8.3-1</w:t>
      </w:r>
      <w:r>
        <w:rPr>
          <w:rFonts w:asciiTheme="minorEastAsia" w:hAnsiTheme="minorEastAsia"/>
          <w:sz w:val="24"/>
        </w:rPr>
        <w:t>。</w:t>
      </w:r>
    </w:p>
    <w:p>
      <w:pPr>
        <w:spacing w:line="360" w:lineRule="auto"/>
        <w:ind w:firstLine="494" w:firstLineChars="206"/>
        <w:rPr>
          <w:rFonts w:asciiTheme="minorEastAsia" w:hAnsiTheme="minorEastAsia"/>
          <w:sz w:val="24"/>
        </w:rPr>
      </w:pPr>
    </w:p>
    <w:p>
      <w:pPr>
        <w:spacing w:line="360" w:lineRule="auto"/>
        <w:ind w:firstLine="496" w:firstLineChars="206"/>
        <w:jc w:val="center"/>
        <w:rPr>
          <w:rFonts w:asciiTheme="minorEastAsia" w:hAnsiTheme="minorEastAsia"/>
          <w:sz w:val="24"/>
        </w:rPr>
      </w:pPr>
      <w:r>
        <w:rPr>
          <w:rFonts w:cs="宋体" w:asciiTheme="minorEastAsia" w:hAnsiTheme="minorEastAsia"/>
          <w:b/>
          <w:bCs/>
          <w:sz w:val="24"/>
          <w:szCs w:val="24"/>
        </w:rPr>
        <w:t>表</w:t>
      </w:r>
      <w:r>
        <w:rPr>
          <w:rFonts w:hint="eastAsia" w:asciiTheme="minorEastAsia" w:hAnsiTheme="minorEastAsia"/>
          <w:b/>
          <w:bCs/>
          <w:spacing w:val="-1"/>
          <w:sz w:val="24"/>
          <w:szCs w:val="24"/>
        </w:rPr>
        <w:t>8.3-1    项目</w:t>
      </w:r>
      <w:r>
        <w:rPr>
          <w:rFonts w:cs="宋体" w:asciiTheme="minorEastAsia" w:hAnsiTheme="minorEastAsia"/>
          <w:b/>
          <w:bCs/>
          <w:sz w:val="24"/>
          <w:szCs w:val="24"/>
        </w:rPr>
        <w:t>主要</w:t>
      </w:r>
      <w:r>
        <w:rPr>
          <w:rFonts w:hint="eastAsia" w:cs="宋体" w:asciiTheme="minorEastAsia" w:hAnsiTheme="minorEastAsia"/>
          <w:b/>
          <w:bCs/>
          <w:sz w:val="24"/>
          <w:szCs w:val="24"/>
        </w:rPr>
        <w:t>经济</w:t>
      </w:r>
      <w:r>
        <w:rPr>
          <w:rFonts w:cs="宋体" w:asciiTheme="minorEastAsia" w:hAnsiTheme="minorEastAsia"/>
          <w:b/>
          <w:bCs/>
          <w:sz w:val="24"/>
          <w:szCs w:val="24"/>
        </w:rPr>
        <w:t>损益指标</w:t>
      </w:r>
      <w:r>
        <w:rPr>
          <w:rFonts w:hint="eastAsia" w:cs="宋体" w:asciiTheme="minorEastAsia" w:hAnsiTheme="minorEastAsia"/>
          <w:b/>
          <w:bCs/>
          <w:sz w:val="24"/>
          <w:szCs w:val="24"/>
        </w:rPr>
        <w:t>一览表</w:t>
      </w:r>
    </w:p>
    <w:p>
      <w:pPr>
        <w:spacing w:before="13" w:line="100" w:lineRule="exact"/>
        <w:rPr>
          <w:sz w:val="10"/>
          <w:szCs w:val="10"/>
        </w:rPr>
      </w:pPr>
    </w:p>
    <w:tbl>
      <w:tblPr>
        <w:tblStyle w:val="27"/>
        <w:tblW w:w="8348" w:type="dxa"/>
        <w:tblInd w:w="305" w:type="dxa"/>
        <w:tblLayout w:type="fixed"/>
        <w:tblCellMar>
          <w:top w:w="0" w:type="dxa"/>
          <w:left w:w="0" w:type="dxa"/>
          <w:bottom w:w="0" w:type="dxa"/>
          <w:right w:w="0" w:type="dxa"/>
        </w:tblCellMar>
      </w:tblPr>
      <w:tblGrid>
        <w:gridCol w:w="862"/>
        <w:gridCol w:w="2614"/>
        <w:gridCol w:w="1351"/>
        <w:gridCol w:w="1395"/>
        <w:gridCol w:w="2126"/>
      </w:tblGrid>
      <w:tr>
        <w:tblPrEx>
          <w:tblCellMar>
            <w:top w:w="0" w:type="dxa"/>
            <w:left w:w="0" w:type="dxa"/>
            <w:bottom w:w="0" w:type="dxa"/>
            <w:right w:w="0" w:type="dxa"/>
          </w:tblCellMar>
        </w:tblPrEx>
        <w:trPr>
          <w:trHeight w:val="521"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183"/>
              <w:jc w:val="center"/>
              <w:rPr>
                <w:rFonts w:cs="宋体" w:asciiTheme="minorEastAsia" w:hAnsiTheme="minorEastAsia"/>
                <w:b/>
                <w:kern w:val="0"/>
                <w:szCs w:val="21"/>
                <w:lang w:eastAsia="en-US"/>
              </w:rPr>
            </w:pPr>
            <w:r>
              <w:rPr>
                <w:rFonts w:cs="宋体" w:asciiTheme="minorEastAsia" w:hAnsiTheme="minorEastAsia"/>
                <w:b/>
                <w:kern w:val="0"/>
                <w:szCs w:val="21"/>
                <w:lang w:eastAsia="en-US"/>
              </w:rPr>
              <w:t>序号</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left" w:pos="1600"/>
              </w:tabs>
              <w:spacing w:before="63"/>
              <w:ind w:left="759"/>
              <w:rPr>
                <w:rFonts w:cs="宋体" w:asciiTheme="minorEastAsia" w:hAnsiTheme="minorEastAsia"/>
                <w:b/>
                <w:kern w:val="0"/>
                <w:szCs w:val="21"/>
                <w:lang w:eastAsia="en-US"/>
              </w:rPr>
            </w:pPr>
            <w:r>
              <w:rPr>
                <w:rFonts w:cs="宋体" w:asciiTheme="minorEastAsia" w:hAnsiTheme="minorEastAsia"/>
                <w:b/>
                <w:kern w:val="0"/>
                <w:szCs w:val="21"/>
                <w:lang w:eastAsia="en-US"/>
              </w:rPr>
              <w:t>项</w:t>
            </w:r>
            <w:r>
              <w:rPr>
                <w:rFonts w:cs="宋体" w:asciiTheme="minorEastAsia" w:hAnsiTheme="minorEastAsia"/>
                <w:b/>
                <w:kern w:val="0"/>
                <w:szCs w:val="21"/>
                <w:lang w:eastAsia="en-US"/>
              </w:rPr>
              <w:tab/>
            </w:r>
            <w:r>
              <w:rPr>
                <w:rFonts w:cs="宋体" w:asciiTheme="minorEastAsia" w:hAnsiTheme="minorEastAsia"/>
                <w:b/>
                <w:kern w:val="0"/>
                <w:szCs w:val="21"/>
                <w:lang w:eastAsia="en-US"/>
              </w:rPr>
              <w:t>目</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08"/>
              <w:jc w:val="center"/>
              <w:rPr>
                <w:rFonts w:cs="宋体" w:asciiTheme="minorEastAsia" w:hAnsiTheme="minorEastAsia"/>
                <w:b/>
                <w:kern w:val="0"/>
                <w:szCs w:val="21"/>
                <w:lang w:eastAsia="en-US"/>
              </w:rPr>
            </w:pPr>
            <w:r>
              <w:rPr>
                <w:rFonts w:cs="宋体" w:asciiTheme="minorEastAsia" w:hAnsiTheme="minorEastAsia"/>
                <w:b/>
                <w:kern w:val="0"/>
                <w:szCs w:val="21"/>
                <w:lang w:eastAsia="en-US"/>
              </w:rPr>
              <w:t>单位</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left" w:pos="983"/>
              </w:tabs>
              <w:spacing w:before="63"/>
              <w:ind w:left="503"/>
              <w:rPr>
                <w:rFonts w:cs="宋体" w:asciiTheme="minorEastAsia" w:hAnsiTheme="minorEastAsia"/>
                <w:b/>
                <w:kern w:val="0"/>
                <w:szCs w:val="21"/>
                <w:lang w:eastAsia="en-US"/>
              </w:rPr>
            </w:pPr>
            <w:r>
              <w:rPr>
                <w:rFonts w:cs="宋体" w:asciiTheme="minorEastAsia" w:hAnsiTheme="minorEastAsia"/>
                <w:b/>
                <w:kern w:val="0"/>
                <w:szCs w:val="21"/>
                <w:lang w:eastAsia="en-US"/>
              </w:rPr>
              <w:t>金</w:t>
            </w:r>
            <w:r>
              <w:rPr>
                <w:rFonts w:cs="宋体" w:asciiTheme="minorEastAsia" w:hAnsiTheme="minorEastAsia"/>
                <w:b/>
                <w:kern w:val="0"/>
                <w:szCs w:val="21"/>
                <w:lang w:eastAsia="en-US"/>
              </w:rPr>
              <w:tab/>
            </w:r>
            <w:r>
              <w:rPr>
                <w:rFonts w:cs="宋体" w:asciiTheme="minorEastAsia" w:hAnsiTheme="minorEastAsia"/>
                <w:b/>
                <w:kern w:val="0"/>
                <w:szCs w:val="21"/>
                <w:lang w:eastAsia="en-US"/>
              </w:rPr>
              <w:t>额</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tabs>
                <w:tab w:val="left" w:pos="1173"/>
              </w:tabs>
              <w:spacing w:before="63"/>
              <w:ind w:left="692"/>
              <w:jc w:val="center"/>
              <w:rPr>
                <w:rFonts w:cs="宋体" w:asciiTheme="minorEastAsia" w:hAnsiTheme="minorEastAsia"/>
                <w:b/>
                <w:kern w:val="0"/>
                <w:szCs w:val="21"/>
                <w:lang w:eastAsia="en-US"/>
              </w:rPr>
            </w:pPr>
            <w:r>
              <w:rPr>
                <w:rFonts w:cs="宋体" w:asciiTheme="minorEastAsia" w:hAnsiTheme="minorEastAsia"/>
                <w:b/>
                <w:kern w:val="0"/>
                <w:szCs w:val="21"/>
                <w:lang w:eastAsia="en-US"/>
              </w:rPr>
              <w:t>备</w:t>
            </w:r>
            <w:r>
              <w:rPr>
                <w:rFonts w:cs="宋体" w:asciiTheme="minorEastAsia" w:hAnsiTheme="minorEastAsia"/>
                <w:b/>
                <w:kern w:val="0"/>
                <w:szCs w:val="21"/>
                <w:lang w:eastAsia="en-US"/>
              </w:rPr>
              <w:tab/>
            </w:r>
            <w:r>
              <w:rPr>
                <w:rFonts w:cs="宋体" w:asciiTheme="minorEastAsia" w:hAnsiTheme="minorEastAsia"/>
                <w:b/>
                <w:kern w:val="0"/>
                <w:szCs w:val="21"/>
                <w:lang w:eastAsia="en-US"/>
              </w:rPr>
              <w:t>注</w:t>
            </w:r>
          </w:p>
        </w:tc>
      </w:tr>
      <w:tr>
        <w:tblPrEx>
          <w:tblCellMar>
            <w:top w:w="0" w:type="dxa"/>
            <w:left w:w="0" w:type="dxa"/>
            <w:bottom w:w="0" w:type="dxa"/>
            <w:right w:w="0" w:type="dxa"/>
          </w:tblCellMar>
        </w:tblPrEx>
        <w:trPr>
          <w:trHeight w:val="511"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44" w:right="346"/>
              <w:jc w:val="center"/>
              <w:rPr>
                <w:rFonts w:cs="宋体" w:asciiTheme="minorEastAsia" w:hAnsiTheme="minorEastAsia"/>
                <w:kern w:val="0"/>
                <w:szCs w:val="21"/>
                <w:lang w:eastAsia="en-US"/>
              </w:rPr>
            </w:pPr>
            <w:r>
              <w:rPr>
                <w:rFonts w:cs="Times New Roman" w:asciiTheme="minorEastAsia" w:hAnsiTheme="minorEastAsia"/>
                <w:kern w:val="0"/>
                <w:szCs w:val="21"/>
                <w:lang w:eastAsia="en-US"/>
              </w:rPr>
              <w:t>1</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jc w:val="center"/>
              <w:rPr>
                <w:rFonts w:cs="宋体" w:asciiTheme="minorEastAsia" w:hAnsiTheme="minorEastAsia"/>
                <w:kern w:val="0"/>
                <w:szCs w:val="21"/>
                <w:lang w:eastAsia="en-US"/>
              </w:rPr>
            </w:pPr>
            <w:r>
              <w:rPr>
                <w:rFonts w:cs="宋体" w:asciiTheme="minorEastAsia" w:hAnsiTheme="minorEastAsia"/>
                <w:kern w:val="0"/>
                <w:szCs w:val="21"/>
                <w:lang w:eastAsia="en-US"/>
              </w:rPr>
              <w:t>年销售收入</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68"/>
              <w:jc w:val="center"/>
              <w:rPr>
                <w:rFonts w:cs="宋体" w:asciiTheme="minorEastAsia" w:hAnsiTheme="minorEastAsia"/>
                <w:kern w:val="0"/>
                <w:szCs w:val="21"/>
              </w:rPr>
            </w:pPr>
            <w:r>
              <w:rPr>
                <w:rFonts w:cs="宋体" w:asciiTheme="minorEastAsia" w:hAnsiTheme="minorEastAsia"/>
                <w:kern w:val="0"/>
                <w:szCs w:val="21"/>
                <w:lang w:eastAsia="en-US"/>
              </w:rPr>
              <w:t>万</w:t>
            </w:r>
            <w:r>
              <w:rPr>
                <w:rFonts w:hint="eastAsia" w:cs="宋体" w:asciiTheme="minorEastAsia" w:hAnsiTheme="minorEastAsia"/>
                <w:kern w:val="0"/>
                <w:szCs w:val="21"/>
              </w:rPr>
              <w:t>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503"/>
              <w:rPr>
                <w:rFonts w:cs="宋体" w:asciiTheme="minorEastAsia" w:hAnsiTheme="minorEastAsia"/>
                <w:kern w:val="0"/>
                <w:szCs w:val="21"/>
              </w:rPr>
            </w:pPr>
            <w:r>
              <w:rPr>
                <w:rFonts w:hint="eastAsia" w:cs="Times New Roman" w:asciiTheme="minorEastAsia" w:hAnsiTheme="minorEastAsia"/>
                <w:kern w:val="0"/>
                <w:szCs w:val="21"/>
              </w:rPr>
              <w:t>20000</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452"/>
              <w:rPr>
                <w:rFonts w:cs="宋体" w:asciiTheme="minorEastAsia" w:hAnsiTheme="minorEastAsia"/>
                <w:kern w:val="0"/>
                <w:szCs w:val="21"/>
                <w:lang w:eastAsia="en-US"/>
              </w:rPr>
            </w:pPr>
            <w:r>
              <w:rPr>
                <w:rFonts w:cs="宋体" w:asciiTheme="minorEastAsia" w:hAnsiTheme="minorEastAsia"/>
                <w:kern w:val="0"/>
                <w:szCs w:val="21"/>
                <w:lang w:eastAsia="en-US"/>
              </w:rPr>
              <w:t>正常达产年</w:t>
            </w:r>
          </w:p>
        </w:tc>
      </w:tr>
      <w:tr>
        <w:tblPrEx>
          <w:tblCellMar>
            <w:top w:w="0" w:type="dxa"/>
            <w:left w:w="0" w:type="dxa"/>
            <w:bottom w:w="0" w:type="dxa"/>
            <w:right w:w="0" w:type="dxa"/>
          </w:tblCellMar>
        </w:tblPrEx>
        <w:trPr>
          <w:trHeight w:val="561"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44" w:right="346"/>
              <w:jc w:val="center"/>
              <w:rPr>
                <w:rFonts w:cs="宋体" w:asciiTheme="minorEastAsia" w:hAnsiTheme="minorEastAsia"/>
                <w:kern w:val="0"/>
                <w:szCs w:val="21"/>
                <w:lang w:eastAsia="en-US"/>
              </w:rPr>
            </w:pPr>
            <w:r>
              <w:rPr>
                <w:rFonts w:cs="Times New Roman" w:asciiTheme="minorEastAsia" w:hAnsiTheme="minorEastAsia"/>
                <w:kern w:val="0"/>
                <w:szCs w:val="21"/>
                <w:lang w:eastAsia="en-US"/>
              </w:rPr>
              <w:t>2</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jc w:val="center"/>
              <w:rPr>
                <w:rFonts w:cs="宋体" w:asciiTheme="minorEastAsia" w:hAnsiTheme="minorEastAsia"/>
                <w:kern w:val="0"/>
                <w:szCs w:val="21"/>
                <w:lang w:eastAsia="en-US"/>
              </w:rPr>
            </w:pPr>
            <w:r>
              <w:rPr>
                <w:rFonts w:cs="宋体" w:asciiTheme="minorEastAsia" w:hAnsiTheme="minorEastAsia"/>
                <w:kern w:val="0"/>
                <w:szCs w:val="21"/>
                <w:lang w:eastAsia="en-US"/>
              </w:rPr>
              <w:t>年销售税金及附加</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68"/>
              <w:jc w:val="center"/>
              <w:rPr>
                <w:rFonts w:cs="宋体" w:asciiTheme="minorEastAsia" w:hAnsiTheme="minorEastAsia"/>
                <w:kern w:val="0"/>
                <w:szCs w:val="21"/>
              </w:rPr>
            </w:pPr>
            <w:r>
              <w:rPr>
                <w:rFonts w:cs="宋体" w:asciiTheme="minorEastAsia" w:hAnsiTheme="minorEastAsia"/>
                <w:kern w:val="0"/>
                <w:szCs w:val="21"/>
                <w:lang w:eastAsia="en-US"/>
              </w:rPr>
              <w:t>万</w:t>
            </w:r>
            <w:r>
              <w:rPr>
                <w:rFonts w:hint="eastAsia" w:cs="宋体" w:asciiTheme="minorEastAsia" w:hAnsiTheme="minorEastAsia"/>
                <w:kern w:val="0"/>
                <w:szCs w:val="21"/>
              </w:rPr>
              <w:t>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563"/>
              <w:rPr>
                <w:rFonts w:cs="宋体" w:asciiTheme="minorEastAsia" w:hAnsiTheme="minorEastAsia"/>
                <w:kern w:val="0"/>
                <w:szCs w:val="21"/>
              </w:rPr>
            </w:pPr>
            <w:r>
              <w:rPr>
                <w:rFonts w:hint="eastAsia" w:cs="Times New Roman" w:asciiTheme="minorEastAsia" w:hAnsiTheme="minorEastAsia"/>
                <w:kern w:val="0"/>
                <w:szCs w:val="21"/>
              </w:rPr>
              <w:t>3600</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452"/>
              <w:rPr>
                <w:rFonts w:cs="宋体" w:asciiTheme="minorEastAsia" w:hAnsiTheme="minorEastAsia"/>
                <w:kern w:val="0"/>
                <w:szCs w:val="21"/>
                <w:lang w:eastAsia="en-US"/>
              </w:rPr>
            </w:pPr>
            <w:r>
              <w:rPr>
                <w:rFonts w:cs="宋体" w:asciiTheme="minorEastAsia" w:hAnsiTheme="minorEastAsia"/>
                <w:kern w:val="0"/>
                <w:szCs w:val="21"/>
                <w:lang w:eastAsia="en-US"/>
              </w:rPr>
              <w:t>正常达产年</w:t>
            </w:r>
          </w:p>
        </w:tc>
      </w:tr>
      <w:tr>
        <w:tblPrEx>
          <w:tblCellMar>
            <w:top w:w="0" w:type="dxa"/>
            <w:left w:w="0" w:type="dxa"/>
            <w:bottom w:w="0" w:type="dxa"/>
            <w:right w:w="0" w:type="dxa"/>
          </w:tblCellMar>
        </w:tblPrEx>
        <w:trPr>
          <w:trHeight w:val="521"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44" w:right="346"/>
              <w:jc w:val="center"/>
              <w:rPr>
                <w:rFonts w:cs="宋体" w:asciiTheme="minorEastAsia" w:hAnsiTheme="minorEastAsia"/>
                <w:kern w:val="0"/>
                <w:szCs w:val="21"/>
                <w:lang w:eastAsia="en-US"/>
              </w:rPr>
            </w:pPr>
            <w:r>
              <w:rPr>
                <w:rFonts w:cs="Times New Roman" w:asciiTheme="minorEastAsia" w:hAnsiTheme="minorEastAsia"/>
                <w:kern w:val="0"/>
                <w:szCs w:val="21"/>
                <w:lang w:eastAsia="en-US"/>
              </w:rPr>
              <w:t>3</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jc w:val="center"/>
              <w:rPr>
                <w:rFonts w:cs="宋体" w:asciiTheme="minorEastAsia" w:hAnsiTheme="minorEastAsia"/>
                <w:kern w:val="0"/>
                <w:szCs w:val="21"/>
                <w:lang w:eastAsia="en-US"/>
              </w:rPr>
            </w:pPr>
            <w:r>
              <w:rPr>
                <w:rFonts w:cs="宋体" w:asciiTheme="minorEastAsia" w:hAnsiTheme="minorEastAsia"/>
                <w:kern w:val="0"/>
                <w:szCs w:val="21"/>
                <w:lang w:eastAsia="en-US"/>
              </w:rPr>
              <w:t>年总成本费用</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68"/>
              <w:jc w:val="center"/>
              <w:rPr>
                <w:rFonts w:cs="宋体" w:asciiTheme="minorEastAsia" w:hAnsiTheme="minorEastAsia"/>
                <w:kern w:val="0"/>
                <w:szCs w:val="21"/>
              </w:rPr>
            </w:pPr>
            <w:r>
              <w:rPr>
                <w:rFonts w:cs="宋体" w:asciiTheme="minorEastAsia" w:hAnsiTheme="minorEastAsia"/>
                <w:kern w:val="0"/>
                <w:szCs w:val="21"/>
                <w:lang w:eastAsia="en-US"/>
              </w:rPr>
              <w:t>万</w:t>
            </w:r>
            <w:r>
              <w:rPr>
                <w:rFonts w:hint="eastAsia" w:cs="宋体" w:asciiTheme="minorEastAsia" w:hAnsiTheme="minorEastAsia"/>
                <w:kern w:val="0"/>
                <w:szCs w:val="21"/>
              </w:rPr>
              <w:t>元</w:t>
            </w:r>
          </w:p>
          <w:p>
            <w:pPr>
              <w:spacing w:before="63"/>
              <w:ind w:left="59"/>
              <w:jc w:val="center"/>
              <w:rPr>
                <w:rFonts w:cs="宋体" w:asciiTheme="minorEastAsia" w:hAnsiTheme="minorEastAsia"/>
                <w:kern w:val="0"/>
                <w:szCs w:val="21"/>
                <w:lang w:eastAsia="en-US"/>
              </w:rPr>
            </w:pPr>
            <w:r>
              <w:rPr>
                <w:rFonts w:cs="宋体" w:asciiTheme="minorEastAsia" w:hAnsiTheme="minorEastAsia"/>
                <w:kern w:val="0"/>
                <w:szCs w:val="21"/>
                <w:lang w:eastAsia="en-US"/>
              </w:rPr>
              <w:t>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563"/>
              <w:rPr>
                <w:rFonts w:cs="宋体" w:asciiTheme="minorEastAsia" w:hAnsiTheme="minorEastAsia"/>
                <w:kern w:val="0"/>
                <w:szCs w:val="21"/>
              </w:rPr>
            </w:pPr>
            <w:r>
              <w:rPr>
                <w:rFonts w:hint="eastAsia" w:cs="Times New Roman" w:asciiTheme="minorEastAsia" w:hAnsiTheme="minorEastAsia"/>
                <w:kern w:val="0"/>
                <w:szCs w:val="21"/>
              </w:rPr>
              <w:t>15000</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452"/>
              <w:rPr>
                <w:rFonts w:cs="宋体" w:asciiTheme="minorEastAsia" w:hAnsiTheme="minorEastAsia"/>
                <w:kern w:val="0"/>
                <w:szCs w:val="21"/>
                <w:lang w:eastAsia="en-US"/>
              </w:rPr>
            </w:pPr>
            <w:r>
              <w:rPr>
                <w:rFonts w:cs="宋体" w:asciiTheme="minorEastAsia" w:hAnsiTheme="minorEastAsia"/>
                <w:kern w:val="0"/>
                <w:szCs w:val="21"/>
                <w:lang w:eastAsia="en-US"/>
              </w:rPr>
              <w:t>正常达产年</w:t>
            </w:r>
          </w:p>
        </w:tc>
      </w:tr>
      <w:tr>
        <w:tblPrEx>
          <w:tblCellMar>
            <w:top w:w="0" w:type="dxa"/>
            <w:left w:w="0" w:type="dxa"/>
            <w:bottom w:w="0" w:type="dxa"/>
            <w:right w:w="0" w:type="dxa"/>
          </w:tblCellMar>
        </w:tblPrEx>
        <w:trPr>
          <w:trHeight w:val="605"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44" w:right="346"/>
              <w:jc w:val="center"/>
              <w:rPr>
                <w:rFonts w:cs="宋体" w:asciiTheme="minorEastAsia" w:hAnsiTheme="minorEastAsia"/>
                <w:kern w:val="0"/>
                <w:szCs w:val="21"/>
                <w:lang w:eastAsia="en-US"/>
              </w:rPr>
            </w:pPr>
            <w:r>
              <w:rPr>
                <w:rFonts w:cs="Times New Roman" w:asciiTheme="minorEastAsia" w:hAnsiTheme="minorEastAsia"/>
                <w:kern w:val="0"/>
                <w:szCs w:val="21"/>
                <w:lang w:eastAsia="en-US"/>
              </w:rPr>
              <w:t>4</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jc w:val="center"/>
              <w:rPr>
                <w:rFonts w:cs="宋体" w:asciiTheme="minorEastAsia" w:hAnsiTheme="minorEastAsia"/>
                <w:kern w:val="0"/>
                <w:szCs w:val="21"/>
                <w:lang w:eastAsia="en-US"/>
              </w:rPr>
            </w:pPr>
            <w:r>
              <w:rPr>
                <w:rFonts w:cs="宋体" w:asciiTheme="minorEastAsia" w:hAnsiTheme="minorEastAsia"/>
                <w:kern w:val="0"/>
                <w:szCs w:val="21"/>
                <w:lang w:eastAsia="en-US"/>
              </w:rPr>
              <w:t>年利润总额</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68"/>
              <w:jc w:val="center"/>
              <w:rPr>
                <w:rFonts w:cs="宋体" w:asciiTheme="minorEastAsia" w:hAnsiTheme="minorEastAsia"/>
                <w:kern w:val="0"/>
                <w:szCs w:val="21"/>
              </w:rPr>
            </w:pPr>
            <w:r>
              <w:rPr>
                <w:rFonts w:cs="宋体" w:asciiTheme="minorEastAsia" w:hAnsiTheme="minorEastAsia"/>
                <w:kern w:val="0"/>
                <w:szCs w:val="21"/>
                <w:lang w:eastAsia="en-US"/>
              </w:rPr>
              <w:t>万</w:t>
            </w:r>
            <w:r>
              <w:rPr>
                <w:rFonts w:hint="eastAsia" w:cs="宋体" w:asciiTheme="minorEastAsia" w:hAnsiTheme="minorEastAsia"/>
                <w:kern w:val="0"/>
                <w:szCs w:val="21"/>
              </w:rPr>
              <w:t>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563"/>
              <w:rPr>
                <w:rFonts w:cs="宋体" w:asciiTheme="minorEastAsia" w:hAnsiTheme="minorEastAsia"/>
                <w:kern w:val="0"/>
                <w:szCs w:val="21"/>
              </w:rPr>
            </w:pPr>
            <w:r>
              <w:rPr>
                <w:rFonts w:hint="eastAsia" w:cs="Times New Roman" w:asciiTheme="minorEastAsia" w:hAnsiTheme="minorEastAsia"/>
                <w:kern w:val="0"/>
                <w:szCs w:val="21"/>
              </w:rPr>
              <w:t>1400</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452"/>
              <w:rPr>
                <w:rFonts w:cs="宋体" w:asciiTheme="minorEastAsia" w:hAnsiTheme="minorEastAsia"/>
                <w:kern w:val="0"/>
                <w:szCs w:val="21"/>
                <w:lang w:eastAsia="en-US"/>
              </w:rPr>
            </w:pPr>
            <w:r>
              <w:rPr>
                <w:rFonts w:cs="宋体" w:asciiTheme="minorEastAsia" w:hAnsiTheme="minorEastAsia"/>
                <w:kern w:val="0"/>
                <w:szCs w:val="21"/>
                <w:lang w:eastAsia="en-US"/>
              </w:rPr>
              <w:t>正常达产年</w:t>
            </w:r>
          </w:p>
        </w:tc>
      </w:tr>
      <w:tr>
        <w:tblPrEx>
          <w:tblCellMar>
            <w:top w:w="0" w:type="dxa"/>
            <w:left w:w="0" w:type="dxa"/>
            <w:bottom w:w="0" w:type="dxa"/>
            <w:right w:w="0" w:type="dxa"/>
          </w:tblCellMar>
        </w:tblPrEx>
        <w:trPr>
          <w:trHeight w:val="557"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44" w:right="346"/>
              <w:jc w:val="center"/>
              <w:rPr>
                <w:rFonts w:cs="宋体" w:asciiTheme="minorEastAsia" w:hAnsiTheme="minorEastAsia"/>
                <w:kern w:val="0"/>
                <w:szCs w:val="21"/>
                <w:lang w:eastAsia="en-US"/>
              </w:rPr>
            </w:pPr>
            <w:r>
              <w:rPr>
                <w:rFonts w:cs="Times New Roman" w:asciiTheme="minorEastAsia" w:hAnsiTheme="minorEastAsia"/>
                <w:kern w:val="0"/>
                <w:szCs w:val="21"/>
                <w:lang w:eastAsia="en-US"/>
              </w:rPr>
              <w:t>5</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right="2"/>
              <w:jc w:val="center"/>
              <w:rPr>
                <w:rFonts w:cs="宋体" w:asciiTheme="minorEastAsia" w:hAnsiTheme="minorEastAsia"/>
                <w:kern w:val="0"/>
                <w:szCs w:val="21"/>
                <w:lang w:eastAsia="en-US"/>
              </w:rPr>
            </w:pPr>
            <w:r>
              <w:rPr>
                <w:rFonts w:cs="宋体" w:asciiTheme="minorEastAsia" w:hAnsiTheme="minorEastAsia"/>
                <w:kern w:val="0"/>
                <w:szCs w:val="21"/>
                <w:lang w:eastAsia="en-US"/>
              </w:rPr>
              <w:t>所得税</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68"/>
              <w:jc w:val="center"/>
              <w:rPr>
                <w:rFonts w:cs="宋体" w:asciiTheme="minorEastAsia" w:hAnsiTheme="minorEastAsia"/>
                <w:kern w:val="0"/>
                <w:szCs w:val="21"/>
                <w:lang w:eastAsia="en-US"/>
              </w:rPr>
            </w:pPr>
            <w:r>
              <w:rPr>
                <w:rFonts w:cs="宋体" w:asciiTheme="minorEastAsia" w:hAnsiTheme="minorEastAsia"/>
                <w:kern w:val="0"/>
                <w:szCs w:val="21"/>
                <w:lang w:eastAsia="en-US"/>
              </w:rPr>
              <w:t>万元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firstLine="630" w:firstLineChars="300"/>
              <w:rPr>
                <w:rFonts w:cs="宋体" w:asciiTheme="minorEastAsia" w:hAnsiTheme="minorEastAsia"/>
                <w:kern w:val="0"/>
                <w:szCs w:val="21"/>
              </w:rPr>
            </w:pPr>
            <w:r>
              <w:rPr>
                <w:rFonts w:hint="eastAsia" w:cs="Times New Roman" w:asciiTheme="minorEastAsia" w:hAnsiTheme="minorEastAsia"/>
                <w:kern w:val="0"/>
                <w:szCs w:val="21"/>
              </w:rPr>
              <w:t>140</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452"/>
              <w:rPr>
                <w:rFonts w:cs="宋体" w:asciiTheme="minorEastAsia" w:hAnsiTheme="minorEastAsia"/>
                <w:kern w:val="0"/>
                <w:szCs w:val="21"/>
                <w:lang w:eastAsia="en-US"/>
              </w:rPr>
            </w:pPr>
            <w:r>
              <w:rPr>
                <w:rFonts w:cs="宋体" w:asciiTheme="minorEastAsia" w:hAnsiTheme="minorEastAsia"/>
                <w:kern w:val="0"/>
                <w:szCs w:val="21"/>
                <w:lang w:eastAsia="en-US"/>
              </w:rPr>
              <w:t>正常达产年</w:t>
            </w:r>
          </w:p>
        </w:tc>
      </w:tr>
      <w:tr>
        <w:tblPrEx>
          <w:tblCellMar>
            <w:top w:w="0" w:type="dxa"/>
            <w:left w:w="0" w:type="dxa"/>
            <w:bottom w:w="0" w:type="dxa"/>
            <w:right w:w="0" w:type="dxa"/>
          </w:tblCellMar>
        </w:tblPrEx>
        <w:trPr>
          <w:trHeight w:val="579"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115"/>
              <w:ind w:left="344" w:right="346"/>
              <w:jc w:val="center"/>
              <w:rPr>
                <w:rFonts w:cs="Times New Roman" w:asciiTheme="minorEastAsia" w:hAnsiTheme="minorEastAsia"/>
                <w:kern w:val="0"/>
                <w:szCs w:val="21"/>
                <w:lang w:eastAsia="en-US"/>
              </w:rPr>
            </w:pPr>
            <w:r>
              <w:rPr>
                <w:rFonts w:cs="Times New Roman" w:asciiTheme="minorEastAsia" w:hAnsiTheme="minorEastAsia"/>
                <w:kern w:val="0"/>
                <w:szCs w:val="21"/>
                <w:lang w:eastAsia="en-US"/>
              </w:rPr>
              <w:t>6</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jc w:val="center"/>
              <w:rPr>
                <w:rFonts w:cs="宋体" w:asciiTheme="minorEastAsia" w:hAnsiTheme="minorEastAsia"/>
                <w:kern w:val="0"/>
                <w:szCs w:val="21"/>
                <w:lang w:eastAsia="en-US"/>
              </w:rPr>
            </w:pPr>
            <w:r>
              <w:rPr>
                <w:rFonts w:cs="宋体" w:asciiTheme="minorEastAsia" w:hAnsiTheme="minorEastAsia"/>
                <w:kern w:val="0"/>
                <w:szCs w:val="21"/>
                <w:lang w:eastAsia="en-US"/>
              </w:rPr>
              <w:t>年税后利润</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368"/>
              <w:jc w:val="center"/>
              <w:rPr>
                <w:rFonts w:cs="宋体" w:asciiTheme="minorEastAsia" w:hAnsiTheme="minorEastAsia"/>
                <w:kern w:val="0"/>
                <w:szCs w:val="21"/>
              </w:rPr>
            </w:pPr>
            <w:r>
              <w:rPr>
                <w:rFonts w:cs="宋体" w:asciiTheme="minorEastAsia" w:hAnsiTheme="minorEastAsia"/>
                <w:kern w:val="0"/>
                <w:szCs w:val="21"/>
                <w:lang w:eastAsia="en-US"/>
              </w:rPr>
              <w:t>万元</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563"/>
              <w:rPr>
                <w:rFonts w:cs="宋体" w:asciiTheme="minorEastAsia" w:hAnsiTheme="minorEastAsia"/>
                <w:kern w:val="0"/>
                <w:szCs w:val="21"/>
              </w:rPr>
            </w:pPr>
            <w:r>
              <w:rPr>
                <w:rFonts w:hint="eastAsia" w:cs="Times New Roman" w:asciiTheme="minorEastAsia" w:hAnsiTheme="minorEastAsia"/>
                <w:kern w:val="0"/>
                <w:szCs w:val="21"/>
              </w:rPr>
              <w:t>1260</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63"/>
              <w:ind w:left="452"/>
              <w:rPr>
                <w:rFonts w:cs="宋体" w:asciiTheme="minorEastAsia" w:hAnsiTheme="minorEastAsia"/>
                <w:kern w:val="0"/>
                <w:szCs w:val="21"/>
                <w:lang w:eastAsia="en-US"/>
              </w:rPr>
            </w:pPr>
            <w:r>
              <w:rPr>
                <w:rFonts w:cs="宋体" w:asciiTheme="minorEastAsia" w:hAnsiTheme="minorEastAsia"/>
                <w:kern w:val="0"/>
                <w:szCs w:val="21"/>
                <w:lang w:eastAsia="en-US"/>
              </w:rPr>
              <w:t>正常达产年</w:t>
            </w:r>
          </w:p>
        </w:tc>
      </w:tr>
      <w:tr>
        <w:tblPrEx>
          <w:tblCellMar>
            <w:top w:w="0" w:type="dxa"/>
            <w:left w:w="0" w:type="dxa"/>
            <w:bottom w:w="0" w:type="dxa"/>
            <w:right w:w="0" w:type="dxa"/>
          </w:tblCellMar>
        </w:tblPrEx>
        <w:trPr>
          <w:trHeight w:val="523"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115"/>
              <w:ind w:left="344" w:right="346"/>
              <w:jc w:val="center"/>
              <w:rPr>
                <w:rFonts w:cs="Times New Roman" w:asciiTheme="minorEastAsia" w:hAnsiTheme="minorEastAsia"/>
                <w:kern w:val="0"/>
                <w:szCs w:val="21"/>
              </w:rPr>
            </w:pPr>
            <w:r>
              <w:rPr>
                <w:rFonts w:hint="eastAsia" w:cs="Times New Roman" w:asciiTheme="minorEastAsia" w:hAnsiTheme="minorEastAsia"/>
                <w:kern w:val="0"/>
                <w:szCs w:val="21"/>
              </w:rPr>
              <w:t>7</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85"/>
              <w:jc w:val="center"/>
              <w:rPr>
                <w:rFonts w:ascii="宋体" w:hAnsi="宋体" w:eastAsia="宋体" w:cs="宋体"/>
                <w:kern w:val="0"/>
                <w:szCs w:val="21"/>
                <w:lang w:eastAsia="en-US"/>
              </w:rPr>
            </w:pPr>
            <w:r>
              <w:rPr>
                <w:rFonts w:ascii="宋体" w:hAnsi="宋体" w:eastAsia="宋体" w:cs="宋体"/>
                <w:kern w:val="0"/>
                <w:szCs w:val="21"/>
                <w:lang w:eastAsia="en-US"/>
              </w:rPr>
              <w:t>财务内部收益率</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85"/>
              <w:ind w:left="370"/>
              <w:jc w:val="center"/>
              <w:rPr>
                <w:rFonts w:ascii="宋体" w:hAnsi="宋体" w:eastAsia="宋体" w:cs="宋体"/>
                <w:kern w:val="0"/>
                <w:szCs w:val="21"/>
                <w:lang w:eastAsia="en-US"/>
              </w:rPr>
            </w:pPr>
            <w:r>
              <w:rPr>
                <w:rFonts w:ascii="宋体" w:hAnsi="宋体" w:eastAsia="宋体" w:cs="宋体"/>
                <w:kern w:val="0"/>
                <w:szCs w:val="21"/>
                <w:lang w:eastAsia="en-US"/>
              </w:rPr>
              <w:t>％</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85"/>
              <w:ind w:left="466"/>
              <w:rPr>
                <w:rFonts w:ascii="宋体" w:hAnsi="宋体" w:eastAsia="宋体" w:cs="宋体"/>
                <w:kern w:val="0"/>
                <w:szCs w:val="21"/>
              </w:rPr>
            </w:pPr>
            <w:r>
              <w:rPr>
                <w:rFonts w:hint="eastAsia" w:ascii="宋体" w:hAnsi="Calibri" w:eastAsia="宋体" w:cs="Times New Roman"/>
                <w:kern w:val="0"/>
                <w:szCs w:val="21"/>
              </w:rPr>
              <w:t>税前9.3</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85"/>
              <w:ind w:left="336" w:leftChars="160" w:right="339" w:firstLine="210" w:firstLineChars="100"/>
              <w:rPr>
                <w:rFonts w:ascii="宋体" w:hAnsi="宋体" w:eastAsia="宋体" w:cs="宋体"/>
                <w:kern w:val="0"/>
                <w:szCs w:val="21"/>
              </w:rPr>
            </w:pPr>
            <w:r>
              <w:rPr>
                <w:rFonts w:hint="eastAsia" w:ascii="宋体" w:hAnsi="Calibri" w:eastAsia="宋体" w:cs="Times New Roman"/>
                <w:kern w:val="0"/>
                <w:szCs w:val="21"/>
              </w:rPr>
              <w:t>税后8.4</w:t>
            </w:r>
          </w:p>
        </w:tc>
      </w:tr>
      <w:tr>
        <w:tblPrEx>
          <w:tblCellMar>
            <w:top w:w="0" w:type="dxa"/>
            <w:left w:w="0" w:type="dxa"/>
            <w:bottom w:w="0" w:type="dxa"/>
            <w:right w:w="0" w:type="dxa"/>
          </w:tblCellMar>
        </w:tblPrEx>
        <w:trPr>
          <w:trHeight w:val="609" w:hRule="exact"/>
        </w:trPr>
        <w:tc>
          <w:tcPr>
            <w:tcW w:w="86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115"/>
              <w:ind w:left="344" w:right="346"/>
              <w:jc w:val="center"/>
              <w:rPr>
                <w:rFonts w:cs="Times New Roman" w:asciiTheme="minorEastAsia" w:hAnsiTheme="minorEastAsia"/>
                <w:kern w:val="0"/>
                <w:szCs w:val="21"/>
              </w:rPr>
            </w:pPr>
            <w:r>
              <w:rPr>
                <w:rFonts w:hint="eastAsia" w:cs="Times New Roman" w:asciiTheme="minorEastAsia" w:hAnsiTheme="minorEastAsia"/>
                <w:kern w:val="0"/>
                <w:szCs w:val="21"/>
              </w:rPr>
              <w:t>8</w:t>
            </w:r>
          </w:p>
        </w:tc>
        <w:tc>
          <w:tcPr>
            <w:tcW w:w="2614" w:type="dxa"/>
            <w:tcBorders>
              <w:top w:val="single" w:color="000000" w:sz="4" w:space="0"/>
              <w:left w:val="single" w:color="000000" w:sz="4" w:space="0"/>
              <w:bottom w:val="single" w:color="000000" w:sz="4" w:space="0"/>
              <w:right w:val="single" w:color="000000" w:sz="4" w:space="0"/>
            </w:tcBorders>
            <w:shd w:val="clear" w:color="auto" w:fill="auto"/>
            <w:vAlign w:val="center"/>
          </w:tcPr>
          <w:p>
            <w:pPr>
              <w:autoSpaceDE w:val="0"/>
              <w:autoSpaceDN w:val="0"/>
              <w:adjustRightInd w:val="0"/>
              <w:snapToGrid w:val="0"/>
              <w:spacing w:before="85" w:line="460" w:lineRule="exact"/>
              <w:ind w:right="-18"/>
              <w:jc w:val="center"/>
              <w:rPr>
                <w:rFonts w:ascii="宋体" w:hAnsi="宋体" w:eastAsia="宋体" w:cs="宋体"/>
                <w:kern w:val="0"/>
                <w:szCs w:val="21"/>
              </w:rPr>
            </w:pPr>
            <w:r>
              <w:rPr>
                <w:rFonts w:ascii="宋体" w:hAnsi="宋体" w:eastAsia="宋体" w:cs="宋体"/>
                <w:kern w:val="0"/>
                <w:szCs w:val="21"/>
              </w:rPr>
              <w:t>投资回收</w:t>
            </w:r>
            <w:r>
              <w:rPr>
                <w:rFonts w:ascii="宋体" w:hAnsi="宋体" w:eastAsia="宋体" w:cs="宋体"/>
                <w:spacing w:val="-118"/>
                <w:kern w:val="0"/>
                <w:szCs w:val="21"/>
              </w:rPr>
              <w:t>期</w:t>
            </w:r>
            <w:r>
              <w:rPr>
                <w:rFonts w:hint="eastAsia" w:ascii="宋体" w:hAnsi="宋体" w:eastAsia="宋体" w:cs="宋体"/>
                <w:kern w:val="0"/>
                <w:szCs w:val="21"/>
              </w:rPr>
              <w:t xml:space="preserve"> （</w:t>
            </w:r>
            <w:r>
              <w:rPr>
                <w:rFonts w:ascii="宋体" w:hAnsi="宋体" w:eastAsia="宋体" w:cs="宋体"/>
                <w:kern w:val="0"/>
                <w:szCs w:val="21"/>
              </w:rPr>
              <w:t>静态）</w:t>
            </w:r>
          </w:p>
        </w:tc>
        <w:tc>
          <w:tcPr>
            <w:tcW w:w="135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85"/>
              <w:ind w:firstLine="420" w:firstLineChars="200"/>
              <w:jc w:val="center"/>
              <w:rPr>
                <w:rFonts w:ascii="宋体" w:hAnsi="宋体" w:eastAsia="宋体" w:cs="宋体"/>
                <w:kern w:val="0"/>
                <w:szCs w:val="21"/>
                <w:lang w:eastAsia="en-US"/>
              </w:rPr>
            </w:pPr>
            <w:r>
              <w:rPr>
                <w:rFonts w:ascii="宋体" w:hAnsi="宋体" w:eastAsia="宋体" w:cs="宋体"/>
                <w:kern w:val="0"/>
                <w:szCs w:val="21"/>
                <w:lang w:eastAsia="en-US"/>
              </w:rPr>
              <w:t>年</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85"/>
              <w:ind w:right="2" w:firstLine="420" w:firstLineChars="200"/>
              <w:rPr>
                <w:rFonts w:ascii="宋体" w:hAnsi="宋体" w:cs="宋体"/>
                <w:szCs w:val="21"/>
              </w:rPr>
            </w:pPr>
            <w:r>
              <w:rPr>
                <w:rFonts w:hint="eastAsia" w:ascii="宋体" w:hAnsi="Calibri" w:eastAsia="宋体" w:cs="Times New Roman"/>
                <w:kern w:val="0"/>
                <w:szCs w:val="21"/>
              </w:rPr>
              <w:t>税前</w:t>
            </w:r>
            <w:r>
              <w:rPr>
                <w:rFonts w:hint="eastAsia" w:ascii="宋体"/>
                <w:szCs w:val="21"/>
              </w:rPr>
              <w:t>3.57</w:t>
            </w:r>
          </w:p>
        </w:tc>
        <w:tc>
          <w:tcPr>
            <w:tcW w:w="2126"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before="85"/>
              <w:ind w:left="336" w:leftChars="160" w:right="339" w:firstLine="210" w:firstLineChars="100"/>
              <w:rPr>
                <w:rFonts w:ascii="宋体" w:hAnsi="宋体" w:eastAsia="宋体" w:cs="宋体"/>
                <w:kern w:val="0"/>
                <w:szCs w:val="21"/>
              </w:rPr>
            </w:pPr>
            <w:r>
              <w:rPr>
                <w:rFonts w:hint="eastAsia" w:ascii="宋体" w:hAnsi="Calibri" w:eastAsia="宋体" w:cs="Times New Roman"/>
                <w:kern w:val="0"/>
                <w:szCs w:val="21"/>
              </w:rPr>
              <w:t>税后3.97</w:t>
            </w:r>
          </w:p>
        </w:tc>
      </w:tr>
    </w:tbl>
    <w:p>
      <w:pPr>
        <w:spacing w:line="360" w:lineRule="auto"/>
        <w:ind w:firstLine="494" w:firstLineChars="206"/>
        <w:rPr>
          <w:rFonts w:asciiTheme="minorEastAsia" w:hAnsiTheme="minorEastAsia"/>
          <w:sz w:val="24"/>
          <w:szCs w:val="24"/>
        </w:rPr>
      </w:pPr>
      <w:r>
        <w:rPr>
          <w:rFonts w:hint="eastAsia" w:asciiTheme="minorEastAsia" w:hAnsiTheme="minorEastAsia"/>
          <w:sz w:val="24"/>
          <w:szCs w:val="24"/>
        </w:rPr>
        <w:t>由上述指标可以看出，项目税后全投资财务内部收益率为9.3%，税后投资回收期为3.97年（静态，不含基建期），说明本项目有盈利能力。</w:t>
      </w:r>
    </w:p>
    <w:p>
      <w:pPr>
        <w:spacing w:line="360" w:lineRule="auto"/>
        <w:rPr>
          <w:rFonts w:asciiTheme="minorEastAsia" w:hAnsiTheme="minorEastAsia"/>
          <w:b/>
          <w:sz w:val="28"/>
          <w:szCs w:val="28"/>
        </w:rPr>
      </w:pPr>
      <w:r>
        <w:rPr>
          <w:rFonts w:hint="eastAsia" w:asciiTheme="minorEastAsia" w:hAnsiTheme="minorEastAsia"/>
          <w:b/>
          <w:sz w:val="28"/>
          <w:szCs w:val="28"/>
        </w:rPr>
        <w:t>8.4项目经济、环境及社会综合效益分析</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项目投产后生产期平均税后利润1260万元/年，环境影响经济损失约56.6万元/年，产生环境经济效益143.4万元/年。</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总之，项目环境经济效益大于环境影响经济损失，有一定盈利能力，从环境、经济及社会综合效益角度分析，项目建设是可行的。</w:t>
      </w:r>
    </w:p>
    <w:bookmarkEnd w:id="113"/>
    <w:bookmarkEnd w:id="114"/>
    <w:bookmarkEnd w:id="115"/>
    <w:bookmarkEnd w:id="116"/>
    <w:bookmarkEnd w:id="117"/>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rPr>
          <w:rFonts w:asciiTheme="minorEastAsia" w:hAnsiTheme="minorEastAsia"/>
        </w:rPr>
      </w:pPr>
    </w:p>
    <w:p>
      <w:pPr>
        <w:spacing w:line="360" w:lineRule="auto"/>
        <w:jc w:val="center"/>
        <w:rPr>
          <w:rFonts w:asciiTheme="minorEastAsia" w:hAnsiTheme="minorEastAsia"/>
          <w:b/>
          <w:sz w:val="32"/>
          <w:szCs w:val="32"/>
        </w:rPr>
      </w:pPr>
      <w:r>
        <w:rPr>
          <w:rFonts w:hint="eastAsia" w:asciiTheme="minorEastAsia" w:hAnsiTheme="minorEastAsia"/>
          <w:b/>
          <w:sz w:val="32"/>
          <w:szCs w:val="32"/>
        </w:rPr>
        <w:t>第九章  环境管理和监测计划</w:t>
      </w: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Calibri" w:hAnsi="Calibri" w:eastAsia="宋体" w:cs="Times New Roman"/>
          <w:sz w:val="24"/>
          <w:szCs w:val="24"/>
        </w:rPr>
      </w:pPr>
      <w:r>
        <w:rPr>
          <w:rFonts w:hint="eastAsia" w:asciiTheme="minorEastAsia" w:hAnsiTheme="minorEastAsia"/>
          <w:sz w:val="24"/>
          <w:szCs w:val="24"/>
        </w:rPr>
        <w:t>根</w:t>
      </w:r>
      <w:r>
        <w:rPr>
          <w:rFonts w:asciiTheme="minorEastAsia" w:hAnsiTheme="minorEastAsia"/>
          <w:sz w:val="24"/>
          <w:szCs w:val="24"/>
        </w:rPr>
        <w:t>据</w:t>
      </w:r>
      <w:r>
        <w:rPr>
          <w:rFonts w:hint="eastAsia" w:asciiTheme="minorEastAsia" w:hAnsiTheme="minorEastAsia"/>
          <w:sz w:val="24"/>
          <w:szCs w:val="24"/>
        </w:rPr>
        <w:t>《建设项目环境影响评价技术导则 总纲》（</w:t>
      </w:r>
      <w:r>
        <w:rPr>
          <w:rFonts w:asciiTheme="minorEastAsia" w:hAnsiTheme="minorEastAsia"/>
          <w:sz w:val="24"/>
          <w:szCs w:val="24"/>
        </w:rPr>
        <w:t>HJ2.1-2016</w:t>
      </w:r>
      <w:r>
        <w:rPr>
          <w:rFonts w:hint="eastAsia" w:asciiTheme="minorEastAsia" w:hAnsiTheme="minorEastAsia"/>
          <w:sz w:val="24"/>
          <w:szCs w:val="24"/>
        </w:rPr>
        <w:t>）关于强化建设项目环境管理和监测</w:t>
      </w:r>
      <w:r>
        <w:rPr>
          <w:rFonts w:asciiTheme="minorEastAsia" w:hAnsiTheme="minorEastAsia"/>
          <w:sz w:val="24"/>
          <w:szCs w:val="24"/>
        </w:rPr>
        <w:t>的</w:t>
      </w:r>
      <w:r>
        <w:rPr>
          <w:rFonts w:hint="eastAsia" w:asciiTheme="minorEastAsia" w:hAnsiTheme="minorEastAsia"/>
          <w:sz w:val="24"/>
          <w:szCs w:val="24"/>
        </w:rPr>
        <w:t>规定</w:t>
      </w:r>
      <w:r>
        <w:rPr>
          <w:rFonts w:asciiTheme="minorEastAsia" w:hAnsiTheme="minorEastAsia"/>
          <w:sz w:val="24"/>
          <w:szCs w:val="24"/>
        </w:rPr>
        <w:t>，</w:t>
      </w:r>
      <w:r>
        <w:rPr>
          <w:rFonts w:hint="eastAsia" w:asciiTheme="minorEastAsia" w:hAnsiTheme="minorEastAsia"/>
          <w:sz w:val="24"/>
          <w:szCs w:val="24"/>
        </w:rPr>
        <w:t>环境管理应</w:t>
      </w:r>
      <w:r>
        <w:rPr>
          <w:rFonts w:hint="eastAsia" w:ascii="Calibri" w:hAnsi="Calibri" w:eastAsia="宋体" w:cs="Times New Roman"/>
          <w:sz w:val="24"/>
          <w:szCs w:val="24"/>
        </w:rPr>
        <w:t>按建设项目建设阶段、生产运行等不同阶段，针对不同工况、不同环境影响和环境风险特征，提出具体环境管理要求以及应向社会公开的环境信息内容；包括给出污染物排放清单，明确污染物排放的管理要求；提出建立日常环境管理制度、组织机构和环境管理台账相关要求；明确各项环境保护设施和措施的建设、运行及维护费用保障计划。环境监测计划应包括污染源监测计划和环境质量监测计划，内容包括监测因子、监测网点布设、监测频次、监测数据采集与处理、采样分析方法等，明确自行监测计划内容。</w:t>
      </w:r>
    </w:p>
    <w:p>
      <w:pPr>
        <w:spacing w:line="360" w:lineRule="auto"/>
        <w:rPr>
          <w:rFonts w:asciiTheme="minorEastAsia" w:hAnsiTheme="minorEastAsia"/>
          <w:b/>
          <w:sz w:val="28"/>
          <w:szCs w:val="28"/>
        </w:rPr>
      </w:pPr>
      <w:r>
        <w:rPr>
          <w:rFonts w:hint="eastAsia" w:asciiTheme="minorEastAsia" w:hAnsiTheme="minorEastAsia"/>
          <w:b/>
          <w:sz w:val="28"/>
          <w:szCs w:val="28"/>
        </w:rPr>
        <w:t>9</w:t>
      </w:r>
      <w:r>
        <w:rPr>
          <w:rFonts w:asciiTheme="minorEastAsia" w:hAnsiTheme="minorEastAsia"/>
          <w:b/>
          <w:sz w:val="28"/>
          <w:szCs w:val="28"/>
        </w:rPr>
        <w:t>.1环境管理</w:t>
      </w:r>
    </w:p>
    <w:p>
      <w:pPr>
        <w:spacing w:line="360" w:lineRule="auto"/>
        <w:rPr>
          <w:rFonts w:asciiTheme="minorEastAsia" w:hAnsiTheme="minorEastAsia"/>
          <w:b/>
          <w:sz w:val="24"/>
          <w:szCs w:val="24"/>
        </w:rPr>
      </w:pPr>
      <w:r>
        <w:rPr>
          <w:rFonts w:hint="eastAsia" w:asciiTheme="minorEastAsia" w:hAnsiTheme="minorEastAsia"/>
          <w:b/>
          <w:sz w:val="24"/>
          <w:szCs w:val="24"/>
        </w:rPr>
        <w:t>9</w:t>
      </w:r>
      <w:r>
        <w:rPr>
          <w:rFonts w:asciiTheme="minorEastAsia" w:hAnsiTheme="minorEastAsia"/>
          <w:b/>
          <w:sz w:val="24"/>
          <w:szCs w:val="24"/>
        </w:rPr>
        <w:t>.1.1建立环境管理体系</w:t>
      </w:r>
    </w:p>
    <w:p>
      <w:pPr>
        <w:spacing w:line="360" w:lineRule="auto"/>
        <w:ind w:firstLine="480" w:firstLineChars="200"/>
      </w:pPr>
      <w:r>
        <w:rPr>
          <w:rFonts w:asciiTheme="minorEastAsia" w:hAnsiTheme="minorEastAsia"/>
          <w:sz w:val="24"/>
          <w:szCs w:val="24"/>
        </w:rPr>
        <mc:AlternateContent>
          <mc:Choice Requires="wps">
            <w:drawing>
              <wp:anchor distT="0" distB="0" distL="114300" distR="114300" simplePos="0" relativeHeight="252141568" behindDoc="0" locked="0" layoutInCell="1" allowOverlap="1">
                <wp:simplePos x="0" y="0"/>
                <wp:positionH relativeFrom="column">
                  <wp:posOffset>3742055</wp:posOffset>
                </wp:positionH>
                <wp:positionV relativeFrom="paragraph">
                  <wp:posOffset>746760</wp:posOffset>
                </wp:positionV>
                <wp:extent cx="238125" cy="1888490"/>
                <wp:effectExtent l="6350" t="6350" r="10160" b="22225"/>
                <wp:wrapNone/>
                <wp:docPr id="30" name="直角上箭头 30"/>
                <wp:cNvGraphicFramePr/>
                <a:graphic xmlns:a="http://schemas.openxmlformats.org/drawingml/2006/main">
                  <a:graphicData uri="http://schemas.microsoft.com/office/word/2010/wordprocessingShape">
                    <wps:wsp>
                      <wps:cNvSpPr/>
                      <wps:spPr>
                        <a:xfrm rot="5400000" flipH="1" flipV="1">
                          <a:off x="0" y="0"/>
                          <a:ext cx="238125" cy="1888490"/>
                        </a:xfrm>
                        <a:prstGeom prst="bentUpArrow">
                          <a:avLst>
                            <a:gd name="adj1" fmla="val 38982"/>
                            <a:gd name="adj2" fmla="val 26127"/>
                            <a:gd name="adj3" fmla="val 50000"/>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flip:x y;margin-left:294.65pt;margin-top:58.8pt;height:148.7pt;width:18.75pt;rotation:5898240f;z-index:252141568;v-text-anchor:middle;mso-width-relative:page;mso-height-relative:page;" filled="f" stroked="t" coordsize="238125,1888490" o:gfxdata="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QwYKdoAAAALAQAADwAAAAAAAAABACAAAAAiAAAAZHJz&#10;L2Rvd25yZXYueG1sUEsBAhQAFAAAAAgAh07iQC/eq9GtAgAAPgUAAA4AAAAAAAAAAQAgAAAAKQEA&#10;AGRycy9lMm9Eb2MueG1sUEsFBgAAAAAGAAYAWQEAAEgGAAAAAA==&#10;" path="m0,1795664l129497,1795664,129497,119062,113695,119062,175910,0,238125,119062,222323,119062,222323,1888490,0,1888490xe">
                <v:path o:connectlocs="175910,0;113695,119062;0,1842077;111161,1888490;222323,1003776;238125,119062" o:connectangles="247,164,164,82,0,0"/>
                <v:fill on="f" focussize="0,0"/>
                <v:stroke weight="1pt" color="#385D8A" joinstyle="round"/>
                <v:imagedata o:title=""/>
                <o:lock v:ext="edit" aspectratio="f"/>
              </v:shape>
            </w:pict>
          </mc:Fallback>
        </mc:AlternateContent>
      </w:r>
      <w:r>
        <w:rPr>
          <w:rFonts w:asciiTheme="minorEastAsia" w:hAnsiTheme="minorEastAsia"/>
          <w:sz w:val="24"/>
          <w:szCs w:val="24"/>
        </w:rPr>
        <w:t>环境管理有助于指导和监督项目的环保工作，掌握污染源动态及其缓减措施和实际运行效果，使企业的生产活动符合环境法规的要求。环境管理体系建立和完善步骤</w:t>
      </w:r>
      <w:r>
        <w:rPr>
          <w:rFonts w:hint="eastAsia" w:asciiTheme="minorEastAsia" w:hAnsiTheme="minorEastAsia"/>
          <w:sz w:val="24"/>
          <w:szCs w:val="24"/>
        </w:rPr>
        <w:t>见下</w:t>
      </w:r>
      <w:r>
        <w:rPr>
          <w:rFonts w:asciiTheme="minorEastAsia" w:hAnsiTheme="minorEastAsia"/>
          <w:sz w:val="24"/>
          <w:szCs w:val="24"/>
        </w:rPr>
        <w:t>图</w:t>
      </w:r>
      <w:r>
        <w:rPr>
          <w:rFonts w:hint="eastAsia" w:asciiTheme="minorEastAsia" w:hAnsiTheme="minorEastAsia"/>
          <w:sz w:val="24"/>
          <w:szCs w:val="24"/>
        </w:rPr>
        <w:t>9.1</w:t>
      </w:r>
      <w:r>
        <w:rPr>
          <w:rFonts w:asciiTheme="minorEastAsia" w:hAnsiTheme="minorEastAsia"/>
          <w:sz w:val="24"/>
          <w:szCs w:val="24"/>
        </w:rPr>
        <w:t>－1。</w:t>
      </w:r>
    </w:p>
    <w:p>
      <w:pPr>
        <w:spacing w:line="360" w:lineRule="auto"/>
        <w:ind w:firstLine="480" w:firstLineChars="2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30304" behindDoc="0" locked="0" layoutInCell="1" allowOverlap="1">
                <wp:simplePos x="0" y="0"/>
                <wp:positionH relativeFrom="column">
                  <wp:posOffset>1449070</wp:posOffset>
                </wp:positionH>
                <wp:positionV relativeFrom="paragraph">
                  <wp:posOffset>224155</wp:posOffset>
                </wp:positionV>
                <wp:extent cx="2655570" cy="314325"/>
                <wp:effectExtent l="6350" t="6350" r="24130" b="22225"/>
                <wp:wrapNone/>
                <wp:docPr id="49" name="矩形 49"/>
                <wp:cNvGraphicFramePr/>
                <a:graphic xmlns:a="http://schemas.openxmlformats.org/drawingml/2006/main">
                  <a:graphicData uri="http://schemas.microsoft.com/office/word/2010/wordprocessingShape">
                    <wps:wsp>
                      <wps:cNvSpPr/>
                      <wps:spPr>
                        <a:xfrm>
                          <a:off x="0" y="0"/>
                          <a:ext cx="2655570" cy="314325"/>
                        </a:xfrm>
                        <a:prstGeom prst="rect">
                          <a:avLst/>
                        </a:prstGeom>
                        <a:noFill/>
                        <a:ln w="12700" cap="flat" cmpd="sng" algn="ctr">
                          <a:solidFill>
                            <a:srgbClr val="4F81BD">
                              <a:shade val="50000"/>
                            </a:srgbClr>
                          </a:solidFill>
                          <a:prstDash val="solid"/>
                        </a:ln>
                        <a:effectLst/>
                      </wps:spPr>
                      <wps:txbx>
                        <w:txbxContent>
                          <w:p>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制定环境管理方针</w:t>
                            </w:r>
                          </w:p>
                          <w:p>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定环境管理方针</w:t>
                            </w:r>
                          </w:p>
                          <w:p>
                            <w:pPr>
                              <w:jc w:val="center"/>
                            </w:pPr>
                            <w:r>
                              <w:rPr>
                                <w:rFonts w:hint="eastAsia"/>
                              </w:rPr>
                              <w:t>管理方针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1pt;margin-top:17.65pt;height:24.75pt;width:209.1pt;z-index:252130304;v-text-anchor:middle;mso-width-relative:page;mso-height-relative:page;" filled="f" stroked="t" coordsize="21600,21600" o:gfxdata="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PtBj3aAAAACQEAAA8AAAAAAAAAAQAgAAAAIgAAAGRycy9kb3ducmV2LnhtbFBLAQIUABQA&#10;AAAIAIdO4kAuTs2fYAIAAKIEAAAOAAAAAAAAAAEAIAAAACkBAABkcnMvZTJvRG9jLnhtbFBLBQYA&#10;AAAABgAGAFkBAAD7BQAAAAA=&#10;">
                <v:fill on="f" focussize="0,0"/>
                <v:stroke weight="1pt" color="#385D8A" joinstyle="round"/>
                <v:imagedata o:title=""/>
                <o:lock v:ext="edit" aspectratio="f"/>
                <v:textbox>
                  <w:txbxContent>
                    <w:p>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制定环境管理方针</w:t>
                      </w:r>
                    </w:p>
                    <w:p>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定环境管理方针</w:t>
                      </w:r>
                    </w:p>
                    <w:p>
                      <w:pPr>
                        <w:jc w:val="center"/>
                      </w:pPr>
                      <w:r>
                        <w:rPr>
                          <w:rFonts w:hint="eastAsia"/>
                        </w:rPr>
                        <w:t>管理方针</w:t>
                      </w:r>
                    </w:p>
                  </w:txbxContent>
                </v:textbox>
              </v:rect>
            </w:pict>
          </mc:Fallback>
        </mc:AlternateContent>
      </w:r>
    </w:p>
    <w:p>
      <w:pPr>
        <w:spacing w:line="360" w:lineRule="auto"/>
        <w:ind w:firstLine="240" w:firstLineChars="1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35424" behindDoc="0" locked="0" layoutInCell="1" allowOverlap="1">
                <wp:simplePos x="0" y="0"/>
                <wp:positionH relativeFrom="column">
                  <wp:posOffset>2737485</wp:posOffset>
                </wp:positionH>
                <wp:positionV relativeFrom="paragraph">
                  <wp:posOffset>241935</wp:posOffset>
                </wp:positionV>
                <wp:extent cx="215265" cy="384810"/>
                <wp:effectExtent l="6350" t="6350" r="6985" b="8890"/>
                <wp:wrapNone/>
                <wp:docPr id="50" name="下箭头 50"/>
                <wp:cNvGraphicFramePr/>
                <a:graphic xmlns:a="http://schemas.openxmlformats.org/drawingml/2006/main">
                  <a:graphicData uri="http://schemas.microsoft.com/office/word/2010/wordprocessingShape">
                    <wps:wsp>
                      <wps:cNvSpPr/>
                      <wps:spPr>
                        <a:xfrm>
                          <a:off x="0" y="0"/>
                          <a:ext cx="215265" cy="384810"/>
                        </a:xfrm>
                        <a:prstGeom prst="downArrow">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215.55pt;margin-top:19.05pt;height:30.3pt;width:16.95pt;z-index:252135424;v-text-anchor:middle;mso-width-relative:page;mso-height-relative:page;" filled="f" stroked="t" coordsize="21600,21600" o:gfxdata="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b/Sv9YAAAAJAQAADwAAAAAAAAABACAAAAAiAAAAZHJzL2Rvd25yZXYueG1sUEsBAhQAFAAA&#10;AAgAh07iQEs3U85jAgAAngQAAA4AAAAAAAAAAQAgAAAAJQEAAGRycy9lMm9Eb2MueG1sUEsFBgAA&#10;AAAGAAYAWQEAAPoFAAAAAA==&#10;" adj="15559,5400">
                <v:fill on="f" focussize="0,0"/>
                <v:stroke weight="1pt" color="#385D8A" joinstyle="round"/>
                <v:imagedata o:title=""/>
                <o:lock v:ext="edit" aspectratio="f"/>
              </v:shape>
            </w:pict>
          </mc:Fallback>
        </mc:AlternateContent>
      </w:r>
    </w:p>
    <w:p>
      <w:pPr>
        <w:spacing w:line="360" w:lineRule="auto"/>
        <w:ind w:firstLine="240" w:firstLineChars="100"/>
        <w:jc w:val="center"/>
        <w:rPr>
          <w:rFonts w:asciiTheme="minorEastAsia" w:hAnsiTheme="minorEastAsia"/>
          <w:sz w:val="24"/>
          <w:szCs w:val="24"/>
        </w:rPr>
      </w:pPr>
    </w:p>
    <w:p>
      <w:pPr>
        <w:spacing w:line="360" w:lineRule="auto"/>
        <w:ind w:firstLine="240" w:firstLineChars="1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40544" behindDoc="0" locked="0" layoutInCell="1" allowOverlap="1">
                <wp:simplePos x="0" y="0"/>
                <wp:positionH relativeFrom="column">
                  <wp:posOffset>4352925</wp:posOffset>
                </wp:positionH>
                <wp:positionV relativeFrom="paragraph">
                  <wp:posOffset>29845</wp:posOffset>
                </wp:positionV>
                <wp:extent cx="838200" cy="1542415"/>
                <wp:effectExtent l="6350" t="6350" r="12700" b="13335"/>
                <wp:wrapNone/>
                <wp:docPr id="67" name="矩形 67"/>
                <wp:cNvGraphicFramePr/>
                <a:graphic xmlns:a="http://schemas.openxmlformats.org/drawingml/2006/main">
                  <a:graphicData uri="http://schemas.microsoft.com/office/word/2010/wordprocessingShape">
                    <wps:wsp>
                      <wps:cNvSpPr/>
                      <wps:spPr>
                        <a:xfrm>
                          <a:off x="0" y="0"/>
                          <a:ext cx="838200" cy="1542415"/>
                        </a:xfrm>
                        <a:prstGeom prst="rect">
                          <a:avLst/>
                        </a:prstGeom>
                        <a:noFill/>
                        <a:ln w="12700" cap="flat" cmpd="sng" algn="ctr">
                          <a:solidFill>
                            <a:srgbClr val="4F81BD">
                              <a:shade val="50000"/>
                            </a:srgbClr>
                          </a:solidFill>
                          <a:prstDash val="solid"/>
                        </a:ln>
                        <a:effectLst/>
                      </wps:spPr>
                      <wps:txbx>
                        <w:txbxContent>
                          <w:p>
                            <w:pPr>
                              <w:jc w:val="center"/>
                              <w:rPr>
                                <w:color w:val="0D0D0D" w:themeColor="text1" w:themeTint="F2"/>
                                <w14:textFill>
                                  <w14:solidFill>
                                    <w14:schemeClr w14:val="tx1">
                                      <w14:lumMod w14:val="95000"/>
                                      <w14:lumOff w14:val="5000"/>
                                    </w14:schemeClr>
                                  </w14:solidFill>
                                </w14:textFill>
                              </w:rPr>
                            </w:pPr>
                            <w:r>
                              <w:rPr>
                                <w:rFonts w:hint="eastAsia"/>
                              </w:rPr>
                              <w:t>根</w:t>
                            </w:r>
                            <w:r>
                              <w:rPr>
                                <w:rFonts w:hint="eastAsia"/>
                                <w:color w:val="0D0D0D" w:themeColor="text1" w:themeTint="F2"/>
                                <w14:textFill>
                                  <w14:solidFill>
                                    <w14:schemeClr w14:val="tx1">
                                      <w14:lumMod w14:val="95000"/>
                                      <w14:lumOff w14:val="5000"/>
                                    </w14:schemeClr>
                                  </w14:solidFill>
                                </w14:textFill>
                              </w:rPr>
                              <w:t>据考核结果，合理调整环境管理机构、目标、指标、措施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75pt;margin-top:2.35pt;height:121.45pt;width:66pt;z-index:252140544;v-text-anchor:middle;mso-width-relative:page;mso-height-relative:page;" filled="f" stroked="t" coordsize="21600,21600" o:gfxdata="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PkkiHYAAAACQEAAA8AAAAAAAAAAQAgAAAAIgAAAGRycy9kb3ducmV2LnhtbFBLAQIUABQAAAAI&#10;AIdO4kBy5W8aXwIAAKIEAAAOAAAAAAAAAAEAIAAAACcBAABkcnMvZTJvRG9jLnhtbFBLBQYAAAAA&#10;BgAGAFkBAAD4BQAAAAA=&#10;">
                <v:fill on="f" focussize="0,0"/>
                <v:stroke weight="1pt" color="#385D8A" joinstyle="round"/>
                <v:imagedata o:title=""/>
                <o:lock v:ext="edit" aspectratio="f"/>
                <v:textbox>
                  <w:txbxContent>
                    <w:p>
                      <w:pPr>
                        <w:jc w:val="center"/>
                        <w:rPr>
                          <w:color w:val="0D0D0D" w:themeColor="text1" w:themeTint="F2"/>
                          <w14:textFill>
                            <w14:solidFill>
                              <w14:schemeClr w14:val="tx1">
                                <w14:lumMod w14:val="95000"/>
                                <w14:lumOff w14:val="5000"/>
                              </w14:schemeClr>
                            </w14:solidFill>
                          </w14:textFill>
                        </w:rPr>
                      </w:pPr>
                      <w:r>
                        <w:rPr>
                          <w:rFonts w:hint="eastAsia"/>
                        </w:rPr>
                        <w:t>根</w:t>
                      </w:r>
                      <w:r>
                        <w:rPr>
                          <w:rFonts w:hint="eastAsia"/>
                          <w:color w:val="0D0D0D" w:themeColor="text1" w:themeTint="F2"/>
                          <w14:textFill>
                            <w14:solidFill>
                              <w14:schemeClr w14:val="tx1">
                                <w14:lumMod w14:val="95000"/>
                                <w14:lumOff w14:val="5000"/>
                              </w14:schemeClr>
                            </w14:solidFill>
                          </w14:textFill>
                        </w:rPr>
                        <w:t>据考核结果，合理调整环境管理机构、目标、指标、措施</w:t>
                      </w:r>
                    </w:p>
                  </w:txbxContent>
                </v:textbox>
              </v:rect>
            </w:pict>
          </mc:Fallback>
        </mc:AlternateContent>
      </w:r>
      <w:r>
        <w:rPr>
          <w:rFonts w:asciiTheme="minorEastAsia" w:hAnsiTheme="minorEastAsia"/>
          <w:sz w:val="24"/>
          <w:szCs w:val="24"/>
        </w:rPr>
        <mc:AlternateContent>
          <mc:Choice Requires="wps">
            <w:drawing>
              <wp:anchor distT="0" distB="0" distL="114300" distR="114300" simplePos="0" relativeHeight="252133376" behindDoc="0" locked="0" layoutInCell="1" allowOverlap="1">
                <wp:simplePos x="0" y="0"/>
                <wp:positionH relativeFrom="column">
                  <wp:posOffset>1449705</wp:posOffset>
                </wp:positionH>
                <wp:positionV relativeFrom="paragraph">
                  <wp:posOffset>30480</wp:posOffset>
                </wp:positionV>
                <wp:extent cx="2655570" cy="314325"/>
                <wp:effectExtent l="6350" t="6350" r="24130" b="22225"/>
                <wp:wrapNone/>
                <wp:docPr id="68" name="矩形 68"/>
                <wp:cNvGraphicFramePr/>
                <a:graphic xmlns:a="http://schemas.openxmlformats.org/drawingml/2006/main">
                  <a:graphicData uri="http://schemas.microsoft.com/office/word/2010/wordprocessingShape">
                    <wps:wsp>
                      <wps:cNvSpPr/>
                      <wps:spPr>
                        <a:xfrm>
                          <a:off x="0" y="0"/>
                          <a:ext cx="2655570" cy="314325"/>
                        </a:xfrm>
                        <a:prstGeom prst="rect">
                          <a:avLst/>
                        </a:prstGeom>
                        <a:noFill/>
                        <a:ln w="12700" cap="flat" cmpd="sng" algn="ctr">
                          <a:solidFill>
                            <a:srgbClr val="4F81BD">
                              <a:shade val="50000"/>
                            </a:srgbClr>
                          </a:solidFill>
                          <a:prstDash val="solid"/>
                        </a:ln>
                        <a:effectLst/>
                      </wps:spPr>
                      <wps:txbx>
                        <w:txbxContent>
                          <w:p>
                            <w:pPr>
                              <w:jc w:val="center"/>
                            </w:pPr>
                            <w:r>
                              <w:rPr>
                                <w:rFonts w:hint="eastAsia"/>
                              </w:rPr>
                              <w:t>明确环境管理组织机构和职责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15pt;margin-top:2.4pt;height:24.75pt;width:209.1pt;z-index:252133376;v-text-anchor:middle;mso-width-relative:page;mso-height-relative:page;" filled="f" stroked="t" coordsize="21600,21600" o:gfxdata="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GX4w3YAAAACAEAAA8AAAAAAAAAAQAgAAAAIgAAAGRycy9kb3ducmV2LnhtbFBLAQIUABQAAAAI&#10;AIdO4kDlbidRXwIAAKIEAAAOAAAAAAAAAAEAIAAAACcBAABkcnMvZTJvRG9jLnhtbFBLBQYAAAAA&#10;BgAGAFkBAAD4BQAAAAA=&#10;">
                <v:fill on="f" focussize="0,0"/>
                <v:stroke weight="1pt" color="#385D8A" joinstyle="round"/>
                <v:imagedata o:title=""/>
                <o:lock v:ext="edit" aspectratio="f"/>
                <v:textbox>
                  <w:txbxContent>
                    <w:p>
                      <w:pPr>
                        <w:jc w:val="center"/>
                      </w:pPr>
                      <w:r>
                        <w:rPr>
                          <w:rFonts w:hint="eastAsia"/>
                        </w:rPr>
                        <w:t>明确环境管理组织机构和职责</w:t>
                      </w:r>
                    </w:p>
                  </w:txbxContent>
                </v:textbox>
              </v:rect>
            </w:pict>
          </mc:Fallback>
        </mc:AlternateContent>
      </w:r>
    </w:p>
    <w:p>
      <w:pPr>
        <w:spacing w:line="360" w:lineRule="auto"/>
        <w:ind w:firstLine="240" w:firstLineChars="1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36448" behindDoc="0" locked="0" layoutInCell="1" allowOverlap="1">
                <wp:simplePos x="0" y="0"/>
                <wp:positionH relativeFrom="column">
                  <wp:posOffset>2708275</wp:posOffset>
                </wp:positionH>
                <wp:positionV relativeFrom="paragraph">
                  <wp:posOffset>50165</wp:posOffset>
                </wp:positionV>
                <wp:extent cx="215265" cy="384810"/>
                <wp:effectExtent l="6350" t="6350" r="6985" b="8890"/>
                <wp:wrapNone/>
                <wp:docPr id="70" name="下箭头 70"/>
                <wp:cNvGraphicFramePr/>
                <a:graphic xmlns:a="http://schemas.openxmlformats.org/drawingml/2006/main">
                  <a:graphicData uri="http://schemas.microsoft.com/office/word/2010/wordprocessingShape">
                    <wps:wsp>
                      <wps:cNvSpPr/>
                      <wps:spPr>
                        <a:xfrm>
                          <a:off x="0" y="0"/>
                          <a:ext cx="215265" cy="384810"/>
                        </a:xfrm>
                        <a:prstGeom prst="downArrow">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213.25pt;margin-top:3.95pt;height:30.3pt;width:16.95pt;z-index:252136448;v-text-anchor:middle;mso-width-relative:page;mso-height-relative:page;" filled="f" stroked="t" coordsize="21600,21600" o:gfxdata="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RhEW91QAAAAgBAAAPAAAAAAAAAAEAIAAAACIAAABkcnMvZG93bnJldi54bWxQSwECFAAUAAAA&#10;CACHTuJAZpqZ9WMCAACeBAAADgAAAAAAAAABACAAAAAkAQAAZHJzL2Uyb0RvYy54bWxQSwUGAAAA&#10;AAYABgBZAQAA+QUAAAAA&#10;" adj="15559,5400">
                <v:fill on="f" focussize="0,0"/>
                <v:stroke weight="1pt" color="#385D8A" joinstyle="round"/>
                <v:imagedata o:title=""/>
                <o:lock v:ext="edit" aspectratio="f"/>
              </v:shape>
            </w:pict>
          </mc:Fallback>
        </mc:AlternateContent>
      </w:r>
    </w:p>
    <w:p>
      <w:pPr>
        <w:spacing w:line="360" w:lineRule="auto"/>
        <w:ind w:firstLine="240" w:firstLineChars="1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31328" behindDoc="0" locked="0" layoutInCell="1" allowOverlap="1">
                <wp:simplePos x="0" y="0"/>
                <wp:positionH relativeFrom="column">
                  <wp:posOffset>1450340</wp:posOffset>
                </wp:positionH>
                <wp:positionV relativeFrom="paragraph">
                  <wp:posOffset>166370</wp:posOffset>
                </wp:positionV>
                <wp:extent cx="2655570" cy="314325"/>
                <wp:effectExtent l="6350" t="6350" r="24130" b="22225"/>
                <wp:wrapNone/>
                <wp:docPr id="92" name="矩形 92"/>
                <wp:cNvGraphicFramePr/>
                <a:graphic xmlns:a="http://schemas.openxmlformats.org/drawingml/2006/main">
                  <a:graphicData uri="http://schemas.microsoft.com/office/word/2010/wordprocessingShape">
                    <wps:wsp>
                      <wps:cNvSpPr/>
                      <wps:spPr>
                        <a:xfrm>
                          <a:off x="0" y="0"/>
                          <a:ext cx="2655570" cy="314325"/>
                        </a:xfrm>
                        <a:prstGeom prst="rect">
                          <a:avLst/>
                        </a:prstGeom>
                        <a:noFill/>
                        <a:ln w="12700" cap="flat" cmpd="sng" algn="ctr">
                          <a:solidFill>
                            <a:srgbClr val="4F81BD">
                              <a:shade val="50000"/>
                            </a:srgbClr>
                          </a:solidFill>
                          <a:prstDash val="solid"/>
                        </a:ln>
                        <a:effectLst/>
                      </wps:spPr>
                      <wps:txbx>
                        <w:txbxContent>
                          <w:p>
                            <w:pPr>
                              <w:jc w:val="center"/>
                            </w:pPr>
                            <w:r>
                              <w:rPr>
                                <w:rFonts w:hint="eastAsia"/>
                              </w:rPr>
                              <w:t>制定环境管理目标和具体指标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2pt;margin-top:13.1pt;height:24.75pt;width:209.1pt;z-index:252131328;v-text-anchor:middle;mso-width-relative:page;mso-height-relative:page;" filled="f" stroked="t" coordsize="21600,21600" o:gfxdata="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sfpo02QAAAAkBAAAPAAAAAAAAAAEAIAAAACIAAABkcnMvZG93bnJldi54bWxQSwECFAAUAAAA&#10;CACHTuJAxZd7518CAACiBAAADgAAAAAAAAABACAAAAAoAQAAZHJzL2Uyb0RvYy54bWxQSwUGAAAA&#10;AAYABgBZAQAA+QUAAAAA&#10;">
                <v:fill on="f" focussize="0,0"/>
                <v:stroke weight="1pt" color="#385D8A" joinstyle="round"/>
                <v:imagedata o:title=""/>
                <o:lock v:ext="edit" aspectratio="f"/>
                <v:textbox>
                  <w:txbxContent>
                    <w:p>
                      <w:pPr>
                        <w:jc w:val="center"/>
                      </w:pPr>
                      <w:r>
                        <w:rPr>
                          <w:rFonts w:hint="eastAsia"/>
                        </w:rPr>
                        <w:t>制定环境管理目标和具体指标</w:t>
                      </w:r>
                    </w:p>
                  </w:txbxContent>
                </v:textbox>
              </v:rect>
            </w:pict>
          </mc:Fallback>
        </mc:AlternateContent>
      </w:r>
    </w:p>
    <w:p>
      <w:pPr>
        <w:spacing w:line="360" w:lineRule="auto"/>
        <w:ind w:firstLine="240" w:firstLineChars="1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37472" behindDoc="0" locked="0" layoutInCell="1" allowOverlap="1">
                <wp:simplePos x="0" y="0"/>
                <wp:positionH relativeFrom="column">
                  <wp:posOffset>2709545</wp:posOffset>
                </wp:positionH>
                <wp:positionV relativeFrom="paragraph">
                  <wp:posOffset>184785</wp:posOffset>
                </wp:positionV>
                <wp:extent cx="214630" cy="384175"/>
                <wp:effectExtent l="6350" t="6350" r="7620" b="9525"/>
                <wp:wrapNone/>
                <wp:docPr id="93" name="下箭头 93"/>
                <wp:cNvGraphicFramePr/>
                <a:graphic xmlns:a="http://schemas.openxmlformats.org/drawingml/2006/main">
                  <a:graphicData uri="http://schemas.microsoft.com/office/word/2010/wordprocessingShape">
                    <wps:wsp>
                      <wps:cNvSpPr/>
                      <wps:spPr>
                        <a:xfrm>
                          <a:off x="0" y="0"/>
                          <a:ext cx="214630" cy="384175"/>
                        </a:xfrm>
                        <a:prstGeom prst="downArrow">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213.35pt;margin-top:14.55pt;height:30.25pt;width:16.9pt;z-index:252137472;v-text-anchor:middle;mso-width-relative:page;mso-height-relative:page;" filled="f" stroked="t" coordsize="21600,21600" o:gfxdata="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A32ZXZAAAACQEAAA8AAAAAAAAAAQAgAAAAIgAAAGRycy9kb3ducmV2LnhtbFBLAQIUABQA&#10;AAAIAIdO4kCqAhTvYQIAAJ4EAAAOAAAAAAAAAAEAIAAAACgBAABkcnMvZTJvRG9jLnhtbFBLBQYA&#10;AAAABgAGAFkBAAD7BQAAAAA=&#10;" adj="15567,5400">
                <v:fill on="f" focussize="0,0"/>
                <v:stroke weight="1pt" color="#385D8A" joinstyle="round"/>
                <v:imagedata o:title=""/>
                <o:lock v:ext="edit" aspectratio="f"/>
              </v:shape>
            </w:pict>
          </mc:Fallback>
        </mc:AlternateContent>
      </w:r>
    </w:p>
    <w:p>
      <w:pPr>
        <w:spacing w:line="360" w:lineRule="auto"/>
        <w:ind w:firstLine="240" w:firstLineChars="1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32352" behindDoc="0" locked="0" layoutInCell="1" allowOverlap="1">
                <wp:simplePos x="0" y="0"/>
                <wp:positionH relativeFrom="column">
                  <wp:posOffset>1456055</wp:posOffset>
                </wp:positionH>
                <wp:positionV relativeFrom="paragraph">
                  <wp:posOffset>270510</wp:posOffset>
                </wp:positionV>
                <wp:extent cx="2655570" cy="314325"/>
                <wp:effectExtent l="6350" t="6350" r="24130" b="22225"/>
                <wp:wrapNone/>
                <wp:docPr id="94" name="矩形 94"/>
                <wp:cNvGraphicFramePr/>
                <a:graphic xmlns:a="http://schemas.openxmlformats.org/drawingml/2006/main">
                  <a:graphicData uri="http://schemas.microsoft.com/office/word/2010/wordprocessingShape">
                    <wps:wsp>
                      <wps:cNvSpPr/>
                      <wps:spPr>
                        <a:xfrm>
                          <a:off x="0" y="0"/>
                          <a:ext cx="2655570" cy="314325"/>
                        </a:xfrm>
                        <a:prstGeom prst="rect">
                          <a:avLst/>
                        </a:prstGeom>
                        <a:noFill/>
                        <a:ln w="12700" cap="flat" cmpd="sng" algn="ctr">
                          <a:solidFill>
                            <a:srgbClr val="4F81BD">
                              <a:shade val="50000"/>
                            </a:srgbClr>
                          </a:solidFill>
                          <a:prstDash val="solid"/>
                        </a:ln>
                        <a:effectLst/>
                      </wps:spPr>
                      <wps:txbx>
                        <w:txbxContent>
                          <w:p>
                            <w:pPr>
                              <w:jc w:val="center"/>
                            </w:pPr>
                            <w:r>
                              <w:rPr>
                                <w:rFonts w:hint="eastAsia"/>
                              </w:rPr>
                              <w:t>制定环境管理实施方案和具体措施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65pt;margin-top:21.3pt;height:24.75pt;width:209.1pt;z-index:252132352;v-text-anchor:middle;mso-width-relative:page;mso-height-relative:page;" filled="f" stroked="t" coordsize="21600,21600" o:gfxdata="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xoBxkdkAAAAJAQAADwAAAAAAAAABACAAAAAiAAAAZHJzL2Rvd25yZXYueG1sUEsBAhQAFAAA&#10;AAgAh07iQF2xlAtgAgAAogQAAA4AAAAAAAAAAQAgAAAAKAEAAGRycy9lMm9Eb2MueG1sUEsFBgAA&#10;AAAGAAYAWQEAAPoFAAAAAA==&#10;">
                <v:fill on="f" focussize="0,0"/>
                <v:stroke weight="1pt" color="#385D8A" joinstyle="round"/>
                <v:imagedata o:title=""/>
                <o:lock v:ext="edit" aspectratio="f"/>
                <v:textbox>
                  <w:txbxContent>
                    <w:p>
                      <w:pPr>
                        <w:jc w:val="center"/>
                      </w:pPr>
                      <w:r>
                        <w:rPr>
                          <w:rFonts w:hint="eastAsia"/>
                        </w:rPr>
                        <w:t>制定环境管理实施方案和具体措施</w:t>
                      </w:r>
                    </w:p>
                  </w:txbxContent>
                </v:textbox>
              </v:rect>
            </w:pict>
          </mc:Fallback>
        </mc:AlternateContent>
      </w:r>
    </w:p>
    <w:p>
      <w:pPr>
        <w:spacing w:line="360" w:lineRule="auto"/>
        <w:ind w:firstLine="240" w:firstLineChars="100"/>
        <w:jc w:val="center"/>
        <w:rPr>
          <w:rFonts w:asciiTheme="minorEastAsia" w:hAnsiTheme="minorEastAsia"/>
          <w:sz w:val="24"/>
          <w:szCs w:val="24"/>
        </w:rPr>
      </w:pPr>
      <w:r>
        <w:rPr>
          <w:rFonts w:asciiTheme="minorEastAsia" w:hAnsiTheme="minorEastAsia"/>
          <w:sz w:val="24"/>
          <w:szCs w:val="24"/>
        </w:rPr>
        <mc:AlternateContent>
          <mc:Choice Requires="wps">
            <w:drawing>
              <wp:anchor distT="0" distB="0" distL="114300" distR="114300" simplePos="0" relativeHeight="252139520" behindDoc="0" locked="0" layoutInCell="1" allowOverlap="1">
                <wp:simplePos x="0" y="0"/>
                <wp:positionH relativeFrom="column">
                  <wp:posOffset>4076700</wp:posOffset>
                </wp:positionH>
                <wp:positionV relativeFrom="paragraph">
                  <wp:posOffset>113030</wp:posOffset>
                </wp:positionV>
                <wp:extent cx="815340" cy="842645"/>
                <wp:effectExtent l="6350" t="6350" r="16510" b="8255"/>
                <wp:wrapNone/>
                <wp:docPr id="95" name="直角上箭头 95"/>
                <wp:cNvGraphicFramePr/>
                <a:graphic xmlns:a="http://schemas.openxmlformats.org/drawingml/2006/main">
                  <a:graphicData uri="http://schemas.microsoft.com/office/word/2010/wordprocessingShape">
                    <wps:wsp>
                      <wps:cNvSpPr/>
                      <wps:spPr>
                        <a:xfrm>
                          <a:off x="0" y="0"/>
                          <a:ext cx="815340" cy="842645"/>
                        </a:xfrm>
                        <a:prstGeom prst="bentUpArrow">
                          <a:avLst>
                            <a:gd name="adj1" fmla="val 10060"/>
                            <a:gd name="adj2" fmla="val 9542"/>
                            <a:gd name="adj3" fmla="val 24793"/>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1pt;margin-top:8.9pt;height:66.35pt;width:64.2pt;z-index:252139520;v-text-anchor:middle;mso-width-relative:page;mso-height-relative:page;" filled="f" stroked="t" coordsize="815340,842645" o:gfxdata="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OieGE9kAAAAKAQAADwAAAAAAAAABACAAAAAiAAAAZHJzL2Rvd25yZXYueG1sUEsBAhQA&#10;FAAAAAgAh07iQPRNaNecAgAAGgUAAA4AAAAAAAAAAQAgAAAAKAEAAGRycy9lMm9Eb2MueG1sUEsF&#10;BgAAAAAGAAYAWQEAADYGAAAAAA==&#10;" path="m0,760621l696528,760621,696528,202147,659740,202147,737540,0,815340,202147,778551,202147,778551,842645,0,842645xe">
                <v:path o:connectlocs="737540,0;659740,202147;0,801633;389275,842645;778551,522396;815340,202147" o:connectangles="247,164,164,82,0,0"/>
                <v:fill on="f" focussize="0,0"/>
                <v:stroke weight="1pt" color="#385D8A" joinstyle="round"/>
                <v:imagedata o:title=""/>
                <o:lock v:ext="edit" aspectratio="f"/>
              </v:shape>
            </w:pict>
          </mc:Fallback>
        </mc:AlternateContent>
      </w:r>
      <w:r>
        <w:rPr>
          <w:rFonts w:asciiTheme="minorEastAsia" w:hAnsiTheme="minorEastAsia"/>
          <w:sz w:val="24"/>
          <w:szCs w:val="24"/>
        </w:rPr>
        <mc:AlternateContent>
          <mc:Choice Requires="wps">
            <w:drawing>
              <wp:anchor distT="0" distB="0" distL="114300" distR="114300" simplePos="0" relativeHeight="252138496" behindDoc="0" locked="0" layoutInCell="1" allowOverlap="1">
                <wp:simplePos x="0" y="0"/>
                <wp:positionH relativeFrom="column">
                  <wp:posOffset>2707640</wp:posOffset>
                </wp:positionH>
                <wp:positionV relativeFrom="paragraph">
                  <wp:posOffset>287020</wp:posOffset>
                </wp:positionV>
                <wp:extent cx="214630" cy="419100"/>
                <wp:effectExtent l="6350" t="6350" r="7620" b="12700"/>
                <wp:wrapNone/>
                <wp:docPr id="96" name="下箭头 96"/>
                <wp:cNvGraphicFramePr/>
                <a:graphic xmlns:a="http://schemas.openxmlformats.org/drawingml/2006/main">
                  <a:graphicData uri="http://schemas.microsoft.com/office/word/2010/wordprocessingShape">
                    <wps:wsp>
                      <wps:cNvSpPr/>
                      <wps:spPr>
                        <a:xfrm>
                          <a:off x="0" y="0"/>
                          <a:ext cx="214630" cy="419100"/>
                        </a:xfrm>
                        <a:prstGeom prst="downArrow">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213.2pt;margin-top:22.6pt;height:33pt;width:16.9pt;z-index:252138496;v-text-anchor:middle;mso-width-relative:page;mso-height-relative:page;" filled="f" stroked="t" coordsize="21600,21600" o:gfxdata="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juyFzYAAAACgEAAA8AAAAAAAAAAQAgAAAAIgAAAGRycy9kb3ducmV2LnhtbFBLAQIUABQA&#10;AAAIAIdO4kA1jUhUYgIAAJ4EAAAOAAAAAAAAAAEAIAAAACcBAABkcnMvZTJvRG9jLnhtbFBLBQYA&#10;AAAABgAGAFkBAAD7BQAAAAA=&#10;" adj="16070,5400">
                <v:fill on="f" focussize="0,0"/>
                <v:stroke weight="1pt" color="#385D8A" joinstyle="round"/>
                <v:imagedata o:title=""/>
                <o:lock v:ext="edit" aspectratio="f"/>
              </v:shape>
            </w:pict>
          </mc:Fallback>
        </mc:AlternateContent>
      </w:r>
    </w:p>
    <w:p>
      <w:pPr>
        <w:spacing w:line="360" w:lineRule="auto"/>
        <w:ind w:firstLine="240" w:firstLineChars="100"/>
        <w:jc w:val="center"/>
        <w:rPr>
          <w:rFonts w:asciiTheme="minorEastAsia" w:hAnsiTheme="minorEastAsia"/>
          <w:sz w:val="24"/>
          <w:szCs w:val="24"/>
        </w:rPr>
      </w:pPr>
    </w:p>
    <w:tbl>
      <w:tblPr>
        <w:tblStyle w:val="27"/>
        <w:tblW w:w="5000" w:type="pct"/>
        <w:tblCellSpacing w:w="0" w:type="dxa"/>
        <w:tblInd w:w="0" w:type="dxa"/>
        <w:tblLayout w:type="autofit"/>
        <w:tblCellMar>
          <w:top w:w="0" w:type="dxa"/>
          <w:left w:w="0" w:type="dxa"/>
          <w:bottom w:w="0" w:type="dxa"/>
          <w:right w:w="0" w:type="dxa"/>
        </w:tblCellMar>
      </w:tblPr>
      <w:tblGrid>
        <w:gridCol w:w="8306"/>
      </w:tblGrid>
      <w:tr>
        <w:tblPrEx>
          <w:tblCellMar>
            <w:top w:w="0" w:type="dxa"/>
            <w:left w:w="0" w:type="dxa"/>
            <w:bottom w:w="0" w:type="dxa"/>
            <w:right w:w="0" w:type="dxa"/>
          </w:tblCellMar>
        </w:tblPrEx>
        <w:trPr>
          <w:trHeight w:val="645" w:hRule="atLeast"/>
          <w:tblCellSpacing w:w="0" w:type="dxa"/>
        </w:trPr>
        <w:tc>
          <w:tcPr>
            <w:tcW w:w="0" w:type="auto"/>
          </w:tcPr>
          <w:p>
            <w:pPr>
              <w:spacing w:line="360" w:lineRule="auto"/>
              <w:jc w:val="center"/>
              <w:rPr>
                <w:rFonts w:asciiTheme="minorEastAsia" w:hAnsiTheme="minorEastAsia"/>
                <w:b/>
                <w:szCs w:val="21"/>
              </w:rPr>
            </w:pPr>
            <w:r>
              <w:rPr>
                <w:rFonts w:asciiTheme="minorEastAsia" w:hAnsiTheme="minorEastAsia"/>
                <w:sz w:val="24"/>
                <w:szCs w:val="24"/>
              </w:rPr>
              <mc:AlternateContent>
                <mc:Choice Requires="wps">
                  <w:drawing>
                    <wp:anchor distT="0" distB="0" distL="114300" distR="114300" simplePos="0" relativeHeight="252134400" behindDoc="0" locked="0" layoutInCell="1" allowOverlap="1">
                      <wp:simplePos x="0" y="0"/>
                      <wp:positionH relativeFrom="column">
                        <wp:posOffset>1421765</wp:posOffset>
                      </wp:positionH>
                      <wp:positionV relativeFrom="paragraph">
                        <wp:posOffset>126365</wp:posOffset>
                      </wp:positionV>
                      <wp:extent cx="2655570" cy="314325"/>
                      <wp:effectExtent l="6350" t="6350" r="24130" b="22225"/>
                      <wp:wrapNone/>
                      <wp:docPr id="97" name="矩形 97"/>
                      <wp:cNvGraphicFramePr/>
                      <a:graphic xmlns:a="http://schemas.openxmlformats.org/drawingml/2006/main">
                        <a:graphicData uri="http://schemas.microsoft.com/office/word/2010/wordprocessingShape">
                          <wps:wsp>
                            <wps:cNvSpPr/>
                            <wps:spPr>
                              <a:xfrm>
                                <a:off x="0" y="0"/>
                                <a:ext cx="2655570" cy="314325"/>
                              </a:xfrm>
                              <a:prstGeom prst="rect">
                                <a:avLst/>
                              </a:prstGeom>
                              <a:noFill/>
                              <a:ln w="12700" cap="flat" cmpd="sng" algn="ctr">
                                <a:solidFill>
                                  <a:srgbClr val="4F81BD">
                                    <a:shade val="50000"/>
                                  </a:srgbClr>
                                </a:solidFill>
                                <a:prstDash val="solid"/>
                              </a:ln>
                              <a:effectLst/>
                            </wps:spPr>
                            <wps:txbx>
                              <w:txbxContent>
                                <w:p>
                                  <w:pPr>
                                    <w:jc w:val="center"/>
                                  </w:pPr>
                                  <w:r>
                                    <w:rPr>
                                      <w:rFonts w:hint="eastAsia"/>
                                    </w:rPr>
                                    <w:t>实施环境管理目标考核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95pt;margin-top:9.95pt;height:24.75pt;width:209.1pt;z-index:252134400;v-text-anchor:middle;mso-width-relative:page;mso-height-relative:page;" filled="f" stroked="t" coordsize="21600,21600" o:gfxdata="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3Ji5XXAAAACQEAAA8AAAAAAAAAAQAgAAAAIgAAAGRycy9kb3ducmV2LnhtbFBLAQIUABQAAAAI&#10;AIdO4kARIuN9YAIAAKIEAAAOAAAAAAAAAAEAIAAAACYBAABkcnMvZTJvRG9jLnhtbFBLBQYAAAAA&#10;BgAGAFkBAAD4BQAAAAA=&#10;">
                      <v:fill on="f" focussize="0,0"/>
                      <v:stroke weight="1pt" color="#385D8A" joinstyle="round"/>
                      <v:imagedata o:title=""/>
                      <o:lock v:ext="edit" aspectratio="f"/>
                      <v:textbox>
                        <w:txbxContent>
                          <w:p>
                            <w:pPr>
                              <w:jc w:val="center"/>
                            </w:pPr>
                            <w:r>
                              <w:rPr>
                                <w:rFonts w:hint="eastAsia"/>
                              </w:rPr>
                              <w:t>实施环境管理目标考核</w:t>
                            </w:r>
                          </w:p>
                        </w:txbxContent>
                      </v:textbox>
                    </v:rect>
                  </w:pict>
                </mc:Fallback>
              </mc:AlternateContent>
            </w:r>
          </w:p>
          <w:p>
            <w:pPr>
              <w:spacing w:line="360" w:lineRule="auto"/>
              <w:jc w:val="center"/>
              <w:rPr>
                <w:rFonts w:asciiTheme="minorEastAsia" w:hAnsiTheme="minorEastAsia"/>
                <w:b/>
                <w:szCs w:val="21"/>
              </w:rPr>
            </w:pPr>
          </w:p>
          <w:p>
            <w:pPr>
              <w:spacing w:line="360" w:lineRule="auto"/>
              <w:jc w:val="center"/>
              <w:rPr>
                <w:rFonts w:asciiTheme="minorEastAsia" w:hAnsiTheme="minorEastAsia"/>
                <w:b/>
                <w:sz w:val="24"/>
                <w:szCs w:val="24"/>
              </w:rPr>
            </w:pPr>
            <w:r>
              <w:rPr>
                <w:rFonts w:asciiTheme="minorEastAsia" w:hAnsiTheme="minorEastAsia"/>
                <w:b/>
                <w:sz w:val="24"/>
                <w:szCs w:val="24"/>
              </w:rPr>
              <w:t>图</w:t>
            </w:r>
            <w:r>
              <w:rPr>
                <w:rFonts w:hint="eastAsia" w:asciiTheme="minorEastAsia" w:hAnsiTheme="minorEastAsia"/>
                <w:b/>
                <w:sz w:val="24"/>
                <w:szCs w:val="24"/>
              </w:rPr>
              <w:t>9.1</w:t>
            </w:r>
            <w:r>
              <w:rPr>
                <w:rFonts w:asciiTheme="minorEastAsia" w:hAnsiTheme="minorEastAsia"/>
                <w:b/>
                <w:sz w:val="24"/>
                <w:szCs w:val="24"/>
              </w:rPr>
              <w:t>-1   环境管理体系建立和完善步骤</w:t>
            </w:r>
          </w:p>
        </w:tc>
      </w:tr>
    </w:tbl>
    <w:p>
      <w:pPr>
        <w:spacing w:line="360" w:lineRule="auto"/>
        <w:ind w:firstLine="480" w:firstLineChars="200"/>
        <w:rPr>
          <w:sz w:val="24"/>
          <w:szCs w:val="24"/>
        </w:rPr>
      </w:pPr>
      <w:r>
        <w:rPr>
          <w:rFonts w:hint="eastAsia" w:asciiTheme="minorEastAsia" w:hAnsiTheme="minorEastAsia"/>
          <w:sz w:val="24"/>
          <w:szCs w:val="24"/>
        </w:rPr>
        <w:t>按照</w:t>
      </w:r>
      <w:r>
        <w:rPr>
          <w:rFonts w:asciiTheme="minorEastAsia" w:hAnsiTheme="minorEastAsia"/>
          <w:sz w:val="24"/>
          <w:szCs w:val="24"/>
        </w:rPr>
        <w:t>我国环境管理体系已颁布的系列标准(GB/T24001，24004、24010，24011～24012)，</w:t>
      </w:r>
      <w:r>
        <w:rPr>
          <w:sz w:val="24"/>
          <w:szCs w:val="24"/>
        </w:rPr>
        <w:t>环境管理体系应在企业对环境所承担的责任和义务的环境方针指导下，</w:t>
      </w:r>
      <w:r>
        <w:rPr>
          <w:rFonts w:hint="eastAsia"/>
          <w:sz w:val="24"/>
          <w:szCs w:val="24"/>
        </w:rPr>
        <w:t>以</w:t>
      </w:r>
      <w:r>
        <w:rPr>
          <w:sz w:val="24"/>
          <w:szCs w:val="24"/>
        </w:rPr>
        <w:t>国家环保法规和各项规章制度</w:t>
      </w:r>
      <w:r>
        <w:rPr>
          <w:rFonts w:hint="eastAsia"/>
          <w:sz w:val="24"/>
          <w:szCs w:val="24"/>
        </w:rPr>
        <w:t>为准绳，</w:t>
      </w:r>
      <w:r>
        <w:rPr>
          <w:sz w:val="24"/>
          <w:szCs w:val="24"/>
        </w:rPr>
        <w:t>制定出在一定时期要实现的环境目标和分解指标，明确从</w:t>
      </w:r>
      <w:r>
        <w:rPr>
          <w:rFonts w:hint="eastAsia"/>
          <w:sz w:val="24"/>
          <w:szCs w:val="24"/>
        </w:rPr>
        <w:t>企业</w:t>
      </w:r>
      <w:r>
        <w:rPr>
          <w:sz w:val="24"/>
          <w:szCs w:val="24"/>
        </w:rPr>
        <w:t>最高领导到一般员工的环境职责，以及实现环境目标的具体实施方案。</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t>根据上述建立、完善环境管理体系的要求，该工程</w:t>
      </w:r>
      <w:r>
        <w:rPr>
          <w:rFonts w:hint="eastAsia" w:asciiTheme="minorEastAsia" w:hAnsiTheme="minorEastAsia"/>
          <w:sz w:val="24"/>
          <w:szCs w:val="24"/>
        </w:rPr>
        <w:t>应重点从以</w:t>
      </w:r>
      <w:r>
        <w:rPr>
          <w:rFonts w:asciiTheme="minorEastAsia" w:hAnsiTheme="minorEastAsia"/>
          <w:sz w:val="24"/>
          <w:szCs w:val="24"/>
        </w:rPr>
        <w:t>下</w:t>
      </w:r>
      <w:r>
        <w:rPr>
          <w:rFonts w:hint="eastAsia" w:asciiTheme="minorEastAsia" w:hAnsiTheme="minorEastAsia"/>
          <w:sz w:val="24"/>
          <w:szCs w:val="24"/>
        </w:rPr>
        <w:t>几个方面</w:t>
      </w:r>
      <w:r>
        <w:rPr>
          <w:rFonts w:asciiTheme="minorEastAsia" w:hAnsiTheme="minorEastAsia"/>
          <w:sz w:val="24"/>
          <w:szCs w:val="24"/>
        </w:rPr>
        <w:t>来</w:t>
      </w:r>
      <w:r>
        <w:rPr>
          <w:rFonts w:hint="eastAsia" w:asciiTheme="minorEastAsia" w:hAnsiTheme="minorEastAsia"/>
          <w:sz w:val="24"/>
          <w:szCs w:val="24"/>
        </w:rPr>
        <w:t>建立、</w:t>
      </w:r>
      <w:r>
        <w:rPr>
          <w:rFonts w:asciiTheme="minorEastAsia" w:hAnsiTheme="minorEastAsia"/>
          <w:sz w:val="24"/>
          <w:szCs w:val="24"/>
        </w:rPr>
        <w:t>完善环境管理体系</w:t>
      </w:r>
      <w:r>
        <w:rPr>
          <w:rFonts w:hint="eastAsia" w:asciiTheme="minorEastAsia" w:hAnsiTheme="minorEastAsia"/>
          <w:sz w:val="24"/>
          <w:szCs w:val="24"/>
        </w:rPr>
        <w:t>和目标</w:t>
      </w:r>
      <w:r>
        <w:rPr>
          <w:rFonts w:asciiTheme="minorEastAsia" w:hAnsiTheme="minorEastAsia"/>
          <w:sz w:val="24"/>
          <w:szCs w:val="24"/>
        </w:rPr>
        <w:t>：</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（1）生态环境管理：项目实施过程中应严格落实生态环境保护措施，减少对现有生态环境的损害，加大生态恢复力度，提高区域生态环境质量；</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w:t>
      </w:r>
      <w:r>
        <w:rPr>
          <w:rFonts w:asciiTheme="minorEastAsia" w:hAnsiTheme="minorEastAsia"/>
          <w:sz w:val="24"/>
          <w:szCs w:val="24"/>
        </w:rPr>
        <w:t>水</w:t>
      </w:r>
      <w:r>
        <w:rPr>
          <w:rFonts w:hint="eastAsia" w:asciiTheme="minorEastAsia" w:hAnsiTheme="minorEastAsia"/>
          <w:sz w:val="24"/>
          <w:szCs w:val="24"/>
        </w:rPr>
        <w:t>环境</w:t>
      </w:r>
      <w:r>
        <w:rPr>
          <w:rFonts w:asciiTheme="minorEastAsia" w:hAnsiTheme="minorEastAsia"/>
          <w:sz w:val="24"/>
          <w:szCs w:val="24"/>
        </w:rPr>
        <w:t>管理：</w:t>
      </w:r>
      <w:r>
        <w:rPr>
          <w:rFonts w:hint="eastAsia" w:asciiTheme="minorEastAsia" w:hAnsiTheme="minorEastAsia"/>
          <w:sz w:val="24"/>
          <w:szCs w:val="24"/>
        </w:rPr>
        <w:t>以保持区域水环境功能和改善水环境质量为目标，建立</w:t>
      </w:r>
      <w:r>
        <w:rPr>
          <w:rFonts w:asciiTheme="minorEastAsia" w:hAnsiTheme="minorEastAsia"/>
          <w:sz w:val="24"/>
          <w:szCs w:val="24"/>
        </w:rPr>
        <w:t>节水、</w:t>
      </w:r>
      <w:r>
        <w:rPr>
          <w:rFonts w:hint="eastAsia" w:asciiTheme="minorEastAsia" w:hAnsiTheme="minorEastAsia"/>
          <w:sz w:val="24"/>
          <w:szCs w:val="24"/>
        </w:rPr>
        <w:t>废水处理及</w:t>
      </w:r>
      <w:r>
        <w:rPr>
          <w:rFonts w:asciiTheme="minorEastAsia" w:hAnsiTheme="minorEastAsia"/>
          <w:sz w:val="24"/>
          <w:szCs w:val="24"/>
        </w:rPr>
        <w:t>重复、循环利用管理制度</w:t>
      </w:r>
      <w:r>
        <w:rPr>
          <w:rFonts w:hint="eastAsia" w:asciiTheme="minorEastAsia" w:hAnsiTheme="minorEastAsia"/>
          <w:sz w:val="24"/>
          <w:szCs w:val="24"/>
        </w:rPr>
        <w:t>；减少水污染物排放；</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（3）大气环境</w:t>
      </w:r>
      <w:r>
        <w:rPr>
          <w:rFonts w:asciiTheme="minorEastAsia" w:hAnsiTheme="minorEastAsia"/>
          <w:sz w:val="24"/>
          <w:szCs w:val="24"/>
        </w:rPr>
        <w:t>管理：</w:t>
      </w:r>
      <w:r>
        <w:rPr>
          <w:rFonts w:hint="eastAsia" w:asciiTheme="minorEastAsia" w:hAnsiTheme="minorEastAsia"/>
          <w:sz w:val="24"/>
          <w:szCs w:val="24"/>
        </w:rPr>
        <w:t>制定工程废气</w:t>
      </w:r>
      <w:r>
        <w:rPr>
          <w:rFonts w:asciiTheme="minorEastAsia" w:hAnsiTheme="minorEastAsia"/>
          <w:sz w:val="24"/>
          <w:szCs w:val="24"/>
        </w:rPr>
        <w:t>控制</w:t>
      </w:r>
      <w:r>
        <w:rPr>
          <w:rFonts w:hint="eastAsia" w:asciiTheme="minorEastAsia" w:hAnsiTheme="minorEastAsia"/>
          <w:sz w:val="24"/>
          <w:szCs w:val="24"/>
        </w:rPr>
        <w:t>方案；降低废气对区域环境</w:t>
      </w:r>
      <w:r>
        <w:rPr>
          <w:rFonts w:asciiTheme="minorEastAsia" w:hAnsiTheme="minorEastAsia"/>
          <w:sz w:val="24"/>
          <w:szCs w:val="24"/>
        </w:rPr>
        <w:t>空气质量</w:t>
      </w:r>
      <w:r>
        <w:rPr>
          <w:rFonts w:hint="eastAsia" w:asciiTheme="minorEastAsia" w:hAnsiTheme="minorEastAsia"/>
          <w:sz w:val="24"/>
          <w:szCs w:val="24"/>
        </w:rPr>
        <w:t>的影响，不降低区域环境空气质量功能；</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（4）噪声管理：落实工程产噪生产设备降噪措施，实现厂界噪声排放符合国家相关排放标准，确保不出现噪声扰民现象；</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（5）</w:t>
      </w:r>
      <w:r>
        <w:rPr>
          <w:rFonts w:asciiTheme="minorEastAsia" w:hAnsiTheme="minorEastAsia"/>
          <w:sz w:val="24"/>
          <w:szCs w:val="24"/>
        </w:rPr>
        <w:t>固体废物管理：</w:t>
      </w:r>
      <w:r>
        <w:rPr>
          <w:rFonts w:hint="eastAsia" w:asciiTheme="minorEastAsia" w:hAnsiTheme="minorEastAsia"/>
          <w:sz w:val="24"/>
          <w:szCs w:val="24"/>
        </w:rPr>
        <w:t>工程所有固废规范存放，处置合理，不对环境造成污染或安全隐患；</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（6）环境风险管理：落实项目环境风险防范措施和安全生产责任制，确保区域环境安全；</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（7）环境目标考核管理：</w:t>
      </w:r>
      <w:r>
        <w:rPr>
          <w:rFonts w:asciiTheme="minorEastAsia" w:hAnsiTheme="minorEastAsia"/>
          <w:sz w:val="24"/>
          <w:szCs w:val="24"/>
        </w:rPr>
        <w:t>建立</w:t>
      </w:r>
      <w:r>
        <w:rPr>
          <w:rFonts w:hint="eastAsia" w:asciiTheme="minorEastAsia" w:hAnsiTheme="minorEastAsia"/>
          <w:sz w:val="24"/>
          <w:szCs w:val="24"/>
        </w:rPr>
        <w:t>项目</w:t>
      </w:r>
      <w:r>
        <w:rPr>
          <w:rFonts w:asciiTheme="minorEastAsia" w:hAnsiTheme="minorEastAsia"/>
          <w:sz w:val="24"/>
          <w:szCs w:val="24"/>
        </w:rPr>
        <w:t>环保管理</w:t>
      </w:r>
      <w:r>
        <w:rPr>
          <w:rFonts w:hint="eastAsia" w:asciiTheme="minorEastAsia" w:hAnsiTheme="minorEastAsia"/>
          <w:sz w:val="24"/>
          <w:szCs w:val="24"/>
        </w:rPr>
        <w:t>网络</w:t>
      </w:r>
      <w:r>
        <w:rPr>
          <w:rFonts w:asciiTheme="minorEastAsia" w:hAnsiTheme="minorEastAsia"/>
          <w:sz w:val="24"/>
          <w:szCs w:val="24"/>
        </w:rPr>
        <w:t>，明确</w:t>
      </w:r>
      <w:r>
        <w:rPr>
          <w:rFonts w:hint="eastAsia" w:asciiTheme="minorEastAsia" w:hAnsiTheme="minorEastAsia"/>
          <w:sz w:val="24"/>
          <w:szCs w:val="24"/>
        </w:rPr>
        <w:t>各部门</w:t>
      </w:r>
      <w:r>
        <w:rPr>
          <w:rFonts w:asciiTheme="minorEastAsia" w:hAnsiTheme="minorEastAsia"/>
          <w:sz w:val="24"/>
          <w:szCs w:val="24"/>
        </w:rPr>
        <w:t>职责，健全</w:t>
      </w:r>
      <w:r>
        <w:rPr>
          <w:rFonts w:hint="eastAsia" w:asciiTheme="minorEastAsia" w:hAnsiTheme="minorEastAsia"/>
          <w:sz w:val="24"/>
          <w:szCs w:val="24"/>
        </w:rPr>
        <w:t>并实施环境管理目标</w:t>
      </w:r>
      <w:r>
        <w:rPr>
          <w:rFonts w:asciiTheme="minorEastAsia" w:hAnsiTheme="minorEastAsia"/>
          <w:sz w:val="24"/>
          <w:szCs w:val="24"/>
        </w:rPr>
        <w:t>考核制度。</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（8）环境信息公开管理：按照各级环保部门的管理要求，及时公开项目环评、竣工环保验收、污染物排放情况等环境信息，自觉接受社会监督。</w:t>
      </w:r>
    </w:p>
    <w:p>
      <w:pPr>
        <w:spacing w:line="360" w:lineRule="auto"/>
        <w:rPr>
          <w:rFonts w:asciiTheme="minorEastAsia" w:hAnsiTheme="minorEastAsia"/>
          <w:b/>
          <w:sz w:val="24"/>
          <w:szCs w:val="24"/>
        </w:rPr>
      </w:pPr>
      <w:r>
        <w:rPr>
          <w:rFonts w:hint="eastAsia" w:asciiTheme="minorEastAsia" w:hAnsiTheme="minorEastAsia"/>
          <w:b/>
          <w:sz w:val="24"/>
          <w:szCs w:val="24"/>
        </w:rPr>
        <w:t>9</w:t>
      </w:r>
      <w:r>
        <w:rPr>
          <w:rFonts w:asciiTheme="minorEastAsia" w:hAnsiTheme="minorEastAsia"/>
          <w:b/>
          <w:sz w:val="24"/>
          <w:szCs w:val="24"/>
        </w:rPr>
        <w:t>.1.2</w:t>
      </w:r>
      <w:r>
        <w:rPr>
          <w:rFonts w:hint="eastAsia" w:asciiTheme="minorEastAsia" w:hAnsiTheme="minorEastAsia"/>
          <w:b/>
          <w:sz w:val="24"/>
          <w:szCs w:val="24"/>
        </w:rPr>
        <w:t xml:space="preserve">  成立环境管理</w:t>
      </w:r>
      <w:r>
        <w:rPr>
          <w:rFonts w:asciiTheme="minorEastAsia" w:hAnsiTheme="minorEastAsia"/>
          <w:b/>
          <w:sz w:val="24"/>
          <w:szCs w:val="24"/>
        </w:rPr>
        <w:t>机构</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t>为</w:t>
      </w:r>
      <w:r>
        <w:rPr>
          <w:rFonts w:hint="eastAsia" w:asciiTheme="minorEastAsia" w:hAnsiTheme="minorEastAsia"/>
          <w:sz w:val="24"/>
          <w:szCs w:val="24"/>
        </w:rPr>
        <w:t>加强</w:t>
      </w:r>
      <w:r>
        <w:rPr>
          <w:rFonts w:asciiTheme="minorEastAsia" w:hAnsiTheme="minorEastAsia"/>
          <w:sz w:val="24"/>
          <w:szCs w:val="24"/>
        </w:rPr>
        <w:t>拟建项目</w:t>
      </w:r>
      <w:r>
        <w:rPr>
          <w:rFonts w:hint="eastAsia" w:asciiTheme="minorEastAsia" w:hAnsiTheme="minorEastAsia"/>
          <w:sz w:val="24"/>
          <w:szCs w:val="24"/>
        </w:rPr>
        <w:t>的</w:t>
      </w:r>
      <w:r>
        <w:rPr>
          <w:rFonts w:asciiTheme="minorEastAsia" w:hAnsiTheme="minorEastAsia"/>
          <w:sz w:val="24"/>
          <w:szCs w:val="24"/>
        </w:rPr>
        <w:t>环境管理</w:t>
      </w:r>
      <w:r>
        <w:rPr>
          <w:rFonts w:hint="eastAsia" w:asciiTheme="minorEastAsia" w:hAnsiTheme="minorEastAsia"/>
          <w:sz w:val="24"/>
          <w:szCs w:val="24"/>
        </w:rPr>
        <w:t>、</w:t>
      </w:r>
      <w:r>
        <w:rPr>
          <w:rFonts w:asciiTheme="minorEastAsia" w:hAnsiTheme="minorEastAsia"/>
          <w:sz w:val="24"/>
          <w:szCs w:val="24"/>
        </w:rPr>
        <w:t>环境监测</w:t>
      </w:r>
      <w:r>
        <w:rPr>
          <w:rFonts w:hint="eastAsia" w:asciiTheme="minorEastAsia" w:hAnsiTheme="minorEastAsia"/>
          <w:sz w:val="24"/>
          <w:szCs w:val="24"/>
        </w:rPr>
        <w:t>计划</w:t>
      </w:r>
      <w:r>
        <w:rPr>
          <w:rFonts w:asciiTheme="minorEastAsia" w:hAnsiTheme="minorEastAsia"/>
          <w:sz w:val="24"/>
          <w:szCs w:val="24"/>
        </w:rPr>
        <w:t>等工作，</w:t>
      </w:r>
      <w:r>
        <w:rPr>
          <w:rFonts w:hint="eastAsia" w:asciiTheme="minorEastAsia" w:hAnsiTheme="minorEastAsia"/>
          <w:sz w:val="24"/>
          <w:szCs w:val="24"/>
        </w:rPr>
        <w:t>评价建议项目建设单位</w:t>
      </w:r>
      <w:r>
        <w:rPr>
          <w:rFonts w:asciiTheme="minorEastAsia" w:hAnsiTheme="minorEastAsia"/>
          <w:sz w:val="24"/>
          <w:szCs w:val="24"/>
        </w:rPr>
        <w:t>成立</w:t>
      </w:r>
      <w:r>
        <w:rPr>
          <w:rFonts w:hint="eastAsia" w:asciiTheme="minorEastAsia" w:hAnsiTheme="minorEastAsia"/>
          <w:sz w:val="24"/>
          <w:szCs w:val="24"/>
        </w:rPr>
        <w:t>环境管理</w:t>
      </w:r>
      <w:r>
        <w:rPr>
          <w:rFonts w:asciiTheme="minorEastAsia" w:hAnsiTheme="minorEastAsia"/>
          <w:sz w:val="24"/>
          <w:szCs w:val="24"/>
        </w:rPr>
        <w:t>机构，配备1～2名专职人员从事环保管理工作，并在污染较严重的生产工段或</w:t>
      </w:r>
      <w:r>
        <w:rPr>
          <w:rFonts w:hint="eastAsia" w:asciiTheme="minorEastAsia" w:hAnsiTheme="minorEastAsia"/>
          <w:sz w:val="24"/>
          <w:szCs w:val="24"/>
        </w:rPr>
        <w:t>环节</w:t>
      </w:r>
      <w:r>
        <w:rPr>
          <w:rFonts w:asciiTheme="minorEastAsia" w:hAnsiTheme="minorEastAsia"/>
          <w:sz w:val="24"/>
          <w:szCs w:val="24"/>
        </w:rPr>
        <w:t>配备相应的兼职环境管理人员或环境保护员</w:t>
      </w:r>
      <w:r>
        <w:rPr>
          <w:rFonts w:hint="eastAsia" w:asciiTheme="minorEastAsia" w:hAnsiTheme="minorEastAsia"/>
          <w:sz w:val="24"/>
          <w:szCs w:val="24"/>
        </w:rPr>
        <w:t>，贯彻执行并监督落实各项环境管理制度和措施，确保各类环境管理目标顺利实现</w:t>
      </w:r>
      <w:r>
        <w:rPr>
          <w:rFonts w:asciiTheme="minorEastAsia" w:hAnsiTheme="minorEastAsia"/>
          <w:sz w:val="24"/>
          <w:szCs w:val="24"/>
        </w:rPr>
        <w:t>。</w:t>
      </w:r>
    </w:p>
    <w:p>
      <w:pPr>
        <w:spacing w:line="360" w:lineRule="auto"/>
        <w:rPr>
          <w:rFonts w:asciiTheme="minorEastAsia" w:hAnsiTheme="minorEastAsia"/>
          <w:b/>
          <w:sz w:val="24"/>
          <w:szCs w:val="24"/>
        </w:rPr>
      </w:pPr>
      <w:r>
        <w:rPr>
          <w:rFonts w:hint="eastAsia" w:asciiTheme="minorEastAsia" w:hAnsiTheme="minorEastAsia"/>
          <w:b/>
          <w:sz w:val="24"/>
          <w:szCs w:val="24"/>
        </w:rPr>
        <w:t>9</w:t>
      </w:r>
      <w:r>
        <w:rPr>
          <w:rFonts w:asciiTheme="minorEastAsia" w:hAnsiTheme="minorEastAsia"/>
          <w:b/>
          <w:sz w:val="24"/>
          <w:szCs w:val="24"/>
        </w:rPr>
        <w:t>.1.3</w:t>
      </w:r>
      <w:r>
        <w:rPr>
          <w:rFonts w:hint="eastAsia" w:asciiTheme="minorEastAsia" w:hAnsiTheme="minorEastAsia"/>
          <w:b/>
          <w:sz w:val="24"/>
          <w:szCs w:val="24"/>
        </w:rPr>
        <w:t xml:space="preserve">  环境管理内容和任务</w:t>
      </w:r>
    </w:p>
    <w:p>
      <w:pPr>
        <w:spacing w:line="360" w:lineRule="auto"/>
        <w:rPr>
          <w:rFonts w:asciiTheme="minorEastAsia" w:hAnsiTheme="minorEastAsia"/>
          <w:sz w:val="24"/>
          <w:szCs w:val="24"/>
        </w:rPr>
      </w:pPr>
      <w:r>
        <w:rPr>
          <w:rFonts w:hint="eastAsia" w:asciiTheme="minorEastAsia" w:hAnsiTheme="minorEastAsia"/>
          <w:sz w:val="24"/>
          <w:szCs w:val="24"/>
        </w:rPr>
        <w:t>9.1.3.1施工期</w:t>
      </w:r>
      <w:r>
        <w:rPr>
          <w:rFonts w:asciiTheme="minorEastAsia" w:hAnsiTheme="minorEastAsia"/>
          <w:sz w:val="24"/>
          <w:szCs w:val="24"/>
        </w:rPr>
        <w:t>期环境管理</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（1）</w:t>
      </w:r>
      <w:r>
        <w:rPr>
          <w:rFonts w:asciiTheme="minorEastAsia" w:hAnsiTheme="minorEastAsia"/>
          <w:sz w:val="24"/>
          <w:szCs w:val="24"/>
        </w:rPr>
        <w:t>控制施工期环境污染及生态破坏，杜绝</w:t>
      </w:r>
      <w:r>
        <w:rPr>
          <w:rFonts w:hint="eastAsia" w:asciiTheme="minorEastAsia" w:hAnsiTheme="minorEastAsia"/>
          <w:sz w:val="24"/>
          <w:szCs w:val="24"/>
        </w:rPr>
        <w:t>不文明</w:t>
      </w:r>
      <w:r>
        <w:rPr>
          <w:rFonts w:asciiTheme="minorEastAsia" w:hAnsiTheme="minorEastAsia"/>
          <w:sz w:val="24"/>
          <w:szCs w:val="24"/>
        </w:rPr>
        <w:t>施工；</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（2）建设单位</w:t>
      </w:r>
      <w:r>
        <w:rPr>
          <w:rFonts w:asciiTheme="minorEastAsia" w:hAnsiTheme="minorEastAsia"/>
          <w:sz w:val="24"/>
          <w:szCs w:val="24"/>
        </w:rPr>
        <w:t>单位与施工企业签订施工合同，明确责任；</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（3）</w:t>
      </w:r>
      <w:r>
        <w:rPr>
          <w:rFonts w:asciiTheme="minorEastAsia" w:hAnsiTheme="minorEastAsia"/>
          <w:sz w:val="24"/>
          <w:szCs w:val="24"/>
        </w:rPr>
        <w:t>指导和监督检查施工“三废”及噪声治理工作，使环境污染及生态破坏程度降至最小；</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（4）</w:t>
      </w:r>
      <w:r>
        <w:rPr>
          <w:rFonts w:asciiTheme="minorEastAsia" w:hAnsiTheme="minorEastAsia"/>
          <w:sz w:val="24"/>
          <w:szCs w:val="24"/>
        </w:rPr>
        <w:t>参与各项环保设施的施工安装质量检查和竣工验收工作，保证环保设施能</w:t>
      </w:r>
      <w:r>
        <w:rPr>
          <w:rFonts w:hint="eastAsia" w:asciiTheme="minorEastAsia" w:hAnsiTheme="minorEastAsia"/>
          <w:sz w:val="24"/>
          <w:szCs w:val="24"/>
        </w:rPr>
        <w:t>规范建设、</w:t>
      </w:r>
      <w:r>
        <w:rPr>
          <w:rFonts w:asciiTheme="minorEastAsia" w:hAnsiTheme="minorEastAsia"/>
          <w:sz w:val="24"/>
          <w:szCs w:val="24"/>
        </w:rPr>
        <w:t>正常运行。</w:t>
      </w:r>
    </w:p>
    <w:p>
      <w:pPr>
        <w:spacing w:line="360" w:lineRule="auto"/>
        <w:rPr>
          <w:rFonts w:asciiTheme="minorEastAsia" w:hAnsiTheme="minorEastAsia"/>
          <w:sz w:val="24"/>
          <w:szCs w:val="24"/>
        </w:rPr>
      </w:pPr>
      <w:r>
        <w:rPr>
          <w:rFonts w:hint="eastAsia" w:asciiTheme="minorEastAsia" w:hAnsiTheme="minorEastAsia"/>
          <w:sz w:val="24"/>
          <w:szCs w:val="24"/>
        </w:rPr>
        <w:t xml:space="preserve">9.1.3.2 </w:t>
      </w:r>
      <w:r>
        <w:rPr>
          <w:rFonts w:asciiTheme="minorEastAsia" w:hAnsiTheme="minorEastAsia"/>
          <w:sz w:val="24"/>
          <w:szCs w:val="24"/>
        </w:rPr>
        <w:t>运营期环境管理</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（1）</w:t>
      </w:r>
      <w:r>
        <w:rPr>
          <w:rFonts w:asciiTheme="minorEastAsia" w:hAnsiTheme="minorEastAsia"/>
          <w:sz w:val="24"/>
          <w:szCs w:val="24"/>
        </w:rPr>
        <w:t>遵守国家、地方有关法律、法规以及其它相关规定，结合该项目工艺特征，制定切实有效的环保管理制度，并落实到各部门、各岗位，使环保工作有章可循。</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（2）</w:t>
      </w:r>
      <w:r>
        <w:rPr>
          <w:rFonts w:asciiTheme="minorEastAsia" w:hAnsiTheme="minorEastAsia"/>
          <w:sz w:val="24"/>
          <w:szCs w:val="24"/>
        </w:rPr>
        <w:t>建立健全项目运行期的污染源档案，环保设施运行情况档案，按月统计</w:t>
      </w:r>
      <w:r>
        <w:rPr>
          <w:rFonts w:hint="eastAsia" w:asciiTheme="minorEastAsia" w:hAnsiTheme="minorEastAsia"/>
          <w:sz w:val="24"/>
          <w:szCs w:val="24"/>
        </w:rPr>
        <w:t>、编制</w:t>
      </w:r>
      <w:r>
        <w:rPr>
          <w:rFonts w:asciiTheme="minorEastAsia" w:hAnsiTheme="minorEastAsia"/>
          <w:sz w:val="24"/>
          <w:szCs w:val="24"/>
        </w:rPr>
        <w:t>污染物排放数据报表并存档。</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（3）</w:t>
      </w:r>
      <w:r>
        <w:rPr>
          <w:rFonts w:asciiTheme="minorEastAsia" w:hAnsiTheme="minorEastAsia"/>
          <w:sz w:val="24"/>
          <w:szCs w:val="24"/>
        </w:rPr>
        <w:t>对环保设施、设备进行日常的监控和维护工作，并作好记录存档。</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（4）</w:t>
      </w:r>
      <w:r>
        <w:rPr>
          <w:rFonts w:asciiTheme="minorEastAsia" w:hAnsiTheme="minorEastAsia"/>
          <w:sz w:val="24"/>
          <w:szCs w:val="24"/>
        </w:rPr>
        <w:t>做好环境保护，安全生产宣传以及相关技术培训等工作，提高全员的环境保护意识，加强环境法制观念。</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（5）</w:t>
      </w:r>
      <w:r>
        <w:rPr>
          <w:rFonts w:asciiTheme="minorEastAsia" w:hAnsiTheme="minorEastAsia"/>
          <w:sz w:val="24"/>
          <w:szCs w:val="24"/>
        </w:rPr>
        <w:t>加强</w:t>
      </w:r>
      <w:r>
        <w:rPr>
          <w:rFonts w:hint="eastAsia" w:asciiTheme="minorEastAsia" w:hAnsiTheme="minorEastAsia"/>
          <w:sz w:val="24"/>
          <w:szCs w:val="24"/>
        </w:rPr>
        <w:t>环境风险防范和环境应急</w:t>
      </w:r>
      <w:r>
        <w:rPr>
          <w:rFonts w:asciiTheme="minorEastAsia" w:hAnsiTheme="minorEastAsia"/>
          <w:sz w:val="24"/>
          <w:szCs w:val="24"/>
        </w:rPr>
        <w:t>管理，建立</w:t>
      </w:r>
      <w:r>
        <w:rPr>
          <w:rFonts w:hint="eastAsia" w:asciiTheme="minorEastAsia" w:hAnsiTheme="minorEastAsia"/>
          <w:sz w:val="24"/>
          <w:szCs w:val="24"/>
        </w:rPr>
        <w:t>污染物</w:t>
      </w:r>
      <w:r>
        <w:rPr>
          <w:rFonts w:asciiTheme="minorEastAsia" w:hAnsiTheme="minorEastAsia"/>
          <w:sz w:val="24"/>
          <w:szCs w:val="24"/>
        </w:rPr>
        <w:t>非正常排放的应急</w:t>
      </w:r>
      <w:r>
        <w:rPr>
          <w:rFonts w:hint="eastAsia" w:asciiTheme="minorEastAsia" w:hAnsiTheme="minorEastAsia"/>
          <w:sz w:val="24"/>
          <w:szCs w:val="24"/>
        </w:rPr>
        <w:t>响应</w:t>
      </w:r>
      <w:r>
        <w:rPr>
          <w:rFonts w:asciiTheme="minorEastAsia" w:hAnsiTheme="minorEastAsia"/>
          <w:sz w:val="24"/>
          <w:szCs w:val="24"/>
        </w:rPr>
        <w:t>制度和</w:t>
      </w:r>
      <w:r>
        <w:rPr>
          <w:rFonts w:hint="eastAsia" w:asciiTheme="minorEastAsia" w:hAnsiTheme="minorEastAsia"/>
          <w:sz w:val="24"/>
          <w:szCs w:val="24"/>
        </w:rPr>
        <w:t>处置</w:t>
      </w:r>
      <w:r>
        <w:rPr>
          <w:rFonts w:asciiTheme="minorEastAsia" w:hAnsiTheme="minorEastAsia"/>
          <w:sz w:val="24"/>
          <w:szCs w:val="24"/>
        </w:rPr>
        <w:t>措施，将非正常排放的影响降至最低。</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（6）</w:t>
      </w:r>
      <w:r>
        <w:rPr>
          <w:rFonts w:asciiTheme="minorEastAsia" w:hAnsiTheme="minorEastAsia"/>
          <w:sz w:val="24"/>
          <w:szCs w:val="24"/>
        </w:rPr>
        <w:t>加强</w:t>
      </w:r>
      <w:r>
        <w:rPr>
          <w:rFonts w:hint="eastAsia" w:asciiTheme="minorEastAsia" w:hAnsiTheme="minorEastAsia"/>
          <w:sz w:val="24"/>
          <w:szCs w:val="24"/>
        </w:rPr>
        <w:t>生产</w:t>
      </w:r>
      <w:r>
        <w:rPr>
          <w:rFonts w:asciiTheme="minorEastAsia" w:hAnsiTheme="minorEastAsia"/>
          <w:sz w:val="24"/>
          <w:szCs w:val="24"/>
        </w:rPr>
        <w:t>安全管理，作好防火、防</w:t>
      </w:r>
      <w:r>
        <w:rPr>
          <w:rFonts w:hint="eastAsia" w:asciiTheme="minorEastAsia" w:hAnsiTheme="minorEastAsia"/>
          <w:sz w:val="24"/>
          <w:szCs w:val="24"/>
        </w:rPr>
        <w:t>自然灾害的</w:t>
      </w:r>
      <w:r>
        <w:rPr>
          <w:rFonts w:asciiTheme="minorEastAsia" w:hAnsiTheme="minorEastAsia"/>
          <w:sz w:val="24"/>
          <w:szCs w:val="24"/>
        </w:rPr>
        <w:t>日常管理工作及</w:t>
      </w:r>
      <w:r>
        <w:rPr>
          <w:rFonts w:hint="eastAsia" w:asciiTheme="minorEastAsia" w:hAnsiTheme="minorEastAsia"/>
          <w:sz w:val="24"/>
          <w:szCs w:val="24"/>
        </w:rPr>
        <w:t>安全</w:t>
      </w:r>
      <w:r>
        <w:rPr>
          <w:rFonts w:asciiTheme="minorEastAsia" w:hAnsiTheme="minorEastAsia"/>
          <w:sz w:val="24"/>
          <w:szCs w:val="24"/>
        </w:rPr>
        <w:t>应急处理，</w:t>
      </w:r>
      <w:r>
        <w:rPr>
          <w:rFonts w:hint="eastAsia" w:asciiTheme="minorEastAsia" w:hAnsiTheme="minorEastAsia"/>
          <w:sz w:val="24"/>
          <w:szCs w:val="24"/>
        </w:rPr>
        <w:t xml:space="preserve">避免发生此生环境灾害。 </w:t>
      </w:r>
    </w:p>
    <w:p>
      <w:pPr>
        <w:spacing w:line="360" w:lineRule="auto"/>
        <w:ind w:firstLine="600" w:firstLineChars="250"/>
        <w:rPr>
          <w:rFonts w:asciiTheme="minorEastAsia" w:hAnsiTheme="minorEastAsia"/>
          <w:sz w:val="24"/>
          <w:szCs w:val="24"/>
        </w:rPr>
      </w:pPr>
      <w:r>
        <w:rPr>
          <w:rFonts w:hint="eastAsia" w:asciiTheme="minorEastAsia" w:hAnsiTheme="minorEastAsia"/>
          <w:sz w:val="24"/>
          <w:szCs w:val="24"/>
        </w:rPr>
        <w:t>（7）</w:t>
      </w:r>
      <w:r>
        <w:rPr>
          <w:rFonts w:asciiTheme="minorEastAsia" w:hAnsiTheme="minorEastAsia"/>
          <w:sz w:val="24"/>
          <w:szCs w:val="24"/>
        </w:rPr>
        <w:t>接受并配合地方环境保护主管部门对</w:t>
      </w:r>
      <w:r>
        <w:rPr>
          <w:rFonts w:hint="eastAsia" w:asciiTheme="minorEastAsia" w:hAnsiTheme="minorEastAsia"/>
          <w:sz w:val="24"/>
          <w:szCs w:val="24"/>
        </w:rPr>
        <w:t>工程</w:t>
      </w:r>
      <w:r>
        <w:rPr>
          <w:rFonts w:asciiTheme="minorEastAsia" w:hAnsiTheme="minorEastAsia"/>
          <w:sz w:val="24"/>
          <w:szCs w:val="24"/>
        </w:rPr>
        <w:t>废气、废水、噪声等污染源排放情况及固废处置情况进行监督，并将检查结果及时反馈给上级主管部门及相关生产操作系统，制订环境保护规划和目标，协调各部门的关系，调查处理企业内外污染事故与纠纷。</w:t>
      </w:r>
    </w:p>
    <w:p>
      <w:pPr>
        <w:widowControl/>
        <w:spacing w:line="360" w:lineRule="auto"/>
        <w:rPr>
          <w:rFonts w:asciiTheme="minorEastAsia" w:hAnsiTheme="minorEastAsia"/>
          <w:b/>
          <w:sz w:val="24"/>
          <w:szCs w:val="24"/>
        </w:rPr>
      </w:pPr>
      <w:r>
        <w:rPr>
          <w:rFonts w:hint="eastAsia" w:asciiTheme="minorEastAsia" w:hAnsiTheme="minorEastAsia"/>
          <w:b/>
          <w:sz w:val="24"/>
          <w:szCs w:val="24"/>
        </w:rPr>
        <w:t>9.1.4 项目污染物排放清单及管理要求</w:t>
      </w:r>
    </w:p>
    <w:p>
      <w:pPr>
        <w:spacing w:line="360" w:lineRule="auto"/>
        <w:ind w:firstLine="480"/>
        <w:rPr>
          <w:rFonts w:asciiTheme="minorEastAsia" w:hAnsiTheme="minorEastAsia"/>
          <w:sz w:val="24"/>
          <w:szCs w:val="24"/>
        </w:rPr>
      </w:pPr>
      <w:r>
        <w:rPr>
          <w:rFonts w:hint="eastAsia" w:asciiTheme="minorEastAsia" w:hAnsiTheme="minorEastAsia"/>
          <w:sz w:val="24"/>
          <w:szCs w:val="24"/>
        </w:rPr>
        <w:t>本次工程为废轮胎热裂解资源化利用项目，运行期无害化处理废轮胎并回收热裂解油、粗碳黑、钢丝等，消耗水、电、柴油等资源能源，产生生产及生活废水、裂解不凝气燃烧废气、粉尘、噪声及固体废物等。项目污染物排放清单及相关环境管理要求见下表9.1-1。</w:t>
      </w:r>
    </w:p>
    <w:p>
      <w:pPr>
        <w:spacing w:line="360" w:lineRule="auto"/>
        <w:rPr>
          <w:rFonts w:asciiTheme="minorEastAsia" w:hAnsiTheme="minorEastAsia"/>
          <w:sz w:val="24"/>
          <w:szCs w:val="24"/>
        </w:rPr>
        <w:sectPr>
          <w:headerReference r:id="rId13" w:type="default"/>
          <w:footerReference r:id="rId14" w:type="default"/>
          <w:pgSz w:w="11906" w:h="16838"/>
          <w:pgMar w:top="1440" w:right="1800" w:bottom="1440" w:left="1800" w:header="851" w:footer="992" w:gutter="0"/>
          <w:cols w:space="425" w:num="1"/>
          <w:docGrid w:type="lines" w:linePitch="312" w:charSpace="0"/>
        </w:sectPr>
      </w:pPr>
    </w:p>
    <w:p>
      <w:pPr>
        <w:spacing w:line="360" w:lineRule="auto"/>
        <w:ind w:firstLine="480"/>
        <w:jc w:val="center"/>
        <w:rPr>
          <w:rFonts w:asciiTheme="minorEastAsia" w:hAnsiTheme="minorEastAsia"/>
          <w:b/>
          <w:sz w:val="24"/>
          <w:szCs w:val="24"/>
        </w:rPr>
      </w:pPr>
      <w:r>
        <w:rPr>
          <w:rFonts w:hint="eastAsia" w:asciiTheme="minorEastAsia" w:hAnsiTheme="minorEastAsia"/>
          <w:b/>
          <w:sz w:val="24"/>
          <w:szCs w:val="24"/>
        </w:rPr>
        <w:t>表9.1-1        建设项目污染物排放清单</w:t>
      </w:r>
    </w:p>
    <w:tbl>
      <w:tblPr>
        <w:tblStyle w:val="28"/>
        <w:tblW w:w="144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271"/>
        <w:gridCol w:w="1010"/>
        <w:gridCol w:w="1232"/>
        <w:gridCol w:w="185"/>
        <w:gridCol w:w="1276"/>
        <w:gridCol w:w="992"/>
        <w:gridCol w:w="284"/>
        <w:gridCol w:w="1134"/>
        <w:gridCol w:w="2410"/>
        <w:gridCol w:w="3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946" w:type="dxa"/>
            <w:vAlign w:val="center"/>
          </w:tcPr>
          <w:p>
            <w:pPr>
              <w:jc w:val="center"/>
              <w:rPr>
                <w:rFonts w:asciiTheme="minorEastAsia" w:hAnsiTheme="minorEastAsia"/>
                <w:b/>
                <w:sz w:val="18"/>
                <w:szCs w:val="18"/>
              </w:rPr>
            </w:pPr>
            <w:r>
              <w:rPr>
                <w:rFonts w:hint="eastAsia" w:asciiTheme="minorEastAsia" w:hAnsiTheme="minorEastAsia"/>
                <w:b/>
                <w:sz w:val="18"/>
                <w:szCs w:val="18"/>
              </w:rPr>
              <w:t>类别</w:t>
            </w:r>
          </w:p>
        </w:tc>
        <w:tc>
          <w:tcPr>
            <w:tcW w:w="2281" w:type="dxa"/>
            <w:gridSpan w:val="2"/>
            <w:vAlign w:val="center"/>
          </w:tcPr>
          <w:p>
            <w:pPr>
              <w:jc w:val="center"/>
              <w:rPr>
                <w:rFonts w:asciiTheme="minorEastAsia" w:hAnsiTheme="minorEastAsia"/>
                <w:b/>
                <w:sz w:val="18"/>
                <w:szCs w:val="18"/>
              </w:rPr>
            </w:pPr>
            <w:r>
              <w:rPr>
                <w:rFonts w:hint="eastAsia" w:asciiTheme="minorEastAsia" w:hAnsiTheme="minorEastAsia"/>
                <w:b/>
                <w:sz w:val="18"/>
                <w:szCs w:val="18"/>
              </w:rPr>
              <w:t>污染源</w:t>
            </w:r>
          </w:p>
        </w:tc>
        <w:tc>
          <w:tcPr>
            <w:tcW w:w="1417" w:type="dxa"/>
            <w:gridSpan w:val="2"/>
            <w:vAlign w:val="center"/>
          </w:tcPr>
          <w:p>
            <w:pPr>
              <w:jc w:val="center"/>
              <w:rPr>
                <w:rFonts w:asciiTheme="minorEastAsia" w:hAnsiTheme="minorEastAsia"/>
                <w:b/>
                <w:sz w:val="18"/>
                <w:szCs w:val="18"/>
              </w:rPr>
            </w:pPr>
            <w:r>
              <w:rPr>
                <w:rFonts w:hint="eastAsia" w:asciiTheme="minorEastAsia" w:hAnsiTheme="minorEastAsia"/>
                <w:b/>
                <w:sz w:val="18"/>
                <w:szCs w:val="18"/>
              </w:rPr>
              <w:t>污染物</w:t>
            </w:r>
          </w:p>
        </w:tc>
        <w:tc>
          <w:tcPr>
            <w:tcW w:w="1276" w:type="dxa"/>
            <w:vAlign w:val="center"/>
          </w:tcPr>
          <w:p>
            <w:pPr>
              <w:jc w:val="center"/>
              <w:rPr>
                <w:rFonts w:asciiTheme="minorEastAsia" w:hAnsiTheme="minorEastAsia"/>
                <w:b/>
                <w:sz w:val="18"/>
                <w:szCs w:val="18"/>
              </w:rPr>
            </w:pPr>
            <w:r>
              <w:rPr>
                <w:rFonts w:hint="eastAsia" w:asciiTheme="minorEastAsia" w:hAnsiTheme="minorEastAsia"/>
                <w:b/>
                <w:sz w:val="18"/>
                <w:szCs w:val="18"/>
              </w:rPr>
              <w:t>排放浓度</w:t>
            </w:r>
          </w:p>
        </w:tc>
        <w:tc>
          <w:tcPr>
            <w:tcW w:w="1276" w:type="dxa"/>
            <w:gridSpan w:val="2"/>
            <w:vAlign w:val="center"/>
          </w:tcPr>
          <w:p>
            <w:pPr>
              <w:jc w:val="center"/>
              <w:rPr>
                <w:rFonts w:asciiTheme="minorEastAsia" w:hAnsiTheme="minorEastAsia"/>
                <w:b/>
                <w:sz w:val="18"/>
                <w:szCs w:val="18"/>
              </w:rPr>
            </w:pPr>
            <w:r>
              <w:rPr>
                <w:rFonts w:hint="eastAsia" w:asciiTheme="minorEastAsia" w:hAnsiTheme="minorEastAsia"/>
                <w:b/>
                <w:sz w:val="18"/>
                <w:szCs w:val="18"/>
              </w:rPr>
              <w:t>排放源强</w:t>
            </w:r>
          </w:p>
        </w:tc>
        <w:tc>
          <w:tcPr>
            <w:tcW w:w="1134" w:type="dxa"/>
            <w:vAlign w:val="center"/>
          </w:tcPr>
          <w:p>
            <w:pPr>
              <w:jc w:val="center"/>
              <w:rPr>
                <w:rFonts w:asciiTheme="minorEastAsia" w:hAnsiTheme="minorEastAsia"/>
                <w:b/>
                <w:sz w:val="18"/>
                <w:szCs w:val="18"/>
              </w:rPr>
            </w:pPr>
            <w:r>
              <w:rPr>
                <w:rFonts w:hint="eastAsia" w:asciiTheme="minorEastAsia" w:hAnsiTheme="minorEastAsia"/>
                <w:b/>
                <w:sz w:val="18"/>
                <w:szCs w:val="18"/>
              </w:rPr>
              <w:t>排放量</w:t>
            </w:r>
          </w:p>
        </w:tc>
        <w:tc>
          <w:tcPr>
            <w:tcW w:w="2410" w:type="dxa"/>
            <w:vAlign w:val="center"/>
          </w:tcPr>
          <w:p>
            <w:pPr>
              <w:jc w:val="center"/>
              <w:rPr>
                <w:rFonts w:asciiTheme="minorEastAsia" w:hAnsiTheme="minorEastAsia"/>
                <w:b/>
                <w:sz w:val="18"/>
                <w:szCs w:val="18"/>
              </w:rPr>
            </w:pPr>
            <w:r>
              <w:rPr>
                <w:rFonts w:hint="eastAsia" w:asciiTheme="minorEastAsia" w:hAnsiTheme="minorEastAsia"/>
                <w:b/>
                <w:sz w:val="18"/>
                <w:szCs w:val="18"/>
              </w:rPr>
              <w:t>治理措施（设施数量、规模、处理能力）</w:t>
            </w:r>
          </w:p>
        </w:tc>
        <w:tc>
          <w:tcPr>
            <w:tcW w:w="3706" w:type="dxa"/>
            <w:vAlign w:val="center"/>
          </w:tcPr>
          <w:p>
            <w:pPr>
              <w:jc w:val="center"/>
              <w:rPr>
                <w:rFonts w:asciiTheme="minorEastAsia" w:hAnsiTheme="minorEastAsia"/>
                <w:b/>
                <w:sz w:val="18"/>
                <w:szCs w:val="18"/>
              </w:rPr>
            </w:pPr>
            <w:r>
              <w:rPr>
                <w:rFonts w:hint="eastAsia" w:asciiTheme="minorEastAsia" w:hAnsiTheme="minorEastAsia"/>
                <w:b/>
                <w:sz w:val="18"/>
                <w:szCs w:val="18"/>
              </w:rPr>
              <w:t>处理效果、执行标准</w:t>
            </w:r>
          </w:p>
          <w:p>
            <w:pPr>
              <w:jc w:val="center"/>
              <w:rPr>
                <w:rFonts w:asciiTheme="minorEastAsia" w:hAnsiTheme="minorEastAsia"/>
                <w:b/>
                <w:sz w:val="18"/>
                <w:szCs w:val="18"/>
              </w:rPr>
            </w:pPr>
            <w:r>
              <w:rPr>
                <w:rFonts w:hint="eastAsia" w:asciiTheme="minorEastAsia" w:hAnsiTheme="minorEastAsia"/>
                <w:b/>
                <w:sz w:val="18"/>
                <w:szCs w:val="18"/>
              </w:rPr>
              <w:t>或拟达要求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946"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有组织</w:t>
            </w:r>
          </w:p>
          <w:p>
            <w:pPr>
              <w:spacing w:line="240" w:lineRule="atLeast"/>
              <w:jc w:val="center"/>
              <w:rPr>
                <w:rFonts w:asciiTheme="minorEastAsia" w:hAnsiTheme="minorEastAsia"/>
                <w:b/>
                <w:sz w:val="18"/>
                <w:szCs w:val="18"/>
              </w:rPr>
            </w:pPr>
            <w:r>
              <w:rPr>
                <w:rFonts w:hint="eastAsia" w:asciiTheme="minorEastAsia" w:hAnsiTheme="minorEastAsia"/>
                <w:b/>
                <w:sz w:val="18"/>
                <w:szCs w:val="18"/>
              </w:rPr>
              <w:t>废气</w:t>
            </w:r>
          </w:p>
        </w:tc>
        <w:tc>
          <w:tcPr>
            <w:tcW w:w="2281" w:type="dxa"/>
            <w:gridSpan w:val="2"/>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燃烧废气处理装置2根集束排放等效排气筒1#</w:t>
            </w:r>
          </w:p>
          <w:p>
            <w:pPr>
              <w:spacing w:line="240" w:lineRule="atLeast"/>
              <w:jc w:val="center"/>
              <w:rPr>
                <w:rFonts w:asciiTheme="minorEastAsia" w:hAnsiTheme="minorEastAsia"/>
                <w:sz w:val="18"/>
                <w:szCs w:val="18"/>
              </w:rPr>
            </w:pPr>
            <w:r>
              <w:rPr>
                <w:rFonts w:hint="eastAsia" w:asciiTheme="minorEastAsia" w:hAnsiTheme="minorEastAsia"/>
                <w:sz w:val="18"/>
                <w:szCs w:val="18"/>
              </w:rPr>
              <w:t>（有组织）</w:t>
            </w:r>
          </w:p>
        </w:tc>
        <w:tc>
          <w:tcPr>
            <w:tcW w:w="1417"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7.19mg/m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0.144kg/h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1.036t/a</w:t>
            </w:r>
          </w:p>
        </w:tc>
        <w:tc>
          <w:tcPr>
            <w:tcW w:w="2410" w:type="dxa"/>
            <w:vMerge w:val="restart"/>
            <w:vAlign w:val="center"/>
          </w:tcPr>
          <w:p>
            <w:pPr>
              <w:spacing w:line="240" w:lineRule="atLeast"/>
              <w:jc w:val="center"/>
              <w:rPr>
                <w:rFonts w:cs="Times New Roman" w:asciiTheme="minorEastAsia" w:hAnsiTheme="minorEastAsia"/>
                <w:sz w:val="18"/>
                <w:szCs w:val="18"/>
              </w:rPr>
            </w:pPr>
            <w:r>
              <w:rPr>
                <w:rFonts w:hint="eastAsia" w:cs="Times New Roman" w:asciiTheme="minorEastAsia" w:hAnsiTheme="minorEastAsia"/>
                <w:sz w:val="18"/>
                <w:szCs w:val="18"/>
              </w:rPr>
              <w:t>2套“</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SCN脱硝反应器+二级脱硫雾化塔+UV光氧催化装置+活性炭吸附装置+20m排气筒</w:t>
            </w:r>
            <w:r>
              <w:rPr>
                <w:rFonts w:hint="eastAsia" w:cs="Times New Roman" w:asciiTheme="minorEastAsia" w:hAnsiTheme="minorEastAsia"/>
                <w:sz w:val="18"/>
                <w:szCs w:val="18"/>
              </w:rPr>
              <w:t>”处理系统；处理废气量20000m</w:t>
            </w:r>
            <w:r>
              <w:rPr>
                <w:rFonts w:hint="eastAsia" w:cs="Times New Roman" w:asciiTheme="minorEastAsia" w:hAnsiTheme="minorEastAsia"/>
                <w:sz w:val="18"/>
                <w:szCs w:val="18"/>
                <w:vertAlign w:val="superscript"/>
              </w:rPr>
              <w:t>3</w:t>
            </w:r>
            <w:r>
              <w:rPr>
                <w:rFonts w:hint="eastAsia" w:cs="Times New Roman" w:asciiTheme="minorEastAsia" w:hAnsiTheme="minorEastAsia"/>
                <w:sz w:val="18"/>
                <w:szCs w:val="18"/>
              </w:rPr>
              <w:t>/h。</w:t>
            </w:r>
          </w:p>
        </w:tc>
        <w:tc>
          <w:tcPr>
            <w:tcW w:w="3706" w:type="dxa"/>
            <w:vMerge w:val="restart"/>
            <w:vAlign w:val="center"/>
          </w:tcPr>
          <w:p>
            <w:pPr>
              <w:spacing w:line="240" w:lineRule="atLeast"/>
              <w:jc w:val="center"/>
              <w:rPr>
                <w:rFonts w:asciiTheme="minorEastAsia" w:hAnsiTheme="minorEastAsia"/>
                <w:sz w:val="18"/>
                <w:szCs w:val="18"/>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颗粒物、SO</w:t>
            </w:r>
            <w:r>
              <w:rPr>
                <w:rFonts w:hint="eastAsia"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、NOx排放满足</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《燃煤电厂大气污染物排放标准》（DB41/1424-2017）表1排放限值要求</w:t>
            </w:r>
            <w:r>
              <w:rPr>
                <w:rFonts w:hint="eastAsia"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氨排放满足《工业炉窑大气污染物排放标准》（DB41/1066-2020）表2限值要求；</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S排放满足《恶臭污染物排放标准》（GB14554-1993）二级标准限值要求</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；非甲烷总烃排放满足</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豫环攻坚办[2017]162号《关于全省开展工业企业挥发性有机物专项治理工作中排放建议值的通知》中其他行业建议限值要求</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；苯并芘排放满足《石油化学工业污染物排放标准》（GB31571-2015）表6限值要求。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S0</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27.77mg/m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0.555kg/h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4.0t/a</w:t>
            </w:r>
          </w:p>
        </w:tc>
        <w:tc>
          <w:tcPr>
            <w:tcW w:w="2410" w:type="dxa"/>
            <w:vMerge w:val="continue"/>
            <w:vAlign w:val="center"/>
          </w:tcPr>
          <w:p>
            <w:pPr>
              <w:spacing w:line="240" w:lineRule="atLeast"/>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cs="Times New Roman"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27.5mg/m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0.55kg/h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3.96t/a</w:t>
            </w:r>
          </w:p>
        </w:tc>
        <w:tc>
          <w:tcPr>
            <w:tcW w:w="2410" w:type="dxa"/>
            <w:vMerge w:val="continue"/>
            <w:vAlign w:val="center"/>
          </w:tcPr>
          <w:p>
            <w:pPr>
              <w:spacing w:line="240" w:lineRule="atLeast"/>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cs="Times New Roman"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0.3mg/m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0.006kg/h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0.043t/a</w:t>
            </w:r>
          </w:p>
        </w:tc>
        <w:tc>
          <w:tcPr>
            <w:tcW w:w="2410" w:type="dxa"/>
            <w:vMerge w:val="continue"/>
            <w:vAlign w:val="center"/>
          </w:tcPr>
          <w:p>
            <w:pPr>
              <w:spacing w:line="240" w:lineRule="atLeast"/>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cs="Times New Roman"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NH</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3</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5.0mg/m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0.1kg/h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0.72t/a</w:t>
            </w:r>
          </w:p>
        </w:tc>
        <w:tc>
          <w:tcPr>
            <w:tcW w:w="2410" w:type="dxa"/>
            <w:vMerge w:val="continue"/>
            <w:vAlign w:val="center"/>
          </w:tcPr>
          <w:p>
            <w:pPr>
              <w:spacing w:line="240" w:lineRule="atLeast"/>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cs="Times New Roman"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非甲烷总烃</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5.2mg/m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0.104kg/h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0.75t/a</w:t>
            </w:r>
          </w:p>
        </w:tc>
        <w:tc>
          <w:tcPr>
            <w:tcW w:w="2410" w:type="dxa"/>
            <w:vMerge w:val="continue"/>
            <w:vAlign w:val="center"/>
          </w:tcPr>
          <w:p>
            <w:pPr>
              <w:spacing w:line="240" w:lineRule="atLeast"/>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cs="Times New Roman"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苯并[a]芘</w:t>
            </w:r>
          </w:p>
        </w:tc>
        <w:tc>
          <w:tcPr>
            <w:tcW w:w="1276" w:type="dxa"/>
            <w:vAlign w:val="center"/>
          </w:tcPr>
          <w:p>
            <w:pPr>
              <w:spacing w:line="240" w:lineRule="atLeast"/>
              <w:jc w:val="center"/>
              <w:rPr>
                <w:rFonts w:asciiTheme="minorEastAsia" w:hAnsiTheme="minorEastAsia"/>
                <w:sz w:val="18"/>
                <w:szCs w:val="18"/>
                <w:vertAlign w:val="superscript"/>
              </w:rPr>
            </w:pPr>
            <w:r>
              <w:rPr>
                <w:rFonts w:hint="eastAsia" w:asciiTheme="minorEastAsia" w:hAnsiTheme="minorEastAsia"/>
                <w:sz w:val="18"/>
                <w:szCs w:val="18"/>
              </w:rPr>
              <w:t>0.14×</w:t>
            </w:r>
            <w:r>
              <w:rPr>
                <w:rFonts w:asciiTheme="minorEastAsia" w:hAnsiTheme="minorEastAsia"/>
                <w:sz w:val="18"/>
                <w:szCs w:val="18"/>
              </w:rPr>
              <w:t>10</w:t>
            </w:r>
            <w:r>
              <w:rPr>
                <w:rFonts w:asciiTheme="minorEastAsia" w:hAnsiTheme="minorEastAsia"/>
                <w:sz w:val="18"/>
                <w:szCs w:val="18"/>
                <w:vertAlign w:val="superscript"/>
              </w:rPr>
              <w:t>-3</w:t>
            </w:r>
          </w:p>
          <w:p>
            <w:pPr>
              <w:spacing w:line="240" w:lineRule="atLeast"/>
              <w:jc w:val="center"/>
              <w:rPr>
                <w:rFonts w:asciiTheme="minorEastAsia" w:hAnsiTheme="minorEastAsia"/>
                <w:sz w:val="18"/>
                <w:szCs w:val="18"/>
              </w:rPr>
            </w:pPr>
            <w:r>
              <w:rPr>
                <w:rFonts w:hint="eastAsia" w:asciiTheme="minorEastAsia" w:hAnsiTheme="minorEastAsia"/>
                <w:sz w:val="18"/>
                <w:szCs w:val="18"/>
              </w:rPr>
              <w:t>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2.8</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6</w:t>
            </w:r>
          </w:p>
          <w:p>
            <w:pPr>
              <w:spacing w:line="240" w:lineRule="atLeast"/>
              <w:jc w:val="center"/>
              <w:rPr>
                <w:rFonts w:asciiTheme="minorEastAsia" w:hAnsiTheme="minorEastAsia"/>
                <w:sz w:val="18"/>
                <w:szCs w:val="18"/>
              </w:rPr>
            </w:pPr>
            <w:r>
              <w:rPr>
                <w:rFonts w:hint="eastAsia" w:asciiTheme="minorEastAsia" w:hAnsiTheme="minorEastAsia"/>
                <w:sz w:val="18"/>
                <w:szCs w:val="18"/>
              </w:rPr>
              <w:t>kg/h</w:t>
            </w:r>
          </w:p>
        </w:tc>
        <w:tc>
          <w:tcPr>
            <w:tcW w:w="1134" w:type="dxa"/>
            <w:vAlign w:val="center"/>
          </w:tcPr>
          <w:p>
            <w:pPr>
              <w:spacing w:line="240" w:lineRule="atLeast"/>
              <w:jc w:val="cente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r>
              <w:rPr>
                <w:rFonts w:asciiTheme="minorEastAsia" w:hAnsiTheme="minorEastAsia"/>
                <w:color w:val="0D0D0D" w:themeColor="text1" w:themeTint="F2"/>
                <w:sz w:val="18"/>
                <w:szCs w:val="18"/>
                <w14:textFill>
                  <w14:solidFill>
                    <w14:schemeClr w14:val="tx1">
                      <w14:lumMod w14:val="95000"/>
                      <w14:lumOff w14:val="5000"/>
                    </w14:schemeClr>
                  </w14:solidFill>
                </w14:textFill>
              </w:rPr>
              <w:t>×10</w:t>
            </w:r>
            <w:r>
              <w:rPr>
                <w:rFonts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w:t>
            </w:r>
            <w:r>
              <w:rPr>
                <w:rFonts w:hint="eastAsia" w:asciiTheme="minorEastAsia" w:hAnsiTheme="minorEastAsia"/>
                <w:color w:val="0D0D0D" w:themeColor="text1" w:themeTint="F2"/>
                <w:sz w:val="18"/>
                <w:szCs w:val="18"/>
                <w:vertAlign w:val="superscript"/>
                <w14:textFill>
                  <w14:solidFill>
                    <w14:schemeClr w14:val="tx1">
                      <w14:lumMod w14:val="95000"/>
                      <w14:lumOff w14:val="5000"/>
                    </w14:schemeClr>
                  </w14:solidFill>
                </w14:textFill>
              </w:rPr>
              <w:t>4</w:t>
            </w:r>
          </w:p>
          <w:p>
            <w:pPr>
              <w:spacing w:line="240" w:lineRule="atLeast"/>
              <w:jc w:val="center"/>
              <w:rPr>
                <w:rFonts w:asciiTheme="minorEastAsia" w:hAnsiTheme="minorEastAsia"/>
                <w:sz w:val="18"/>
                <w:szCs w:val="18"/>
              </w:rPr>
            </w:pPr>
            <w:r>
              <w:rPr>
                <w:rFonts w:hint="eastAsia" w:asciiTheme="minorEastAsia" w:hAnsiTheme="minorEastAsia"/>
                <w:sz w:val="18"/>
                <w:szCs w:val="18"/>
              </w:rPr>
              <w:t>t/a</w:t>
            </w:r>
          </w:p>
        </w:tc>
        <w:tc>
          <w:tcPr>
            <w:tcW w:w="2410" w:type="dxa"/>
            <w:vMerge w:val="continue"/>
            <w:vAlign w:val="center"/>
          </w:tcPr>
          <w:p>
            <w:pPr>
              <w:spacing w:line="240" w:lineRule="atLeast"/>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cs="Times New Roman"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46" w:type="dxa"/>
            <w:vMerge w:val="continue"/>
            <w:vAlign w:val="center"/>
          </w:tcPr>
          <w:p>
            <w:pPr>
              <w:spacing w:line="240" w:lineRule="atLeast"/>
              <w:jc w:val="center"/>
              <w:rPr>
                <w:rFonts w:asciiTheme="minorEastAsia" w:hAnsiTheme="minorEastAsia"/>
                <w:sz w:val="18"/>
                <w:szCs w:val="18"/>
              </w:rPr>
            </w:pPr>
          </w:p>
        </w:tc>
        <w:tc>
          <w:tcPr>
            <w:tcW w:w="1271"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车间碳黑尘处理系统</w:t>
            </w:r>
          </w:p>
          <w:p>
            <w:pPr>
              <w:spacing w:line="240" w:lineRule="atLeast"/>
              <w:jc w:val="center"/>
              <w:rPr>
                <w:rFonts w:asciiTheme="minorEastAsia" w:hAnsiTheme="minorEastAsia"/>
                <w:sz w:val="18"/>
                <w:szCs w:val="18"/>
              </w:rPr>
            </w:pPr>
            <w:r>
              <w:rPr>
                <w:rFonts w:hint="eastAsia" w:asciiTheme="minorEastAsia" w:hAnsiTheme="minorEastAsia"/>
                <w:sz w:val="18"/>
                <w:szCs w:val="18"/>
              </w:rPr>
              <w:t>（有组织）</w:t>
            </w:r>
          </w:p>
        </w:tc>
        <w:tc>
          <w:tcPr>
            <w:tcW w:w="10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2#排气筒</w:t>
            </w:r>
          </w:p>
        </w:tc>
        <w:tc>
          <w:tcPr>
            <w:tcW w:w="1417"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碳黑尘</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4.38mg/m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0.022kg/h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0.158t/a</w:t>
            </w:r>
          </w:p>
        </w:tc>
        <w:tc>
          <w:tcPr>
            <w:tcW w:w="2410" w:type="dxa"/>
            <w:vMerge w:val="restart"/>
            <w:vAlign w:val="center"/>
          </w:tcPr>
          <w:p>
            <w:pPr>
              <w:spacing w:line="240" w:lineRule="atLeast"/>
              <w:jc w:val="center"/>
              <w:rPr>
                <w:rFonts w:asciiTheme="minorEastAsia" w:hAnsiTheme="minorEastAsia"/>
                <w:sz w:val="18"/>
                <w:szCs w:val="18"/>
              </w:rPr>
            </w:pPr>
            <w:r>
              <w:rPr>
                <w:rFonts w:hint="eastAsia" w:cs="Times New Roman" w:asciiTheme="minorEastAsia" w:hAnsiTheme="minorEastAsia"/>
                <w:sz w:val="18"/>
                <w:szCs w:val="18"/>
              </w:rPr>
              <w:t>2套“脉冲袋式除尘器+15m排气筒”处理系统；单套设备处理废气量5000m</w:t>
            </w:r>
            <w:r>
              <w:rPr>
                <w:rFonts w:hint="eastAsia" w:cs="Times New Roman" w:asciiTheme="minorEastAsia" w:hAnsiTheme="minorEastAsia"/>
                <w:sz w:val="18"/>
                <w:szCs w:val="18"/>
                <w:vertAlign w:val="superscript"/>
              </w:rPr>
              <w:t>3</w:t>
            </w:r>
            <w:r>
              <w:rPr>
                <w:rFonts w:hint="eastAsia" w:cs="Times New Roman" w:asciiTheme="minorEastAsia" w:hAnsiTheme="minorEastAsia"/>
                <w:sz w:val="18"/>
                <w:szCs w:val="18"/>
              </w:rPr>
              <w:t>/h。</w:t>
            </w:r>
          </w:p>
        </w:tc>
        <w:tc>
          <w:tcPr>
            <w:tcW w:w="3706"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碳黑尘</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满足《大气污染物综合排放标准》（GB16297-1996）表2限值要求。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946" w:type="dxa"/>
            <w:vMerge w:val="continue"/>
            <w:vAlign w:val="center"/>
          </w:tcPr>
          <w:p>
            <w:pPr>
              <w:spacing w:line="240" w:lineRule="atLeast"/>
              <w:jc w:val="center"/>
              <w:rPr>
                <w:rFonts w:asciiTheme="minorEastAsia" w:hAnsiTheme="minorEastAsia"/>
                <w:sz w:val="18"/>
                <w:szCs w:val="18"/>
              </w:rPr>
            </w:pPr>
          </w:p>
        </w:tc>
        <w:tc>
          <w:tcPr>
            <w:tcW w:w="1271" w:type="dxa"/>
            <w:vMerge w:val="continue"/>
            <w:vAlign w:val="center"/>
          </w:tcPr>
          <w:p>
            <w:pPr>
              <w:spacing w:line="240" w:lineRule="atLeast"/>
              <w:jc w:val="center"/>
              <w:rPr>
                <w:rFonts w:asciiTheme="minorEastAsia" w:hAnsiTheme="minorEastAsia"/>
                <w:sz w:val="18"/>
                <w:szCs w:val="18"/>
              </w:rPr>
            </w:pPr>
          </w:p>
        </w:tc>
        <w:tc>
          <w:tcPr>
            <w:tcW w:w="10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3#排气筒</w:t>
            </w:r>
          </w:p>
        </w:tc>
        <w:tc>
          <w:tcPr>
            <w:tcW w:w="1417"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碳黑尘</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4.38mg/m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0.022kg/h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0.158t/a</w:t>
            </w:r>
          </w:p>
        </w:tc>
        <w:tc>
          <w:tcPr>
            <w:tcW w:w="2410" w:type="dxa"/>
            <w:vMerge w:val="continue"/>
            <w:vAlign w:val="center"/>
          </w:tcPr>
          <w:p>
            <w:pPr>
              <w:spacing w:line="240" w:lineRule="atLeast"/>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职工食堂油烟排气筒</w:t>
            </w:r>
          </w:p>
          <w:p>
            <w:pPr>
              <w:spacing w:line="240" w:lineRule="atLeast"/>
              <w:jc w:val="center"/>
              <w:rPr>
                <w:rFonts w:asciiTheme="minorEastAsia" w:hAnsiTheme="minorEastAsia"/>
                <w:sz w:val="18"/>
                <w:szCs w:val="18"/>
              </w:rPr>
            </w:pPr>
            <w:r>
              <w:rPr>
                <w:rFonts w:hint="eastAsia" w:asciiTheme="minorEastAsia" w:hAnsiTheme="minorEastAsia"/>
                <w:sz w:val="18"/>
                <w:szCs w:val="18"/>
              </w:rPr>
              <w:t>（有组织）</w:t>
            </w:r>
          </w:p>
        </w:tc>
        <w:tc>
          <w:tcPr>
            <w:tcW w:w="1417"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油烟</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0.3mg/m</w:t>
            </w:r>
            <w:r>
              <w:rPr>
                <w:rFonts w:hint="eastAsia" w:asciiTheme="minorEastAsia" w:hAnsiTheme="minorEastAsia"/>
                <w:sz w:val="18"/>
                <w:szCs w:val="18"/>
                <w:vertAlign w:val="superscript"/>
              </w:rPr>
              <w:t>3</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0.0009kg/h</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0.001t/a</w:t>
            </w:r>
          </w:p>
        </w:tc>
        <w:tc>
          <w:tcPr>
            <w:tcW w:w="24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1套高压静电式油烟净化器，处理效率不低于90%。</w:t>
            </w:r>
          </w:p>
        </w:tc>
        <w:tc>
          <w:tcPr>
            <w:tcW w:w="3706"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满足DB41/1604-2018《饮食业油烟污染物排放标准》中的小型≤1.5mg/m</w:t>
            </w:r>
            <w:r>
              <w:rPr>
                <w:rFonts w:hint="eastAsia" w:asciiTheme="minorEastAsia" w:hAnsiTheme="minorEastAsia"/>
                <w:sz w:val="18"/>
                <w:szCs w:val="18"/>
                <w:vertAlign w:val="superscript"/>
              </w:rPr>
              <w:t>3</w:t>
            </w:r>
            <w:r>
              <w:rPr>
                <w:rFonts w:hint="eastAsia" w:asciiTheme="minorEastAsia" w:hAnsiTheme="minorEastAsia"/>
                <w:sz w:val="18"/>
                <w:szCs w:val="18"/>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无组织</w:t>
            </w:r>
          </w:p>
          <w:p>
            <w:pPr>
              <w:spacing w:line="240" w:lineRule="atLeast"/>
              <w:jc w:val="center"/>
              <w:rPr>
                <w:rFonts w:asciiTheme="minorEastAsia" w:hAnsiTheme="minorEastAsia"/>
                <w:sz w:val="18"/>
                <w:szCs w:val="18"/>
              </w:rPr>
            </w:pPr>
            <w:r>
              <w:rPr>
                <w:rFonts w:hint="eastAsia" w:asciiTheme="minorEastAsia" w:hAnsiTheme="minorEastAsia"/>
                <w:b/>
                <w:sz w:val="18"/>
                <w:szCs w:val="18"/>
              </w:rPr>
              <w:t>废气</w:t>
            </w:r>
          </w:p>
        </w:tc>
        <w:tc>
          <w:tcPr>
            <w:tcW w:w="2281" w:type="dxa"/>
            <w:gridSpan w:val="2"/>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热裂解生产车间</w:t>
            </w:r>
          </w:p>
          <w:p>
            <w:pPr>
              <w:spacing w:line="240" w:lineRule="atLeast"/>
              <w:jc w:val="center"/>
              <w:rPr>
                <w:rFonts w:asciiTheme="minorEastAsia" w:hAnsiTheme="minorEastAsia"/>
                <w:sz w:val="18"/>
                <w:szCs w:val="18"/>
              </w:rPr>
            </w:pPr>
            <w:r>
              <w:rPr>
                <w:rFonts w:hint="eastAsia" w:asciiTheme="minorEastAsia" w:hAnsiTheme="minorEastAsia"/>
                <w:sz w:val="18"/>
                <w:szCs w:val="18"/>
              </w:rPr>
              <w:t xml:space="preserve">无组织废气 </w:t>
            </w:r>
          </w:p>
        </w:tc>
        <w:tc>
          <w:tcPr>
            <w:tcW w:w="1417" w:type="dxa"/>
            <w:gridSpan w:val="2"/>
            <w:vAlign w:val="center"/>
          </w:tcPr>
          <w:p>
            <w:pPr>
              <w:jc w:val="center"/>
              <w:rPr>
                <w:rFonts w:cs="Times New Roman" w:asciiTheme="minorEastAsia" w:hAnsiTheme="minorEastAsia"/>
                <w:sz w:val="18"/>
                <w:szCs w:val="18"/>
              </w:rPr>
            </w:pPr>
            <w:r>
              <w:rPr>
                <w:rFonts w:hint="eastAsia" w:asciiTheme="minorEastAsia" w:hAnsiTheme="minorEastAsia"/>
                <w:sz w:val="18"/>
                <w:szCs w:val="18"/>
              </w:rPr>
              <w:t>碳黑尘</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276" w:type="dxa"/>
            <w:gridSpan w:val="2"/>
            <w:vAlign w:val="center"/>
          </w:tcPr>
          <w:p>
            <w:pPr>
              <w:widowControl/>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0.194kg/h</w:t>
            </w:r>
          </w:p>
        </w:tc>
        <w:tc>
          <w:tcPr>
            <w:tcW w:w="1134" w:type="dxa"/>
            <w:vAlign w:val="center"/>
          </w:tcPr>
          <w:p>
            <w:pPr>
              <w:widowControl/>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1.4t/a</w:t>
            </w:r>
          </w:p>
        </w:tc>
        <w:tc>
          <w:tcPr>
            <w:tcW w:w="2410"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密闭收料设备、设置集气罩集气处理及车间自然沉降等</w:t>
            </w:r>
          </w:p>
        </w:tc>
        <w:tc>
          <w:tcPr>
            <w:tcW w:w="3706"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硫化氢厂界浓度满足《恶臭污染物排放标准》（GB14554-93）表1厂界标准值二级限值要求；厂界无组织颗粒物排放浓度满足《大气污染物综合排放标准》（GB16297-1996）中表2新污染源大气污染物无组织排放监控浓度限值要求；无组非甲烷总烃排放执行《关于全省开展工业企业挥发性有机物专项治理工作中排放建议值的通知》（豫环攻坚办[2017]162号）规定的排放建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jc w:val="center"/>
              <w:rPr>
                <w:rFonts w:cs="Times New Roman" w:asciiTheme="minorEastAsia" w:hAnsiTheme="minorEastAsia"/>
                <w:sz w:val="18"/>
                <w:szCs w:val="18"/>
              </w:rPr>
            </w:pPr>
            <w:r>
              <w:rPr>
                <w:rFonts w:hint="eastAsia" w:cs="Times New Roman" w:asciiTheme="minorEastAsia" w:hAnsiTheme="minorEastAsia"/>
                <w:sz w:val="18"/>
                <w:szCs w:val="18"/>
              </w:rPr>
              <w:t>非甲烷总烃</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276" w:type="dxa"/>
            <w:gridSpan w:val="2"/>
            <w:vAlign w:val="center"/>
          </w:tcPr>
          <w:p>
            <w:pPr>
              <w:widowControl/>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0.027kg/h</w:t>
            </w:r>
          </w:p>
        </w:tc>
        <w:tc>
          <w:tcPr>
            <w:tcW w:w="1134" w:type="dxa"/>
            <w:vAlign w:val="center"/>
          </w:tcPr>
          <w:p>
            <w:pPr>
              <w:widowControl/>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0.195t/a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jc w:val="center"/>
              <w:rPr>
                <w:rFonts w:cs="Times New Roman" w:asciiTheme="minorEastAsia" w:hAnsiTheme="minorEastAsia"/>
                <w:sz w:val="18"/>
                <w:szCs w:val="18"/>
              </w:rPr>
            </w:pPr>
            <w:r>
              <w:rPr>
                <w:rFonts w:hint="eastAsia" w:cs="Times New Roman" w:asciiTheme="minorEastAsia" w:hAnsiTheme="minorEastAsia"/>
                <w:sz w:val="18"/>
                <w:szCs w:val="18"/>
              </w:rPr>
              <w:t>H</w:t>
            </w:r>
            <w:r>
              <w:rPr>
                <w:rFonts w:hint="eastAsia" w:cs="Times New Roman" w:asciiTheme="minorEastAsia" w:hAnsiTheme="minorEastAsia"/>
                <w:sz w:val="18"/>
                <w:szCs w:val="18"/>
                <w:vertAlign w:val="subscript"/>
              </w:rPr>
              <w:t>2</w:t>
            </w:r>
            <w:r>
              <w:rPr>
                <w:rFonts w:hint="eastAsia" w:cs="Times New Roman" w:asciiTheme="minorEastAsia" w:hAnsiTheme="minorEastAsia"/>
                <w:sz w:val="18"/>
                <w:szCs w:val="18"/>
              </w:rPr>
              <w:t>S</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276" w:type="dxa"/>
            <w:gridSpan w:val="2"/>
            <w:vAlign w:val="center"/>
          </w:tcPr>
          <w:p>
            <w:pPr>
              <w:widowControl/>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0.0004kg/h</w:t>
            </w:r>
          </w:p>
        </w:tc>
        <w:tc>
          <w:tcPr>
            <w:tcW w:w="1134" w:type="dxa"/>
            <w:vAlign w:val="center"/>
          </w:tcPr>
          <w:p>
            <w:pPr>
              <w:widowControl/>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0.003t/a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产品库无组织废气</w:t>
            </w:r>
          </w:p>
        </w:tc>
        <w:tc>
          <w:tcPr>
            <w:tcW w:w="1417" w:type="dxa"/>
            <w:gridSpan w:val="2"/>
            <w:vAlign w:val="center"/>
          </w:tcPr>
          <w:p>
            <w:pPr>
              <w:jc w:val="center"/>
              <w:rPr>
                <w:rFonts w:cs="Times New Roman" w:asciiTheme="minorEastAsia" w:hAnsiTheme="minorEastAsia"/>
                <w:sz w:val="18"/>
                <w:szCs w:val="18"/>
              </w:rPr>
            </w:pPr>
            <w:r>
              <w:rPr>
                <w:rFonts w:hint="eastAsia" w:cs="Times New Roman" w:asciiTheme="minorEastAsia" w:hAnsiTheme="minorEastAsia"/>
                <w:sz w:val="18"/>
                <w:szCs w:val="18"/>
              </w:rPr>
              <w:t>碳黑尘</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276" w:type="dxa"/>
            <w:gridSpan w:val="2"/>
            <w:vAlign w:val="center"/>
          </w:tcPr>
          <w:p>
            <w:pPr>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0.024kg/h</w:t>
            </w:r>
          </w:p>
        </w:tc>
        <w:tc>
          <w:tcPr>
            <w:tcW w:w="1134" w:type="dxa"/>
            <w:vAlign w:val="center"/>
          </w:tcPr>
          <w:p>
            <w:pPr>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0.175t/a</w:t>
            </w:r>
          </w:p>
        </w:tc>
        <w:tc>
          <w:tcPr>
            <w:tcW w:w="24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产品袋装储存、库内装卸料等</w:t>
            </w: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94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2281" w:type="dxa"/>
            <w:gridSpan w:val="2"/>
            <w:tcBorders>
              <w:bottom w:val="single" w:color="auto" w:sz="4" w:space="0"/>
            </w:tcBorders>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储罐区无组织废气</w:t>
            </w:r>
          </w:p>
        </w:tc>
        <w:tc>
          <w:tcPr>
            <w:tcW w:w="1417" w:type="dxa"/>
            <w:gridSpan w:val="2"/>
            <w:tcBorders>
              <w:bottom w:val="single" w:color="auto" w:sz="4" w:space="0"/>
            </w:tcBorders>
            <w:vAlign w:val="center"/>
          </w:tcPr>
          <w:p>
            <w:pPr>
              <w:jc w:val="center"/>
              <w:rPr>
                <w:rFonts w:asciiTheme="minorEastAsia" w:hAnsiTheme="minorEastAsia"/>
                <w:sz w:val="18"/>
                <w:szCs w:val="18"/>
              </w:rPr>
            </w:pPr>
            <w:r>
              <w:rPr>
                <w:rFonts w:hint="eastAsia" w:cs="Times New Roman" w:asciiTheme="minorEastAsia" w:hAnsiTheme="minorEastAsia"/>
                <w:sz w:val="18"/>
                <w:szCs w:val="18"/>
              </w:rPr>
              <w:t>非甲烷总烃</w:t>
            </w:r>
          </w:p>
        </w:tc>
        <w:tc>
          <w:tcPr>
            <w:tcW w:w="1276" w:type="dxa"/>
            <w:tcBorders>
              <w:bottom w:val="single" w:color="auto" w:sz="4" w:space="0"/>
            </w:tcBorders>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276" w:type="dxa"/>
            <w:gridSpan w:val="2"/>
            <w:tcBorders>
              <w:bottom w:val="single" w:color="auto" w:sz="4" w:space="0"/>
            </w:tcBorders>
            <w:vAlign w:val="center"/>
          </w:tcPr>
          <w:p>
            <w:pPr>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0.0443kg/h</w:t>
            </w:r>
          </w:p>
        </w:tc>
        <w:tc>
          <w:tcPr>
            <w:tcW w:w="1134" w:type="dxa"/>
            <w:tcBorders>
              <w:bottom w:val="single" w:color="auto" w:sz="4" w:space="0"/>
            </w:tcBorders>
            <w:vAlign w:val="center"/>
          </w:tcPr>
          <w:p>
            <w:pPr>
              <w:jc w:val="center"/>
              <w:textAlignment w:val="center"/>
              <w:rPr>
                <w:rFonts w:cs="Times New Roman" w:asciiTheme="minorEastAsia" w:hAnsiTheme="minorEastAsia"/>
                <w:kern w:val="0"/>
                <w:sz w:val="18"/>
                <w:szCs w:val="18"/>
                <w:lang w:bidi="ar"/>
              </w:rPr>
            </w:pPr>
            <w:r>
              <w:rPr>
                <w:rFonts w:hint="eastAsia" w:cs="Times New Roman" w:asciiTheme="minorEastAsia" w:hAnsiTheme="minorEastAsia"/>
                <w:kern w:val="0"/>
                <w:sz w:val="18"/>
                <w:szCs w:val="18"/>
                <w:lang w:bidi="ar"/>
              </w:rPr>
              <w:t>0.319t/a</w:t>
            </w:r>
          </w:p>
        </w:tc>
        <w:tc>
          <w:tcPr>
            <w:tcW w:w="2410" w:type="dxa"/>
            <w:tcBorders>
              <w:bottom w:val="single" w:color="auto" w:sz="4" w:space="0"/>
            </w:tcBorders>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装卸采用平衡鹤管；储罐安装氮封及油气回收装置。</w:t>
            </w:r>
          </w:p>
        </w:tc>
        <w:tc>
          <w:tcPr>
            <w:tcW w:w="370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46"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废水</w:t>
            </w: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废气处理系统排放废水</w:t>
            </w:r>
          </w:p>
        </w:tc>
        <w:tc>
          <w:tcPr>
            <w:tcW w:w="5103" w:type="dxa"/>
            <w:gridSpan w:val="6"/>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COD、BOD</w:t>
            </w:r>
            <w:r>
              <w:rPr>
                <w:rFonts w:hint="eastAsia" w:asciiTheme="minorEastAsia" w:hAnsiTheme="minorEastAsia"/>
                <w:sz w:val="18"/>
                <w:szCs w:val="18"/>
                <w:vertAlign w:val="subscript"/>
              </w:rPr>
              <w:t>5</w:t>
            </w:r>
            <w:r>
              <w:rPr>
                <w:rFonts w:hint="eastAsia" w:asciiTheme="minorEastAsia" w:hAnsiTheme="minorEastAsia"/>
                <w:sz w:val="18"/>
                <w:szCs w:val="18"/>
              </w:rPr>
              <w:t>、SS、氨氮、石油类、Cl</w:t>
            </w:r>
            <w:r>
              <w:rPr>
                <w:rFonts w:hint="eastAsia" w:asciiTheme="minorEastAsia" w:hAnsiTheme="minorEastAsia"/>
                <w:sz w:val="18"/>
                <w:szCs w:val="18"/>
                <w:vertAlign w:val="superscript"/>
              </w:rPr>
              <w:t>-</w:t>
            </w:r>
            <w:r>
              <w:rPr>
                <w:rFonts w:hint="eastAsia" w:asciiTheme="minorEastAsia" w:hAnsiTheme="minorEastAsia"/>
                <w:sz w:val="18"/>
                <w:szCs w:val="18"/>
              </w:rPr>
              <w:t>等</w:t>
            </w:r>
          </w:p>
        </w:tc>
        <w:tc>
          <w:tcPr>
            <w:tcW w:w="2410"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隔油池预处理后，进入一体化污水处理系统。</w:t>
            </w:r>
          </w:p>
        </w:tc>
        <w:tc>
          <w:tcPr>
            <w:tcW w:w="3706" w:type="dxa"/>
            <w:vMerge w:val="restart"/>
            <w:vAlign w:val="center"/>
          </w:tcPr>
          <w:p>
            <w:pPr>
              <w:spacing w:line="240" w:lineRule="atLeast"/>
              <w:rPr>
                <w:rFonts w:cs="Times New Roman" w:asciiTheme="minorEastAsia" w:hAnsiTheme="minorEastAsia"/>
                <w:bCs/>
                <w:sz w:val="18"/>
                <w:szCs w:val="18"/>
              </w:rPr>
            </w:pPr>
            <w:r>
              <w:rPr>
                <w:rFonts w:hint="eastAsia" w:cs="Times New Roman" w:asciiTheme="minorEastAsia" w:hAnsiTheme="minorEastAsia"/>
                <w:bCs/>
                <w:sz w:val="18"/>
                <w:szCs w:val="18"/>
              </w:rPr>
              <w:t>厂区污水总排口各类污染物满足《污水综合排放标准》（GB8978-1996）表4三级标准及西平县城市污水处理厂进水水质要求。污水厂出水执行《城镇污水处理厂污染物排放标准》（GB18918-2002）一级A标准。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厂区生产区初期雨水</w:t>
            </w:r>
          </w:p>
        </w:tc>
        <w:tc>
          <w:tcPr>
            <w:tcW w:w="5103" w:type="dxa"/>
            <w:gridSpan w:val="6"/>
            <w:vMerge w:val="continue"/>
            <w:vAlign w:val="center"/>
          </w:tcPr>
          <w:p>
            <w:pPr>
              <w:spacing w:line="240" w:lineRule="atLeast"/>
              <w:jc w:val="center"/>
              <w:rPr>
                <w:rFonts w:asciiTheme="minorEastAsia" w:hAnsiTheme="minorEastAsia"/>
                <w:sz w:val="18"/>
                <w:szCs w:val="18"/>
              </w:rPr>
            </w:pP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cs="Times New Roman" w:asciiTheme="minorEastAsia" w:hAnsiTheme="minorEastAsia"/>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946" w:type="dxa"/>
            <w:vMerge w:val="continue"/>
            <w:vAlign w:val="center"/>
          </w:tcPr>
          <w:p>
            <w:pPr>
              <w:spacing w:line="240" w:lineRule="atLeast"/>
              <w:jc w:val="center"/>
              <w:rPr>
                <w:rFonts w:asciiTheme="minorEastAsia" w:hAnsiTheme="minorEastAsia"/>
                <w:b/>
                <w:sz w:val="18"/>
                <w:szCs w:val="18"/>
              </w:rPr>
            </w:pP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生活污水</w:t>
            </w:r>
          </w:p>
        </w:tc>
        <w:tc>
          <w:tcPr>
            <w:tcW w:w="5103" w:type="dxa"/>
            <w:gridSpan w:val="6"/>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COD、BOD</w:t>
            </w:r>
            <w:r>
              <w:rPr>
                <w:rFonts w:hint="eastAsia" w:asciiTheme="minorEastAsia" w:hAnsiTheme="minorEastAsia"/>
                <w:sz w:val="18"/>
                <w:szCs w:val="18"/>
                <w:vertAlign w:val="subscript"/>
              </w:rPr>
              <w:t>5</w:t>
            </w:r>
            <w:r>
              <w:rPr>
                <w:rFonts w:hint="eastAsia" w:asciiTheme="minorEastAsia" w:hAnsiTheme="minorEastAsia"/>
                <w:sz w:val="18"/>
                <w:szCs w:val="18"/>
              </w:rPr>
              <w:t>、SS、氨氮、总磷、动植物油等</w:t>
            </w:r>
          </w:p>
        </w:tc>
        <w:tc>
          <w:tcPr>
            <w:tcW w:w="24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隔油化粪池预处理后，进入一体化污水处理系统。</w:t>
            </w:r>
          </w:p>
        </w:tc>
        <w:tc>
          <w:tcPr>
            <w:tcW w:w="3706" w:type="dxa"/>
            <w:vMerge w:val="continue"/>
            <w:vAlign w:val="center"/>
          </w:tcPr>
          <w:p>
            <w:pPr>
              <w:spacing w:line="240" w:lineRule="atLeast"/>
              <w:jc w:val="center"/>
              <w:rPr>
                <w:rFonts w:cs="Times New Roman" w:asciiTheme="minorEastAsia" w:hAnsiTheme="minorEastAsia"/>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一体化污水处理系统（预处理后生产废水、生活污水、生产区初期雨水等）</w:t>
            </w:r>
          </w:p>
        </w:tc>
        <w:tc>
          <w:tcPr>
            <w:tcW w:w="1417" w:type="dxa"/>
            <w:gridSpan w:val="2"/>
            <w:vAlign w:val="center"/>
          </w:tcPr>
          <w:p>
            <w:pPr>
              <w:spacing w:line="240" w:lineRule="atLeast"/>
              <w:jc w:val="center"/>
              <w:rPr>
                <w:rFonts w:cs="Times New Roman" w:asciiTheme="minorEastAsia" w:hAnsiTheme="minorEastAsia"/>
                <w:sz w:val="18"/>
                <w:szCs w:val="18"/>
              </w:rPr>
            </w:pPr>
            <w:r>
              <w:rPr>
                <w:rFonts w:hint="eastAsia" w:cs="Times New Roman" w:asciiTheme="minorEastAsia" w:hAnsiTheme="minorEastAsia"/>
                <w:sz w:val="18"/>
                <w:szCs w:val="18"/>
              </w:rPr>
              <w:t>废水量</w:t>
            </w:r>
          </w:p>
        </w:tc>
        <w:tc>
          <w:tcPr>
            <w:tcW w:w="1276" w:type="dxa"/>
            <w:vAlign w:val="center"/>
          </w:tcPr>
          <w:p>
            <w:pPr>
              <w:spacing w:line="240" w:lineRule="atLeast"/>
              <w:jc w:val="center"/>
              <w:rPr>
                <w:rFonts w:cs="Times New Roman" w:asciiTheme="minorEastAsia" w:hAnsiTheme="minorEastAsia"/>
                <w:sz w:val="18"/>
                <w:szCs w:val="18"/>
              </w:rPr>
            </w:pPr>
            <w:r>
              <w:rPr>
                <w:rFonts w:hint="eastAsia" w:cs="Times New Roman" w:asciiTheme="minorEastAsia" w:hAnsiTheme="minorEastAsia"/>
                <w:sz w:val="18"/>
                <w:szCs w:val="18"/>
              </w:rPr>
              <w:t>/</w:t>
            </w:r>
          </w:p>
        </w:tc>
        <w:tc>
          <w:tcPr>
            <w:tcW w:w="1276" w:type="dxa"/>
            <w:gridSpan w:val="2"/>
            <w:vAlign w:val="center"/>
          </w:tcPr>
          <w:p>
            <w:pPr>
              <w:spacing w:line="240" w:lineRule="atLeast"/>
              <w:jc w:val="center"/>
              <w:rPr>
                <w:rFonts w:cs="Times New Roman" w:asciiTheme="minorEastAsia" w:hAnsiTheme="minorEastAsia"/>
                <w:sz w:val="18"/>
                <w:szCs w:val="18"/>
              </w:rPr>
            </w:pPr>
            <w:r>
              <w:rPr>
                <w:rFonts w:hint="eastAsia" w:cs="Times New Roman" w:asciiTheme="minorEastAsia" w:hAnsiTheme="minorEastAsia"/>
                <w:sz w:val="18"/>
                <w:szCs w:val="18"/>
              </w:rPr>
              <w:t>27.3m</w:t>
            </w:r>
            <w:r>
              <w:rPr>
                <w:rFonts w:hint="eastAsia" w:cs="Times New Roman" w:asciiTheme="minorEastAsia" w:hAnsiTheme="minorEastAsia"/>
                <w:sz w:val="18"/>
                <w:szCs w:val="18"/>
                <w:vertAlign w:val="superscript"/>
              </w:rPr>
              <w:t>3</w:t>
            </w:r>
            <w:r>
              <w:rPr>
                <w:rFonts w:hint="eastAsia" w:cs="Times New Roman" w:asciiTheme="minorEastAsia" w:hAnsiTheme="minorEastAsia"/>
                <w:sz w:val="18"/>
                <w:szCs w:val="18"/>
              </w:rPr>
              <w:t>/d</w:t>
            </w:r>
          </w:p>
        </w:tc>
        <w:tc>
          <w:tcPr>
            <w:tcW w:w="1134" w:type="dxa"/>
            <w:vAlign w:val="center"/>
          </w:tcPr>
          <w:p>
            <w:pPr>
              <w:spacing w:line="240" w:lineRule="atLeast"/>
              <w:jc w:val="center"/>
              <w:rPr>
                <w:rFonts w:cs="Times New Roman" w:asciiTheme="minorEastAsia" w:hAnsiTheme="minorEastAsia"/>
                <w:sz w:val="18"/>
                <w:szCs w:val="18"/>
              </w:rPr>
            </w:pPr>
            <w:r>
              <w:rPr>
                <w:rFonts w:hint="eastAsia" w:cs="Times New Roman" w:asciiTheme="minorEastAsia" w:hAnsiTheme="minorEastAsia"/>
                <w:sz w:val="18"/>
                <w:szCs w:val="18"/>
              </w:rPr>
              <w:t>8190m</w:t>
            </w:r>
            <w:r>
              <w:rPr>
                <w:rFonts w:hint="eastAsia" w:cs="Times New Roman" w:asciiTheme="minorEastAsia" w:hAnsiTheme="minorEastAsia"/>
                <w:sz w:val="18"/>
                <w:szCs w:val="18"/>
                <w:vertAlign w:val="superscript"/>
              </w:rPr>
              <w:t>3</w:t>
            </w:r>
            <w:r>
              <w:rPr>
                <w:rFonts w:hint="eastAsia" w:cs="Times New Roman" w:asciiTheme="minorEastAsia" w:hAnsiTheme="minorEastAsia"/>
                <w:sz w:val="18"/>
                <w:szCs w:val="18"/>
              </w:rPr>
              <w:t>/a</w:t>
            </w:r>
          </w:p>
        </w:tc>
        <w:tc>
          <w:tcPr>
            <w:tcW w:w="2410"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1套40m</w:t>
            </w:r>
            <w:r>
              <w:rPr>
                <w:rFonts w:hint="eastAsia" w:asciiTheme="minorEastAsia" w:hAnsiTheme="minorEastAsia"/>
                <w:sz w:val="18"/>
                <w:szCs w:val="18"/>
                <w:vertAlign w:val="superscript"/>
              </w:rPr>
              <w:t>3</w:t>
            </w:r>
            <w:r>
              <w:rPr>
                <w:rFonts w:hint="eastAsia" w:asciiTheme="minorEastAsia" w:hAnsiTheme="minorEastAsia"/>
                <w:sz w:val="18"/>
                <w:szCs w:val="18"/>
              </w:rPr>
              <w:t>/d的一体化污水处理系统（调节池+气浮池+接触氧化池+絮凝沉淀池+二沉池+清水池+达标排放），处理后废水排放城市污水处理厂，处理达标排放地表水体。</w:t>
            </w: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COD</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88.03mg/L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2.403kg/d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0.721t/a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BOD</w:t>
            </w:r>
            <w:r>
              <w:rPr>
                <w:rFonts w:hint="eastAsia" w:asciiTheme="minorEastAsia" w:hAnsiTheme="minorEastAsia"/>
                <w:color w:val="0D0D0D" w:themeColor="text1" w:themeTint="F2"/>
                <w:sz w:val="18"/>
                <w:szCs w:val="18"/>
                <w:vertAlign w:val="subscript"/>
                <w:lang w:bidi="ar"/>
                <w14:textFill>
                  <w14:solidFill>
                    <w14:schemeClr w14:val="tx1">
                      <w14:lumMod w14:val="95000"/>
                      <w14:lumOff w14:val="5000"/>
                    </w14:schemeClr>
                  </w14:solidFill>
                </w14:textFill>
              </w:rPr>
              <w:t>5</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56.9mg/L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1.553kg/d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0.466t/a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氨氮</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12.45mg/L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0.34kg/d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0.102t/a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总磷</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0.24mg/L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0.007kg/d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0.002t/a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SS</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39.19mg/L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1.07kg/d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0.321t/a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硫化物</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1.47mg/L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0.04kg/d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0.012t/a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石油类</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6.11mg/L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0.167kg/d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0.05t/a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1417" w:type="dxa"/>
            <w:gridSpan w:val="2"/>
            <w:vAlign w:val="center"/>
          </w:tcPr>
          <w:p>
            <w:pPr>
              <w:widowControl/>
              <w:adjustRightInd w:val="0"/>
              <w:snapToGrid w:val="0"/>
              <w:spacing w:line="240" w:lineRule="atLeast"/>
              <w:jc w:val="center"/>
              <w:rPr>
                <w:rFonts w:asciiTheme="minorEastAsia" w:hAnsiTheme="minorEastAsia"/>
                <w:color w:val="0D0D0D" w:themeColor="text1" w:themeTint="F2"/>
                <w:sz w:val="18"/>
                <w:szCs w:val="18"/>
                <w:lang w:bidi="ar"/>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lang w:bidi="ar"/>
                <w14:textFill>
                  <w14:solidFill>
                    <w14:schemeClr w14:val="tx1">
                      <w14:lumMod w14:val="95000"/>
                      <w14:lumOff w14:val="5000"/>
                    </w14:schemeClr>
                  </w14:solidFill>
                </w14:textFill>
              </w:rPr>
              <w:t>动植物油</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3.17mg/L</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0.087kg/d</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0.026t/a</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厂区洗车废水</w:t>
            </w:r>
          </w:p>
        </w:tc>
        <w:tc>
          <w:tcPr>
            <w:tcW w:w="1417" w:type="dxa"/>
            <w:gridSpan w:val="2"/>
            <w:vAlign w:val="center"/>
          </w:tcPr>
          <w:p>
            <w:pPr>
              <w:spacing w:line="240" w:lineRule="atLeast"/>
              <w:jc w:val="center"/>
              <w:rPr>
                <w:rFonts w:asciiTheme="minorEastAsia" w:hAnsiTheme="minorEastAsia"/>
                <w:kern w:val="0"/>
                <w:sz w:val="18"/>
                <w:szCs w:val="18"/>
              </w:rPr>
            </w:pPr>
            <w:r>
              <w:rPr>
                <w:rFonts w:hint="eastAsia" w:asciiTheme="minorEastAsia" w:hAnsiTheme="minorEastAsia"/>
                <w:kern w:val="0"/>
                <w:sz w:val="18"/>
                <w:szCs w:val="18"/>
              </w:rPr>
              <w:t>SS</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24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三级沉淀后全部回用。</w:t>
            </w:r>
          </w:p>
        </w:tc>
        <w:tc>
          <w:tcPr>
            <w:tcW w:w="370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冷却系统排放清下水</w:t>
            </w:r>
          </w:p>
        </w:tc>
        <w:tc>
          <w:tcPr>
            <w:tcW w:w="1417" w:type="dxa"/>
            <w:gridSpan w:val="2"/>
            <w:vAlign w:val="center"/>
          </w:tcPr>
          <w:p>
            <w:pPr>
              <w:spacing w:line="240" w:lineRule="atLeast"/>
              <w:jc w:val="center"/>
              <w:rPr>
                <w:rFonts w:asciiTheme="minorEastAsia" w:hAnsiTheme="minorEastAsia"/>
                <w:kern w:val="0"/>
                <w:sz w:val="18"/>
                <w:szCs w:val="18"/>
              </w:rPr>
            </w:pPr>
            <w:r>
              <w:rPr>
                <w:rFonts w:hint="eastAsia" w:asciiTheme="minorEastAsia" w:hAnsiTheme="minorEastAsia"/>
                <w:kern w:val="0"/>
                <w:sz w:val="18"/>
                <w:szCs w:val="18"/>
              </w:rPr>
              <w:t>SS、无机盐</w:t>
            </w:r>
          </w:p>
        </w:tc>
        <w:tc>
          <w:tcPr>
            <w:tcW w:w="127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276"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1134"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24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沉淀后排放污水处理厂。</w:t>
            </w:r>
          </w:p>
        </w:tc>
        <w:tc>
          <w:tcPr>
            <w:tcW w:w="370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沉淀后直接通过厂区总排口排放。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946"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噪声</w:t>
            </w:r>
          </w:p>
        </w:tc>
        <w:tc>
          <w:tcPr>
            <w:tcW w:w="2281"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生产设备</w:t>
            </w:r>
          </w:p>
        </w:tc>
        <w:tc>
          <w:tcPr>
            <w:tcW w:w="1417" w:type="dxa"/>
            <w:gridSpan w:val="2"/>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厂界噪声</w:t>
            </w:r>
          </w:p>
        </w:tc>
        <w:tc>
          <w:tcPr>
            <w:tcW w:w="3686" w:type="dxa"/>
            <w:gridSpan w:val="4"/>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等效A声级</w:t>
            </w:r>
          </w:p>
        </w:tc>
        <w:tc>
          <w:tcPr>
            <w:tcW w:w="241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减振、隔声、消声、车间合理布置等措施</w:t>
            </w:r>
          </w:p>
        </w:tc>
        <w:tc>
          <w:tcPr>
            <w:tcW w:w="370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满足《工业企业厂界环境噪声排放标准》（GB12348-2008）中的3类标准限值。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固废</w:t>
            </w:r>
          </w:p>
        </w:tc>
        <w:tc>
          <w:tcPr>
            <w:tcW w:w="2281" w:type="dxa"/>
            <w:gridSpan w:val="2"/>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废物类别</w:t>
            </w:r>
          </w:p>
        </w:tc>
        <w:tc>
          <w:tcPr>
            <w:tcW w:w="3685" w:type="dxa"/>
            <w:gridSpan w:val="4"/>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废物名称</w:t>
            </w:r>
          </w:p>
        </w:tc>
        <w:tc>
          <w:tcPr>
            <w:tcW w:w="1418" w:type="dxa"/>
            <w:gridSpan w:val="2"/>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产生量（t/a）</w:t>
            </w:r>
          </w:p>
        </w:tc>
        <w:tc>
          <w:tcPr>
            <w:tcW w:w="2410"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处置措施</w:t>
            </w:r>
          </w:p>
        </w:tc>
        <w:tc>
          <w:tcPr>
            <w:tcW w:w="3706"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临时贮存、处置要求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危险废物</w:t>
            </w:r>
          </w:p>
        </w:tc>
        <w:tc>
          <w:tcPr>
            <w:tcW w:w="3685"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废脱硝催化剂</w:t>
            </w:r>
          </w:p>
        </w:tc>
        <w:tc>
          <w:tcPr>
            <w:tcW w:w="141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3.0</w:t>
            </w:r>
          </w:p>
        </w:tc>
        <w:tc>
          <w:tcPr>
            <w:tcW w:w="2410"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利用包装桶或防渗包装袋收集，暂存危废库，定期交有资质单位处置。</w:t>
            </w:r>
          </w:p>
        </w:tc>
        <w:tc>
          <w:tcPr>
            <w:tcW w:w="3706"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处置符合环保要求，不对环境造成二次污染。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3685"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废活性炭</w:t>
            </w:r>
          </w:p>
        </w:tc>
        <w:tc>
          <w:tcPr>
            <w:tcW w:w="141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18.2</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3685"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废紫外灯管</w:t>
            </w:r>
          </w:p>
        </w:tc>
        <w:tc>
          <w:tcPr>
            <w:tcW w:w="141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0.2</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3685"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废油泥渣</w:t>
            </w:r>
          </w:p>
        </w:tc>
        <w:tc>
          <w:tcPr>
            <w:tcW w:w="141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45</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3685"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水封罐底泥</w:t>
            </w:r>
          </w:p>
        </w:tc>
        <w:tc>
          <w:tcPr>
            <w:tcW w:w="141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1.2</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3685" w:type="dxa"/>
            <w:gridSpan w:val="4"/>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隔油浮渣</w:t>
            </w:r>
          </w:p>
        </w:tc>
        <w:tc>
          <w:tcPr>
            <w:tcW w:w="1418" w:type="dxa"/>
            <w:gridSpan w:val="2"/>
            <w:vAlign w:val="center"/>
          </w:tcPr>
          <w:p>
            <w:pPr>
              <w:spacing w:line="240" w:lineRule="atLeast"/>
              <w:jc w:val="center"/>
              <w:rPr>
                <w:rFonts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1.0</w:t>
            </w:r>
          </w:p>
        </w:tc>
        <w:tc>
          <w:tcPr>
            <w:tcW w:w="2410" w:type="dxa"/>
            <w:vMerge w:val="continue"/>
            <w:vAlign w:val="center"/>
          </w:tcPr>
          <w:p>
            <w:pPr>
              <w:spacing w:line="240" w:lineRule="atLeast"/>
              <w:jc w:val="center"/>
              <w:rPr>
                <w:rFonts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94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2281" w:type="dxa"/>
            <w:gridSpan w:val="2"/>
            <w:vMerge w:val="restart"/>
            <w:tcBorders>
              <w:bottom w:val="single" w:color="auto" w:sz="4" w:space="0"/>
            </w:tcBorders>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一般固废</w:t>
            </w:r>
          </w:p>
        </w:tc>
        <w:tc>
          <w:tcPr>
            <w:tcW w:w="1232" w:type="dxa"/>
            <w:vMerge w:val="restart"/>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回收产品</w:t>
            </w:r>
          </w:p>
        </w:tc>
        <w:tc>
          <w:tcPr>
            <w:tcW w:w="2453" w:type="dxa"/>
            <w:gridSpan w:val="3"/>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裂解油</w:t>
            </w:r>
          </w:p>
        </w:tc>
        <w:tc>
          <w:tcPr>
            <w:tcW w:w="1418" w:type="dxa"/>
            <w:gridSpan w:val="2"/>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45000</w:t>
            </w:r>
          </w:p>
        </w:tc>
        <w:tc>
          <w:tcPr>
            <w:tcW w:w="2410" w:type="dxa"/>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出售给炼油厂家。</w:t>
            </w:r>
          </w:p>
        </w:tc>
        <w:tc>
          <w:tcPr>
            <w:tcW w:w="3706"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资源化、再利用。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94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2281" w:type="dxa"/>
            <w:gridSpan w:val="2"/>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1232" w:type="dxa"/>
            <w:vMerge w:val="continue"/>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p>
        </w:tc>
        <w:tc>
          <w:tcPr>
            <w:tcW w:w="2453" w:type="dxa"/>
            <w:gridSpan w:val="3"/>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粗碳黑</w:t>
            </w:r>
          </w:p>
        </w:tc>
        <w:tc>
          <w:tcPr>
            <w:tcW w:w="1418" w:type="dxa"/>
            <w:gridSpan w:val="2"/>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35000</w:t>
            </w:r>
          </w:p>
        </w:tc>
        <w:tc>
          <w:tcPr>
            <w:tcW w:w="2410" w:type="dxa"/>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出售至炭黑深加工企业。</w:t>
            </w: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94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2281" w:type="dxa"/>
            <w:gridSpan w:val="2"/>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1232" w:type="dxa"/>
            <w:vMerge w:val="continue"/>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p>
        </w:tc>
        <w:tc>
          <w:tcPr>
            <w:tcW w:w="2453" w:type="dxa"/>
            <w:gridSpan w:val="3"/>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钢丝</w:t>
            </w:r>
          </w:p>
        </w:tc>
        <w:tc>
          <w:tcPr>
            <w:tcW w:w="1418" w:type="dxa"/>
            <w:gridSpan w:val="2"/>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12000</w:t>
            </w:r>
          </w:p>
        </w:tc>
        <w:tc>
          <w:tcPr>
            <w:tcW w:w="2410" w:type="dxa"/>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外售废旧资源回收中心。</w:t>
            </w: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4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2281" w:type="dxa"/>
            <w:gridSpan w:val="2"/>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1232" w:type="dxa"/>
            <w:vMerge w:val="restart"/>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其他一般固废</w:t>
            </w:r>
          </w:p>
        </w:tc>
        <w:tc>
          <w:tcPr>
            <w:tcW w:w="2453" w:type="dxa"/>
            <w:gridSpan w:val="3"/>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脱硫泥渣</w:t>
            </w:r>
          </w:p>
        </w:tc>
        <w:tc>
          <w:tcPr>
            <w:tcW w:w="1418" w:type="dxa"/>
            <w:gridSpan w:val="2"/>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55</w:t>
            </w:r>
          </w:p>
        </w:tc>
        <w:tc>
          <w:tcPr>
            <w:tcW w:w="2410" w:type="dxa"/>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外售</w:t>
            </w:r>
            <w: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作为</w:t>
            </w: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烧结砖生产原料</w:t>
            </w:r>
            <w:r>
              <w:rPr>
                <w:rFonts w:hint="eastAsia" w:cs="Times New Roman" w:asciiTheme="minorEastAsia" w:hAnsiTheme="minorEastAsia"/>
                <w:sz w:val="18"/>
                <w:szCs w:val="18"/>
              </w:rPr>
              <w:t>。</w:t>
            </w: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94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2281" w:type="dxa"/>
            <w:gridSpan w:val="2"/>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1232" w:type="dxa"/>
            <w:vMerge w:val="continue"/>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p>
        </w:tc>
        <w:tc>
          <w:tcPr>
            <w:tcW w:w="2453" w:type="dxa"/>
            <w:gridSpan w:val="3"/>
            <w:tcBorders>
              <w:bottom w:val="single" w:color="auto" w:sz="4" w:space="0"/>
            </w:tcBorders>
            <w:vAlign w:val="center"/>
          </w:tcPr>
          <w:p>
            <w:pPr>
              <w:adjustRightInd w:val="0"/>
              <w:snapToGrid w:val="0"/>
              <w:jc w:val="cente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收集粉尘</w:t>
            </w:r>
          </w:p>
        </w:tc>
        <w:tc>
          <w:tcPr>
            <w:tcW w:w="1418" w:type="dxa"/>
            <w:gridSpan w:val="2"/>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35</w:t>
            </w:r>
          </w:p>
        </w:tc>
        <w:tc>
          <w:tcPr>
            <w:tcW w:w="2410" w:type="dxa"/>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外作为粗碳黑产品外售。</w:t>
            </w: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946" w:type="dxa"/>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2281" w:type="dxa"/>
            <w:gridSpan w:val="2"/>
            <w:vMerge w:val="continue"/>
            <w:tcBorders>
              <w:bottom w:val="single" w:color="auto" w:sz="4" w:space="0"/>
            </w:tcBorders>
            <w:vAlign w:val="center"/>
          </w:tcPr>
          <w:p>
            <w:pPr>
              <w:spacing w:line="240" w:lineRule="atLeast"/>
              <w:jc w:val="center"/>
              <w:rPr>
                <w:rFonts w:asciiTheme="minorEastAsia" w:hAnsiTheme="minorEastAsia"/>
                <w:sz w:val="18"/>
                <w:szCs w:val="18"/>
              </w:rPr>
            </w:pPr>
          </w:p>
        </w:tc>
        <w:tc>
          <w:tcPr>
            <w:tcW w:w="1232" w:type="dxa"/>
            <w:vMerge w:val="continue"/>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p>
        </w:tc>
        <w:tc>
          <w:tcPr>
            <w:tcW w:w="2453" w:type="dxa"/>
            <w:gridSpan w:val="3"/>
            <w:tcBorders>
              <w:bottom w:val="single" w:color="auto" w:sz="4" w:space="0"/>
            </w:tcBorders>
            <w:vAlign w:val="center"/>
          </w:tcPr>
          <w:p>
            <w:pPr>
              <w:adjustRightInd w:val="0"/>
              <w:snapToGrid w:val="0"/>
              <w:jc w:val="center"/>
              <w:rPr>
                <w:rFonts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18"/>
                <w:szCs w:val="18"/>
                <w:lang w:bidi="ar"/>
                <w14:textFill>
                  <w14:solidFill>
                    <w14:schemeClr w14:val="tx1">
                      <w14:lumMod w14:val="95000"/>
                      <w14:lumOff w14:val="5000"/>
                    </w14:schemeClr>
                  </w14:solidFill>
                </w14:textFill>
              </w:rPr>
              <w:t>脱水污泥</w:t>
            </w:r>
          </w:p>
        </w:tc>
        <w:tc>
          <w:tcPr>
            <w:tcW w:w="1418" w:type="dxa"/>
            <w:gridSpan w:val="2"/>
            <w:tcBorders>
              <w:bottom w:val="single" w:color="auto" w:sz="4" w:space="0"/>
            </w:tcBorders>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25</w:t>
            </w:r>
          </w:p>
        </w:tc>
        <w:tc>
          <w:tcPr>
            <w:tcW w:w="2410" w:type="dxa"/>
            <w:vMerge w:val="restart"/>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转运生活垃圾处置场。</w:t>
            </w:r>
          </w:p>
        </w:tc>
        <w:tc>
          <w:tcPr>
            <w:tcW w:w="3706"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收集、处置满足环保要求。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Merge w:val="continue"/>
            <w:vAlign w:val="center"/>
          </w:tcPr>
          <w:p>
            <w:pPr>
              <w:spacing w:line="240" w:lineRule="atLeast"/>
              <w:jc w:val="center"/>
              <w:rPr>
                <w:rFonts w:asciiTheme="minorEastAsia" w:hAnsiTheme="minorEastAsia"/>
                <w:sz w:val="18"/>
                <w:szCs w:val="18"/>
              </w:rPr>
            </w:pPr>
          </w:p>
        </w:tc>
        <w:tc>
          <w:tcPr>
            <w:tcW w:w="2281" w:type="dxa"/>
            <w:gridSpan w:val="2"/>
            <w:vMerge w:val="continue"/>
            <w:vAlign w:val="center"/>
          </w:tcPr>
          <w:p>
            <w:pPr>
              <w:spacing w:line="240" w:lineRule="atLeast"/>
              <w:jc w:val="center"/>
              <w:rPr>
                <w:rFonts w:asciiTheme="minorEastAsia" w:hAnsiTheme="minorEastAsia"/>
                <w:sz w:val="18"/>
                <w:szCs w:val="18"/>
              </w:rPr>
            </w:pPr>
          </w:p>
        </w:tc>
        <w:tc>
          <w:tcPr>
            <w:tcW w:w="3685" w:type="dxa"/>
            <w:gridSpan w:val="4"/>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生活垃圾</w:t>
            </w:r>
          </w:p>
        </w:tc>
        <w:tc>
          <w:tcPr>
            <w:tcW w:w="1418" w:type="dxa"/>
            <w:gridSpan w:val="2"/>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r>
              <w:rPr>
                <w:rFonts w:hint="eastAsia" w:cs="Times New Roman" w:asciiTheme="minorEastAsia" w:hAnsiTheme="minorEastAsia"/>
                <w:sz w:val="18"/>
                <w:szCs w:val="18"/>
              </w:rPr>
              <w:t>6.0</w:t>
            </w:r>
          </w:p>
        </w:tc>
        <w:tc>
          <w:tcPr>
            <w:tcW w:w="2410" w:type="dxa"/>
            <w:vMerge w:val="continue"/>
            <w:vAlign w:val="center"/>
          </w:tcPr>
          <w:p>
            <w:pPr>
              <w:adjustRightInd w:val="0"/>
              <w:snapToGrid w:val="0"/>
              <w:spacing w:line="260" w:lineRule="exact"/>
              <w:ind w:left="-105" w:leftChars="-50" w:right="-105" w:rightChars="-50"/>
              <w:jc w:val="center"/>
              <w:rPr>
                <w:rFonts w:cs="Times New Roman" w:asciiTheme="minorEastAsia" w:hAnsiTheme="minorEastAsia"/>
                <w:sz w:val="18"/>
                <w:szCs w:val="18"/>
              </w:rPr>
            </w:pPr>
          </w:p>
        </w:tc>
        <w:tc>
          <w:tcPr>
            <w:tcW w:w="3706"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46"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总量控制指标</w:t>
            </w:r>
          </w:p>
        </w:tc>
        <w:tc>
          <w:tcPr>
            <w:tcW w:w="13500" w:type="dxa"/>
            <w:gridSpan w:val="10"/>
            <w:vAlign w:val="center"/>
          </w:tcPr>
          <w:p>
            <w:pPr>
              <w:spacing w:line="360" w:lineRule="auto"/>
              <w:ind w:firstLine="480"/>
              <w:rPr>
                <w:rFonts w:asciiTheme="minorEastAsia" w:hAnsiTheme="minorEastAsia"/>
                <w:sz w:val="18"/>
                <w:szCs w:val="18"/>
              </w:rPr>
            </w:pPr>
            <w:r>
              <w:rPr>
                <w:rFonts w:hint="eastAsia" w:asciiTheme="minorEastAsia" w:hAnsiTheme="minorEastAsia"/>
                <w:sz w:val="18"/>
                <w:szCs w:val="18"/>
              </w:rPr>
              <w:t>评价建议项目大气污染物排放总量控制指标为：颗粒物2.927t/a、SO2 4.0t/a、NOx 3.96t/a、VOCs 1.264t/a。厂区排污口水污染物排放总量控制指标为：化学需氧量0.721t/a，氨氮0.102/a；按照西平县城市污水处理厂一级A排放标准计算，项目水污染物排放总量控制指标为：化学需氧量0.41t/a，氨氮0.041t/a。</w:t>
            </w:r>
          </w:p>
        </w:tc>
      </w:tr>
    </w:tbl>
    <w:p>
      <w:pPr>
        <w:spacing w:line="360" w:lineRule="auto"/>
        <w:ind w:firstLine="480"/>
        <w:rPr>
          <w:rFonts w:asciiTheme="minorEastAsia" w:hAnsiTheme="minorEastAsia"/>
          <w:sz w:val="24"/>
          <w:szCs w:val="24"/>
        </w:rPr>
        <w:sectPr>
          <w:pgSz w:w="16838" w:h="11906" w:orient="landscape"/>
          <w:pgMar w:top="1800" w:right="1440" w:bottom="1800" w:left="1440" w:header="851" w:footer="992" w:gutter="0"/>
          <w:cols w:space="425" w:num="1"/>
          <w:docGrid w:type="lines" w:linePitch="312" w:charSpace="0"/>
        </w:sectPr>
      </w:pPr>
    </w:p>
    <w:p>
      <w:pPr>
        <w:spacing w:line="360" w:lineRule="auto"/>
        <w:rPr>
          <w:rFonts w:asciiTheme="minorEastAsia" w:hAnsiTheme="minorEastAsia"/>
          <w:b/>
          <w:sz w:val="28"/>
          <w:szCs w:val="28"/>
        </w:rPr>
      </w:pPr>
      <w:r>
        <w:rPr>
          <w:rFonts w:hint="eastAsia" w:asciiTheme="minorEastAsia" w:hAnsiTheme="minorEastAsia"/>
          <w:b/>
          <w:sz w:val="28"/>
          <w:szCs w:val="28"/>
        </w:rPr>
        <w:t>9.2环境监测计划</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9.2.1 </w:t>
      </w:r>
      <w:r>
        <w:rPr>
          <w:rFonts w:asciiTheme="minorEastAsia" w:hAnsiTheme="minorEastAsia"/>
          <w:b/>
          <w:sz w:val="24"/>
          <w:szCs w:val="24"/>
        </w:rPr>
        <w:t>环境</w:t>
      </w:r>
      <w:r>
        <w:rPr>
          <w:rFonts w:hint="eastAsia" w:asciiTheme="minorEastAsia" w:hAnsiTheme="minorEastAsia"/>
          <w:b/>
          <w:sz w:val="24"/>
          <w:szCs w:val="24"/>
        </w:rPr>
        <w:t>监测</w:t>
      </w:r>
      <w:r>
        <w:rPr>
          <w:rFonts w:asciiTheme="minorEastAsia" w:hAnsiTheme="minorEastAsia"/>
          <w:b/>
          <w:sz w:val="24"/>
          <w:szCs w:val="24"/>
        </w:rPr>
        <w:t>计划的重要性和必要性</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t>通过对建设项目实行全过程的监控，能</w:t>
      </w:r>
      <w:r>
        <w:rPr>
          <w:rFonts w:hint="eastAsia" w:asciiTheme="minorEastAsia" w:hAnsiTheme="minorEastAsia"/>
          <w:sz w:val="24"/>
          <w:szCs w:val="24"/>
        </w:rPr>
        <w:t>够全面掌握</w:t>
      </w:r>
      <w:r>
        <w:rPr>
          <w:rFonts w:asciiTheme="minorEastAsia" w:hAnsiTheme="minorEastAsia"/>
          <w:sz w:val="24"/>
          <w:szCs w:val="24"/>
        </w:rPr>
        <w:t>工程在施工期和营运期</w:t>
      </w:r>
      <w:r>
        <w:rPr>
          <w:rFonts w:hint="eastAsia" w:asciiTheme="minorEastAsia" w:hAnsiTheme="minorEastAsia"/>
          <w:sz w:val="24"/>
          <w:szCs w:val="24"/>
        </w:rPr>
        <w:t>及服务期满后</w:t>
      </w:r>
      <w:r>
        <w:rPr>
          <w:rFonts w:asciiTheme="minorEastAsia" w:hAnsiTheme="minorEastAsia"/>
          <w:sz w:val="24"/>
          <w:szCs w:val="24"/>
        </w:rPr>
        <w:t>对环境造成污染影响的程度和范围。通过对环境监测或调查数据的统计分析，可以</w:t>
      </w:r>
      <w:r>
        <w:rPr>
          <w:rFonts w:hint="eastAsia" w:asciiTheme="minorEastAsia" w:hAnsiTheme="minorEastAsia"/>
          <w:sz w:val="24"/>
          <w:szCs w:val="24"/>
        </w:rPr>
        <w:t>准确判定</w:t>
      </w:r>
      <w:r>
        <w:rPr>
          <w:rFonts w:asciiTheme="minorEastAsia" w:hAnsiTheme="minorEastAsia"/>
          <w:sz w:val="24"/>
          <w:szCs w:val="24"/>
        </w:rPr>
        <w:t>建设项目废气、废水、噪声等</w:t>
      </w:r>
      <w:r>
        <w:rPr>
          <w:rFonts w:hint="eastAsia" w:asciiTheme="minorEastAsia" w:hAnsiTheme="minorEastAsia"/>
          <w:sz w:val="24"/>
          <w:szCs w:val="24"/>
        </w:rPr>
        <w:t>污染物排放是否</w:t>
      </w:r>
      <w:r>
        <w:rPr>
          <w:rFonts w:asciiTheme="minorEastAsia" w:hAnsiTheme="minorEastAsia"/>
          <w:sz w:val="24"/>
          <w:szCs w:val="24"/>
        </w:rPr>
        <w:t>符合国家或地方</w:t>
      </w:r>
      <w:r>
        <w:rPr>
          <w:rFonts w:hint="eastAsia" w:asciiTheme="minorEastAsia" w:hAnsiTheme="minorEastAsia"/>
          <w:sz w:val="24"/>
          <w:szCs w:val="24"/>
        </w:rPr>
        <w:t>规定的</w:t>
      </w:r>
      <w:r>
        <w:rPr>
          <w:rFonts w:asciiTheme="minorEastAsia" w:hAnsiTheme="minorEastAsia"/>
          <w:sz w:val="24"/>
          <w:szCs w:val="24"/>
        </w:rPr>
        <w:t>标准要求，</w:t>
      </w:r>
      <w:r>
        <w:rPr>
          <w:rFonts w:hint="eastAsia" w:asciiTheme="minorEastAsia" w:hAnsiTheme="minorEastAsia"/>
          <w:sz w:val="24"/>
          <w:szCs w:val="24"/>
        </w:rPr>
        <w:t>能否实现清洁生产和污染减排目标；</w:t>
      </w:r>
      <w:r>
        <w:rPr>
          <w:rFonts w:asciiTheme="minorEastAsia" w:hAnsiTheme="minorEastAsia"/>
          <w:sz w:val="24"/>
          <w:szCs w:val="24"/>
        </w:rPr>
        <w:t>同时也是对</w:t>
      </w:r>
      <w:r>
        <w:rPr>
          <w:rFonts w:hint="eastAsia" w:asciiTheme="minorEastAsia" w:hAnsiTheme="minorEastAsia"/>
          <w:sz w:val="24"/>
          <w:szCs w:val="24"/>
        </w:rPr>
        <w:t>项目</w:t>
      </w:r>
      <w:r>
        <w:rPr>
          <w:rFonts w:asciiTheme="minorEastAsia" w:hAnsiTheme="minorEastAsia"/>
          <w:sz w:val="24"/>
          <w:szCs w:val="24"/>
        </w:rPr>
        <w:t>污染治理设施</w:t>
      </w:r>
      <w:r>
        <w:rPr>
          <w:rFonts w:hint="eastAsia" w:asciiTheme="minorEastAsia" w:hAnsiTheme="minorEastAsia"/>
          <w:sz w:val="24"/>
          <w:szCs w:val="24"/>
        </w:rPr>
        <w:t>运行性能优劣</w:t>
      </w:r>
      <w:r>
        <w:rPr>
          <w:rFonts w:asciiTheme="minorEastAsia" w:hAnsiTheme="minorEastAsia"/>
          <w:sz w:val="24"/>
          <w:szCs w:val="24"/>
        </w:rPr>
        <w:t>的检验，能够</w:t>
      </w:r>
      <w:r>
        <w:rPr>
          <w:rFonts w:hint="eastAsia" w:asciiTheme="minorEastAsia" w:hAnsiTheme="minorEastAsia"/>
          <w:sz w:val="24"/>
          <w:szCs w:val="24"/>
        </w:rPr>
        <w:t>帮助企业</w:t>
      </w:r>
      <w:r>
        <w:rPr>
          <w:rFonts w:asciiTheme="minorEastAsia" w:hAnsiTheme="minorEastAsia"/>
          <w:sz w:val="24"/>
          <w:szCs w:val="24"/>
        </w:rPr>
        <w:t>及时发现污染治理</w:t>
      </w:r>
      <w:r>
        <w:rPr>
          <w:rFonts w:hint="eastAsia" w:asciiTheme="minorEastAsia" w:hAnsiTheme="minorEastAsia"/>
          <w:sz w:val="24"/>
          <w:szCs w:val="24"/>
        </w:rPr>
        <w:t>设施</w:t>
      </w:r>
      <w:r>
        <w:rPr>
          <w:rFonts w:asciiTheme="minorEastAsia" w:hAnsiTheme="minorEastAsia"/>
          <w:sz w:val="24"/>
          <w:szCs w:val="24"/>
        </w:rPr>
        <w:t>存在的问题</w:t>
      </w:r>
      <w:r>
        <w:rPr>
          <w:rFonts w:hint="eastAsia" w:asciiTheme="minorEastAsia" w:hAnsiTheme="minorEastAsia"/>
          <w:sz w:val="24"/>
          <w:szCs w:val="24"/>
        </w:rPr>
        <w:t>并有针对性的</w:t>
      </w:r>
      <w:r>
        <w:rPr>
          <w:rFonts w:asciiTheme="minorEastAsia" w:hAnsiTheme="minorEastAsia"/>
          <w:sz w:val="24"/>
          <w:szCs w:val="24"/>
        </w:rPr>
        <w:t>进行改造和完善，</w:t>
      </w:r>
      <w:r>
        <w:rPr>
          <w:rFonts w:hint="eastAsia" w:asciiTheme="minorEastAsia" w:hAnsiTheme="minorEastAsia"/>
          <w:sz w:val="24"/>
          <w:szCs w:val="24"/>
        </w:rPr>
        <w:t>从而进一步优化项目环境污染防治技术，</w:t>
      </w:r>
      <w:r>
        <w:rPr>
          <w:rFonts w:asciiTheme="minorEastAsia" w:hAnsiTheme="minorEastAsia"/>
          <w:sz w:val="24"/>
          <w:szCs w:val="24"/>
        </w:rPr>
        <w:t>保证</w:t>
      </w:r>
      <w:r>
        <w:rPr>
          <w:rFonts w:hint="eastAsia" w:asciiTheme="minorEastAsia" w:hAnsiTheme="minorEastAsia"/>
          <w:sz w:val="24"/>
          <w:szCs w:val="24"/>
        </w:rPr>
        <w:t>建设项目</w:t>
      </w:r>
      <w:r>
        <w:rPr>
          <w:rFonts w:asciiTheme="minorEastAsia" w:hAnsiTheme="minorEastAsia"/>
          <w:sz w:val="24"/>
          <w:szCs w:val="24"/>
        </w:rPr>
        <w:t>污染治理</w:t>
      </w:r>
      <w:r>
        <w:rPr>
          <w:rFonts w:hint="eastAsia" w:asciiTheme="minorEastAsia" w:hAnsiTheme="minorEastAsia"/>
          <w:sz w:val="24"/>
          <w:szCs w:val="24"/>
        </w:rPr>
        <w:t>设施运行效果，改善和提升区域环境质量</w:t>
      </w:r>
      <w:r>
        <w:rPr>
          <w:rFonts w:asciiTheme="minorEastAsia" w:hAnsiTheme="minorEastAsia"/>
          <w:sz w:val="24"/>
          <w:szCs w:val="24"/>
        </w:rPr>
        <w:t>。</w:t>
      </w:r>
    </w:p>
    <w:p>
      <w:pPr>
        <w:spacing w:line="360" w:lineRule="auto"/>
        <w:rPr>
          <w:rFonts w:asciiTheme="minorEastAsia" w:hAnsiTheme="minorEastAsia"/>
          <w:b/>
          <w:sz w:val="24"/>
          <w:szCs w:val="24"/>
        </w:rPr>
      </w:pPr>
      <w:r>
        <w:rPr>
          <w:rFonts w:hint="eastAsia" w:asciiTheme="minorEastAsia" w:hAnsiTheme="minorEastAsia"/>
          <w:b/>
          <w:sz w:val="24"/>
          <w:szCs w:val="24"/>
        </w:rPr>
        <w:t>9.2.2 环境</w:t>
      </w:r>
      <w:r>
        <w:rPr>
          <w:rFonts w:asciiTheme="minorEastAsia" w:hAnsiTheme="minorEastAsia"/>
          <w:b/>
          <w:sz w:val="24"/>
          <w:szCs w:val="24"/>
        </w:rPr>
        <w:t>监</w:t>
      </w:r>
      <w:r>
        <w:rPr>
          <w:rFonts w:hint="eastAsia" w:asciiTheme="minorEastAsia" w:hAnsiTheme="minorEastAsia"/>
          <w:b/>
          <w:sz w:val="24"/>
          <w:szCs w:val="24"/>
        </w:rPr>
        <w:t>测计划和重点</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t>本工程因</w:t>
      </w:r>
      <w:r>
        <w:rPr>
          <w:rFonts w:hint="eastAsia" w:asciiTheme="minorEastAsia" w:hAnsiTheme="minorEastAsia"/>
          <w:sz w:val="24"/>
          <w:szCs w:val="24"/>
        </w:rPr>
        <w:t>施工期</w:t>
      </w:r>
      <w:r>
        <w:rPr>
          <w:rFonts w:asciiTheme="minorEastAsia" w:hAnsiTheme="minorEastAsia"/>
          <w:sz w:val="24"/>
          <w:szCs w:val="24"/>
        </w:rPr>
        <w:t>建设单位</w:t>
      </w:r>
      <w:r>
        <w:rPr>
          <w:rFonts w:hint="eastAsia" w:asciiTheme="minorEastAsia" w:hAnsiTheme="minorEastAsia"/>
          <w:sz w:val="24"/>
          <w:szCs w:val="24"/>
        </w:rPr>
        <w:t>在</w:t>
      </w:r>
      <w:r>
        <w:rPr>
          <w:rFonts w:asciiTheme="minorEastAsia" w:hAnsiTheme="minorEastAsia"/>
          <w:sz w:val="24"/>
          <w:szCs w:val="24"/>
        </w:rPr>
        <w:t>加强施工期环境管理</w:t>
      </w:r>
      <w:r>
        <w:rPr>
          <w:rFonts w:hint="eastAsia" w:asciiTheme="minorEastAsia" w:hAnsiTheme="minorEastAsia"/>
          <w:sz w:val="24"/>
          <w:szCs w:val="24"/>
        </w:rPr>
        <w:t>、严格落实施工期环境污染防治措施的情况下，施工期</w:t>
      </w:r>
      <w:r>
        <w:rPr>
          <w:rFonts w:asciiTheme="minorEastAsia" w:hAnsiTheme="minorEastAsia"/>
          <w:sz w:val="24"/>
          <w:szCs w:val="24"/>
        </w:rPr>
        <w:t>对周围环境的影响</w:t>
      </w:r>
      <w:r>
        <w:rPr>
          <w:rFonts w:hint="eastAsia" w:asciiTheme="minorEastAsia" w:hAnsiTheme="minorEastAsia"/>
          <w:sz w:val="24"/>
          <w:szCs w:val="24"/>
        </w:rPr>
        <w:t>较小</w:t>
      </w:r>
      <w:r>
        <w:rPr>
          <w:rFonts w:asciiTheme="minorEastAsia" w:hAnsiTheme="minorEastAsia"/>
          <w:sz w:val="24"/>
          <w:szCs w:val="24"/>
        </w:rPr>
        <w:t>，</w:t>
      </w:r>
      <w:r>
        <w:rPr>
          <w:rFonts w:hint="eastAsia" w:asciiTheme="minorEastAsia" w:hAnsiTheme="minorEastAsia"/>
          <w:sz w:val="24"/>
          <w:szCs w:val="24"/>
        </w:rPr>
        <w:t>而且随着施工期的结束，环境污染影响将会消失；</w:t>
      </w:r>
      <w:r>
        <w:rPr>
          <w:rFonts w:asciiTheme="minorEastAsia" w:hAnsiTheme="minorEastAsia"/>
          <w:sz w:val="24"/>
          <w:szCs w:val="24"/>
        </w:rPr>
        <w:t>因此</w:t>
      </w:r>
      <w:r>
        <w:rPr>
          <w:rFonts w:hint="eastAsia" w:asciiTheme="minorEastAsia" w:hAnsiTheme="minorEastAsia"/>
          <w:sz w:val="24"/>
          <w:szCs w:val="24"/>
        </w:rPr>
        <w:t>，工程施工期不</w:t>
      </w:r>
      <w:r>
        <w:rPr>
          <w:rFonts w:asciiTheme="minorEastAsia" w:hAnsiTheme="minorEastAsia"/>
          <w:sz w:val="24"/>
          <w:szCs w:val="24"/>
        </w:rPr>
        <w:t>进行有关的环境监测工作。</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根据工程实际情况，环境监控重点是对项目运行期废水、废气、噪声等环境污染因素的监测。</w:t>
      </w:r>
    </w:p>
    <w:p>
      <w:pPr>
        <w:spacing w:line="360" w:lineRule="auto"/>
        <w:rPr>
          <w:rFonts w:asciiTheme="minorEastAsia" w:hAnsiTheme="minorEastAsia"/>
          <w:b/>
          <w:sz w:val="24"/>
          <w:szCs w:val="24"/>
        </w:rPr>
      </w:pPr>
      <w:r>
        <w:rPr>
          <w:rFonts w:hint="eastAsia" w:asciiTheme="minorEastAsia" w:hAnsiTheme="minorEastAsia"/>
          <w:b/>
          <w:sz w:val="24"/>
          <w:szCs w:val="24"/>
        </w:rPr>
        <w:t>9.2.3 环境</w:t>
      </w:r>
      <w:r>
        <w:rPr>
          <w:rFonts w:asciiTheme="minorEastAsia" w:hAnsiTheme="minorEastAsia"/>
          <w:b/>
          <w:sz w:val="24"/>
          <w:szCs w:val="24"/>
        </w:rPr>
        <w:t>监测工作内容</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由于建设单位目前尚未建立</w:t>
      </w:r>
      <w:r>
        <w:rPr>
          <w:rFonts w:asciiTheme="minorEastAsia" w:hAnsiTheme="minorEastAsia"/>
          <w:sz w:val="24"/>
          <w:szCs w:val="24"/>
        </w:rPr>
        <w:t>环境监测机构，因此，本工程日常环境监测</w:t>
      </w:r>
      <w:r>
        <w:rPr>
          <w:rFonts w:hint="eastAsia" w:asciiTheme="minorEastAsia" w:hAnsiTheme="minorEastAsia"/>
          <w:sz w:val="24"/>
          <w:szCs w:val="24"/>
        </w:rPr>
        <w:t>工作由项目建设单位</w:t>
      </w:r>
      <w:r>
        <w:rPr>
          <w:rFonts w:asciiTheme="minorEastAsia" w:hAnsiTheme="minorEastAsia"/>
          <w:sz w:val="24"/>
          <w:szCs w:val="24"/>
        </w:rPr>
        <w:t>委托具备环境监测资质的监测单位</w:t>
      </w:r>
      <w:r>
        <w:rPr>
          <w:rFonts w:hint="eastAsia" w:asciiTheme="minorEastAsia" w:hAnsiTheme="minorEastAsia"/>
          <w:sz w:val="24"/>
          <w:szCs w:val="24"/>
        </w:rPr>
        <w:t>承担。根据《排污单位自行监测技术指南  总则》（HJ819-2017），工程建成投产后，应为重点排污单位，</w:t>
      </w:r>
      <w:r>
        <w:rPr>
          <w:rFonts w:asciiTheme="minorEastAsia" w:hAnsiTheme="minorEastAsia"/>
          <w:sz w:val="24"/>
          <w:szCs w:val="24"/>
        </w:rPr>
        <w:t>各监测点、监测项目、监测频次见表</w:t>
      </w:r>
      <w:r>
        <w:rPr>
          <w:rFonts w:hint="eastAsia" w:asciiTheme="minorEastAsia" w:hAnsiTheme="minorEastAsia"/>
          <w:sz w:val="24"/>
          <w:szCs w:val="24"/>
        </w:rPr>
        <w:t>9.2-1</w:t>
      </w:r>
      <w:r>
        <w:rPr>
          <w:rFonts w:asciiTheme="minorEastAsia" w:hAnsiTheme="minorEastAsia"/>
          <w:sz w:val="24"/>
          <w:szCs w:val="24"/>
        </w:rPr>
        <w:t>。</w:t>
      </w:r>
    </w:p>
    <w:p>
      <w:pPr>
        <w:spacing w:line="360" w:lineRule="auto"/>
        <w:ind w:firstLine="480" w:firstLineChars="200"/>
        <w:rPr>
          <w:rFonts w:asciiTheme="minorEastAsia" w:hAnsiTheme="minorEastAsia"/>
          <w:sz w:val="24"/>
          <w:szCs w:val="24"/>
        </w:rPr>
        <w:sectPr>
          <w:pgSz w:w="11906" w:h="16838"/>
          <w:pgMar w:top="1440" w:right="1800" w:bottom="1440" w:left="1800" w:header="851" w:footer="992" w:gutter="0"/>
          <w:cols w:space="425" w:num="1"/>
          <w:docGrid w:type="lines" w:linePitch="312" w:charSpace="0"/>
        </w:sectPr>
      </w:pPr>
    </w:p>
    <w:p>
      <w:pPr>
        <w:spacing w:line="360" w:lineRule="auto"/>
        <w:jc w:val="center"/>
        <w:rPr>
          <w:rFonts w:asciiTheme="minorEastAsia" w:hAnsiTheme="minorEastAsia"/>
          <w:b/>
          <w:sz w:val="24"/>
          <w:szCs w:val="24"/>
        </w:rPr>
      </w:pPr>
      <w:r>
        <w:rPr>
          <w:rFonts w:hint="eastAsia" w:asciiTheme="minorEastAsia" w:hAnsiTheme="minorEastAsia"/>
          <w:b/>
          <w:sz w:val="24"/>
          <w:szCs w:val="24"/>
        </w:rPr>
        <w:t>表9.2</w:t>
      </w:r>
      <w:r>
        <w:rPr>
          <w:rFonts w:asciiTheme="minorEastAsia" w:hAnsiTheme="minorEastAsia"/>
          <w:b/>
          <w:sz w:val="24"/>
          <w:szCs w:val="24"/>
        </w:rPr>
        <w:t>-</w:t>
      </w:r>
      <w:r>
        <w:rPr>
          <w:rFonts w:hint="eastAsia" w:asciiTheme="minorEastAsia" w:hAnsiTheme="minorEastAsia"/>
          <w:b/>
          <w:sz w:val="24"/>
          <w:szCs w:val="24"/>
        </w:rPr>
        <w:t>1         环境</w:t>
      </w:r>
      <w:r>
        <w:rPr>
          <w:rFonts w:asciiTheme="minorEastAsia" w:hAnsiTheme="minorEastAsia"/>
          <w:b/>
          <w:sz w:val="24"/>
          <w:szCs w:val="24"/>
        </w:rPr>
        <w:t>监测计划一览表</w:t>
      </w:r>
    </w:p>
    <w:tbl>
      <w:tblPr>
        <w:tblStyle w:val="27"/>
        <w:tblW w:w="14106" w:type="dxa"/>
        <w:tblCellSpacing w:w="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9"/>
        <w:gridCol w:w="851"/>
        <w:gridCol w:w="1417"/>
        <w:gridCol w:w="2268"/>
        <w:gridCol w:w="1701"/>
        <w:gridCol w:w="1276"/>
        <w:gridCol w:w="5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2" w:hRule="atLeast"/>
          <w:tblCellSpacing w:w="0" w:type="dxa"/>
        </w:trPr>
        <w:tc>
          <w:tcPr>
            <w:tcW w:w="719" w:type="dxa"/>
            <w:vAlign w:val="center"/>
          </w:tcPr>
          <w:p>
            <w:pPr>
              <w:jc w:val="center"/>
              <w:rPr>
                <w:rFonts w:asciiTheme="minorEastAsia" w:hAnsiTheme="minorEastAsia"/>
                <w:b/>
                <w:sz w:val="18"/>
                <w:szCs w:val="18"/>
              </w:rPr>
            </w:pPr>
            <w:r>
              <w:rPr>
                <w:rFonts w:hint="eastAsia" w:asciiTheme="minorEastAsia" w:hAnsiTheme="minorEastAsia"/>
                <w:b/>
                <w:sz w:val="18"/>
                <w:szCs w:val="18"/>
              </w:rPr>
              <w:t>类别</w:t>
            </w:r>
          </w:p>
        </w:tc>
        <w:tc>
          <w:tcPr>
            <w:tcW w:w="851" w:type="dxa"/>
            <w:vAlign w:val="center"/>
          </w:tcPr>
          <w:p>
            <w:pPr>
              <w:jc w:val="center"/>
              <w:rPr>
                <w:rFonts w:asciiTheme="minorEastAsia" w:hAnsiTheme="minorEastAsia"/>
                <w:b/>
                <w:sz w:val="18"/>
                <w:szCs w:val="18"/>
              </w:rPr>
            </w:pPr>
            <w:r>
              <w:rPr>
                <w:rFonts w:asciiTheme="minorEastAsia" w:hAnsiTheme="minorEastAsia"/>
                <w:b/>
                <w:sz w:val="18"/>
                <w:szCs w:val="18"/>
              </w:rPr>
              <w:t>序号</w:t>
            </w:r>
          </w:p>
        </w:tc>
        <w:tc>
          <w:tcPr>
            <w:tcW w:w="1417" w:type="dxa"/>
            <w:vAlign w:val="center"/>
          </w:tcPr>
          <w:p>
            <w:pPr>
              <w:jc w:val="center"/>
              <w:rPr>
                <w:rFonts w:asciiTheme="minorEastAsia" w:hAnsiTheme="minorEastAsia"/>
                <w:b/>
                <w:sz w:val="18"/>
                <w:szCs w:val="18"/>
              </w:rPr>
            </w:pPr>
            <w:r>
              <w:rPr>
                <w:rFonts w:hint="eastAsia" w:asciiTheme="minorEastAsia" w:hAnsiTheme="minorEastAsia"/>
                <w:b/>
                <w:sz w:val="18"/>
                <w:szCs w:val="18"/>
              </w:rPr>
              <w:t>监测类别</w:t>
            </w:r>
          </w:p>
        </w:tc>
        <w:tc>
          <w:tcPr>
            <w:tcW w:w="2268" w:type="dxa"/>
            <w:vAlign w:val="center"/>
          </w:tcPr>
          <w:p>
            <w:pPr>
              <w:jc w:val="center"/>
              <w:rPr>
                <w:rFonts w:asciiTheme="minorEastAsia" w:hAnsiTheme="minorEastAsia"/>
                <w:b/>
                <w:sz w:val="18"/>
                <w:szCs w:val="18"/>
              </w:rPr>
            </w:pPr>
            <w:r>
              <w:rPr>
                <w:rFonts w:asciiTheme="minorEastAsia" w:hAnsiTheme="minorEastAsia"/>
                <w:b/>
                <w:sz w:val="18"/>
                <w:szCs w:val="18"/>
              </w:rPr>
              <w:t>监测项目</w:t>
            </w:r>
          </w:p>
        </w:tc>
        <w:tc>
          <w:tcPr>
            <w:tcW w:w="1701" w:type="dxa"/>
            <w:vAlign w:val="center"/>
          </w:tcPr>
          <w:p>
            <w:pPr>
              <w:jc w:val="center"/>
              <w:rPr>
                <w:rFonts w:asciiTheme="minorEastAsia" w:hAnsiTheme="minorEastAsia"/>
                <w:b/>
                <w:sz w:val="18"/>
                <w:szCs w:val="18"/>
              </w:rPr>
            </w:pPr>
            <w:r>
              <w:rPr>
                <w:rFonts w:asciiTheme="minorEastAsia" w:hAnsiTheme="minorEastAsia"/>
                <w:b/>
                <w:sz w:val="18"/>
                <w:szCs w:val="18"/>
              </w:rPr>
              <w:t>监测</w:t>
            </w:r>
            <w:r>
              <w:rPr>
                <w:rFonts w:hint="eastAsia" w:asciiTheme="minorEastAsia" w:hAnsiTheme="minorEastAsia"/>
                <w:b/>
                <w:sz w:val="18"/>
                <w:szCs w:val="18"/>
              </w:rPr>
              <w:t>点位</w:t>
            </w:r>
          </w:p>
        </w:tc>
        <w:tc>
          <w:tcPr>
            <w:tcW w:w="1276" w:type="dxa"/>
            <w:vAlign w:val="center"/>
          </w:tcPr>
          <w:p>
            <w:pPr>
              <w:jc w:val="center"/>
              <w:rPr>
                <w:rFonts w:asciiTheme="minorEastAsia" w:hAnsiTheme="minorEastAsia"/>
                <w:b/>
                <w:sz w:val="18"/>
                <w:szCs w:val="18"/>
              </w:rPr>
            </w:pPr>
            <w:r>
              <w:rPr>
                <w:rFonts w:asciiTheme="minorEastAsia" w:hAnsiTheme="minorEastAsia"/>
                <w:b/>
                <w:sz w:val="18"/>
                <w:szCs w:val="18"/>
              </w:rPr>
              <w:t>监测频率</w:t>
            </w:r>
          </w:p>
        </w:tc>
        <w:tc>
          <w:tcPr>
            <w:tcW w:w="5874" w:type="dxa"/>
            <w:vAlign w:val="center"/>
          </w:tcPr>
          <w:p>
            <w:pPr>
              <w:jc w:val="center"/>
              <w:rPr>
                <w:rFonts w:asciiTheme="minorEastAsia" w:hAnsiTheme="minorEastAsia"/>
                <w:b/>
                <w:sz w:val="18"/>
                <w:szCs w:val="18"/>
              </w:rPr>
            </w:pPr>
            <w:r>
              <w:rPr>
                <w:rFonts w:hint="eastAsia" w:asciiTheme="minorEastAsia" w:hAnsiTheme="minorEastAsia"/>
                <w:b/>
                <w:sz w:val="18"/>
                <w:szCs w:val="18"/>
              </w:rPr>
              <w:t>执行标准及监测</w:t>
            </w:r>
            <w:r>
              <w:rPr>
                <w:rFonts w:asciiTheme="minorEastAsia" w:hAnsiTheme="minorEastAsia"/>
                <w:b/>
                <w:sz w:val="18"/>
                <w:szCs w:val="18"/>
              </w:rPr>
              <w:t>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5" w:hRule="atLeast"/>
          <w:tblCellSpacing w:w="0" w:type="dxa"/>
        </w:trPr>
        <w:tc>
          <w:tcPr>
            <w:tcW w:w="719" w:type="dxa"/>
            <w:vMerge w:val="restart"/>
            <w:vAlign w:val="center"/>
          </w:tcPr>
          <w:p>
            <w:pPr>
              <w:jc w:val="center"/>
              <w:rPr>
                <w:rFonts w:asciiTheme="minorEastAsia" w:hAnsiTheme="minorEastAsia"/>
                <w:b/>
                <w:sz w:val="18"/>
                <w:szCs w:val="18"/>
              </w:rPr>
            </w:pPr>
            <w:r>
              <w:rPr>
                <w:rFonts w:hint="eastAsia" w:asciiTheme="minorEastAsia" w:hAnsiTheme="minorEastAsia"/>
                <w:b/>
                <w:sz w:val="18"/>
                <w:szCs w:val="18"/>
              </w:rPr>
              <w:t>污染源监测</w:t>
            </w:r>
          </w:p>
        </w:tc>
        <w:tc>
          <w:tcPr>
            <w:tcW w:w="851" w:type="dxa"/>
            <w:vAlign w:val="center"/>
          </w:tcPr>
          <w:p>
            <w:pPr>
              <w:jc w:val="center"/>
              <w:rPr>
                <w:rFonts w:asciiTheme="minorEastAsia" w:hAnsiTheme="minorEastAsia"/>
                <w:sz w:val="18"/>
                <w:szCs w:val="18"/>
              </w:rPr>
            </w:pPr>
            <w:r>
              <w:rPr>
                <w:rFonts w:asciiTheme="minorEastAsia" w:hAnsiTheme="minorEastAsia"/>
                <w:sz w:val="18"/>
                <w:szCs w:val="18"/>
              </w:rPr>
              <w:t>1</w:t>
            </w:r>
          </w:p>
        </w:tc>
        <w:tc>
          <w:tcPr>
            <w:tcW w:w="1417" w:type="dxa"/>
            <w:vAlign w:val="center"/>
          </w:tcPr>
          <w:p>
            <w:pPr>
              <w:jc w:val="center"/>
              <w:rPr>
                <w:rFonts w:asciiTheme="minorEastAsia" w:hAnsiTheme="minorEastAsia"/>
                <w:sz w:val="18"/>
                <w:szCs w:val="18"/>
              </w:rPr>
            </w:pPr>
            <w:r>
              <w:rPr>
                <w:rFonts w:hint="eastAsia" w:asciiTheme="minorEastAsia" w:hAnsiTheme="minorEastAsia"/>
                <w:sz w:val="18"/>
                <w:szCs w:val="18"/>
              </w:rPr>
              <w:t>有组织</w:t>
            </w:r>
          </w:p>
          <w:p>
            <w:pPr>
              <w:jc w:val="center"/>
              <w:rPr>
                <w:rFonts w:asciiTheme="minorEastAsia" w:hAnsiTheme="minorEastAsia"/>
                <w:sz w:val="18"/>
                <w:szCs w:val="18"/>
              </w:rPr>
            </w:pPr>
            <w:r>
              <w:rPr>
                <w:rFonts w:hint="eastAsia" w:asciiTheme="minorEastAsia" w:hAnsiTheme="minorEastAsia"/>
                <w:sz w:val="18"/>
                <w:szCs w:val="18"/>
              </w:rPr>
              <w:t>废气排放</w:t>
            </w:r>
          </w:p>
        </w:tc>
        <w:tc>
          <w:tcPr>
            <w:tcW w:w="2268" w:type="dxa"/>
            <w:vAlign w:val="center"/>
          </w:tcPr>
          <w:p>
            <w:pPr>
              <w:jc w:val="center"/>
              <w:rPr>
                <w:rFonts w:asciiTheme="minorEastAsia" w:hAnsiTheme="minorEastAsia"/>
                <w:sz w:val="18"/>
                <w:szCs w:val="18"/>
              </w:rPr>
            </w:pPr>
            <w:r>
              <w:rPr>
                <w:rFonts w:hint="eastAsia" w:cs="宋体" w:asciiTheme="minorEastAsia" w:hAnsiTheme="minorEastAsia"/>
                <w:kern w:val="0"/>
                <w:sz w:val="18"/>
                <w:szCs w:val="18"/>
              </w:rPr>
              <w:t>烟尘</w:t>
            </w:r>
            <w:r>
              <w:rPr>
                <w:rFonts w:hint="eastAsia" w:asciiTheme="minorEastAsia" w:hAnsiTheme="minorEastAsia"/>
                <w:sz w:val="18"/>
                <w:szCs w:val="18"/>
              </w:rPr>
              <w:t>、碳黑尘、SO</w:t>
            </w:r>
            <w:r>
              <w:rPr>
                <w:rFonts w:hint="eastAsia" w:asciiTheme="minorEastAsia" w:hAnsiTheme="minorEastAsia"/>
                <w:sz w:val="18"/>
                <w:szCs w:val="18"/>
                <w:vertAlign w:val="subscript"/>
              </w:rPr>
              <w:t>2</w:t>
            </w:r>
            <w:r>
              <w:rPr>
                <w:rFonts w:hint="eastAsia" w:asciiTheme="minorEastAsia" w:hAnsiTheme="minorEastAsia"/>
                <w:sz w:val="18"/>
                <w:szCs w:val="18"/>
              </w:rPr>
              <w:t>、NOx、氨、H</w:t>
            </w:r>
            <w:r>
              <w:rPr>
                <w:rFonts w:hint="eastAsia" w:asciiTheme="minorEastAsia" w:hAnsiTheme="minorEastAsia"/>
                <w:sz w:val="18"/>
                <w:szCs w:val="18"/>
                <w:vertAlign w:val="subscript"/>
              </w:rPr>
              <w:t>2</w:t>
            </w:r>
            <w:r>
              <w:rPr>
                <w:rFonts w:hint="eastAsia" w:asciiTheme="minorEastAsia" w:hAnsiTheme="minorEastAsia"/>
                <w:sz w:val="18"/>
                <w:szCs w:val="18"/>
              </w:rPr>
              <w:t>S、非甲烷总烃、苯并芘等</w:t>
            </w:r>
          </w:p>
        </w:tc>
        <w:tc>
          <w:tcPr>
            <w:tcW w:w="1701" w:type="dxa"/>
            <w:vAlign w:val="center"/>
          </w:tcPr>
          <w:p>
            <w:pPr>
              <w:jc w:val="center"/>
              <w:rPr>
                <w:rFonts w:asciiTheme="minorEastAsia" w:hAnsiTheme="minorEastAsia"/>
                <w:sz w:val="18"/>
                <w:szCs w:val="18"/>
              </w:rPr>
            </w:pPr>
            <w:r>
              <w:rPr>
                <w:rFonts w:hint="eastAsia" w:asciiTheme="minorEastAsia" w:hAnsiTheme="minorEastAsia"/>
                <w:sz w:val="18"/>
                <w:szCs w:val="18"/>
              </w:rPr>
              <w:t>燃烧废气处理装置排气筒及车间碳黑尘袋除尘器排气筒</w:t>
            </w:r>
          </w:p>
        </w:tc>
        <w:tc>
          <w:tcPr>
            <w:tcW w:w="1276" w:type="dxa"/>
            <w:vAlign w:val="center"/>
          </w:tcPr>
          <w:p>
            <w:pPr>
              <w:jc w:val="center"/>
              <w:rPr>
                <w:rFonts w:asciiTheme="minorEastAsia" w:hAnsiTheme="minorEastAsia"/>
                <w:sz w:val="18"/>
                <w:szCs w:val="18"/>
              </w:rPr>
            </w:pPr>
            <w:r>
              <w:rPr>
                <w:rFonts w:hint="eastAsia" w:asciiTheme="minorEastAsia" w:hAnsiTheme="minorEastAsia"/>
                <w:sz w:val="18"/>
                <w:szCs w:val="18"/>
              </w:rPr>
              <w:t>燃烧废气排气筒</w:t>
            </w:r>
            <w:r>
              <w:rPr>
                <w:rFonts w:asciiTheme="minorEastAsia" w:hAnsiTheme="minorEastAsia"/>
                <w:sz w:val="18"/>
                <w:szCs w:val="18"/>
              </w:rPr>
              <w:t>1次/</w:t>
            </w:r>
            <w:r>
              <w:rPr>
                <w:rFonts w:hint="eastAsia" w:asciiTheme="minorEastAsia" w:hAnsiTheme="minorEastAsia"/>
                <w:sz w:val="18"/>
                <w:szCs w:val="18"/>
              </w:rPr>
              <w:t>季度；袋除尘器排气筒1次/半年</w:t>
            </w:r>
            <w:r>
              <w:rPr>
                <w:rFonts w:asciiTheme="minorEastAsia" w:hAnsiTheme="minorEastAsia"/>
                <w:sz w:val="18"/>
                <w:szCs w:val="18"/>
              </w:rPr>
              <w:t xml:space="preserve"> </w:t>
            </w:r>
          </w:p>
        </w:tc>
        <w:tc>
          <w:tcPr>
            <w:tcW w:w="5874" w:type="dxa"/>
            <w:vAlign w:val="center"/>
          </w:tcPr>
          <w:p>
            <w:pPr>
              <w:jc w:val="left"/>
              <w:rPr>
                <w:rFonts w:asciiTheme="minorEastAsia" w:hAnsiTheme="minorEastAsia"/>
                <w:sz w:val="18"/>
                <w:szCs w:val="18"/>
              </w:rPr>
            </w:pP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烟尘、SO</w:t>
            </w:r>
            <w:r>
              <w:rPr>
                <w:rFonts w:hint="eastAsia"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、NOx排放满足</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《燃煤电厂大气污染物排放标准》（DB41/1424-2017）表1排放限值要求</w:t>
            </w:r>
            <w:r>
              <w:rPr>
                <w:rFonts w:hint="eastAsia" w:cs="Times New Roman" w:asciiTheme="minorEastAsia" w:hAnsiTheme="minorEastAsia"/>
                <w:bCs/>
                <w:color w:val="0D0D0D" w:themeColor="text1" w:themeTint="F2"/>
                <w:sz w:val="18"/>
                <w:szCs w:val="18"/>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苯并芘排放满足《石油化学工业污染物排放标准》（GB31571-2015）表6限值要求，氨排放满足《工业炉窑大气污染物排放标准》（DB41/1066-2020）表2限值要求；</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S排放满足《恶臭污染物排放标准》（GB14554-1993）二级标准限值要求</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；非甲烷总烃排放满足</w:t>
            </w:r>
            <w:r>
              <w:rPr>
                <w:rFonts w:cs="Times New Roman" w:asciiTheme="minorEastAsia" w:hAnsiTheme="minorEastAsia"/>
                <w:color w:val="0D0D0D" w:themeColor="text1" w:themeTint="F2"/>
                <w:sz w:val="18"/>
                <w:szCs w:val="18"/>
                <w14:textFill>
                  <w14:solidFill>
                    <w14:schemeClr w14:val="tx1">
                      <w14:lumMod w14:val="95000"/>
                      <w14:lumOff w14:val="5000"/>
                    </w14:schemeClr>
                  </w14:solidFill>
                </w14:textFill>
              </w:rPr>
              <w:t>豫环攻坚办[2017]162号《关于全省开展工业企业挥发性有机物专项治理工作中排放建议值的通知》中其他行业建议限值要求</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；碳黑尘排放满足《大气污染物综合排放标准》（GB16297-1996）表2限值要求</w:t>
            </w:r>
            <w:r>
              <w:rPr>
                <w:rFonts w:hint="eastAsia" w:asciiTheme="minorEastAsia" w:hAnsiTheme="minor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5"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Align w:val="center"/>
          </w:tcPr>
          <w:p>
            <w:pPr>
              <w:jc w:val="center"/>
              <w:rPr>
                <w:rFonts w:asciiTheme="minorEastAsia" w:hAnsiTheme="minorEastAsia"/>
                <w:sz w:val="18"/>
                <w:szCs w:val="18"/>
              </w:rPr>
            </w:pPr>
            <w:r>
              <w:rPr>
                <w:rFonts w:hint="eastAsia" w:asciiTheme="minorEastAsia" w:hAnsiTheme="minorEastAsia"/>
                <w:sz w:val="18"/>
                <w:szCs w:val="18"/>
              </w:rPr>
              <w:t>2</w:t>
            </w:r>
          </w:p>
        </w:tc>
        <w:tc>
          <w:tcPr>
            <w:tcW w:w="1417" w:type="dxa"/>
            <w:vAlign w:val="center"/>
          </w:tcPr>
          <w:p>
            <w:pPr>
              <w:jc w:val="center"/>
              <w:rPr>
                <w:rFonts w:asciiTheme="minorEastAsia" w:hAnsiTheme="minorEastAsia"/>
                <w:sz w:val="18"/>
                <w:szCs w:val="18"/>
              </w:rPr>
            </w:pPr>
            <w:r>
              <w:rPr>
                <w:rFonts w:hint="eastAsia" w:asciiTheme="minorEastAsia" w:hAnsiTheme="minorEastAsia"/>
                <w:sz w:val="18"/>
                <w:szCs w:val="18"/>
              </w:rPr>
              <w:t>无组织</w:t>
            </w:r>
          </w:p>
          <w:p>
            <w:pPr>
              <w:jc w:val="center"/>
              <w:rPr>
                <w:rFonts w:asciiTheme="minorEastAsia" w:hAnsiTheme="minorEastAsia"/>
                <w:sz w:val="18"/>
                <w:szCs w:val="18"/>
              </w:rPr>
            </w:pPr>
            <w:r>
              <w:rPr>
                <w:rFonts w:hint="eastAsia" w:asciiTheme="minorEastAsia" w:hAnsiTheme="minorEastAsia"/>
                <w:sz w:val="18"/>
                <w:szCs w:val="18"/>
              </w:rPr>
              <w:t>废气排放</w:t>
            </w:r>
          </w:p>
        </w:tc>
        <w:tc>
          <w:tcPr>
            <w:tcW w:w="2268" w:type="dxa"/>
            <w:vAlign w:val="center"/>
          </w:tcPr>
          <w:p>
            <w:pPr>
              <w:jc w:val="center"/>
              <w:rPr>
                <w:rFonts w:cs="宋体" w:asciiTheme="minorEastAsia" w:hAnsiTheme="minorEastAsia"/>
                <w:kern w:val="0"/>
                <w:sz w:val="18"/>
                <w:szCs w:val="18"/>
              </w:rPr>
            </w:pPr>
            <w:r>
              <w:rPr>
                <w:rFonts w:hint="eastAsia" w:cs="宋体" w:asciiTheme="minorEastAsia" w:hAnsiTheme="minorEastAsia"/>
                <w:kern w:val="0"/>
                <w:sz w:val="18"/>
                <w:szCs w:val="18"/>
              </w:rPr>
              <w:t>碳黑尘、H</w:t>
            </w:r>
            <w:r>
              <w:rPr>
                <w:rFonts w:hint="eastAsia" w:cs="宋体" w:asciiTheme="minorEastAsia" w:hAnsiTheme="minorEastAsia"/>
                <w:kern w:val="0"/>
                <w:sz w:val="18"/>
                <w:szCs w:val="18"/>
                <w:vertAlign w:val="subscript"/>
              </w:rPr>
              <w:t>2</w:t>
            </w:r>
            <w:r>
              <w:rPr>
                <w:rFonts w:hint="eastAsia" w:cs="宋体" w:asciiTheme="minorEastAsia" w:hAnsiTheme="minorEastAsia"/>
                <w:kern w:val="0"/>
                <w:sz w:val="18"/>
                <w:szCs w:val="18"/>
              </w:rPr>
              <w:t>S、非甲烷总烃等</w:t>
            </w:r>
          </w:p>
        </w:tc>
        <w:tc>
          <w:tcPr>
            <w:tcW w:w="1701" w:type="dxa"/>
            <w:vAlign w:val="center"/>
          </w:tcPr>
          <w:p>
            <w:pPr>
              <w:jc w:val="center"/>
              <w:rPr>
                <w:rFonts w:asciiTheme="minorEastAsia" w:hAnsiTheme="minorEastAsia"/>
                <w:sz w:val="18"/>
                <w:szCs w:val="18"/>
              </w:rPr>
            </w:pPr>
            <w:r>
              <w:rPr>
                <w:rFonts w:hint="eastAsia" w:asciiTheme="minorEastAsia" w:hAnsiTheme="minorEastAsia"/>
                <w:sz w:val="18"/>
                <w:szCs w:val="18"/>
              </w:rPr>
              <w:t>各厂界外1m</w:t>
            </w:r>
          </w:p>
        </w:tc>
        <w:tc>
          <w:tcPr>
            <w:tcW w:w="1276" w:type="dxa"/>
            <w:vAlign w:val="center"/>
          </w:tcPr>
          <w:p>
            <w:pPr>
              <w:jc w:val="center"/>
              <w:rPr>
                <w:rFonts w:asciiTheme="minorEastAsia" w:hAnsiTheme="minorEastAsia"/>
                <w:sz w:val="18"/>
                <w:szCs w:val="18"/>
              </w:rPr>
            </w:pPr>
            <w:r>
              <w:rPr>
                <w:rFonts w:hint="eastAsia" w:asciiTheme="minorEastAsia" w:hAnsiTheme="minorEastAsia"/>
                <w:sz w:val="18"/>
                <w:szCs w:val="18"/>
              </w:rPr>
              <w:t>1次/半年</w:t>
            </w:r>
          </w:p>
        </w:tc>
        <w:tc>
          <w:tcPr>
            <w:tcW w:w="5874" w:type="dxa"/>
            <w:vAlign w:val="center"/>
          </w:tcPr>
          <w:p>
            <w:pPr>
              <w:ind w:firstLine="270" w:firstLineChars="150"/>
              <w:jc w:val="left"/>
              <w:rPr>
                <w:rFonts w:asciiTheme="minorEastAsia" w:hAnsiTheme="minorEastAsia"/>
                <w:sz w:val="18"/>
                <w:szCs w:val="18"/>
              </w:rPr>
            </w:pPr>
            <w:r>
              <w:rPr>
                <w:rFonts w:hint="eastAsia" w:asciiTheme="minorEastAsia" w:hAnsiTheme="minorEastAsia"/>
                <w:sz w:val="18"/>
                <w:szCs w:val="18"/>
              </w:rPr>
              <w:t>无组织碳黑尘满足《大气污染物综合排放标准》（GB16297-1996）表2限值要求；硫化氢厂界浓度满足《恶臭污染物排放标准》（GB14554-93）表1厂界标准值二级限值要求；无组织非甲烷总烃排放执行《关于全省开展工业企业挥发性有机物专项治理工作中排放建议值的通知》（豫环攻坚办[2017]162号）规定的排放建议值。检测方法按照国家规定技术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1"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Merge w:val="restart"/>
            <w:vAlign w:val="center"/>
          </w:tcPr>
          <w:p>
            <w:pPr>
              <w:jc w:val="center"/>
              <w:rPr>
                <w:rFonts w:asciiTheme="minorEastAsia" w:hAnsiTheme="minorEastAsia"/>
                <w:sz w:val="18"/>
                <w:szCs w:val="18"/>
              </w:rPr>
            </w:pPr>
            <w:r>
              <w:rPr>
                <w:rFonts w:hint="eastAsia" w:asciiTheme="minorEastAsia" w:hAnsiTheme="minorEastAsia"/>
                <w:sz w:val="18"/>
                <w:szCs w:val="18"/>
              </w:rPr>
              <w:t>3</w:t>
            </w:r>
          </w:p>
        </w:tc>
        <w:tc>
          <w:tcPr>
            <w:tcW w:w="1417" w:type="dxa"/>
            <w:vMerge w:val="restart"/>
            <w:vAlign w:val="center"/>
          </w:tcPr>
          <w:p>
            <w:pPr>
              <w:jc w:val="center"/>
              <w:rPr>
                <w:rFonts w:asciiTheme="minorEastAsia" w:hAnsiTheme="minorEastAsia"/>
                <w:sz w:val="18"/>
                <w:szCs w:val="18"/>
              </w:rPr>
            </w:pPr>
            <w:r>
              <w:rPr>
                <w:rFonts w:hint="eastAsia" w:asciiTheme="minorEastAsia" w:hAnsiTheme="minorEastAsia"/>
                <w:sz w:val="18"/>
                <w:szCs w:val="18"/>
              </w:rPr>
              <w:t>厂区无组织VOCs</w:t>
            </w:r>
          </w:p>
        </w:tc>
        <w:tc>
          <w:tcPr>
            <w:tcW w:w="2268" w:type="dxa"/>
            <w:tcBorders>
              <w:bottom w:val="single" w:color="auto" w:sz="4" w:space="0"/>
            </w:tcBorders>
            <w:vAlign w:val="center"/>
          </w:tcPr>
          <w:p>
            <w:pPr>
              <w:jc w:val="center"/>
              <w:rPr>
                <w:rFonts w:cs="宋体" w:asciiTheme="minorEastAsia" w:hAnsiTheme="minorEastAsia"/>
                <w:kern w:val="0"/>
                <w:sz w:val="18"/>
                <w:szCs w:val="18"/>
              </w:rPr>
            </w:pPr>
            <w:r>
              <w:rPr>
                <w:rFonts w:hint="eastAsia" w:cs="宋体" w:asciiTheme="minorEastAsia" w:hAnsiTheme="minorEastAsia"/>
                <w:kern w:val="0"/>
                <w:sz w:val="18"/>
                <w:szCs w:val="18"/>
              </w:rPr>
              <w:t>非甲烷总烃（设备与管线组件密封点泄漏）</w:t>
            </w:r>
          </w:p>
        </w:tc>
        <w:tc>
          <w:tcPr>
            <w:tcW w:w="1701" w:type="dxa"/>
            <w:tcBorders>
              <w:bottom w:val="single" w:color="auto" w:sz="4" w:space="0"/>
            </w:tcBorders>
            <w:vAlign w:val="center"/>
          </w:tcPr>
          <w:p>
            <w:pPr>
              <w:jc w:val="center"/>
              <w:rPr>
                <w:rFonts w:asciiTheme="minorEastAsia" w:hAnsiTheme="minorEastAsia"/>
                <w:sz w:val="18"/>
                <w:szCs w:val="18"/>
              </w:rPr>
            </w:pPr>
            <w:r>
              <w:rPr>
                <w:rFonts w:hint="eastAsia" w:asciiTheme="minorEastAsia" w:hAnsiTheme="minorEastAsia"/>
                <w:sz w:val="18"/>
                <w:szCs w:val="18"/>
              </w:rPr>
              <w:t>裂解油储罐区周边1.5m</w:t>
            </w:r>
          </w:p>
        </w:tc>
        <w:tc>
          <w:tcPr>
            <w:tcW w:w="1276" w:type="dxa"/>
            <w:tcBorders>
              <w:bottom w:val="single" w:color="auto" w:sz="4" w:space="0"/>
            </w:tcBorders>
            <w:vAlign w:val="center"/>
          </w:tcPr>
          <w:p>
            <w:pPr>
              <w:jc w:val="center"/>
              <w:rPr>
                <w:rFonts w:asciiTheme="minorEastAsia" w:hAnsiTheme="minorEastAsia"/>
                <w:sz w:val="18"/>
                <w:szCs w:val="18"/>
              </w:rPr>
            </w:pPr>
            <w:r>
              <w:rPr>
                <w:rFonts w:hint="eastAsia" w:asciiTheme="minorEastAsia" w:hAnsiTheme="minorEastAsia"/>
                <w:sz w:val="18"/>
                <w:szCs w:val="18"/>
              </w:rPr>
              <w:t>1次/季度</w:t>
            </w:r>
          </w:p>
        </w:tc>
        <w:tc>
          <w:tcPr>
            <w:tcW w:w="5874" w:type="dxa"/>
            <w:vMerge w:val="restart"/>
            <w:vAlign w:val="center"/>
          </w:tcPr>
          <w:p>
            <w:pPr>
              <w:ind w:firstLine="270" w:firstLineChars="150"/>
              <w:jc w:val="left"/>
              <w:rPr>
                <w:rFonts w:asciiTheme="minorEastAsia" w:hAnsiTheme="minorEastAsia"/>
                <w:sz w:val="18"/>
                <w:szCs w:val="18"/>
              </w:rPr>
            </w:pPr>
            <w:r>
              <w:rPr>
                <w:rFonts w:hint="eastAsia" w:asciiTheme="minorEastAsia" w:hAnsiTheme="minorEastAsia"/>
                <w:sz w:val="18"/>
                <w:szCs w:val="18"/>
              </w:rPr>
              <w:t>执行《挥发性有机物无组织排放控制标准》（GB37822-2019）表1和表A.1规定限值。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1"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Merge w:val="continue"/>
            <w:vAlign w:val="center"/>
          </w:tcPr>
          <w:p>
            <w:pPr>
              <w:jc w:val="center"/>
              <w:rPr>
                <w:rFonts w:asciiTheme="minorEastAsia" w:hAnsiTheme="minorEastAsia"/>
                <w:sz w:val="18"/>
                <w:szCs w:val="18"/>
              </w:rPr>
            </w:pPr>
          </w:p>
        </w:tc>
        <w:tc>
          <w:tcPr>
            <w:tcW w:w="1417" w:type="dxa"/>
            <w:vMerge w:val="continue"/>
            <w:vAlign w:val="center"/>
          </w:tcPr>
          <w:p>
            <w:pPr>
              <w:jc w:val="center"/>
              <w:rPr>
                <w:rFonts w:asciiTheme="minorEastAsia" w:hAnsiTheme="minorEastAsia"/>
                <w:sz w:val="18"/>
                <w:szCs w:val="18"/>
              </w:rPr>
            </w:pPr>
          </w:p>
        </w:tc>
        <w:tc>
          <w:tcPr>
            <w:tcW w:w="2268" w:type="dxa"/>
            <w:tcBorders>
              <w:top w:val="single" w:color="auto" w:sz="4" w:space="0"/>
            </w:tcBorders>
            <w:vAlign w:val="center"/>
          </w:tcPr>
          <w:p>
            <w:pPr>
              <w:jc w:val="center"/>
              <w:rPr>
                <w:rFonts w:cs="宋体" w:asciiTheme="minorEastAsia" w:hAnsiTheme="minorEastAsia"/>
                <w:kern w:val="0"/>
                <w:sz w:val="18"/>
                <w:szCs w:val="18"/>
              </w:rPr>
            </w:pPr>
            <w:r>
              <w:rPr>
                <w:rFonts w:hint="eastAsia" w:cs="宋体" w:asciiTheme="minorEastAsia" w:hAnsiTheme="minorEastAsia"/>
                <w:kern w:val="0"/>
                <w:sz w:val="18"/>
                <w:szCs w:val="18"/>
              </w:rPr>
              <w:t>非甲烷总烃</w:t>
            </w:r>
          </w:p>
          <w:p>
            <w:pPr>
              <w:jc w:val="center"/>
              <w:rPr>
                <w:rFonts w:cs="宋体" w:asciiTheme="minorEastAsia" w:hAnsiTheme="minorEastAsia"/>
                <w:kern w:val="0"/>
                <w:sz w:val="18"/>
                <w:szCs w:val="18"/>
              </w:rPr>
            </w:pPr>
            <w:r>
              <w:rPr>
                <w:rFonts w:hint="eastAsia" w:cs="宋体" w:asciiTheme="minorEastAsia" w:hAnsiTheme="minorEastAsia"/>
                <w:kern w:val="0"/>
                <w:sz w:val="18"/>
                <w:szCs w:val="18"/>
              </w:rPr>
              <w:t>(厂区内无组织排放)</w:t>
            </w:r>
          </w:p>
        </w:tc>
        <w:tc>
          <w:tcPr>
            <w:tcW w:w="1701" w:type="dxa"/>
            <w:tcBorders>
              <w:top w:val="single" w:color="auto" w:sz="4" w:space="0"/>
            </w:tcBorders>
            <w:vAlign w:val="center"/>
          </w:tcPr>
          <w:p>
            <w:pPr>
              <w:jc w:val="center"/>
              <w:rPr>
                <w:rFonts w:asciiTheme="minorEastAsia" w:hAnsiTheme="minorEastAsia"/>
                <w:sz w:val="18"/>
                <w:szCs w:val="18"/>
              </w:rPr>
            </w:pPr>
            <w:r>
              <w:rPr>
                <w:rFonts w:hint="eastAsia" w:asciiTheme="minorEastAsia" w:hAnsiTheme="minorEastAsia"/>
                <w:sz w:val="18"/>
                <w:szCs w:val="18"/>
              </w:rPr>
              <w:t>热裂解生产车间周边1.5m</w:t>
            </w:r>
          </w:p>
        </w:tc>
        <w:tc>
          <w:tcPr>
            <w:tcW w:w="1276" w:type="dxa"/>
            <w:tcBorders>
              <w:top w:val="single" w:color="auto" w:sz="4" w:space="0"/>
            </w:tcBorders>
            <w:vAlign w:val="center"/>
          </w:tcPr>
          <w:p>
            <w:pPr>
              <w:jc w:val="center"/>
              <w:rPr>
                <w:rFonts w:asciiTheme="minorEastAsia" w:hAnsiTheme="minorEastAsia"/>
                <w:sz w:val="18"/>
                <w:szCs w:val="18"/>
              </w:rPr>
            </w:pPr>
            <w:r>
              <w:rPr>
                <w:rFonts w:hint="eastAsia" w:asciiTheme="minorEastAsia" w:hAnsiTheme="minorEastAsia"/>
                <w:sz w:val="18"/>
                <w:szCs w:val="18"/>
              </w:rPr>
              <w:t>1次/季度</w:t>
            </w:r>
          </w:p>
        </w:tc>
        <w:tc>
          <w:tcPr>
            <w:tcW w:w="5874" w:type="dxa"/>
            <w:vMerge w:val="continue"/>
            <w:vAlign w:val="center"/>
          </w:tcPr>
          <w:p>
            <w:pPr>
              <w:ind w:firstLine="270" w:firstLineChars="150"/>
              <w:jc w:val="left"/>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6"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Align w:val="center"/>
          </w:tcPr>
          <w:p>
            <w:pPr>
              <w:jc w:val="center"/>
              <w:rPr>
                <w:rFonts w:asciiTheme="minorEastAsia" w:hAnsiTheme="minorEastAsia"/>
                <w:sz w:val="18"/>
                <w:szCs w:val="18"/>
              </w:rPr>
            </w:pPr>
            <w:r>
              <w:rPr>
                <w:rFonts w:hint="eastAsia" w:asciiTheme="minorEastAsia" w:hAnsiTheme="minorEastAsia"/>
                <w:sz w:val="18"/>
                <w:szCs w:val="18"/>
              </w:rPr>
              <w:t>4</w:t>
            </w:r>
          </w:p>
        </w:tc>
        <w:tc>
          <w:tcPr>
            <w:tcW w:w="1417" w:type="dxa"/>
            <w:vAlign w:val="center"/>
          </w:tcPr>
          <w:p>
            <w:pPr>
              <w:jc w:val="center"/>
              <w:rPr>
                <w:rFonts w:asciiTheme="minorEastAsia" w:hAnsiTheme="minorEastAsia"/>
                <w:sz w:val="18"/>
                <w:szCs w:val="18"/>
              </w:rPr>
            </w:pPr>
            <w:r>
              <w:rPr>
                <w:rFonts w:hint="eastAsia" w:asciiTheme="minorEastAsia" w:hAnsiTheme="minorEastAsia"/>
                <w:sz w:val="18"/>
                <w:szCs w:val="18"/>
              </w:rPr>
              <w:t>废水排放</w:t>
            </w:r>
          </w:p>
        </w:tc>
        <w:tc>
          <w:tcPr>
            <w:tcW w:w="2268" w:type="dxa"/>
            <w:vAlign w:val="center"/>
          </w:tcPr>
          <w:p>
            <w:pPr>
              <w:pStyle w:val="101"/>
              <w:rPr>
                <w:rFonts w:asciiTheme="minorEastAsia" w:hAnsiTheme="minorEastAsia" w:eastAsiaTheme="minorEastAsia"/>
                <w:szCs w:val="18"/>
              </w:rPr>
            </w:pPr>
            <w:r>
              <w:rPr>
                <w:rFonts w:asciiTheme="minorEastAsia" w:hAnsiTheme="minorEastAsia" w:eastAsiaTheme="minorEastAsia"/>
                <w:szCs w:val="18"/>
              </w:rPr>
              <w:t>COD、</w:t>
            </w:r>
            <w:r>
              <w:rPr>
                <w:rFonts w:hint="eastAsia" w:asciiTheme="minorEastAsia" w:hAnsiTheme="minorEastAsia" w:eastAsiaTheme="minorEastAsia"/>
                <w:szCs w:val="18"/>
              </w:rPr>
              <w:t>BOD</w:t>
            </w:r>
            <w:r>
              <w:rPr>
                <w:rFonts w:hint="eastAsia" w:asciiTheme="minorEastAsia" w:hAnsiTheme="minorEastAsia" w:eastAsiaTheme="minorEastAsia"/>
                <w:szCs w:val="18"/>
                <w:vertAlign w:val="subscript"/>
              </w:rPr>
              <w:t>5</w:t>
            </w:r>
            <w:r>
              <w:rPr>
                <w:rFonts w:hint="eastAsia" w:asciiTheme="minorEastAsia" w:hAnsiTheme="minorEastAsia" w:eastAsiaTheme="minorEastAsia"/>
                <w:szCs w:val="18"/>
              </w:rPr>
              <w:t>、SS、氨氮、总磷、硫化物、石油类、动植物油等</w:t>
            </w:r>
          </w:p>
        </w:tc>
        <w:tc>
          <w:tcPr>
            <w:tcW w:w="1701" w:type="dxa"/>
            <w:vAlign w:val="center"/>
          </w:tcPr>
          <w:p>
            <w:pPr>
              <w:jc w:val="center"/>
              <w:rPr>
                <w:rFonts w:asciiTheme="minorEastAsia" w:hAnsiTheme="minorEastAsia"/>
                <w:sz w:val="18"/>
                <w:szCs w:val="18"/>
              </w:rPr>
            </w:pPr>
            <w:r>
              <w:rPr>
                <w:rFonts w:hint="eastAsia" w:asciiTheme="minorEastAsia" w:hAnsiTheme="minorEastAsia"/>
                <w:sz w:val="18"/>
                <w:szCs w:val="18"/>
              </w:rPr>
              <w:t>厂区污水总排口</w:t>
            </w:r>
          </w:p>
        </w:tc>
        <w:tc>
          <w:tcPr>
            <w:tcW w:w="1276" w:type="dxa"/>
            <w:vAlign w:val="center"/>
          </w:tcPr>
          <w:p>
            <w:pPr>
              <w:jc w:val="center"/>
              <w:rPr>
                <w:rFonts w:asciiTheme="minorEastAsia" w:hAnsiTheme="minorEastAsia"/>
                <w:sz w:val="18"/>
                <w:szCs w:val="18"/>
              </w:rPr>
            </w:pPr>
            <w:r>
              <w:rPr>
                <w:rFonts w:hint="eastAsia" w:asciiTheme="minorEastAsia" w:hAnsiTheme="minorEastAsia"/>
                <w:sz w:val="18"/>
                <w:szCs w:val="18"/>
              </w:rPr>
              <w:t>COD、氨氮</w:t>
            </w:r>
            <w:r>
              <w:rPr>
                <w:rFonts w:asciiTheme="minorEastAsia" w:hAnsiTheme="minorEastAsia"/>
                <w:sz w:val="18"/>
                <w:szCs w:val="18"/>
              </w:rPr>
              <w:t>1次/</w:t>
            </w:r>
            <w:r>
              <w:rPr>
                <w:rFonts w:hint="eastAsia" w:asciiTheme="minorEastAsia" w:hAnsiTheme="minorEastAsia"/>
                <w:sz w:val="18"/>
                <w:szCs w:val="18"/>
              </w:rPr>
              <w:t>月；其他监测指标1次/季度</w:t>
            </w:r>
          </w:p>
        </w:tc>
        <w:tc>
          <w:tcPr>
            <w:tcW w:w="5874" w:type="dxa"/>
            <w:vAlign w:val="center"/>
          </w:tcPr>
          <w:p>
            <w:pPr>
              <w:spacing w:line="240" w:lineRule="atLeast"/>
              <w:rPr>
                <w:rFonts w:cs="Times New Roman" w:asciiTheme="minorEastAsia" w:hAnsiTheme="minorEastAsia"/>
                <w:bCs/>
                <w:sz w:val="18"/>
                <w:szCs w:val="18"/>
              </w:rPr>
            </w:pPr>
            <w:r>
              <w:rPr>
                <w:rFonts w:hint="eastAsia" w:cs="Times New Roman" w:asciiTheme="minorEastAsia" w:hAnsiTheme="minorEastAsia"/>
                <w:bCs/>
                <w:sz w:val="18"/>
                <w:szCs w:val="18"/>
              </w:rPr>
              <w:t>厂区污水总排口各类污染物满足《污水综合排放标准》（GB8978-1996）表4三级标准及西平县城市污水处理厂进水水质要求。</w:t>
            </w:r>
          </w:p>
          <w:p>
            <w:pPr>
              <w:spacing w:line="240" w:lineRule="atLeast"/>
              <w:rPr>
                <w:rFonts w:cs="Times New Roman" w:asciiTheme="minorEastAsia" w:hAnsiTheme="minorEastAsia"/>
                <w:bCs/>
                <w:sz w:val="18"/>
                <w:szCs w:val="18"/>
              </w:rPr>
            </w:pPr>
            <w:r>
              <w:rPr>
                <w:rFonts w:hint="eastAsia" w:asciiTheme="minorEastAsia" w:hAnsiTheme="minorEastAsia"/>
                <w:sz w:val="18"/>
                <w:szCs w:val="18"/>
              </w:rPr>
              <w:t>检测方法按照国家规定技术规范执行</w:t>
            </w:r>
            <w:r>
              <w:rPr>
                <w:rFonts w:hint="eastAsia" w:cs="Times New Roman" w:asciiTheme="minorEastAsia" w:hAnsiTheme="minorEastAsia"/>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3"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Align w:val="center"/>
          </w:tcPr>
          <w:p>
            <w:pPr>
              <w:jc w:val="center"/>
              <w:rPr>
                <w:rFonts w:asciiTheme="minorEastAsia" w:hAnsiTheme="minorEastAsia"/>
                <w:sz w:val="18"/>
                <w:szCs w:val="18"/>
              </w:rPr>
            </w:pPr>
            <w:r>
              <w:rPr>
                <w:rFonts w:hint="eastAsia" w:asciiTheme="minorEastAsia" w:hAnsiTheme="minorEastAsia"/>
                <w:sz w:val="18"/>
                <w:szCs w:val="18"/>
              </w:rPr>
              <w:t>5</w:t>
            </w:r>
          </w:p>
        </w:tc>
        <w:tc>
          <w:tcPr>
            <w:tcW w:w="1417" w:type="dxa"/>
            <w:vAlign w:val="center"/>
          </w:tcPr>
          <w:p>
            <w:pPr>
              <w:jc w:val="center"/>
              <w:rPr>
                <w:rFonts w:asciiTheme="minorEastAsia" w:hAnsiTheme="minorEastAsia"/>
                <w:sz w:val="18"/>
                <w:szCs w:val="18"/>
              </w:rPr>
            </w:pPr>
            <w:r>
              <w:rPr>
                <w:rFonts w:asciiTheme="minorEastAsia" w:hAnsiTheme="minorEastAsia"/>
                <w:sz w:val="18"/>
                <w:szCs w:val="18"/>
              </w:rPr>
              <w:t>噪声</w:t>
            </w:r>
            <w:r>
              <w:rPr>
                <w:rFonts w:hint="eastAsia" w:asciiTheme="minorEastAsia" w:hAnsiTheme="minorEastAsia"/>
                <w:sz w:val="18"/>
                <w:szCs w:val="18"/>
              </w:rPr>
              <w:t>排放</w:t>
            </w:r>
          </w:p>
        </w:tc>
        <w:tc>
          <w:tcPr>
            <w:tcW w:w="2268" w:type="dxa"/>
            <w:vAlign w:val="center"/>
          </w:tcPr>
          <w:p>
            <w:pPr>
              <w:jc w:val="center"/>
              <w:rPr>
                <w:rFonts w:asciiTheme="minorEastAsia" w:hAnsiTheme="minorEastAsia"/>
                <w:sz w:val="18"/>
                <w:szCs w:val="18"/>
              </w:rPr>
            </w:pPr>
            <w:r>
              <w:rPr>
                <w:rFonts w:asciiTheme="minorEastAsia" w:hAnsiTheme="minorEastAsia"/>
                <w:sz w:val="18"/>
                <w:szCs w:val="18"/>
              </w:rPr>
              <w:t>昼夜间</w:t>
            </w:r>
            <w:r>
              <w:rPr>
                <w:rFonts w:hint="eastAsia" w:asciiTheme="minorEastAsia" w:hAnsiTheme="minorEastAsia"/>
                <w:sz w:val="18"/>
                <w:szCs w:val="18"/>
              </w:rPr>
              <w:t>厂界</w:t>
            </w:r>
            <w:r>
              <w:rPr>
                <w:rFonts w:asciiTheme="minorEastAsia" w:hAnsiTheme="minorEastAsia"/>
                <w:sz w:val="18"/>
                <w:szCs w:val="18"/>
              </w:rPr>
              <w:t>噪声</w:t>
            </w:r>
            <w:r>
              <w:rPr>
                <w:rFonts w:hint="eastAsia" w:asciiTheme="minorEastAsia" w:hAnsiTheme="minorEastAsia"/>
                <w:sz w:val="18"/>
                <w:szCs w:val="18"/>
              </w:rPr>
              <w:t>，</w:t>
            </w:r>
            <w:r>
              <w:rPr>
                <w:rFonts w:asciiTheme="minorEastAsia" w:hAnsiTheme="minorEastAsia"/>
                <w:sz w:val="18"/>
                <w:szCs w:val="18"/>
              </w:rPr>
              <w:t>等级A声级（Leq）</w:t>
            </w:r>
          </w:p>
        </w:tc>
        <w:tc>
          <w:tcPr>
            <w:tcW w:w="1701" w:type="dxa"/>
            <w:vAlign w:val="center"/>
          </w:tcPr>
          <w:p>
            <w:pPr>
              <w:jc w:val="center"/>
              <w:rPr>
                <w:rFonts w:asciiTheme="minorEastAsia" w:hAnsiTheme="minorEastAsia"/>
                <w:sz w:val="18"/>
                <w:szCs w:val="18"/>
              </w:rPr>
            </w:pPr>
            <w:r>
              <w:rPr>
                <w:rFonts w:hint="eastAsia" w:asciiTheme="minorEastAsia" w:hAnsiTheme="minorEastAsia"/>
                <w:sz w:val="18"/>
                <w:szCs w:val="18"/>
              </w:rPr>
              <w:t>企业</w:t>
            </w:r>
            <w:r>
              <w:rPr>
                <w:rFonts w:asciiTheme="minorEastAsia" w:hAnsiTheme="minorEastAsia"/>
                <w:sz w:val="18"/>
                <w:szCs w:val="18"/>
              </w:rPr>
              <w:t>厂界外1m</w:t>
            </w:r>
          </w:p>
        </w:tc>
        <w:tc>
          <w:tcPr>
            <w:tcW w:w="1276" w:type="dxa"/>
            <w:vAlign w:val="center"/>
          </w:tcPr>
          <w:p>
            <w:pPr>
              <w:jc w:val="center"/>
              <w:rPr>
                <w:rFonts w:asciiTheme="minorEastAsia" w:hAnsiTheme="minorEastAsia"/>
                <w:sz w:val="18"/>
                <w:szCs w:val="18"/>
              </w:rPr>
            </w:pPr>
            <w:r>
              <w:rPr>
                <w:rFonts w:asciiTheme="minorEastAsia" w:hAnsiTheme="minorEastAsia"/>
                <w:sz w:val="18"/>
                <w:szCs w:val="18"/>
              </w:rPr>
              <w:t>1次/</w:t>
            </w:r>
            <w:r>
              <w:rPr>
                <w:rFonts w:hint="eastAsia" w:asciiTheme="minorEastAsia" w:hAnsiTheme="minorEastAsia"/>
                <w:sz w:val="18"/>
                <w:szCs w:val="18"/>
              </w:rPr>
              <w:t>季度</w:t>
            </w:r>
          </w:p>
        </w:tc>
        <w:tc>
          <w:tcPr>
            <w:tcW w:w="5874" w:type="dxa"/>
            <w:vAlign w:val="center"/>
          </w:tcPr>
          <w:p>
            <w:pPr>
              <w:jc w:val="left"/>
              <w:rPr>
                <w:rFonts w:asciiTheme="minorEastAsia" w:hAnsiTheme="minorEastAsia"/>
                <w:sz w:val="18"/>
                <w:szCs w:val="18"/>
              </w:rPr>
            </w:pPr>
            <w:r>
              <w:rPr>
                <w:rFonts w:hint="eastAsia" w:asciiTheme="minorEastAsia" w:hAnsiTheme="minorEastAsia"/>
                <w:sz w:val="18"/>
                <w:szCs w:val="18"/>
              </w:rPr>
              <w:t>执行</w:t>
            </w:r>
            <w:r>
              <w:rPr>
                <w:rFonts w:asciiTheme="minorEastAsia" w:hAnsiTheme="minorEastAsia"/>
                <w:sz w:val="18"/>
                <w:szCs w:val="18"/>
              </w:rPr>
              <w:t>《工业企业厂界环境噪声排放标准（GB12348-2008）</w:t>
            </w:r>
            <w:r>
              <w:rPr>
                <w:rFonts w:hint="eastAsia" w:asciiTheme="minorEastAsia" w:hAnsiTheme="minorEastAsia"/>
                <w:sz w:val="18"/>
                <w:szCs w:val="18"/>
              </w:rPr>
              <w:t>3类标准；</w:t>
            </w:r>
          </w:p>
          <w:p>
            <w:pPr>
              <w:jc w:val="left"/>
              <w:rPr>
                <w:rFonts w:asciiTheme="minorEastAsia" w:hAnsiTheme="minorEastAsia"/>
                <w:sz w:val="18"/>
                <w:szCs w:val="18"/>
              </w:rPr>
            </w:pPr>
            <w:r>
              <w:rPr>
                <w:rFonts w:hint="eastAsia" w:asciiTheme="minorEastAsia" w:hAnsiTheme="minorEastAsia"/>
                <w:sz w:val="18"/>
                <w:szCs w:val="18"/>
              </w:rPr>
              <w:t>检测方法按照国家规定技术规范执行。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9" w:hRule="atLeast"/>
          <w:tblCellSpacing w:w="0" w:type="dxa"/>
        </w:trPr>
        <w:tc>
          <w:tcPr>
            <w:tcW w:w="719" w:type="dxa"/>
            <w:vMerge w:val="restart"/>
            <w:vAlign w:val="center"/>
          </w:tcPr>
          <w:p>
            <w:pPr>
              <w:jc w:val="center"/>
              <w:rPr>
                <w:rFonts w:asciiTheme="minorEastAsia" w:hAnsiTheme="minorEastAsia"/>
                <w:b/>
                <w:sz w:val="18"/>
                <w:szCs w:val="18"/>
              </w:rPr>
            </w:pPr>
            <w:r>
              <w:rPr>
                <w:rFonts w:hint="eastAsia" w:asciiTheme="minorEastAsia" w:hAnsiTheme="minorEastAsia"/>
                <w:b/>
                <w:sz w:val="18"/>
                <w:szCs w:val="18"/>
              </w:rPr>
              <w:t>环境</w:t>
            </w:r>
          </w:p>
          <w:p>
            <w:pPr>
              <w:jc w:val="center"/>
              <w:rPr>
                <w:rFonts w:asciiTheme="minorEastAsia" w:hAnsiTheme="minorEastAsia"/>
                <w:b/>
                <w:sz w:val="18"/>
                <w:szCs w:val="18"/>
              </w:rPr>
            </w:pPr>
            <w:r>
              <w:rPr>
                <w:rFonts w:hint="eastAsia" w:asciiTheme="minorEastAsia" w:hAnsiTheme="minorEastAsia"/>
                <w:b/>
                <w:sz w:val="18"/>
                <w:szCs w:val="18"/>
              </w:rPr>
              <w:t>质量</w:t>
            </w:r>
          </w:p>
        </w:tc>
        <w:tc>
          <w:tcPr>
            <w:tcW w:w="851" w:type="dxa"/>
            <w:vAlign w:val="center"/>
          </w:tcPr>
          <w:p>
            <w:pPr>
              <w:jc w:val="center"/>
              <w:rPr>
                <w:rFonts w:asciiTheme="minorEastAsia" w:hAnsiTheme="minorEastAsia"/>
                <w:sz w:val="18"/>
                <w:szCs w:val="18"/>
              </w:rPr>
            </w:pPr>
            <w:r>
              <w:rPr>
                <w:rFonts w:hint="eastAsia" w:asciiTheme="minorEastAsia" w:hAnsiTheme="minorEastAsia"/>
                <w:sz w:val="18"/>
                <w:szCs w:val="18"/>
              </w:rPr>
              <w:t>1</w:t>
            </w:r>
          </w:p>
        </w:tc>
        <w:tc>
          <w:tcPr>
            <w:tcW w:w="1417" w:type="dxa"/>
            <w:vAlign w:val="center"/>
          </w:tcPr>
          <w:p>
            <w:pPr>
              <w:jc w:val="center"/>
              <w:rPr>
                <w:rFonts w:asciiTheme="minorEastAsia" w:hAnsiTheme="minorEastAsia"/>
                <w:sz w:val="18"/>
                <w:szCs w:val="18"/>
              </w:rPr>
            </w:pPr>
            <w:r>
              <w:rPr>
                <w:rFonts w:hint="eastAsia" w:asciiTheme="minorEastAsia" w:hAnsiTheme="minorEastAsia"/>
                <w:sz w:val="18"/>
                <w:szCs w:val="18"/>
              </w:rPr>
              <w:t>环境空气</w:t>
            </w:r>
          </w:p>
        </w:tc>
        <w:tc>
          <w:tcPr>
            <w:tcW w:w="2268" w:type="dxa"/>
            <w:vAlign w:val="center"/>
          </w:tcPr>
          <w:p>
            <w:pPr>
              <w:jc w:val="center"/>
              <w:rPr>
                <w:rFonts w:asciiTheme="minorEastAsia" w:hAnsiTheme="minorEastAsia"/>
                <w:sz w:val="18"/>
                <w:szCs w:val="18"/>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颗粒物、SO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、NOx、硫化氢、氨、非甲烷总烃、苯并芘</w:t>
            </w:r>
            <w:r>
              <w:rPr>
                <w:rFonts w:hint="eastAsia" w:asciiTheme="minorEastAsia" w:hAnsiTheme="minorEastAsia"/>
                <w:sz w:val="18"/>
                <w:szCs w:val="18"/>
              </w:rPr>
              <w:t>等</w:t>
            </w:r>
          </w:p>
        </w:tc>
        <w:tc>
          <w:tcPr>
            <w:tcW w:w="1701" w:type="dxa"/>
            <w:vAlign w:val="center"/>
          </w:tcPr>
          <w:p>
            <w:pPr>
              <w:jc w:val="center"/>
              <w:rPr>
                <w:rFonts w:asciiTheme="minorEastAsia" w:hAnsiTheme="minorEastAsia"/>
                <w:sz w:val="18"/>
                <w:szCs w:val="18"/>
              </w:rPr>
            </w:pP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项目区上风向200m、下风向500m各1个监测点</w:t>
            </w:r>
          </w:p>
        </w:tc>
        <w:tc>
          <w:tcPr>
            <w:tcW w:w="1276" w:type="dxa"/>
            <w:vAlign w:val="center"/>
          </w:tcPr>
          <w:p>
            <w:pPr>
              <w:jc w:val="center"/>
              <w:rPr>
                <w:rFonts w:asciiTheme="minorEastAsia" w:hAnsiTheme="minorEastAsia"/>
                <w:sz w:val="18"/>
                <w:szCs w:val="18"/>
              </w:rPr>
            </w:pPr>
            <w:r>
              <w:rPr>
                <w:rFonts w:asciiTheme="minorEastAsia" w:hAnsiTheme="minorEastAsia"/>
                <w:sz w:val="18"/>
                <w:szCs w:val="18"/>
              </w:rPr>
              <w:t>1次/</w:t>
            </w:r>
            <w:r>
              <w:rPr>
                <w:rFonts w:hint="eastAsia" w:asciiTheme="minorEastAsia" w:hAnsiTheme="minorEastAsia"/>
                <w:sz w:val="18"/>
                <w:szCs w:val="18"/>
              </w:rPr>
              <w:t>半</w:t>
            </w:r>
            <w:r>
              <w:rPr>
                <w:rFonts w:asciiTheme="minorEastAsia" w:hAnsiTheme="minorEastAsia"/>
                <w:sz w:val="18"/>
                <w:szCs w:val="18"/>
              </w:rPr>
              <w:t>年</w:t>
            </w:r>
          </w:p>
        </w:tc>
        <w:tc>
          <w:tcPr>
            <w:tcW w:w="5874" w:type="dxa"/>
            <w:vAlign w:val="center"/>
          </w:tcPr>
          <w:p>
            <w:pPr>
              <w:ind w:firstLine="180" w:firstLineChars="100"/>
              <w:jc w:val="left"/>
              <w:rPr>
                <w:rFonts w:asciiTheme="minorEastAsia" w:hAnsiTheme="minorEastAsia"/>
                <w:sz w:val="18"/>
                <w:szCs w:val="18"/>
              </w:rPr>
            </w:pPr>
            <w:r>
              <w:rPr>
                <w:rFonts w:hint="eastAsia" w:asciiTheme="minorEastAsia" w:hAnsiTheme="minorEastAsia"/>
                <w:sz w:val="18"/>
                <w:szCs w:val="18"/>
              </w:rPr>
              <w:t>颗粒物、</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SO</w:t>
            </w:r>
            <w:r>
              <w:rPr>
                <w:rFonts w:hint="eastAsia" w:asciiTheme="minorEastAsia" w:hAnsiTheme="minorEastAsia"/>
                <w:color w:val="0D0D0D" w:themeColor="text1" w:themeTint="F2"/>
                <w:sz w:val="18"/>
                <w:szCs w:val="18"/>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、NOx、苯并芘</w:t>
            </w:r>
            <w:r>
              <w:rPr>
                <w:rFonts w:hint="eastAsia" w:asciiTheme="minorEastAsia" w:hAnsiTheme="minorEastAsia"/>
                <w:sz w:val="18"/>
                <w:szCs w:val="18"/>
              </w:rPr>
              <w:t>执行《环境空气质量标准》（GB3095－2012）表1中二级标准，氨、硫化氢执行《环境影响评价技术导则  大气环境》（HJ2.2-2018）附录D表D.1其他污染物环境空气质量浓度参考限值；非甲烷总烃执行</w:t>
            </w:r>
            <w:r>
              <w:rPr>
                <w:rFonts w:hint="eastAsia" w:asciiTheme="minorEastAsia" w:hAnsiTheme="minorEastAsia"/>
                <w:color w:val="0D0D0D" w:themeColor="text1" w:themeTint="F2"/>
                <w:sz w:val="18"/>
                <w:szCs w:val="18"/>
                <w14:textFill>
                  <w14:solidFill>
                    <w14:schemeClr w14:val="tx1">
                      <w14:lumMod w14:val="95000"/>
                      <w14:lumOff w14:val="5000"/>
                    </w14:schemeClr>
                  </w14:solidFill>
                </w14:textFill>
              </w:rPr>
              <w:t>《大气污染物综合排放标准详解》短期浓度参考值</w:t>
            </w:r>
            <w:r>
              <w:rPr>
                <w:rFonts w:hint="eastAsia" w:asciiTheme="minorEastAsia" w:hAnsiTheme="minorEastAsia"/>
                <w:sz w:val="18"/>
                <w:szCs w:val="18"/>
              </w:rPr>
              <w:t>；</w:t>
            </w:r>
          </w:p>
          <w:p>
            <w:pPr>
              <w:ind w:firstLine="180" w:firstLineChars="100"/>
              <w:jc w:val="left"/>
              <w:rPr>
                <w:rFonts w:asciiTheme="minorEastAsia" w:hAnsiTheme="minorEastAsia"/>
                <w:sz w:val="18"/>
                <w:szCs w:val="18"/>
              </w:rPr>
            </w:pPr>
            <w:r>
              <w:rPr>
                <w:rFonts w:hint="eastAsia" w:asciiTheme="minorEastAsia" w:hAnsiTheme="minorEastAsia"/>
                <w:sz w:val="18"/>
                <w:szCs w:val="18"/>
              </w:rPr>
              <w:t>检测方法按国家环境质量监测技术规范</w:t>
            </w:r>
            <w:r>
              <w:rPr>
                <w:rFonts w:hint="eastAsia"/>
                <w:sz w:val="18"/>
                <w:szCs w:val="18"/>
              </w:rPr>
              <w:t>的有关规定。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5"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Align w:val="center"/>
          </w:tcPr>
          <w:p>
            <w:pPr>
              <w:jc w:val="center"/>
              <w:rPr>
                <w:rFonts w:asciiTheme="minorEastAsia" w:hAnsiTheme="minorEastAsia"/>
                <w:sz w:val="18"/>
                <w:szCs w:val="18"/>
              </w:rPr>
            </w:pPr>
            <w:r>
              <w:rPr>
                <w:rFonts w:hint="eastAsia" w:asciiTheme="minorEastAsia" w:hAnsiTheme="minorEastAsia"/>
                <w:sz w:val="18"/>
                <w:szCs w:val="18"/>
              </w:rPr>
              <w:t>2</w:t>
            </w:r>
          </w:p>
        </w:tc>
        <w:tc>
          <w:tcPr>
            <w:tcW w:w="1417" w:type="dxa"/>
            <w:vAlign w:val="center"/>
          </w:tcPr>
          <w:p>
            <w:pPr>
              <w:jc w:val="center"/>
              <w:rPr>
                <w:rFonts w:asciiTheme="minorEastAsia" w:hAnsiTheme="minorEastAsia"/>
                <w:sz w:val="18"/>
                <w:szCs w:val="18"/>
              </w:rPr>
            </w:pPr>
            <w:r>
              <w:rPr>
                <w:rFonts w:hint="eastAsia" w:asciiTheme="minorEastAsia" w:hAnsiTheme="minorEastAsia"/>
                <w:sz w:val="18"/>
                <w:szCs w:val="18"/>
              </w:rPr>
              <w:t>地下水</w:t>
            </w:r>
          </w:p>
        </w:tc>
        <w:tc>
          <w:tcPr>
            <w:tcW w:w="2268" w:type="dxa"/>
            <w:vAlign w:val="center"/>
          </w:tcPr>
          <w:p>
            <w:pPr>
              <w:jc w:val="center"/>
              <w:rPr>
                <w:rFonts w:cs="Times New Roman" w:asciiTheme="minorEastAsia" w:hAnsiTheme="minorEastAsia"/>
                <w:sz w:val="18"/>
                <w:szCs w:val="18"/>
              </w:rPr>
            </w:pPr>
            <w:r>
              <w:rPr>
                <w:rFonts w:cs="Times New Roman" w:asciiTheme="minorEastAsia" w:hAnsiTheme="minorEastAsia"/>
                <w:sz w:val="18"/>
                <w:szCs w:val="18"/>
              </w:rPr>
              <w:t>pH、</w:t>
            </w:r>
            <w:r>
              <w:rPr>
                <w:rFonts w:hint="eastAsia" w:cs="Times New Roman" w:asciiTheme="minorEastAsia" w:hAnsiTheme="minorEastAsia"/>
                <w:sz w:val="18"/>
                <w:szCs w:val="18"/>
              </w:rPr>
              <w:t>耗氧量、氨氮、石油类等</w:t>
            </w:r>
          </w:p>
        </w:tc>
        <w:tc>
          <w:tcPr>
            <w:tcW w:w="1701" w:type="dxa"/>
            <w:vAlign w:val="center"/>
          </w:tcPr>
          <w:p>
            <w:pPr>
              <w:jc w:val="center"/>
              <w:rPr>
                <w:rFonts w:asciiTheme="minorEastAsia" w:hAnsiTheme="minorEastAsia"/>
                <w:sz w:val="18"/>
                <w:szCs w:val="18"/>
              </w:rPr>
            </w:pPr>
            <w:r>
              <w:rPr>
                <w:rFonts w:hint="eastAsia" w:asciiTheme="minorEastAsia" w:hAnsiTheme="minorEastAsia"/>
                <w:sz w:val="18"/>
                <w:szCs w:val="18"/>
              </w:rPr>
              <w:t>项目场地上游500m、项目区、项目区场地下游500m</w:t>
            </w:r>
          </w:p>
        </w:tc>
        <w:tc>
          <w:tcPr>
            <w:tcW w:w="1276" w:type="dxa"/>
            <w:vAlign w:val="center"/>
          </w:tcPr>
          <w:p>
            <w:pPr>
              <w:jc w:val="center"/>
              <w:rPr>
                <w:rFonts w:asciiTheme="minorEastAsia" w:hAnsiTheme="minorEastAsia"/>
                <w:sz w:val="18"/>
                <w:szCs w:val="18"/>
              </w:rPr>
            </w:pPr>
            <w:r>
              <w:rPr>
                <w:rFonts w:hint="eastAsia" w:asciiTheme="minorEastAsia" w:hAnsiTheme="minorEastAsia"/>
                <w:sz w:val="18"/>
                <w:szCs w:val="18"/>
              </w:rPr>
              <w:t>1次/季度</w:t>
            </w:r>
          </w:p>
        </w:tc>
        <w:tc>
          <w:tcPr>
            <w:tcW w:w="5874" w:type="dxa"/>
            <w:vAlign w:val="center"/>
          </w:tcPr>
          <w:p>
            <w:pPr>
              <w:ind w:firstLine="270" w:firstLineChars="150"/>
              <w:jc w:val="left"/>
              <w:rPr>
                <w:rFonts w:asciiTheme="minorEastAsia" w:hAnsiTheme="minorEastAsia"/>
                <w:sz w:val="18"/>
                <w:szCs w:val="18"/>
              </w:rPr>
            </w:pPr>
            <w:r>
              <w:rPr>
                <w:rFonts w:hint="eastAsia" w:asciiTheme="minorEastAsia" w:hAnsiTheme="minorEastAsia"/>
                <w:sz w:val="18"/>
                <w:szCs w:val="18"/>
              </w:rPr>
              <w:t>执行《地下水质量标准》（GB/T14848-2017）中Ⅲ类标准。检测方法按国家环境质量监测技术规范</w:t>
            </w:r>
            <w:r>
              <w:rPr>
                <w:rFonts w:hint="eastAsia"/>
                <w:sz w:val="18"/>
                <w:szCs w:val="18"/>
              </w:rPr>
              <w:t>的有关规定。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9"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Align w:val="center"/>
          </w:tcPr>
          <w:p>
            <w:pPr>
              <w:jc w:val="center"/>
              <w:rPr>
                <w:rFonts w:asciiTheme="minorEastAsia" w:hAnsiTheme="minorEastAsia"/>
                <w:sz w:val="18"/>
                <w:szCs w:val="18"/>
              </w:rPr>
            </w:pPr>
            <w:r>
              <w:rPr>
                <w:rFonts w:hint="eastAsia" w:asciiTheme="minorEastAsia" w:hAnsiTheme="minorEastAsia"/>
                <w:sz w:val="18"/>
                <w:szCs w:val="18"/>
              </w:rPr>
              <w:t>3</w:t>
            </w:r>
          </w:p>
        </w:tc>
        <w:tc>
          <w:tcPr>
            <w:tcW w:w="1417" w:type="dxa"/>
            <w:vAlign w:val="center"/>
          </w:tcPr>
          <w:p>
            <w:pPr>
              <w:jc w:val="center"/>
              <w:rPr>
                <w:rFonts w:asciiTheme="minorEastAsia" w:hAnsiTheme="minorEastAsia"/>
                <w:sz w:val="18"/>
                <w:szCs w:val="18"/>
              </w:rPr>
            </w:pPr>
            <w:r>
              <w:rPr>
                <w:rFonts w:hint="eastAsia" w:asciiTheme="minorEastAsia" w:hAnsiTheme="minorEastAsia"/>
                <w:sz w:val="18"/>
                <w:szCs w:val="18"/>
              </w:rPr>
              <w:t>声环境</w:t>
            </w:r>
          </w:p>
        </w:tc>
        <w:tc>
          <w:tcPr>
            <w:tcW w:w="2268" w:type="dxa"/>
            <w:vAlign w:val="center"/>
          </w:tcPr>
          <w:p>
            <w:pPr>
              <w:jc w:val="center"/>
              <w:rPr>
                <w:rFonts w:cs="Times New Roman" w:asciiTheme="minorEastAsia" w:hAnsiTheme="minorEastAsia"/>
                <w:sz w:val="18"/>
                <w:szCs w:val="18"/>
              </w:rPr>
            </w:pPr>
            <w:r>
              <w:rPr>
                <w:rFonts w:asciiTheme="minorEastAsia" w:hAnsiTheme="minorEastAsia"/>
                <w:sz w:val="18"/>
                <w:szCs w:val="18"/>
              </w:rPr>
              <w:t>昼夜等级A声级（Leq）</w:t>
            </w:r>
          </w:p>
        </w:tc>
        <w:tc>
          <w:tcPr>
            <w:tcW w:w="1701" w:type="dxa"/>
            <w:vAlign w:val="center"/>
          </w:tcPr>
          <w:p>
            <w:pPr>
              <w:jc w:val="center"/>
              <w:rPr>
                <w:rFonts w:asciiTheme="minorEastAsia" w:hAnsiTheme="minorEastAsia"/>
                <w:sz w:val="18"/>
                <w:szCs w:val="18"/>
              </w:rPr>
            </w:pPr>
            <w:r>
              <w:rPr>
                <w:rFonts w:hint="eastAsia" w:asciiTheme="minorEastAsia" w:hAnsiTheme="minorEastAsia"/>
                <w:sz w:val="18"/>
                <w:szCs w:val="18"/>
              </w:rPr>
              <w:t>项目各厂界外1m</w:t>
            </w:r>
          </w:p>
        </w:tc>
        <w:tc>
          <w:tcPr>
            <w:tcW w:w="1276" w:type="dxa"/>
            <w:vAlign w:val="center"/>
          </w:tcPr>
          <w:p>
            <w:pPr>
              <w:jc w:val="center"/>
              <w:rPr>
                <w:rFonts w:asciiTheme="minorEastAsia" w:hAnsiTheme="minorEastAsia"/>
                <w:sz w:val="18"/>
                <w:szCs w:val="18"/>
              </w:rPr>
            </w:pPr>
            <w:r>
              <w:rPr>
                <w:rFonts w:asciiTheme="minorEastAsia" w:hAnsiTheme="minorEastAsia"/>
                <w:sz w:val="18"/>
                <w:szCs w:val="18"/>
              </w:rPr>
              <w:t>1次/</w:t>
            </w:r>
            <w:r>
              <w:rPr>
                <w:rFonts w:hint="eastAsia" w:asciiTheme="minorEastAsia" w:hAnsiTheme="minorEastAsia"/>
                <w:sz w:val="18"/>
                <w:szCs w:val="18"/>
              </w:rPr>
              <w:t>半</w:t>
            </w:r>
            <w:r>
              <w:rPr>
                <w:rFonts w:asciiTheme="minorEastAsia" w:hAnsiTheme="minorEastAsia"/>
                <w:sz w:val="18"/>
                <w:szCs w:val="18"/>
              </w:rPr>
              <w:t>年</w:t>
            </w:r>
          </w:p>
        </w:tc>
        <w:tc>
          <w:tcPr>
            <w:tcW w:w="5874" w:type="dxa"/>
            <w:vAlign w:val="center"/>
          </w:tcPr>
          <w:p>
            <w:pPr>
              <w:ind w:firstLine="180" w:firstLineChars="100"/>
              <w:jc w:val="left"/>
              <w:rPr>
                <w:rFonts w:asciiTheme="minorEastAsia" w:hAnsiTheme="minorEastAsia"/>
                <w:sz w:val="18"/>
                <w:szCs w:val="18"/>
              </w:rPr>
            </w:pPr>
            <w:r>
              <w:rPr>
                <w:rFonts w:hint="eastAsia" w:asciiTheme="minorEastAsia" w:hAnsiTheme="minorEastAsia"/>
                <w:sz w:val="18"/>
                <w:szCs w:val="18"/>
              </w:rPr>
              <w:t>执行《声环境质量标准》（GB3096-2008）中的 3类区标准限值。检测方法按国家环境质量监测技术规范</w:t>
            </w:r>
            <w:r>
              <w:rPr>
                <w:rFonts w:hint="eastAsia"/>
                <w:sz w:val="18"/>
                <w:szCs w:val="18"/>
              </w:rPr>
              <w:t>的有关规定。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9" w:hRule="atLeast"/>
          <w:tblCellSpacing w:w="0" w:type="dxa"/>
        </w:trPr>
        <w:tc>
          <w:tcPr>
            <w:tcW w:w="719" w:type="dxa"/>
            <w:vMerge w:val="continue"/>
            <w:vAlign w:val="center"/>
          </w:tcPr>
          <w:p>
            <w:pPr>
              <w:jc w:val="center"/>
              <w:rPr>
                <w:rFonts w:asciiTheme="minorEastAsia" w:hAnsiTheme="minorEastAsia"/>
                <w:b/>
                <w:sz w:val="18"/>
                <w:szCs w:val="18"/>
              </w:rPr>
            </w:pPr>
          </w:p>
        </w:tc>
        <w:tc>
          <w:tcPr>
            <w:tcW w:w="851" w:type="dxa"/>
            <w:vAlign w:val="center"/>
          </w:tcPr>
          <w:p>
            <w:pPr>
              <w:jc w:val="center"/>
              <w:rPr>
                <w:rFonts w:asciiTheme="minorEastAsia" w:hAnsiTheme="minorEastAsia"/>
                <w:sz w:val="18"/>
                <w:szCs w:val="18"/>
              </w:rPr>
            </w:pPr>
            <w:r>
              <w:rPr>
                <w:rFonts w:hint="eastAsia" w:asciiTheme="minorEastAsia" w:hAnsiTheme="minorEastAsia"/>
                <w:sz w:val="18"/>
                <w:szCs w:val="18"/>
              </w:rPr>
              <w:t>4</w:t>
            </w:r>
          </w:p>
        </w:tc>
        <w:tc>
          <w:tcPr>
            <w:tcW w:w="1417" w:type="dxa"/>
            <w:vAlign w:val="center"/>
          </w:tcPr>
          <w:p>
            <w:pPr>
              <w:jc w:val="center"/>
              <w:rPr>
                <w:rFonts w:asciiTheme="minorEastAsia" w:hAnsiTheme="minorEastAsia"/>
                <w:sz w:val="18"/>
                <w:szCs w:val="18"/>
              </w:rPr>
            </w:pPr>
            <w:r>
              <w:rPr>
                <w:rFonts w:hint="eastAsia" w:asciiTheme="minorEastAsia" w:hAnsiTheme="minorEastAsia"/>
                <w:sz w:val="18"/>
                <w:szCs w:val="18"/>
              </w:rPr>
              <w:t>土壤环境</w:t>
            </w:r>
          </w:p>
        </w:tc>
        <w:tc>
          <w:tcPr>
            <w:tcW w:w="2268" w:type="dxa"/>
            <w:vAlign w:val="center"/>
          </w:tcPr>
          <w:p>
            <w:pPr>
              <w:jc w:val="center"/>
              <w:rPr>
                <w:rFonts w:asciiTheme="minorEastAsia" w:hAnsiTheme="minorEastAsia"/>
                <w:sz w:val="18"/>
                <w:szCs w:val="18"/>
              </w:rPr>
            </w:pPr>
            <w:r>
              <w:rPr>
                <w:rFonts w:hint="eastAsia" w:asciiTheme="minorEastAsia" w:hAnsiTheme="minorEastAsia"/>
                <w:sz w:val="18"/>
                <w:szCs w:val="18"/>
              </w:rPr>
              <w:t>苯并芘</w:t>
            </w:r>
          </w:p>
        </w:tc>
        <w:tc>
          <w:tcPr>
            <w:tcW w:w="1701" w:type="dxa"/>
            <w:vAlign w:val="center"/>
          </w:tcPr>
          <w:p>
            <w:pPr>
              <w:jc w:val="center"/>
              <w:rPr>
                <w:rFonts w:asciiTheme="minorEastAsia" w:hAnsiTheme="minorEastAsia"/>
                <w:sz w:val="18"/>
                <w:szCs w:val="18"/>
              </w:rPr>
            </w:pPr>
            <w:r>
              <w:rPr>
                <w:rFonts w:hint="eastAsia" w:asciiTheme="minorEastAsia" w:hAnsiTheme="minorEastAsia"/>
                <w:sz w:val="18"/>
                <w:szCs w:val="18"/>
              </w:rPr>
              <w:t>项目厂区3个表层样点</w:t>
            </w:r>
          </w:p>
        </w:tc>
        <w:tc>
          <w:tcPr>
            <w:tcW w:w="1276" w:type="dxa"/>
            <w:vAlign w:val="center"/>
          </w:tcPr>
          <w:p>
            <w:pPr>
              <w:jc w:val="center"/>
              <w:rPr>
                <w:rFonts w:asciiTheme="minorEastAsia" w:hAnsiTheme="minorEastAsia"/>
                <w:sz w:val="18"/>
                <w:szCs w:val="18"/>
              </w:rPr>
            </w:pPr>
            <w:r>
              <w:rPr>
                <w:rFonts w:asciiTheme="minorEastAsia" w:hAnsiTheme="minorEastAsia"/>
                <w:sz w:val="18"/>
                <w:szCs w:val="18"/>
              </w:rPr>
              <w:t>1次/</w:t>
            </w:r>
            <w:r>
              <w:rPr>
                <w:rFonts w:hint="eastAsia" w:asciiTheme="minorEastAsia" w:hAnsiTheme="minorEastAsia"/>
                <w:sz w:val="18"/>
                <w:szCs w:val="18"/>
              </w:rPr>
              <w:t>5</w:t>
            </w:r>
            <w:r>
              <w:rPr>
                <w:rFonts w:asciiTheme="minorEastAsia" w:hAnsiTheme="minorEastAsia"/>
                <w:sz w:val="18"/>
                <w:szCs w:val="18"/>
              </w:rPr>
              <w:t>年</w:t>
            </w:r>
          </w:p>
        </w:tc>
        <w:tc>
          <w:tcPr>
            <w:tcW w:w="5874" w:type="dxa"/>
            <w:vAlign w:val="center"/>
          </w:tcPr>
          <w:p>
            <w:pPr>
              <w:ind w:firstLine="180" w:firstLineChars="100"/>
              <w:jc w:val="left"/>
              <w:rPr>
                <w:rFonts w:asciiTheme="minorEastAsia" w:hAnsiTheme="minorEastAsia"/>
                <w:sz w:val="18"/>
                <w:szCs w:val="18"/>
              </w:rPr>
            </w:pPr>
            <w:r>
              <w:rPr>
                <w:rFonts w:hint="eastAsia" w:asciiTheme="minorEastAsia" w:hAnsiTheme="minorEastAsia"/>
                <w:sz w:val="18"/>
                <w:szCs w:val="18"/>
              </w:rPr>
              <w:t>执行《土壤环境质量 建设用地土壤污染风险管控标准（试行）》（GB36600-2018）表1第二类用地标准。</w:t>
            </w:r>
          </w:p>
          <w:p>
            <w:pPr>
              <w:ind w:firstLine="180" w:firstLineChars="100"/>
              <w:jc w:val="left"/>
              <w:rPr>
                <w:rFonts w:asciiTheme="minorEastAsia" w:hAnsiTheme="minorEastAsia"/>
                <w:sz w:val="18"/>
                <w:szCs w:val="18"/>
              </w:rPr>
            </w:pPr>
            <w:r>
              <w:rPr>
                <w:rFonts w:hint="eastAsia" w:asciiTheme="minorEastAsia" w:hAnsiTheme="minorEastAsia"/>
                <w:sz w:val="18"/>
                <w:szCs w:val="18"/>
              </w:rPr>
              <w:t>检测方法按国家环境质量监测技术规范</w:t>
            </w:r>
            <w:r>
              <w:rPr>
                <w:rFonts w:hint="eastAsia"/>
                <w:sz w:val="18"/>
                <w:szCs w:val="18"/>
              </w:rPr>
              <w:t>的有关规定。</w:t>
            </w:r>
          </w:p>
        </w:tc>
      </w:tr>
    </w:tbl>
    <w:p>
      <w:pPr>
        <w:spacing w:line="360" w:lineRule="auto"/>
        <w:rPr>
          <w:rFonts w:asciiTheme="minorEastAsia" w:hAnsiTheme="minorEastAsia"/>
          <w:b/>
          <w:sz w:val="24"/>
          <w:szCs w:val="24"/>
        </w:rPr>
        <w:sectPr>
          <w:pgSz w:w="16838" w:h="11906" w:orient="landscape"/>
          <w:pgMar w:top="1800" w:right="1440" w:bottom="1800" w:left="1440" w:header="851" w:footer="992" w:gutter="0"/>
          <w:cols w:space="425" w:num="1"/>
          <w:docGrid w:type="lines" w:linePitch="312" w:charSpace="0"/>
        </w:sectPr>
      </w:pPr>
    </w:p>
    <w:p>
      <w:pPr>
        <w:spacing w:line="360" w:lineRule="auto"/>
        <w:rPr>
          <w:rFonts w:asciiTheme="minorEastAsia" w:hAnsiTheme="minorEastAsia"/>
          <w:b/>
          <w:sz w:val="24"/>
          <w:szCs w:val="24"/>
        </w:rPr>
      </w:pPr>
      <w:r>
        <w:rPr>
          <w:rFonts w:hint="eastAsia" w:asciiTheme="minorEastAsia" w:hAnsiTheme="minorEastAsia"/>
          <w:b/>
          <w:sz w:val="24"/>
          <w:szCs w:val="24"/>
        </w:rPr>
        <w:t xml:space="preserve">9.2.4 </w:t>
      </w:r>
      <w:r>
        <w:rPr>
          <w:rFonts w:asciiTheme="minorEastAsia" w:hAnsiTheme="minorEastAsia"/>
          <w:b/>
          <w:sz w:val="24"/>
          <w:szCs w:val="24"/>
        </w:rPr>
        <w:t>环境监测管理</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（1）</w:t>
      </w:r>
      <w:r>
        <w:rPr>
          <w:rFonts w:asciiTheme="minorEastAsia" w:hAnsiTheme="minorEastAsia"/>
          <w:sz w:val="24"/>
          <w:szCs w:val="24"/>
        </w:rPr>
        <w:t>监测人员应培训上岗或在当地环境监测部门指导下工作；</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w:t>
      </w:r>
      <w:r>
        <w:rPr>
          <w:rFonts w:asciiTheme="minorEastAsia" w:hAnsiTheme="minorEastAsia"/>
          <w:sz w:val="24"/>
          <w:szCs w:val="24"/>
        </w:rPr>
        <w:t>监测数据应具有代表性、完整性、精密性、准确性和可比性；</w:t>
      </w:r>
    </w:p>
    <w:p>
      <w:pPr>
        <w:spacing w:line="360" w:lineRule="auto"/>
        <w:ind w:firstLine="480"/>
        <w:rPr>
          <w:rFonts w:asciiTheme="minorEastAsia" w:hAnsiTheme="minorEastAsia"/>
          <w:sz w:val="24"/>
          <w:szCs w:val="24"/>
        </w:rPr>
      </w:pPr>
      <w:r>
        <w:rPr>
          <w:rFonts w:hint="eastAsia" w:asciiTheme="minorEastAsia" w:hAnsiTheme="minorEastAsia"/>
          <w:sz w:val="24"/>
          <w:szCs w:val="24"/>
        </w:rPr>
        <w:t>（3）</w:t>
      </w:r>
      <w:r>
        <w:rPr>
          <w:rFonts w:asciiTheme="minorEastAsia" w:hAnsiTheme="minorEastAsia"/>
          <w:sz w:val="24"/>
          <w:szCs w:val="24"/>
        </w:rPr>
        <w:t>建立原始记录、监测分析报告及试验数据档案；</w:t>
      </w:r>
    </w:p>
    <w:p>
      <w:pPr>
        <w:spacing w:line="360" w:lineRule="auto"/>
        <w:ind w:firstLine="480"/>
        <w:rPr>
          <w:rFonts w:asciiTheme="minorEastAsia" w:hAnsiTheme="minorEastAsia"/>
          <w:sz w:val="24"/>
          <w:szCs w:val="24"/>
        </w:rPr>
      </w:pPr>
      <w:r>
        <w:rPr>
          <w:rFonts w:hint="eastAsia" w:asciiTheme="minorEastAsia" w:hAnsiTheme="minorEastAsia"/>
          <w:sz w:val="24"/>
          <w:szCs w:val="24"/>
        </w:rPr>
        <w:t>（4）</w:t>
      </w:r>
      <w:r>
        <w:rPr>
          <w:rFonts w:asciiTheme="minorEastAsia" w:hAnsiTheme="minorEastAsia"/>
          <w:sz w:val="24"/>
          <w:szCs w:val="24"/>
        </w:rPr>
        <w:t>取得的各种数据应有专人保管，原始记录应保存一年，监测分析数据及试验数据应长期保存；</w:t>
      </w:r>
    </w:p>
    <w:p>
      <w:pPr>
        <w:spacing w:line="360" w:lineRule="auto"/>
        <w:ind w:firstLine="480"/>
        <w:rPr>
          <w:rFonts w:asciiTheme="minorEastAsia" w:hAnsiTheme="minorEastAsia"/>
          <w:sz w:val="24"/>
          <w:szCs w:val="24"/>
        </w:rPr>
      </w:pPr>
      <w:r>
        <w:rPr>
          <w:rFonts w:hint="eastAsia" w:asciiTheme="minorEastAsia" w:hAnsiTheme="minorEastAsia"/>
          <w:sz w:val="24"/>
          <w:szCs w:val="24"/>
        </w:rPr>
        <w:t>（5）</w:t>
      </w:r>
      <w:r>
        <w:rPr>
          <w:rFonts w:asciiTheme="minorEastAsia" w:hAnsiTheme="minorEastAsia"/>
          <w:sz w:val="24"/>
          <w:szCs w:val="24"/>
        </w:rPr>
        <w:t>数据必须经核实及技术负责人签字后方可保存或上报。</w:t>
      </w:r>
    </w:p>
    <w:p>
      <w:pPr>
        <w:spacing w:line="360" w:lineRule="auto"/>
        <w:rPr>
          <w:rFonts w:asciiTheme="minorEastAsia" w:hAnsiTheme="minorEastAsia"/>
          <w:b/>
          <w:sz w:val="28"/>
          <w:szCs w:val="28"/>
        </w:rPr>
      </w:pPr>
      <w:r>
        <w:rPr>
          <w:rFonts w:hint="eastAsia" w:asciiTheme="minorEastAsia" w:hAnsiTheme="minorEastAsia"/>
          <w:b/>
          <w:sz w:val="28"/>
          <w:szCs w:val="28"/>
        </w:rPr>
        <w:t>9.3排污口规范化</w:t>
      </w:r>
    </w:p>
    <w:p>
      <w:pPr>
        <w:spacing w:line="360" w:lineRule="auto"/>
        <w:ind w:firstLine="480" w:firstLineChars="200"/>
        <w:rPr>
          <w:rFonts w:ascii="Times New Roman" w:hAnsi="Times New Roman" w:eastAsia="宋体" w:cs="Times New Roman"/>
          <w:sz w:val="24"/>
          <w:szCs w:val="20"/>
        </w:rPr>
      </w:pPr>
      <w:r>
        <w:rPr>
          <w:rFonts w:ascii="Times New Roman" w:hAnsi="Times New Roman" w:eastAsia="宋体" w:cs="Times New Roman"/>
          <w:sz w:val="24"/>
          <w:szCs w:val="20"/>
        </w:rPr>
        <w:t>根据国家标准《环境保护图形标志—排放口（源）》和国家环保总局《排污口规范化整治要求（试行）》的技术要求，企业所有排放口，包括水、气、声、固体废物，必须按照“便于计量监测、便于日常现场监督检查”的原则和规范化要求，设置与之相适应的环境保护图形标志牌，绘制企业排污口分布图，同时对污水排放口安装流量计，对治理设施安装运行监控装置。排污口的规范化要符合环境监测部门的有关要求。</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按照</w:t>
      </w:r>
      <w:r>
        <w:rPr>
          <w:rFonts w:cs="Times New Roman" w:asciiTheme="minorEastAsia" w:hAnsiTheme="minorEastAsia"/>
          <w:sz w:val="24"/>
          <w:szCs w:val="24"/>
        </w:rPr>
        <w:t>《关于开展排放口规范化整治工作的通知》（国家环境保护总局环发[1999]24号）文件的</w:t>
      </w:r>
      <w:r>
        <w:rPr>
          <w:rFonts w:hint="eastAsia" w:cs="Times New Roman" w:asciiTheme="minorEastAsia" w:hAnsiTheme="minorEastAsia"/>
          <w:sz w:val="24"/>
          <w:szCs w:val="24"/>
        </w:rPr>
        <w:t>规定</w:t>
      </w:r>
      <w:r>
        <w:rPr>
          <w:rFonts w:cs="Times New Roman" w:asciiTheme="minorEastAsia" w:hAnsiTheme="minorEastAsia"/>
          <w:sz w:val="24"/>
          <w:szCs w:val="24"/>
        </w:rPr>
        <w:t>，一切新建、改建的排污单位以及限期治理的排污单位，必须在建设污染治理设施的同时，建设规范化排污口。因此，建设单位在投产时，各类排污口必须按照国家和省的有关规定进行规范化建设和管理，而且规范化工作应</w:t>
      </w:r>
      <w:r>
        <w:rPr>
          <w:rFonts w:hint="eastAsia" w:cs="Times New Roman" w:asciiTheme="minorEastAsia" w:hAnsiTheme="minorEastAsia"/>
          <w:sz w:val="24"/>
          <w:szCs w:val="24"/>
        </w:rPr>
        <w:t>与</w:t>
      </w:r>
      <w:r>
        <w:rPr>
          <w:rFonts w:cs="Times New Roman" w:asciiTheme="minorEastAsia" w:hAnsiTheme="minorEastAsia"/>
          <w:sz w:val="24"/>
          <w:szCs w:val="24"/>
        </w:rPr>
        <w:t>污染治理</w:t>
      </w:r>
      <w:r>
        <w:rPr>
          <w:rFonts w:hint="eastAsia" w:cs="Times New Roman" w:asciiTheme="minorEastAsia" w:hAnsiTheme="minorEastAsia"/>
          <w:sz w:val="24"/>
          <w:szCs w:val="24"/>
        </w:rPr>
        <w:t>设施</w:t>
      </w:r>
      <w:r>
        <w:rPr>
          <w:rFonts w:cs="Times New Roman" w:asciiTheme="minorEastAsia" w:hAnsiTheme="minorEastAsia"/>
          <w:sz w:val="24"/>
          <w:szCs w:val="24"/>
        </w:rPr>
        <w:t>同步实施，即治理设施完工时，规范化工作必须同时完成，并列入污染物治理设施的验收内容。规范化整治具体如下：</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（1）废气排放口</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废气排放口必须符合规定的高度和按照《污染源监测技术规范》便于采样、监测的要求，设置直径不大于75mm的采样口。如无法满足要求的，其采样口与环境监测部门共同确认。同时，燃烧废气排气筒设置2套自动在线监测设备及中控室，监测指标至少包括烟气量、烟气温度、颗粒物、SO</w:t>
      </w:r>
      <w:r>
        <w:rPr>
          <w:rFonts w:hint="eastAsia" w:cs="Times New Roman" w:asciiTheme="minorEastAsia" w:hAnsiTheme="minorEastAsia"/>
          <w:sz w:val="24"/>
          <w:szCs w:val="24"/>
          <w:vertAlign w:val="subscript"/>
        </w:rPr>
        <w:t>2</w:t>
      </w:r>
      <w:r>
        <w:rPr>
          <w:rFonts w:hint="eastAsia" w:cs="Times New Roman" w:asciiTheme="minorEastAsia" w:hAnsiTheme="minorEastAsia"/>
          <w:sz w:val="24"/>
          <w:szCs w:val="24"/>
        </w:rPr>
        <w:t>、NOx、氨等。</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（2）废水排放口</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项目总排污口设置规范采样口（半径大于150mm）；保证厂区生产期间做到废水达标排放，减轻项目废水排放对集聚区污水厂的冲击影响。</w:t>
      </w:r>
    </w:p>
    <w:p>
      <w:pPr>
        <w:spacing w:line="360" w:lineRule="auto"/>
        <w:ind w:firstLine="480"/>
        <w:rPr>
          <w:rFonts w:cs="宋体" w:asciiTheme="minorEastAsia" w:hAnsiTheme="minorEastAsia"/>
          <w:sz w:val="24"/>
          <w:szCs w:val="24"/>
        </w:rPr>
      </w:pPr>
      <w:r>
        <w:rPr>
          <w:rFonts w:hint="eastAsia" w:cs="宋体" w:asciiTheme="minorEastAsia" w:hAnsiTheme="minorEastAsia"/>
          <w:sz w:val="24"/>
          <w:szCs w:val="24"/>
        </w:rPr>
        <w:t>（3）设置标志牌</w:t>
      </w:r>
    </w:p>
    <w:p>
      <w:pPr>
        <w:spacing w:line="360" w:lineRule="auto"/>
        <w:ind w:firstLine="480"/>
        <w:rPr>
          <w:rFonts w:cs="Times New Roman" w:asciiTheme="minorEastAsia" w:hAnsiTheme="minorEastAsia"/>
          <w:sz w:val="24"/>
          <w:szCs w:val="24"/>
        </w:rPr>
      </w:pPr>
      <w:r>
        <w:rPr>
          <w:rFonts w:cs="Times New Roman" w:asciiTheme="minorEastAsia" w:hAnsiTheme="minorEastAsia"/>
          <w:sz w:val="24"/>
          <w:szCs w:val="24"/>
        </w:rPr>
        <w:t>废气排气筒</w:t>
      </w:r>
      <w:r>
        <w:rPr>
          <w:rFonts w:hint="eastAsia" w:cs="Times New Roman" w:asciiTheme="minorEastAsia" w:hAnsiTheme="minorEastAsia"/>
          <w:sz w:val="24"/>
          <w:szCs w:val="24"/>
        </w:rPr>
        <w:t>、污水排放口、固废暂存场所、高噪声源等设施</w:t>
      </w:r>
      <w:r>
        <w:rPr>
          <w:rFonts w:cs="Times New Roman" w:asciiTheme="minorEastAsia" w:hAnsiTheme="minorEastAsia"/>
          <w:sz w:val="24"/>
          <w:szCs w:val="24"/>
        </w:rPr>
        <w:t>附近醒目处均应树立</w:t>
      </w:r>
      <w:r>
        <w:rPr>
          <w:rFonts w:hint="eastAsia" w:cs="Times New Roman" w:asciiTheme="minorEastAsia" w:hAnsiTheme="minorEastAsia"/>
          <w:sz w:val="24"/>
          <w:szCs w:val="24"/>
        </w:rPr>
        <w:t>相应的</w:t>
      </w:r>
      <w:r>
        <w:rPr>
          <w:rFonts w:cs="Times New Roman" w:asciiTheme="minorEastAsia" w:hAnsiTheme="minorEastAsia"/>
          <w:sz w:val="24"/>
          <w:szCs w:val="24"/>
        </w:rPr>
        <w:t>环保图形标志牌。</w:t>
      </w:r>
    </w:p>
    <w:p>
      <w:pPr>
        <w:spacing w:line="360" w:lineRule="auto"/>
        <w:ind w:firstLine="480"/>
        <w:rPr>
          <w:rFonts w:cs="Times New Roman" w:asciiTheme="minorEastAsia" w:hAnsiTheme="minorEastAsia"/>
          <w:sz w:val="24"/>
          <w:szCs w:val="20"/>
        </w:rPr>
      </w:pPr>
      <w:r>
        <w:rPr>
          <w:rFonts w:cs="Times New Roman" w:asciiTheme="minorEastAsia" w:hAnsiTheme="minorEastAsia"/>
          <w:sz w:val="24"/>
          <w:szCs w:val="20"/>
        </w:rPr>
        <w:t>一般污染物排污口（源），设置提示式标志牌，有毒、有害污染物的排污口设置警告式标志牌。</w:t>
      </w:r>
    </w:p>
    <w:p>
      <w:pPr>
        <w:spacing w:line="360" w:lineRule="auto"/>
        <w:ind w:firstLine="480"/>
        <w:rPr>
          <w:rFonts w:cs="Times New Roman" w:asciiTheme="minorEastAsia" w:hAnsiTheme="minorEastAsia"/>
          <w:sz w:val="24"/>
          <w:szCs w:val="20"/>
        </w:rPr>
      </w:pPr>
      <w:r>
        <w:rPr>
          <w:rFonts w:cs="Times New Roman" w:asciiTheme="minorEastAsia" w:hAnsiTheme="minorEastAsia"/>
          <w:sz w:val="24"/>
          <w:szCs w:val="20"/>
        </w:rPr>
        <w:t>标志牌设置位置在排污口（采样点）附近且醒目处，高度为标志牌上缘离地面2m。排污口附近1m范围内有建筑物的，设平面式标志牌，无建筑物的设立式标志牌。</w:t>
      </w:r>
    </w:p>
    <w:p>
      <w:pPr>
        <w:spacing w:line="360" w:lineRule="auto"/>
        <w:ind w:firstLine="480" w:firstLineChars="200"/>
        <w:rPr>
          <w:rFonts w:cs="Times New Roman" w:asciiTheme="minorEastAsia" w:hAnsiTheme="minorEastAsia"/>
          <w:sz w:val="24"/>
          <w:szCs w:val="24"/>
        </w:rPr>
      </w:pPr>
      <w:r>
        <w:rPr>
          <w:rFonts w:hint="eastAsia" w:cs="宋体" w:asciiTheme="minorEastAsia" w:hAnsiTheme="minorEastAsia"/>
          <w:sz w:val="24"/>
          <w:szCs w:val="24"/>
        </w:rPr>
        <w:t>（4）</w:t>
      </w:r>
      <w:r>
        <w:rPr>
          <w:rFonts w:cs="Times New Roman" w:asciiTheme="minorEastAsia" w:hAnsiTheme="minorEastAsia"/>
          <w:sz w:val="24"/>
          <w:szCs w:val="24"/>
        </w:rPr>
        <w:t>排污口管理</w:t>
      </w:r>
    </w:p>
    <w:p>
      <w:pPr>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建设单位应在各个排污口处树立标志牌，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pPr>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规范化排污口的有关设置（如图形标志牌、计量装置、监控装置等）属环保设施，建设单位必须负责日常的维护保养，任何单位和个人不得擅自拆除，如果需要变更的必须报环境监察部门同意并办理变更手续。</w:t>
      </w:r>
    </w:p>
    <w:p>
      <w:pPr>
        <w:spacing w:line="360" w:lineRule="auto"/>
        <w:ind w:firstLine="480" w:firstLineChars="200"/>
        <w:rPr>
          <w:rFonts w:cs="Times New Roman" w:asciiTheme="minorEastAsia" w:hAnsiTheme="minorEastAsia"/>
          <w:sz w:val="24"/>
          <w:szCs w:val="24"/>
        </w:rPr>
      </w:pPr>
      <w:r>
        <w:rPr>
          <w:rFonts w:hint="eastAsia" w:cs="宋体" w:asciiTheme="minorEastAsia" w:hAnsiTheme="minorEastAsia"/>
          <w:sz w:val="24"/>
          <w:szCs w:val="24"/>
        </w:rPr>
        <w:t>（5）</w:t>
      </w:r>
      <w:r>
        <w:rPr>
          <w:rFonts w:cs="Times New Roman" w:asciiTheme="minorEastAsia" w:hAnsiTheme="minorEastAsia"/>
          <w:sz w:val="24"/>
          <w:szCs w:val="24"/>
        </w:rPr>
        <w:t>环境保护图形标志</w:t>
      </w:r>
    </w:p>
    <w:p>
      <w:pPr>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在项目的废气排放源、固体废物贮存处置场、污水排放口应设置环境保护图形标志，图形符号分为提示图形和警告图形符号两种，分别按GB15562.1-1995、GB15562.2-1995执行。环境保护图形标志的形状及颜色见表</w:t>
      </w:r>
      <w:r>
        <w:rPr>
          <w:rFonts w:hint="eastAsia" w:cs="Times New Roman" w:asciiTheme="minorEastAsia" w:hAnsiTheme="minorEastAsia"/>
          <w:sz w:val="24"/>
          <w:szCs w:val="24"/>
        </w:rPr>
        <w:t>9.3-1</w:t>
      </w:r>
      <w:r>
        <w:rPr>
          <w:rFonts w:cs="Times New Roman" w:asciiTheme="minorEastAsia" w:hAnsiTheme="minorEastAsia"/>
          <w:sz w:val="24"/>
          <w:szCs w:val="24"/>
        </w:rPr>
        <w:t>，环境保护图形符号见表</w:t>
      </w:r>
      <w:r>
        <w:rPr>
          <w:rFonts w:hint="eastAsia" w:cs="Times New Roman" w:asciiTheme="minorEastAsia" w:hAnsiTheme="minorEastAsia"/>
          <w:sz w:val="24"/>
          <w:szCs w:val="24"/>
        </w:rPr>
        <w:t>9.3</w:t>
      </w:r>
      <w:r>
        <w:rPr>
          <w:rFonts w:cs="Times New Roman" w:asciiTheme="minorEastAsia" w:hAnsiTheme="minorEastAsia"/>
          <w:sz w:val="24"/>
          <w:szCs w:val="24"/>
        </w:rPr>
        <w:t>-</w:t>
      </w:r>
      <w:r>
        <w:rPr>
          <w:rFonts w:hint="eastAsia" w:cs="Times New Roman" w:asciiTheme="minorEastAsia" w:hAnsiTheme="minorEastAsia"/>
          <w:sz w:val="24"/>
          <w:szCs w:val="24"/>
        </w:rPr>
        <w:t>2</w:t>
      </w:r>
      <w:r>
        <w:rPr>
          <w:rFonts w:cs="Times New Roman" w:asciiTheme="minorEastAsia" w:hAnsiTheme="minorEastAsia"/>
          <w:sz w:val="24"/>
          <w:szCs w:val="24"/>
        </w:rPr>
        <w:t>。</w:t>
      </w:r>
    </w:p>
    <w:p>
      <w:pPr>
        <w:adjustRightInd w:val="0"/>
        <w:snapToGrid w:val="0"/>
        <w:spacing w:line="360" w:lineRule="auto"/>
        <w:jc w:val="center"/>
        <w:rPr>
          <w:rFonts w:cs="Times New Roman" w:asciiTheme="minorEastAsia" w:hAnsiTheme="minorEastAsia"/>
          <w:b/>
          <w:snapToGrid w:val="0"/>
          <w:kern w:val="0"/>
          <w:sz w:val="24"/>
          <w:szCs w:val="24"/>
        </w:rPr>
      </w:pPr>
      <w:r>
        <w:rPr>
          <w:rFonts w:cs="Times New Roman" w:asciiTheme="minorEastAsia" w:hAnsiTheme="minorEastAsia"/>
          <w:b/>
          <w:snapToGrid w:val="0"/>
          <w:kern w:val="0"/>
          <w:sz w:val="24"/>
          <w:szCs w:val="24"/>
        </w:rPr>
        <w:t>表</w:t>
      </w:r>
      <w:r>
        <w:rPr>
          <w:rFonts w:hint="eastAsia" w:cs="Times New Roman" w:asciiTheme="minorEastAsia" w:hAnsiTheme="minorEastAsia"/>
          <w:b/>
          <w:snapToGrid w:val="0"/>
          <w:kern w:val="0"/>
          <w:sz w:val="24"/>
          <w:szCs w:val="24"/>
        </w:rPr>
        <w:t>9.3</w:t>
      </w:r>
      <w:r>
        <w:rPr>
          <w:rFonts w:cs="Times New Roman" w:asciiTheme="minorEastAsia" w:hAnsiTheme="minorEastAsia"/>
          <w:b/>
          <w:snapToGrid w:val="0"/>
          <w:kern w:val="0"/>
          <w:sz w:val="24"/>
          <w:szCs w:val="24"/>
        </w:rPr>
        <w:t>-</w:t>
      </w:r>
      <w:r>
        <w:rPr>
          <w:rFonts w:hint="eastAsia" w:cs="Times New Roman" w:asciiTheme="minorEastAsia" w:hAnsiTheme="minorEastAsia"/>
          <w:b/>
          <w:snapToGrid w:val="0"/>
          <w:kern w:val="0"/>
          <w:sz w:val="24"/>
          <w:szCs w:val="24"/>
        </w:rPr>
        <w:t>1</w:t>
      </w:r>
      <w:r>
        <w:rPr>
          <w:rFonts w:cs="Times New Roman" w:asciiTheme="minorEastAsia" w:hAnsiTheme="minorEastAsia"/>
          <w:b/>
          <w:snapToGrid w:val="0"/>
          <w:kern w:val="0"/>
          <w:sz w:val="24"/>
          <w:szCs w:val="24"/>
        </w:rPr>
        <w:t xml:space="preserve">  环境保护图形标志的形状及颜色表</w:t>
      </w:r>
    </w:p>
    <w:tbl>
      <w:tblPr>
        <w:tblStyle w:val="27"/>
        <w:tblW w:w="50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378"/>
        <w:gridCol w:w="1557"/>
        <w:gridCol w:w="2378"/>
        <w:gridCol w:w="237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5" w:hRule="atLeast"/>
          <w:jc w:val="center"/>
        </w:trPr>
        <w:tc>
          <w:tcPr>
            <w:tcW w:w="1368" w:type="pct"/>
            <w:tcBorders>
              <w:top w:val="single" w:color="auto" w:sz="6" w:space="0"/>
              <w:left w:val="single" w:color="auto" w:sz="6" w:space="0"/>
              <w:bottom w:val="single" w:color="auto" w:sz="6" w:space="0"/>
            </w:tcBorders>
            <w:vAlign w:val="center"/>
          </w:tcPr>
          <w:p>
            <w:pPr>
              <w:adjustRightInd w:val="0"/>
              <w:snapToGrid w:val="0"/>
              <w:jc w:val="center"/>
              <w:rPr>
                <w:rFonts w:cs="Times New Roman" w:asciiTheme="minorEastAsia" w:hAnsiTheme="minorEastAsia"/>
                <w:b/>
                <w:kern w:val="18"/>
                <w:szCs w:val="21"/>
              </w:rPr>
            </w:pPr>
            <w:r>
              <w:rPr>
                <w:rFonts w:cs="Times New Roman" w:asciiTheme="minorEastAsia" w:hAnsiTheme="minorEastAsia"/>
                <w:b/>
                <w:kern w:val="18"/>
                <w:szCs w:val="21"/>
              </w:rPr>
              <w:t>标志名称</w:t>
            </w:r>
          </w:p>
        </w:tc>
        <w:tc>
          <w:tcPr>
            <w:tcW w:w="896" w:type="pct"/>
            <w:tcBorders>
              <w:top w:val="single" w:color="auto" w:sz="6" w:space="0"/>
              <w:bottom w:val="single" w:color="auto" w:sz="6" w:space="0"/>
            </w:tcBorders>
            <w:vAlign w:val="center"/>
          </w:tcPr>
          <w:p>
            <w:pPr>
              <w:adjustRightInd w:val="0"/>
              <w:snapToGrid w:val="0"/>
              <w:jc w:val="center"/>
              <w:rPr>
                <w:rFonts w:cs="Times New Roman" w:asciiTheme="minorEastAsia" w:hAnsiTheme="minorEastAsia"/>
                <w:b/>
                <w:kern w:val="18"/>
                <w:szCs w:val="21"/>
              </w:rPr>
            </w:pPr>
            <w:r>
              <w:rPr>
                <w:rFonts w:cs="Times New Roman" w:asciiTheme="minorEastAsia" w:hAnsiTheme="minorEastAsia"/>
                <w:b/>
                <w:kern w:val="18"/>
                <w:szCs w:val="21"/>
              </w:rPr>
              <w:t>形状</w:t>
            </w:r>
          </w:p>
        </w:tc>
        <w:tc>
          <w:tcPr>
            <w:tcW w:w="1368" w:type="pct"/>
            <w:tcBorders>
              <w:top w:val="single" w:color="auto" w:sz="6" w:space="0"/>
              <w:bottom w:val="single" w:color="auto" w:sz="6" w:space="0"/>
            </w:tcBorders>
            <w:vAlign w:val="center"/>
          </w:tcPr>
          <w:p>
            <w:pPr>
              <w:adjustRightInd w:val="0"/>
              <w:snapToGrid w:val="0"/>
              <w:jc w:val="center"/>
              <w:rPr>
                <w:rFonts w:cs="Times New Roman" w:asciiTheme="minorEastAsia" w:hAnsiTheme="minorEastAsia"/>
                <w:b/>
                <w:kern w:val="18"/>
                <w:szCs w:val="21"/>
              </w:rPr>
            </w:pPr>
            <w:r>
              <w:rPr>
                <w:rFonts w:cs="Times New Roman" w:asciiTheme="minorEastAsia" w:hAnsiTheme="minorEastAsia"/>
                <w:b/>
                <w:kern w:val="18"/>
                <w:szCs w:val="21"/>
              </w:rPr>
              <w:t>背景颜色</w:t>
            </w:r>
          </w:p>
        </w:tc>
        <w:tc>
          <w:tcPr>
            <w:tcW w:w="1368" w:type="pct"/>
            <w:tcBorders>
              <w:top w:val="single" w:color="auto" w:sz="6" w:space="0"/>
              <w:bottom w:val="single" w:color="auto" w:sz="6" w:space="0"/>
              <w:right w:val="single" w:color="auto" w:sz="6" w:space="0"/>
            </w:tcBorders>
            <w:vAlign w:val="center"/>
          </w:tcPr>
          <w:p>
            <w:pPr>
              <w:adjustRightInd w:val="0"/>
              <w:snapToGrid w:val="0"/>
              <w:jc w:val="center"/>
              <w:rPr>
                <w:rFonts w:cs="Times New Roman" w:asciiTheme="minorEastAsia" w:hAnsiTheme="minorEastAsia"/>
                <w:b/>
                <w:kern w:val="18"/>
                <w:szCs w:val="21"/>
              </w:rPr>
            </w:pPr>
            <w:r>
              <w:rPr>
                <w:rFonts w:cs="Times New Roman" w:asciiTheme="minorEastAsia" w:hAnsiTheme="minorEastAsia"/>
                <w:b/>
                <w:kern w:val="18"/>
                <w:szCs w:val="21"/>
              </w:rPr>
              <w:t>图形颜色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5" w:hRule="atLeast"/>
          <w:jc w:val="center"/>
        </w:trPr>
        <w:tc>
          <w:tcPr>
            <w:tcW w:w="1368" w:type="pct"/>
            <w:tcBorders>
              <w:top w:val="single" w:color="auto" w:sz="6" w:space="0"/>
              <w:left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警告标志</w:t>
            </w:r>
          </w:p>
        </w:tc>
        <w:tc>
          <w:tcPr>
            <w:tcW w:w="896" w:type="pct"/>
            <w:tcBorders>
              <w:top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三角形边框</w:t>
            </w:r>
          </w:p>
        </w:tc>
        <w:tc>
          <w:tcPr>
            <w:tcW w:w="1368" w:type="pct"/>
            <w:tcBorders>
              <w:top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黄色</w:t>
            </w:r>
          </w:p>
        </w:tc>
        <w:tc>
          <w:tcPr>
            <w:tcW w:w="1368" w:type="pct"/>
            <w:tcBorders>
              <w:top w:val="single" w:color="auto" w:sz="6" w:space="0"/>
              <w:right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黑色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5" w:hRule="atLeast"/>
          <w:jc w:val="center"/>
        </w:trPr>
        <w:tc>
          <w:tcPr>
            <w:tcW w:w="1368" w:type="pct"/>
            <w:tcBorders>
              <w:left w:val="single" w:color="auto" w:sz="6" w:space="0"/>
              <w:bottom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提示标志</w:t>
            </w:r>
          </w:p>
        </w:tc>
        <w:tc>
          <w:tcPr>
            <w:tcW w:w="896" w:type="pct"/>
            <w:tcBorders>
              <w:bottom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正方形边框</w:t>
            </w:r>
          </w:p>
        </w:tc>
        <w:tc>
          <w:tcPr>
            <w:tcW w:w="1368" w:type="pct"/>
            <w:tcBorders>
              <w:bottom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绿色</w:t>
            </w:r>
          </w:p>
        </w:tc>
        <w:tc>
          <w:tcPr>
            <w:tcW w:w="1368" w:type="pct"/>
            <w:tcBorders>
              <w:bottom w:val="single" w:color="auto" w:sz="6" w:space="0"/>
              <w:right w:val="single" w:color="auto" w:sz="6" w:space="0"/>
            </w:tcBorders>
            <w:vAlign w:val="center"/>
          </w:tcPr>
          <w:p>
            <w:pPr>
              <w:adjustRightInd w:val="0"/>
              <w:snapToGrid w:val="0"/>
              <w:jc w:val="center"/>
              <w:rPr>
                <w:rFonts w:cs="Times New Roman" w:asciiTheme="minorEastAsia" w:hAnsiTheme="minorEastAsia"/>
                <w:kern w:val="18"/>
                <w:szCs w:val="21"/>
              </w:rPr>
            </w:pPr>
            <w:r>
              <w:rPr>
                <w:rFonts w:cs="Times New Roman" w:asciiTheme="minorEastAsia" w:hAnsiTheme="minorEastAsia"/>
                <w:kern w:val="18"/>
                <w:szCs w:val="21"/>
              </w:rPr>
              <w:t>白色</w:t>
            </w:r>
          </w:p>
        </w:tc>
      </w:tr>
    </w:tbl>
    <w:p>
      <w:pPr>
        <w:adjustRightInd w:val="0"/>
        <w:spacing w:line="360" w:lineRule="auto"/>
        <w:jc w:val="center"/>
        <w:rPr>
          <w:rFonts w:cs="Times New Roman" w:asciiTheme="minorEastAsia" w:hAnsiTheme="minorEastAsia"/>
          <w:b/>
          <w:sz w:val="24"/>
          <w:szCs w:val="24"/>
        </w:rPr>
      </w:pPr>
    </w:p>
    <w:p>
      <w:pPr>
        <w:adjustRightInd w:val="0"/>
        <w:spacing w:line="360" w:lineRule="auto"/>
        <w:jc w:val="center"/>
        <w:rPr>
          <w:rFonts w:cs="Times New Roman" w:asciiTheme="minorEastAsia" w:hAnsiTheme="minorEastAsia"/>
          <w:b/>
          <w:sz w:val="24"/>
          <w:szCs w:val="24"/>
        </w:rPr>
      </w:pPr>
    </w:p>
    <w:p>
      <w:pPr>
        <w:adjustRightInd w:val="0"/>
        <w:spacing w:line="360" w:lineRule="auto"/>
        <w:jc w:val="center"/>
        <w:rPr>
          <w:rFonts w:cs="Times New Roman" w:asciiTheme="minorEastAsia" w:hAnsiTheme="minorEastAsia"/>
          <w:b/>
          <w:sz w:val="24"/>
          <w:szCs w:val="24"/>
        </w:rPr>
      </w:pPr>
    </w:p>
    <w:p>
      <w:pPr>
        <w:adjustRightInd w:val="0"/>
        <w:spacing w:line="360" w:lineRule="auto"/>
        <w:jc w:val="center"/>
        <w:rPr>
          <w:rFonts w:cs="Times New Roman" w:asciiTheme="minorEastAsia" w:hAnsiTheme="minorEastAsia"/>
          <w:b/>
          <w:sz w:val="24"/>
          <w:szCs w:val="24"/>
        </w:rPr>
      </w:pPr>
    </w:p>
    <w:p>
      <w:pPr>
        <w:adjustRightInd w:val="0"/>
        <w:spacing w:line="360" w:lineRule="auto"/>
        <w:jc w:val="center"/>
        <w:rPr>
          <w:rFonts w:cs="Times New Roman" w:asciiTheme="minorEastAsia" w:hAnsiTheme="minorEastAsia"/>
          <w:b/>
          <w:sz w:val="24"/>
          <w:szCs w:val="24"/>
        </w:rPr>
      </w:pPr>
    </w:p>
    <w:p>
      <w:pPr>
        <w:adjustRightInd w:val="0"/>
        <w:spacing w:line="360" w:lineRule="auto"/>
        <w:jc w:val="center"/>
        <w:rPr>
          <w:rFonts w:cs="Times New Roman" w:asciiTheme="minorEastAsia" w:hAnsiTheme="minorEastAsia"/>
          <w:b/>
          <w:sz w:val="24"/>
          <w:szCs w:val="24"/>
        </w:rPr>
      </w:pPr>
      <w:r>
        <w:rPr>
          <w:rFonts w:cs="Times New Roman" w:asciiTheme="minorEastAsia" w:hAnsiTheme="minorEastAsia"/>
          <w:b/>
          <w:sz w:val="24"/>
          <w:szCs w:val="24"/>
        </w:rPr>
        <w:t>表</w:t>
      </w:r>
      <w:r>
        <w:rPr>
          <w:rFonts w:hint="eastAsia" w:cs="Times New Roman" w:asciiTheme="minorEastAsia" w:hAnsiTheme="minorEastAsia"/>
          <w:b/>
          <w:sz w:val="24"/>
          <w:szCs w:val="24"/>
        </w:rPr>
        <w:t xml:space="preserve">9.3-2    </w:t>
      </w:r>
      <w:r>
        <w:rPr>
          <w:rFonts w:cs="Times New Roman" w:asciiTheme="minorEastAsia" w:hAnsiTheme="minorEastAsia"/>
          <w:b/>
          <w:sz w:val="24"/>
          <w:szCs w:val="24"/>
        </w:rPr>
        <w:t>环境保护图形符号一览表</w:t>
      </w:r>
    </w:p>
    <w:tbl>
      <w:tblPr>
        <w:tblStyle w:val="27"/>
        <w:tblW w:w="86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4"/>
        <w:gridCol w:w="1813"/>
        <w:gridCol w:w="1860"/>
        <w:gridCol w:w="1439"/>
        <w:gridCol w:w="2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44" w:type="dxa"/>
            <w:vAlign w:val="center"/>
          </w:tcPr>
          <w:p>
            <w:pPr>
              <w:jc w:val="center"/>
              <w:rPr>
                <w:rFonts w:cs="Times New Roman" w:asciiTheme="minorEastAsia" w:hAnsiTheme="minorEastAsia"/>
                <w:b/>
                <w:szCs w:val="21"/>
              </w:rPr>
            </w:pPr>
            <w:r>
              <w:rPr>
                <w:rFonts w:cs="Times New Roman" w:asciiTheme="minorEastAsia" w:hAnsiTheme="minorEastAsia"/>
                <w:b/>
                <w:szCs w:val="21"/>
              </w:rPr>
              <w:t>序号</w:t>
            </w:r>
          </w:p>
        </w:tc>
        <w:tc>
          <w:tcPr>
            <w:tcW w:w="1813" w:type="dxa"/>
            <w:vAlign w:val="center"/>
          </w:tcPr>
          <w:p>
            <w:pPr>
              <w:jc w:val="center"/>
              <w:rPr>
                <w:rFonts w:cs="Times New Roman" w:asciiTheme="minorEastAsia" w:hAnsiTheme="minorEastAsia"/>
                <w:b/>
                <w:szCs w:val="21"/>
              </w:rPr>
            </w:pPr>
            <w:r>
              <w:rPr>
                <w:rFonts w:cs="Times New Roman" w:asciiTheme="minorEastAsia" w:hAnsiTheme="minorEastAsia"/>
                <w:b/>
                <w:szCs w:val="21"/>
              </w:rPr>
              <w:t>提示图形符号</w:t>
            </w:r>
          </w:p>
        </w:tc>
        <w:tc>
          <w:tcPr>
            <w:tcW w:w="1860" w:type="dxa"/>
            <w:vAlign w:val="center"/>
          </w:tcPr>
          <w:p>
            <w:pPr>
              <w:jc w:val="center"/>
              <w:rPr>
                <w:rFonts w:cs="Times New Roman" w:asciiTheme="minorEastAsia" w:hAnsiTheme="minorEastAsia"/>
                <w:b/>
                <w:szCs w:val="21"/>
              </w:rPr>
            </w:pPr>
            <w:r>
              <w:rPr>
                <w:rFonts w:cs="Times New Roman" w:asciiTheme="minorEastAsia" w:hAnsiTheme="minorEastAsia"/>
                <w:b/>
                <w:szCs w:val="21"/>
              </w:rPr>
              <w:t>警告图形符号</w:t>
            </w:r>
          </w:p>
        </w:tc>
        <w:tc>
          <w:tcPr>
            <w:tcW w:w="1439" w:type="dxa"/>
            <w:vAlign w:val="center"/>
          </w:tcPr>
          <w:p>
            <w:pPr>
              <w:jc w:val="center"/>
              <w:rPr>
                <w:rFonts w:cs="Times New Roman" w:asciiTheme="minorEastAsia" w:hAnsiTheme="minorEastAsia"/>
                <w:b/>
                <w:szCs w:val="21"/>
              </w:rPr>
            </w:pPr>
            <w:r>
              <w:rPr>
                <w:rFonts w:cs="Times New Roman" w:asciiTheme="minorEastAsia" w:hAnsiTheme="minorEastAsia"/>
                <w:b/>
                <w:szCs w:val="21"/>
              </w:rPr>
              <w:t>名称</w:t>
            </w:r>
          </w:p>
        </w:tc>
        <w:tc>
          <w:tcPr>
            <w:tcW w:w="2705" w:type="dxa"/>
            <w:vAlign w:val="center"/>
          </w:tcPr>
          <w:p>
            <w:pPr>
              <w:jc w:val="center"/>
              <w:rPr>
                <w:rFonts w:cs="Times New Roman" w:asciiTheme="minorEastAsia" w:hAnsiTheme="minorEastAsia"/>
                <w:b/>
                <w:szCs w:val="21"/>
              </w:rPr>
            </w:pPr>
            <w:r>
              <w:rPr>
                <w:rFonts w:cs="Times New Roman" w:asciiTheme="minorEastAsia" w:hAnsiTheme="minorEastAsia"/>
                <w:b/>
                <w:szCs w:val="21"/>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44" w:type="dxa"/>
            <w:vAlign w:val="center"/>
          </w:tcPr>
          <w:p>
            <w:pPr>
              <w:jc w:val="center"/>
              <w:rPr>
                <w:rFonts w:cs="Times New Roman" w:asciiTheme="minorEastAsia" w:hAnsiTheme="minorEastAsia"/>
                <w:szCs w:val="21"/>
              </w:rPr>
            </w:pPr>
            <w:r>
              <w:rPr>
                <w:rFonts w:cs="Times New Roman" w:asciiTheme="minorEastAsia" w:hAnsiTheme="minorEastAsia"/>
                <w:szCs w:val="21"/>
              </w:rPr>
              <w:t>1</w:t>
            </w:r>
          </w:p>
        </w:tc>
        <w:tc>
          <w:tcPr>
            <w:tcW w:w="1813"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831850"/>
                  <wp:effectExtent l="0" t="0" r="17145" b="6350"/>
                  <wp:docPr id="31" name="图片 31"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未标题-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840105" cy="831850"/>
                          </a:xfrm>
                          <a:prstGeom prst="rect">
                            <a:avLst/>
                          </a:prstGeom>
                          <a:noFill/>
                          <a:ln>
                            <a:noFill/>
                          </a:ln>
                        </pic:spPr>
                      </pic:pic>
                    </a:graphicData>
                  </a:graphic>
                </wp:inline>
              </w:drawing>
            </w:r>
          </w:p>
        </w:tc>
        <w:tc>
          <w:tcPr>
            <w:tcW w:w="1860"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840105"/>
                  <wp:effectExtent l="0" t="0" r="17145" b="17145"/>
                  <wp:docPr id="32" name="图片 32"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未标题-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840105" cy="840105"/>
                          </a:xfrm>
                          <a:prstGeom prst="rect">
                            <a:avLst/>
                          </a:prstGeom>
                          <a:noFill/>
                          <a:ln>
                            <a:noFill/>
                          </a:ln>
                        </pic:spPr>
                      </pic:pic>
                    </a:graphicData>
                  </a:graphic>
                </wp:inline>
              </w:drawing>
            </w:r>
          </w:p>
        </w:tc>
        <w:tc>
          <w:tcPr>
            <w:tcW w:w="1439" w:type="dxa"/>
            <w:vAlign w:val="center"/>
          </w:tcPr>
          <w:p>
            <w:pPr>
              <w:jc w:val="center"/>
              <w:rPr>
                <w:rFonts w:cs="Times New Roman" w:asciiTheme="minorEastAsia" w:hAnsiTheme="minorEastAsia"/>
                <w:szCs w:val="21"/>
              </w:rPr>
            </w:pPr>
            <w:r>
              <w:rPr>
                <w:rFonts w:cs="Times New Roman" w:asciiTheme="minorEastAsia" w:hAnsiTheme="minorEastAsia"/>
                <w:szCs w:val="21"/>
              </w:rPr>
              <w:t>废水排放口</w:t>
            </w:r>
          </w:p>
        </w:tc>
        <w:tc>
          <w:tcPr>
            <w:tcW w:w="2705" w:type="dxa"/>
            <w:vAlign w:val="center"/>
          </w:tcPr>
          <w:p>
            <w:pPr>
              <w:jc w:val="center"/>
              <w:rPr>
                <w:rFonts w:cs="Times New Roman" w:asciiTheme="minorEastAsia" w:hAnsiTheme="minorEastAsia"/>
                <w:szCs w:val="21"/>
              </w:rPr>
            </w:pPr>
            <w:r>
              <w:rPr>
                <w:rFonts w:cs="Times New Roman" w:asciiTheme="minorEastAsia" w:hAnsiTheme="minorEastAsia"/>
                <w:szCs w:val="21"/>
              </w:rPr>
              <w:t>废水向水体</w:t>
            </w:r>
            <w:r>
              <w:rPr>
                <w:rFonts w:hint="eastAsia" w:cs="Times New Roman" w:asciiTheme="minorEastAsia" w:hAnsiTheme="minorEastAsia"/>
                <w:szCs w:val="21"/>
              </w:rPr>
              <w:t>（或污水收集管网）</w:t>
            </w:r>
            <w:r>
              <w:rPr>
                <w:rFonts w:cs="Times New Roman" w:asciiTheme="minorEastAsia" w:hAnsiTheme="minorEastAsia"/>
                <w:szCs w:val="21"/>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44" w:type="dxa"/>
            <w:vAlign w:val="center"/>
          </w:tcPr>
          <w:p>
            <w:pPr>
              <w:jc w:val="center"/>
              <w:rPr>
                <w:rFonts w:cs="Times New Roman" w:asciiTheme="minorEastAsia" w:hAnsiTheme="minorEastAsia"/>
                <w:szCs w:val="21"/>
              </w:rPr>
            </w:pPr>
            <w:r>
              <w:rPr>
                <w:rFonts w:cs="Times New Roman" w:asciiTheme="minorEastAsia" w:hAnsiTheme="minorEastAsia"/>
                <w:szCs w:val="21"/>
              </w:rPr>
              <w:t>2</w:t>
            </w:r>
          </w:p>
        </w:tc>
        <w:tc>
          <w:tcPr>
            <w:tcW w:w="1813"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840105"/>
                  <wp:effectExtent l="0" t="0" r="17145" b="17145"/>
                  <wp:docPr id="33" name="图片 33"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未标题-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840105" cy="840105"/>
                          </a:xfrm>
                          <a:prstGeom prst="rect">
                            <a:avLst/>
                          </a:prstGeom>
                          <a:noFill/>
                          <a:ln>
                            <a:noFill/>
                          </a:ln>
                        </pic:spPr>
                      </pic:pic>
                    </a:graphicData>
                  </a:graphic>
                </wp:inline>
              </w:drawing>
            </w:r>
          </w:p>
        </w:tc>
        <w:tc>
          <w:tcPr>
            <w:tcW w:w="1860"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881380"/>
                  <wp:effectExtent l="0" t="0" r="17145" b="13970"/>
                  <wp:docPr id="34" name="图片 34" descr="未标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未标题-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840105" cy="881380"/>
                          </a:xfrm>
                          <a:prstGeom prst="rect">
                            <a:avLst/>
                          </a:prstGeom>
                          <a:noFill/>
                          <a:ln>
                            <a:noFill/>
                          </a:ln>
                        </pic:spPr>
                      </pic:pic>
                    </a:graphicData>
                  </a:graphic>
                </wp:inline>
              </w:drawing>
            </w:r>
          </w:p>
        </w:tc>
        <w:tc>
          <w:tcPr>
            <w:tcW w:w="1439" w:type="dxa"/>
            <w:vAlign w:val="center"/>
          </w:tcPr>
          <w:p>
            <w:pPr>
              <w:jc w:val="center"/>
              <w:rPr>
                <w:rFonts w:cs="Times New Roman" w:asciiTheme="minorEastAsia" w:hAnsiTheme="minorEastAsia"/>
                <w:szCs w:val="21"/>
              </w:rPr>
            </w:pPr>
            <w:r>
              <w:rPr>
                <w:rFonts w:cs="Times New Roman" w:asciiTheme="minorEastAsia" w:hAnsiTheme="minorEastAsia"/>
                <w:szCs w:val="21"/>
              </w:rPr>
              <w:t>废气排放口</w:t>
            </w:r>
          </w:p>
        </w:tc>
        <w:tc>
          <w:tcPr>
            <w:tcW w:w="2705" w:type="dxa"/>
            <w:vAlign w:val="center"/>
          </w:tcPr>
          <w:p>
            <w:pPr>
              <w:jc w:val="center"/>
              <w:rPr>
                <w:rFonts w:cs="Times New Roman" w:asciiTheme="minorEastAsia" w:hAnsiTheme="minorEastAsia"/>
                <w:szCs w:val="21"/>
              </w:rPr>
            </w:pPr>
            <w:r>
              <w:rPr>
                <w:rFonts w:cs="Times New Roman" w:asciiTheme="minorEastAsia" w:hAnsiTheme="minorEastAsia"/>
                <w:szCs w:val="21"/>
              </w:rPr>
              <w:t>废气向大气环境排放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44" w:type="dxa"/>
            <w:vAlign w:val="center"/>
          </w:tcPr>
          <w:p>
            <w:pPr>
              <w:jc w:val="center"/>
              <w:rPr>
                <w:rFonts w:cs="Times New Roman" w:asciiTheme="minorEastAsia" w:hAnsiTheme="minorEastAsia"/>
                <w:szCs w:val="21"/>
              </w:rPr>
            </w:pPr>
            <w:r>
              <w:rPr>
                <w:rFonts w:cs="Times New Roman" w:asciiTheme="minorEastAsia" w:hAnsiTheme="minorEastAsia"/>
                <w:szCs w:val="21"/>
              </w:rPr>
              <w:t>3</w:t>
            </w:r>
          </w:p>
        </w:tc>
        <w:tc>
          <w:tcPr>
            <w:tcW w:w="1813"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815340"/>
                  <wp:effectExtent l="0" t="0" r="17145" b="3810"/>
                  <wp:docPr id="35" name="图片 35" descr="未标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未标题-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840105" cy="815340"/>
                          </a:xfrm>
                          <a:prstGeom prst="rect">
                            <a:avLst/>
                          </a:prstGeom>
                          <a:noFill/>
                          <a:ln>
                            <a:noFill/>
                          </a:ln>
                        </pic:spPr>
                      </pic:pic>
                    </a:graphicData>
                  </a:graphic>
                </wp:inline>
              </w:drawing>
            </w:r>
          </w:p>
        </w:tc>
        <w:tc>
          <w:tcPr>
            <w:tcW w:w="1860"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798830"/>
                  <wp:effectExtent l="0" t="0" r="17145" b="1270"/>
                  <wp:docPr id="36" name="图片 36" descr="未标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未标题-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840105" cy="798830"/>
                          </a:xfrm>
                          <a:prstGeom prst="rect">
                            <a:avLst/>
                          </a:prstGeom>
                          <a:noFill/>
                          <a:ln>
                            <a:noFill/>
                          </a:ln>
                        </pic:spPr>
                      </pic:pic>
                    </a:graphicData>
                  </a:graphic>
                </wp:inline>
              </w:drawing>
            </w:r>
          </w:p>
        </w:tc>
        <w:tc>
          <w:tcPr>
            <w:tcW w:w="1439" w:type="dxa"/>
            <w:vAlign w:val="center"/>
          </w:tcPr>
          <w:p>
            <w:pPr>
              <w:jc w:val="center"/>
              <w:rPr>
                <w:rFonts w:cs="Times New Roman" w:asciiTheme="minorEastAsia" w:hAnsiTheme="minorEastAsia"/>
                <w:szCs w:val="21"/>
              </w:rPr>
            </w:pPr>
            <w:r>
              <w:rPr>
                <w:rFonts w:cs="Times New Roman" w:asciiTheme="minorEastAsia" w:hAnsiTheme="minorEastAsia"/>
                <w:szCs w:val="21"/>
              </w:rPr>
              <w:t>一般</w:t>
            </w:r>
          </w:p>
          <w:p>
            <w:pPr>
              <w:jc w:val="center"/>
              <w:rPr>
                <w:rFonts w:cs="Times New Roman" w:asciiTheme="minorEastAsia" w:hAnsiTheme="minorEastAsia"/>
                <w:szCs w:val="21"/>
              </w:rPr>
            </w:pPr>
            <w:r>
              <w:rPr>
                <w:rFonts w:cs="Times New Roman" w:asciiTheme="minorEastAsia" w:hAnsiTheme="minorEastAsia"/>
                <w:szCs w:val="21"/>
              </w:rPr>
              <w:t>固体废物</w:t>
            </w:r>
          </w:p>
        </w:tc>
        <w:tc>
          <w:tcPr>
            <w:tcW w:w="2705" w:type="dxa"/>
            <w:vAlign w:val="center"/>
          </w:tcPr>
          <w:p>
            <w:pPr>
              <w:jc w:val="center"/>
              <w:rPr>
                <w:rFonts w:cs="Times New Roman" w:asciiTheme="minorEastAsia" w:hAnsiTheme="minorEastAsia"/>
                <w:szCs w:val="21"/>
              </w:rPr>
            </w:pPr>
            <w:r>
              <w:rPr>
                <w:rFonts w:cs="Times New Roman" w:asciiTheme="minorEastAsia" w:hAnsiTheme="minorEastAsia"/>
                <w:szCs w:val="21"/>
              </w:rPr>
              <w:t>一般固体废物贮存、处置场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44" w:type="dxa"/>
            <w:vAlign w:val="center"/>
          </w:tcPr>
          <w:p>
            <w:pPr>
              <w:jc w:val="center"/>
              <w:rPr>
                <w:rFonts w:cs="Times New Roman" w:asciiTheme="minorEastAsia" w:hAnsiTheme="minorEastAsia"/>
                <w:szCs w:val="21"/>
              </w:rPr>
            </w:pPr>
            <w:r>
              <w:rPr>
                <w:rFonts w:cs="Times New Roman" w:asciiTheme="minorEastAsia" w:hAnsiTheme="minorEastAsia"/>
                <w:szCs w:val="21"/>
              </w:rPr>
              <w:t>4</w:t>
            </w:r>
          </w:p>
        </w:tc>
        <w:tc>
          <w:tcPr>
            <w:tcW w:w="1813"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831850"/>
                  <wp:effectExtent l="0" t="0" r="17145" b="6350"/>
                  <wp:docPr id="37" name="图片 37" descr="未标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未标题-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840105" cy="831850"/>
                          </a:xfrm>
                          <a:prstGeom prst="rect">
                            <a:avLst/>
                          </a:prstGeom>
                          <a:noFill/>
                          <a:ln>
                            <a:noFill/>
                          </a:ln>
                        </pic:spPr>
                      </pic:pic>
                    </a:graphicData>
                  </a:graphic>
                </wp:inline>
              </w:drawing>
            </w:r>
          </w:p>
        </w:tc>
        <w:tc>
          <w:tcPr>
            <w:tcW w:w="1860"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765810"/>
                  <wp:effectExtent l="0" t="0" r="17145" b="15240"/>
                  <wp:docPr id="38" name="图片 38" descr="未标题-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未标题-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840105" cy="765810"/>
                          </a:xfrm>
                          <a:prstGeom prst="rect">
                            <a:avLst/>
                          </a:prstGeom>
                          <a:noFill/>
                          <a:ln>
                            <a:noFill/>
                          </a:ln>
                        </pic:spPr>
                      </pic:pic>
                    </a:graphicData>
                  </a:graphic>
                </wp:inline>
              </w:drawing>
            </w:r>
          </w:p>
        </w:tc>
        <w:tc>
          <w:tcPr>
            <w:tcW w:w="1439" w:type="dxa"/>
            <w:vAlign w:val="center"/>
          </w:tcPr>
          <w:p>
            <w:pPr>
              <w:jc w:val="center"/>
              <w:rPr>
                <w:rFonts w:cs="Times New Roman" w:asciiTheme="minorEastAsia" w:hAnsiTheme="minorEastAsia"/>
                <w:szCs w:val="21"/>
              </w:rPr>
            </w:pPr>
            <w:r>
              <w:rPr>
                <w:rFonts w:cs="Times New Roman" w:asciiTheme="minorEastAsia" w:hAnsiTheme="minorEastAsia"/>
                <w:szCs w:val="21"/>
              </w:rPr>
              <w:t>噪声排放源</w:t>
            </w:r>
          </w:p>
        </w:tc>
        <w:tc>
          <w:tcPr>
            <w:tcW w:w="2705" w:type="dxa"/>
            <w:vAlign w:val="center"/>
          </w:tcPr>
          <w:p>
            <w:pPr>
              <w:jc w:val="center"/>
              <w:rPr>
                <w:rFonts w:cs="Times New Roman" w:asciiTheme="minorEastAsia" w:hAnsiTheme="minorEastAsia"/>
                <w:szCs w:val="21"/>
              </w:rPr>
            </w:pPr>
            <w:r>
              <w:rPr>
                <w:rFonts w:cs="Times New Roman" w:asciiTheme="minorEastAsia" w:hAnsiTheme="minorEastAsia"/>
                <w:szCs w:val="21"/>
              </w:rPr>
              <w:t>噪声向外环境排放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44" w:type="dxa"/>
            <w:vAlign w:val="center"/>
          </w:tcPr>
          <w:p>
            <w:pPr>
              <w:jc w:val="center"/>
              <w:rPr>
                <w:rFonts w:cs="Times New Roman" w:asciiTheme="minorEastAsia" w:hAnsiTheme="minorEastAsia"/>
                <w:szCs w:val="21"/>
              </w:rPr>
            </w:pPr>
            <w:r>
              <w:rPr>
                <w:rFonts w:cs="Times New Roman" w:asciiTheme="minorEastAsia" w:hAnsiTheme="minorEastAsia"/>
                <w:szCs w:val="21"/>
              </w:rPr>
              <w:t>5</w:t>
            </w:r>
          </w:p>
        </w:tc>
        <w:tc>
          <w:tcPr>
            <w:tcW w:w="1813" w:type="dxa"/>
            <w:vAlign w:val="center"/>
          </w:tcPr>
          <w:p>
            <w:pPr>
              <w:jc w:val="center"/>
              <w:rPr>
                <w:rFonts w:cs="Times New Roman" w:asciiTheme="minorEastAsia" w:hAnsiTheme="minorEastAsia"/>
                <w:szCs w:val="21"/>
              </w:rPr>
            </w:pPr>
          </w:p>
        </w:tc>
        <w:tc>
          <w:tcPr>
            <w:tcW w:w="1860" w:type="dxa"/>
            <w:vAlign w:val="center"/>
          </w:tcPr>
          <w:p>
            <w:pPr>
              <w:jc w:val="center"/>
              <w:rPr>
                <w:rFonts w:cs="Times New Roman" w:asciiTheme="minorEastAsia" w:hAnsiTheme="minorEastAsia"/>
                <w:szCs w:val="21"/>
              </w:rPr>
            </w:pPr>
            <w:r>
              <w:rPr>
                <w:rFonts w:cs="Times New Roman" w:asciiTheme="minorEastAsia" w:hAnsiTheme="minorEastAsia"/>
                <w:szCs w:val="21"/>
              </w:rPr>
              <w:drawing>
                <wp:inline distT="0" distB="0" distL="0" distR="0">
                  <wp:extent cx="840105" cy="733425"/>
                  <wp:effectExtent l="0" t="0" r="17145" b="9525"/>
                  <wp:docPr id="39" name="图片 39" descr="未标题-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未标题-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840105" cy="733425"/>
                          </a:xfrm>
                          <a:prstGeom prst="rect">
                            <a:avLst/>
                          </a:prstGeom>
                          <a:noFill/>
                          <a:ln>
                            <a:noFill/>
                          </a:ln>
                        </pic:spPr>
                      </pic:pic>
                    </a:graphicData>
                  </a:graphic>
                </wp:inline>
              </w:drawing>
            </w:r>
          </w:p>
        </w:tc>
        <w:tc>
          <w:tcPr>
            <w:tcW w:w="1439" w:type="dxa"/>
            <w:vAlign w:val="center"/>
          </w:tcPr>
          <w:p>
            <w:pPr>
              <w:jc w:val="center"/>
              <w:rPr>
                <w:rFonts w:cs="Times New Roman" w:asciiTheme="minorEastAsia" w:hAnsiTheme="minorEastAsia"/>
                <w:szCs w:val="21"/>
              </w:rPr>
            </w:pPr>
            <w:r>
              <w:rPr>
                <w:rFonts w:cs="Times New Roman" w:asciiTheme="minorEastAsia" w:hAnsiTheme="minorEastAsia"/>
                <w:szCs w:val="21"/>
              </w:rPr>
              <w:t>危险废物</w:t>
            </w:r>
          </w:p>
        </w:tc>
        <w:tc>
          <w:tcPr>
            <w:tcW w:w="2705" w:type="dxa"/>
            <w:vAlign w:val="center"/>
          </w:tcPr>
          <w:p>
            <w:pPr>
              <w:jc w:val="center"/>
              <w:rPr>
                <w:rFonts w:cs="Times New Roman" w:asciiTheme="minorEastAsia" w:hAnsiTheme="minorEastAsia"/>
                <w:szCs w:val="21"/>
              </w:rPr>
            </w:pPr>
            <w:r>
              <w:rPr>
                <w:rFonts w:cs="Times New Roman" w:asciiTheme="minorEastAsia" w:hAnsiTheme="minorEastAsia"/>
                <w:szCs w:val="21"/>
              </w:rPr>
              <w:t>危险废物贮存、处置场</w:t>
            </w:r>
          </w:p>
        </w:tc>
      </w:tr>
    </w:tbl>
    <w:p>
      <w:pPr>
        <w:widowControl/>
        <w:spacing w:line="360" w:lineRule="auto"/>
        <w:ind w:firstLine="465"/>
        <w:jc w:val="left"/>
        <w:rPr>
          <w:rFonts w:cs="Times New Roman" w:asciiTheme="minorEastAsia" w:hAnsiTheme="minorEastAsia"/>
          <w:sz w:val="24"/>
          <w:szCs w:val="20"/>
        </w:rPr>
      </w:pPr>
    </w:p>
    <w:p>
      <w:pPr>
        <w:spacing w:line="360" w:lineRule="auto"/>
        <w:rPr>
          <w:rFonts w:asciiTheme="minorEastAsia" w:hAnsiTheme="minorEastAsia"/>
          <w:b/>
          <w:sz w:val="28"/>
          <w:szCs w:val="28"/>
        </w:rPr>
      </w:pPr>
      <w:r>
        <w:rPr>
          <w:rFonts w:hint="eastAsia" w:asciiTheme="minorEastAsia" w:hAnsiTheme="minorEastAsia"/>
          <w:b/>
          <w:sz w:val="28"/>
          <w:szCs w:val="28"/>
        </w:rPr>
        <w:t>9.4环境信息公开</w:t>
      </w:r>
    </w:p>
    <w:p>
      <w:pPr>
        <w:spacing w:line="360" w:lineRule="auto"/>
        <w:ind w:firstLine="614" w:firstLineChars="256"/>
        <w:rPr>
          <w:rFonts w:asciiTheme="minorEastAsia" w:hAnsiTheme="minorEastAsia"/>
          <w:sz w:val="24"/>
          <w:szCs w:val="24"/>
        </w:rPr>
      </w:pPr>
      <w:r>
        <w:rPr>
          <w:rFonts w:hint="eastAsia" w:asciiTheme="minorEastAsia" w:hAnsiTheme="minorEastAsia"/>
          <w:sz w:val="24"/>
          <w:szCs w:val="24"/>
        </w:rPr>
        <w:t>根据《中华人民共和国环境保护法》、《中华人民共和国环境影响评价法》、《建设项目环境保护管理条例》等法律法规的规定，按照《环境影响评价公众参与办法》（生态环境部令第4号）和《河南省环境保护厅关于加强建设单位环评信息公开工作的公告》（河南省环境保护厅公告2016年第7号）的相关要求，项目建设单位在建设期、运行期应主动向社会公开项目建设情况、采取的污染防治措施及运行情况。污染物达标排放情况、环境风险防范措施落实情况以及企业环境管理情况等环境信息。</w:t>
      </w:r>
    </w:p>
    <w:p>
      <w:pPr>
        <w:spacing w:line="360" w:lineRule="auto"/>
        <w:rPr>
          <w:rFonts w:asciiTheme="minorEastAsia" w:hAnsiTheme="minorEastAsia"/>
          <w:b/>
          <w:sz w:val="24"/>
          <w:szCs w:val="24"/>
        </w:rPr>
      </w:pPr>
      <w:r>
        <w:rPr>
          <w:rFonts w:hint="eastAsia" w:asciiTheme="minorEastAsia" w:hAnsiTheme="minorEastAsia"/>
          <w:b/>
          <w:sz w:val="24"/>
          <w:szCs w:val="24"/>
        </w:rPr>
        <w:t>9.4.1 环评信息公开及公众意见采纳情况</w:t>
      </w:r>
    </w:p>
    <w:p>
      <w:pPr>
        <w:spacing w:line="360" w:lineRule="auto"/>
        <w:ind w:firstLine="495"/>
        <w:rPr>
          <w:rFonts w:asciiTheme="minorEastAsia" w:hAnsiTheme="minorEastAsia"/>
          <w:sz w:val="24"/>
          <w:szCs w:val="24"/>
        </w:rPr>
      </w:pPr>
      <w:r>
        <w:rPr>
          <w:rFonts w:hint="eastAsia" w:asciiTheme="minorEastAsia" w:hAnsiTheme="minorEastAsia"/>
          <w:sz w:val="24"/>
          <w:szCs w:val="24"/>
        </w:rPr>
        <w:t>本项目环评报告书编制过程中，项目建设单位按照要求主动公开了项目环境信息，及时向社会公开了工程基本情况、拟选厂址及周边主要环保目标的位置和距离、主要环境影响预测情况、拟采取的主要环境保护措施、评价结论要点、公众参与的途径方式等信息；让更多的人认识了解项目，以及项目建设可能引起的环境问题，征得公众的支持，促进项目建设过程中的环境保护工作和区域经济的可持续发展。</w:t>
      </w:r>
    </w:p>
    <w:p>
      <w:pPr>
        <w:spacing w:line="360" w:lineRule="auto"/>
        <w:ind w:firstLine="495"/>
        <w:rPr>
          <w:rFonts w:asciiTheme="minorEastAsia" w:hAnsiTheme="minorEastAsia"/>
          <w:sz w:val="24"/>
          <w:szCs w:val="24"/>
        </w:rPr>
      </w:pPr>
      <w:r>
        <w:rPr>
          <w:rFonts w:hint="eastAsia" w:asciiTheme="minorEastAsia" w:hAnsiTheme="minorEastAsia"/>
          <w:sz w:val="24"/>
          <w:szCs w:val="24"/>
        </w:rPr>
        <w:t>建设单位开展环境信息公开及环评公众参与方式主要是在相关网站、当地报纸等媒体公开项目环境信息等；调查参与人员较为广泛，反映了各层次公众的意见和建议，具有较好的代表性。通过调查，无公众对本项目建设提出反对意见。建设单位承诺将严格落实各项污染防治措施，加强运行期废气、废水处理设施管理及环境风险防范措施，保证各类污染物稳定达标排放，确保项目区域环境安全。</w:t>
      </w:r>
    </w:p>
    <w:p>
      <w:pPr>
        <w:spacing w:line="360" w:lineRule="auto"/>
        <w:rPr>
          <w:rFonts w:asciiTheme="minorEastAsia" w:hAnsiTheme="minorEastAsia"/>
          <w:b/>
          <w:sz w:val="24"/>
          <w:szCs w:val="24"/>
        </w:rPr>
      </w:pPr>
      <w:r>
        <w:rPr>
          <w:rFonts w:hint="eastAsia" w:asciiTheme="minorEastAsia" w:hAnsiTheme="minorEastAsia"/>
          <w:b/>
          <w:sz w:val="24"/>
          <w:szCs w:val="24"/>
        </w:rPr>
        <w:t>9.4.2 企业环境信息公开方式及内容</w:t>
      </w:r>
    </w:p>
    <w:p>
      <w:pPr>
        <w:spacing w:line="360" w:lineRule="auto"/>
        <w:rPr>
          <w:rFonts w:asciiTheme="minorEastAsia" w:hAnsiTheme="minorEastAsia"/>
          <w:sz w:val="24"/>
          <w:szCs w:val="24"/>
        </w:rPr>
      </w:pPr>
      <w:r>
        <w:rPr>
          <w:rFonts w:hint="eastAsia" w:asciiTheme="minorEastAsia" w:hAnsiTheme="minorEastAsia"/>
          <w:sz w:val="24"/>
          <w:szCs w:val="24"/>
        </w:rPr>
        <w:t xml:space="preserve">    项目运行期，企业应按照当地生态环境管理部门要求，在相关公开网站公开项目运行情况、环境管理情况、污染防治设施建设情况、污染物排放情况、环境风险防范措施落实情况及执行环境管理制度情况等，主动接受社会监督。</w:t>
      </w:r>
    </w:p>
    <w:p>
      <w:pPr>
        <w:spacing w:line="360" w:lineRule="auto"/>
        <w:rPr>
          <w:rFonts w:asciiTheme="minorEastAsia" w:hAnsiTheme="minorEastAsia"/>
          <w:b/>
          <w:sz w:val="28"/>
          <w:szCs w:val="28"/>
        </w:rPr>
      </w:pPr>
      <w:r>
        <w:rPr>
          <w:rFonts w:hint="eastAsia" w:asciiTheme="minorEastAsia" w:hAnsiTheme="minorEastAsia"/>
          <w:b/>
          <w:sz w:val="28"/>
          <w:szCs w:val="28"/>
        </w:rPr>
        <w:t>9</w:t>
      </w:r>
      <w:r>
        <w:rPr>
          <w:rFonts w:asciiTheme="minorEastAsia" w:hAnsiTheme="minorEastAsia"/>
          <w:b/>
          <w:sz w:val="28"/>
          <w:szCs w:val="28"/>
        </w:rPr>
        <w:t>.</w:t>
      </w:r>
      <w:r>
        <w:rPr>
          <w:rFonts w:hint="eastAsia" w:asciiTheme="minorEastAsia" w:hAnsiTheme="minorEastAsia"/>
          <w:b/>
          <w:sz w:val="28"/>
          <w:szCs w:val="28"/>
        </w:rPr>
        <w:t>5</w:t>
      </w:r>
      <w:r>
        <w:rPr>
          <w:rFonts w:asciiTheme="minorEastAsia" w:hAnsiTheme="minorEastAsia"/>
          <w:b/>
          <w:sz w:val="28"/>
          <w:szCs w:val="28"/>
        </w:rPr>
        <w:t>建设项目</w:t>
      </w:r>
      <w:r>
        <w:rPr>
          <w:rFonts w:hint="eastAsia" w:asciiTheme="minorEastAsia" w:hAnsiTheme="minorEastAsia"/>
          <w:b/>
          <w:sz w:val="28"/>
          <w:szCs w:val="28"/>
        </w:rPr>
        <w:t>竣工</w:t>
      </w:r>
      <w:r>
        <w:rPr>
          <w:rFonts w:asciiTheme="minorEastAsia" w:hAnsiTheme="minorEastAsia"/>
          <w:b/>
          <w:sz w:val="28"/>
          <w:szCs w:val="28"/>
        </w:rPr>
        <w:t>环境保护验收</w:t>
      </w:r>
    </w:p>
    <w:p>
      <w:pPr>
        <w:spacing w:line="360" w:lineRule="auto"/>
        <w:ind w:firstLine="480" w:firstLineChars="200"/>
        <w:rPr>
          <w:rFonts w:eastAsia="宋体" w:cs="Times New Roman" w:asciiTheme="minorEastAsia" w:hAnsiTheme="minorEastAsia"/>
          <w:kern w:val="0"/>
          <w:sz w:val="24"/>
          <w:szCs w:val="24"/>
        </w:rPr>
      </w:pPr>
      <w:r>
        <w:rPr>
          <w:rFonts w:eastAsia="宋体" w:cs="Times New Roman" w:asciiTheme="minorEastAsia" w:hAnsiTheme="minorEastAsia"/>
          <w:kern w:val="0"/>
          <w:sz w:val="24"/>
          <w:szCs w:val="24"/>
        </w:rPr>
        <w:t>按建设项目竣工环境保护验收管理</w:t>
      </w:r>
      <w:r>
        <w:rPr>
          <w:rFonts w:hint="eastAsia" w:eastAsia="宋体" w:cs="Times New Roman" w:asciiTheme="minorEastAsia" w:hAnsiTheme="minorEastAsia"/>
          <w:kern w:val="0"/>
          <w:sz w:val="24"/>
          <w:szCs w:val="24"/>
        </w:rPr>
        <w:t>规定</w:t>
      </w:r>
      <w:r>
        <w:rPr>
          <w:rFonts w:eastAsia="宋体" w:cs="Times New Roman" w:asciiTheme="minorEastAsia" w:hAnsiTheme="minorEastAsia"/>
          <w:kern w:val="0"/>
          <w:sz w:val="24"/>
          <w:szCs w:val="24"/>
        </w:rPr>
        <w:t>，</w:t>
      </w:r>
      <w:r>
        <w:rPr>
          <w:rFonts w:hint="eastAsia" w:eastAsia="宋体" w:cs="Times New Roman" w:asciiTheme="minorEastAsia" w:hAnsiTheme="minorEastAsia"/>
          <w:kern w:val="0"/>
          <w:sz w:val="24"/>
          <w:szCs w:val="24"/>
        </w:rPr>
        <w:t>本</w:t>
      </w:r>
      <w:r>
        <w:rPr>
          <w:rFonts w:eastAsia="宋体" w:cs="Times New Roman" w:asciiTheme="minorEastAsia" w:hAnsiTheme="minorEastAsia"/>
          <w:kern w:val="0"/>
          <w:sz w:val="24"/>
          <w:szCs w:val="24"/>
        </w:rPr>
        <w:t>工程</w:t>
      </w:r>
      <w:r>
        <w:rPr>
          <w:rFonts w:hint="eastAsia" w:eastAsia="宋体" w:cs="Times New Roman" w:asciiTheme="minorEastAsia" w:hAnsiTheme="minorEastAsia"/>
          <w:kern w:val="0"/>
          <w:sz w:val="24"/>
          <w:szCs w:val="24"/>
        </w:rPr>
        <w:t>投入正式运行前，</w:t>
      </w:r>
      <w:r>
        <w:rPr>
          <w:rFonts w:eastAsia="宋体" w:cs="Times New Roman" w:asciiTheme="minorEastAsia" w:hAnsiTheme="minorEastAsia"/>
          <w:kern w:val="0"/>
          <w:sz w:val="24"/>
          <w:szCs w:val="24"/>
        </w:rPr>
        <w:t>建设单位</w:t>
      </w:r>
      <w:r>
        <w:rPr>
          <w:rFonts w:hint="eastAsia" w:eastAsia="宋体" w:cs="Times New Roman" w:asciiTheme="minorEastAsia" w:hAnsiTheme="minorEastAsia"/>
          <w:kern w:val="0"/>
          <w:sz w:val="24"/>
          <w:szCs w:val="24"/>
        </w:rPr>
        <w:t>应进行</w:t>
      </w:r>
      <w:r>
        <w:rPr>
          <w:rFonts w:eastAsia="宋体" w:cs="Times New Roman" w:asciiTheme="minorEastAsia" w:hAnsiTheme="minorEastAsia"/>
          <w:kern w:val="0"/>
          <w:sz w:val="24"/>
          <w:szCs w:val="24"/>
        </w:rPr>
        <w:t>建设项目</w:t>
      </w:r>
      <w:r>
        <w:rPr>
          <w:rFonts w:hint="eastAsia" w:eastAsia="宋体" w:cs="Times New Roman" w:asciiTheme="minorEastAsia" w:hAnsiTheme="minorEastAsia"/>
          <w:kern w:val="0"/>
          <w:sz w:val="24"/>
          <w:szCs w:val="24"/>
        </w:rPr>
        <w:t>竣工环保</w:t>
      </w:r>
      <w:r>
        <w:rPr>
          <w:rFonts w:eastAsia="宋体" w:cs="Times New Roman" w:asciiTheme="minorEastAsia" w:hAnsiTheme="minorEastAsia"/>
          <w:kern w:val="0"/>
          <w:sz w:val="24"/>
          <w:szCs w:val="24"/>
        </w:rPr>
        <w:t>验收，同时提交环境保护验收</w:t>
      </w:r>
      <w:r>
        <w:rPr>
          <w:rFonts w:hint="eastAsia" w:eastAsia="宋体" w:cs="Times New Roman" w:asciiTheme="minorEastAsia" w:hAnsiTheme="minorEastAsia"/>
          <w:kern w:val="0"/>
          <w:sz w:val="24"/>
          <w:szCs w:val="24"/>
        </w:rPr>
        <w:t>监测</w:t>
      </w:r>
      <w:r>
        <w:rPr>
          <w:rFonts w:eastAsia="宋体" w:cs="Times New Roman" w:asciiTheme="minorEastAsia" w:hAnsiTheme="minorEastAsia"/>
          <w:kern w:val="0"/>
          <w:sz w:val="24"/>
          <w:szCs w:val="24"/>
        </w:rPr>
        <w:t>报告。</w:t>
      </w:r>
    </w:p>
    <w:p>
      <w:pPr>
        <w:spacing w:line="360" w:lineRule="auto"/>
        <w:ind w:firstLine="480"/>
        <w:rPr>
          <w:rFonts w:eastAsia="宋体" w:cs="Times New Roman" w:asciiTheme="minorEastAsia" w:hAnsiTheme="minorEastAsia"/>
          <w:kern w:val="0"/>
          <w:sz w:val="24"/>
          <w:szCs w:val="24"/>
        </w:rPr>
        <w:sectPr>
          <w:pgSz w:w="11906" w:h="16838"/>
          <w:pgMar w:top="1440" w:right="1800" w:bottom="1440" w:left="1800" w:header="851" w:footer="992" w:gutter="0"/>
          <w:cols w:space="425" w:num="1"/>
          <w:docGrid w:type="lines" w:linePitch="312" w:charSpace="0"/>
        </w:sectPr>
      </w:pPr>
      <w:r>
        <w:rPr>
          <w:rFonts w:hint="eastAsia" w:eastAsia="宋体" w:cs="Times New Roman" w:asciiTheme="minorEastAsia" w:hAnsiTheme="minorEastAsia"/>
          <w:kern w:val="0"/>
          <w:sz w:val="24"/>
          <w:szCs w:val="24"/>
        </w:rPr>
        <w:t>工程竣工环保验收内容见表9.5-1。</w:t>
      </w:r>
    </w:p>
    <w:p>
      <w:pPr>
        <w:spacing w:line="360" w:lineRule="auto"/>
        <w:jc w:val="center"/>
        <w:rPr>
          <w:rFonts w:eastAsia="宋体" w:cs="Times New Roman" w:asciiTheme="minorEastAsia" w:hAnsiTheme="minorEastAsia"/>
          <w:b/>
          <w:kern w:val="0"/>
          <w:sz w:val="24"/>
          <w:szCs w:val="24"/>
        </w:rPr>
      </w:pPr>
      <w:r>
        <w:rPr>
          <w:rFonts w:hint="eastAsia" w:eastAsia="宋体" w:cs="Times New Roman" w:asciiTheme="minorEastAsia" w:hAnsiTheme="minorEastAsia"/>
          <w:b/>
          <w:kern w:val="0"/>
          <w:sz w:val="24"/>
          <w:szCs w:val="24"/>
        </w:rPr>
        <w:t>表9.5-1     建设项目竣工环境保护验收内容一览表</w:t>
      </w:r>
    </w:p>
    <w:tbl>
      <w:tblPr>
        <w:tblStyle w:val="28"/>
        <w:tblW w:w="14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2126"/>
        <w:gridCol w:w="3544"/>
        <w:gridCol w:w="850"/>
        <w:gridCol w:w="993"/>
        <w:gridCol w:w="4961"/>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959"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类别</w:t>
            </w:r>
          </w:p>
        </w:tc>
        <w:tc>
          <w:tcPr>
            <w:tcW w:w="2126"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污染源</w:t>
            </w:r>
          </w:p>
        </w:tc>
        <w:tc>
          <w:tcPr>
            <w:tcW w:w="3544"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环保设施或环保措施</w:t>
            </w:r>
          </w:p>
        </w:tc>
        <w:tc>
          <w:tcPr>
            <w:tcW w:w="850"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数量</w:t>
            </w:r>
          </w:p>
        </w:tc>
        <w:tc>
          <w:tcPr>
            <w:tcW w:w="5954" w:type="dxa"/>
            <w:gridSpan w:val="2"/>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验收标准或要求</w:t>
            </w:r>
          </w:p>
        </w:tc>
        <w:tc>
          <w:tcPr>
            <w:tcW w:w="992"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废气</w:t>
            </w: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裂解不凝气燃烧废气</w:t>
            </w:r>
          </w:p>
          <w:p>
            <w:pPr>
              <w:spacing w:line="240" w:lineRule="atLeast"/>
              <w:jc w:val="center"/>
              <w:rPr>
                <w:rFonts w:asciiTheme="minorEastAsia" w:hAnsiTheme="minorEastAsia"/>
                <w:sz w:val="18"/>
                <w:szCs w:val="18"/>
              </w:rPr>
            </w:pPr>
            <w:r>
              <w:rPr>
                <w:rFonts w:hint="eastAsia" w:asciiTheme="minorEastAsia" w:hAnsiTheme="minorEastAsia"/>
                <w:sz w:val="18"/>
                <w:szCs w:val="18"/>
              </w:rPr>
              <w:t>（2根20m集束排放排气筒）</w:t>
            </w:r>
          </w:p>
        </w:tc>
        <w:tc>
          <w:tcPr>
            <w:tcW w:w="3544" w:type="dxa"/>
            <w:vAlign w:val="center"/>
          </w:tcPr>
          <w:p>
            <w:pPr>
              <w:spacing w:line="240" w:lineRule="atLeast"/>
              <w:rPr>
                <w:rFonts w:cs="Times New Roman" w:asciiTheme="minorEastAsia" w:hAnsiTheme="minorEastAsia"/>
                <w:sz w:val="18"/>
                <w:szCs w:val="18"/>
                <w:u w:val="single"/>
              </w:rPr>
            </w:pPr>
            <w:r>
              <w:rPr>
                <w:rFonts w:hint="eastAsia" w:cs="Times New Roman" w:asciiTheme="minorEastAsia" w:hAnsiTheme="minorEastAsia"/>
                <w:sz w:val="18"/>
                <w:szCs w:val="18"/>
                <w:u w:val="single"/>
              </w:rPr>
              <w:t>12台热裂解炉燃烧室废气及2套余气燃烧装置烟气分别配备1套“</w:t>
            </w: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SCN脱硝反应器+二级脱硫雾化塔+除雾器+袋式除尘器+UV光解一体机+活性炭吸附装置</w:t>
            </w:r>
            <w:r>
              <w:rPr>
                <w:rFonts w:hint="eastAsia" w:cs="Times New Roman" w:asciiTheme="minorEastAsia" w:hAnsiTheme="minorEastAsia"/>
                <w:sz w:val="18"/>
                <w:szCs w:val="18"/>
                <w:u w:val="single"/>
              </w:rPr>
              <w:t>”处理系统；尾气经2根</w:t>
            </w: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20m排气筒集束排放（6台热解炉和1台余气燃烧装置合用1根排气筒）；</w:t>
            </w:r>
            <w:r>
              <w:rPr>
                <w:rFonts w:hint="eastAsia" w:cs="Times New Roman" w:asciiTheme="minorEastAsia" w:hAnsiTheme="minorEastAsia"/>
                <w:sz w:val="18"/>
                <w:szCs w:val="18"/>
                <w:u w:val="single"/>
              </w:rPr>
              <w:t>14套处理系统总处理废气量20000m</w:t>
            </w:r>
            <w:r>
              <w:rPr>
                <w:rFonts w:hint="eastAsia" w:cs="Times New Roman" w:asciiTheme="minorEastAsia" w:hAnsiTheme="minorEastAsia"/>
                <w:sz w:val="18"/>
                <w:szCs w:val="18"/>
                <w:u w:val="single"/>
                <w:vertAlign w:val="superscript"/>
              </w:rPr>
              <w:t>3</w:t>
            </w:r>
            <w:r>
              <w:rPr>
                <w:rFonts w:hint="eastAsia" w:cs="Times New Roman" w:asciiTheme="minorEastAsia" w:hAnsiTheme="minorEastAsia"/>
                <w:sz w:val="18"/>
                <w:szCs w:val="18"/>
                <w:u w:val="single"/>
              </w:rPr>
              <w:t>/h。</w:t>
            </w:r>
          </w:p>
        </w:tc>
        <w:tc>
          <w:tcPr>
            <w:tcW w:w="850" w:type="dxa"/>
            <w:vAlign w:val="center"/>
          </w:tcPr>
          <w:p>
            <w:pPr>
              <w:spacing w:line="240" w:lineRule="atLeast"/>
              <w:jc w:val="center"/>
              <w:rPr>
                <w:rFonts w:asciiTheme="minorEastAsia" w:hAnsiTheme="minorEastAsia"/>
                <w:sz w:val="18"/>
                <w:szCs w:val="18"/>
                <w:u w:val="single"/>
              </w:rPr>
            </w:pPr>
            <w:r>
              <w:rPr>
                <w:rFonts w:hint="eastAsia" w:asciiTheme="minorEastAsia" w:hAnsiTheme="minorEastAsia"/>
                <w:sz w:val="18"/>
                <w:szCs w:val="18"/>
                <w:u w:val="single"/>
              </w:rPr>
              <w:t>14套</w:t>
            </w:r>
          </w:p>
        </w:tc>
        <w:tc>
          <w:tcPr>
            <w:tcW w:w="5954" w:type="dxa"/>
            <w:gridSpan w:val="2"/>
            <w:vAlign w:val="center"/>
          </w:tcPr>
          <w:p>
            <w:pPr>
              <w:spacing w:line="240" w:lineRule="atLeast"/>
              <w:rPr>
                <w:rFonts w:asciiTheme="minorEastAsia" w:hAnsiTheme="minorEastAsia"/>
                <w:sz w:val="18"/>
                <w:szCs w:val="18"/>
                <w:u w:val="single"/>
              </w:rPr>
            </w:pP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颗粒物、SO</w:t>
            </w:r>
            <w:r>
              <w:rPr>
                <w:rFonts w:hint="eastAsia" w:cs="Times New Roman" w:asciiTheme="minorEastAsia" w:hAnsiTheme="minorEastAsia"/>
                <w:color w:val="0D0D0D" w:themeColor="text1" w:themeTint="F2"/>
                <w:sz w:val="18"/>
                <w:szCs w:val="18"/>
                <w:u w:val="single"/>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、NOx排放浓度满足</w:t>
            </w:r>
            <w:r>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《燃煤电厂大气污染物排放标准》（DB41/1424-2017）表1排放限值要求</w:t>
            </w:r>
            <w:r>
              <w:rPr>
                <w:rFonts w:hint="eastAsia" w:cs="Times New Roman" w:asciiTheme="minorEastAsia" w:hAnsiTheme="minorEastAsia"/>
                <w:bCs/>
                <w:color w:val="0D0D0D" w:themeColor="text1" w:themeTint="F2"/>
                <w:sz w:val="18"/>
                <w:szCs w:val="18"/>
                <w:u w:val="single"/>
                <w14:textFill>
                  <w14:solidFill>
                    <w14:schemeClr w14:val="tx1">
                      <w14:lumMod w14:val="95000"/>
                      <w14:lumOff w14:val="5000"/>
                    </w14:schemeClr>
                  </w14:solidFill>
                </w14:textFill>
              </w:rPr>
              <w:t>；苯并芘排放满足《石油化学工业污染物排放标准》（GB31571-2015）表6限值要求，</w:t>
            </w: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氨排放满足《工业炉窑大气污染物排放标准》（DB41/1066-2020）表2限值要求；</w:t>
            </w:r>
            <w:r>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18"/>
                <w:szCs w:val="18"/>
                <w:u w:val="single"/>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S排放满足《恶臭污染物排放标准》（GB14554-1993）二级标准限值要求</w:t>
            </w: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；非甲烷总烃排放满足</w:t>
            </w:r>
            <w:r>
              <w:rPr>
                <w:rFonts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豫环攻坚办[2017]162号《关于全省开展工业企业挥发性有机物专项治理工作中排放建议值的通知》中其他行业建议限值要求</w:t>
            </w:r>
            <w:r>
              <w:rPr>
                <w:rFonts w:hint="eastAsia" w:cs="Times New Roman" w:asciiTheme="minorEastAsia" w:hAnsiTheme="minorEastAsia"/>
                <w:color w:val="0D0D0D" w:themeColor="text1" w:themeTint="F2"/>
                <w:sz w:val="18"/>
                <w:szCs w:val="18"/>
                <w:u w:val="single"/>
                <w14:textFill>
                  <w14:solidFill>
                    <w14:schemeClr w14:val="tx1">
                      <w14:lumMod w14:val="95000"/>
                      <w14:lumOff w14:val="5000"/>
                    </w14:schemeClr>
                  </w14:solidFill>
                </w14:textFill>
              </w:rPr>
              <w:t>。</w:t>
            </w:r>
          </w:p>
        </w:tc>
        <w:tc>
          <w:tcPr>
            <w:tcW w:w="992"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与生产设施建设同步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4" w:hRule="atLeast"/>
        </w:trPr>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车间碳黑尘</w:t>
            </w:r>
          </w:p>
        </w:tc>
        <w:tc>
          <w:tcPr>
            <w:tcW w:w="3544" w:type="dxa"/>
            <w:vAlign w:val="center"/>
          </w:tcPr>
          <w:p>
            <w:pPr>
              <w:spacing w:line="240" w:lineRule="atLeast"/>
              <w:rPr>
                <w:rFonts w:asciiTheme="minorEastAsia" w:hAnsiTheme="minorEastAsia"/>
                <w:sz w:val="18"/>
                <w:szCs w:val="18"/>
              </w:rPr>
            </w:pPr>
            <w:r>
              <w:rPr>
                <w:rFonts w:hint="eastAsia" w:cs="Times New Roman" w:asciiTheme="minorEastAsia" w:hAnsiTheme="minorEastAsia"/>
                <w:sz w:val="18"/>
                <w:szCs w:val="18"/>
              </w:rPr>
              <w:t>裂解炉出料保持负压状态，出料口及粗碳黑包装设备、钢丝打包设备上方分别设置集气罩，收集废气进入2套“脉冲袋式除尘器+15m排气筒”处理系统处理；单套设备处理废气量5000m</w:t>
            </w:r>
            <w:r>
              <w:rPr>
                <w:rFonts w:hint="eastAsia" w:cs="Times New Roman" w:asciiTheme="minorEastAsia" w:hAnsiTheme="minorEastAsia"/>
                <w:sz w:val="18"/>
                <w:szCs w:val="18"/>
                <w:vertAlign w:val="superscript"/>
              </w:rPr>
              <w:t>3</w:t>
            </w:r>
            <w:r>
              <w:rPr>
                <w:rFonts w:hint="eastAsia" w:cs="Times New Roman" w:asciiTheme="minorEastAsia" w:hAnsiTheme="minorEastAsia"/>
                <w:sz w:val="18"/>
                <w:szCs w:val="18"/>
              </w:rPr>
              <w:t>/h</w:t>
            </w:r>
            <w:r>
              <w:rPr>
                <w:rFonts w:hint="eastAsia" w:asciiTheme="minorEastAsia" w:hAnsiTheme="minorEastAsia"/>
                <w:sz w:val="18"/>
                <w:szCs w:val="18"/>
              </w:rPr>
              <w:t>。</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2套</w:t>
            </w:r>
          </w:p>
        </w:tc>
        <w:tc>
          <w:tcPr>
            <w:tcW w:w="5954" w:type="dxa"/>
            <w:gridSpan w:val="2"/>
            <w:vAlign w:val="center"/>
          </w:tcPr>
          <w:p>
            <w:pPr>
              <w:spacing w:line="240" w:lineRule="atLeast"/>
              <w:rPr>
                <w:rFonts w:asciiTheme="minorEastAsia" w:hAnsiTheme="minorEastAsia"/>
                <w:sz w:val="18"/>
                <w:szCs w:val="18"/>
              </w:rPr>
            </w:pPr>
            <w:r>
              <w:rPr>
                <w:rFonts w:hint="eastAsia" w:asciiTheme="minorEastAsia" w:hAnsiTheme="minorEastAsia"/>
                <w:sz w:val="18"/>
                <w:szCs w:val="18"/>
              </w:rPr>
              <w:t>碳黑尘</w:t>
            </w:r>
            <w:r>
              <w:rPr>
                <w:rFonts w:hint="eastAsia" w:cs="Times New Roman" w:asciiTheme="minorEastAsia" w:hAnsiTheme="minorEastAsia"/>
                <w:color w:val="0D0D0D" w:themeColor="text1" w:themeTint="F2"/>
                <w:sz w:val="18"/>
                <w:szCs w:val="18"/>
                <w14:textFill>
                  <w14:solidFill>
                    <w14:schemeClr w14:val="tx1">
                      <w14:lumMod w14:val="95000"/>
                      <w14:lumOff w14:val="5000"/>
                    </w14:schemeClr>
                  </w14:solidFill>
                </w14:textFill>
              </w:rPr>
              <w:t>满足《大气污染物综合排放标准》（GB16297-1996）表2限值要求</w:t>
            </w:r>
            <w:r>
              <w:rPr>
                <w:rFonts w:hint="eastAsia" w:asciiTheme="minorEastAsia" w:hAnsiTheme="minorEastAsia"/>
                <w:sz w:val="18"/>
                <w:szCs w:val="18"/>
              </w:rPr>
              <w:t>。</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食堂油烟</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效率不低于90%的油烟净化器+15m排气筒。</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1套</w:t>
            </w:r>
          </w:p>
        </w:tc>
        <w:tc>
          <w:tcPr>
            <w:tcW w:w="5954" w:type="dxa"/>
            <w:gridSpan w:val="2"/>
            <w:vAlign w:val="center"/>
          </w:tcPr>
          <w:p>
            <w:pPr>
              <w:spacing w:line="240" w:lineRule="atLeast"/>
              <w:rPr>
                <w:rFonts w:asciiTheme="minorEastAsia" w:hAnsiTheme="minorEastAsia"/>
                <w:sz w:val="18"/>
                <w:szCs w:val="18"/>
              </w:rPr>
            </w:pPr>
            <w:r>
              <w:rPr>
                <w:rFonts w:hint="eastAsia" w:asciiTheme="minorEastAsia" w:hAnsiTheme="minorEastAsia"/>
                <w:sz w:val="18"/>
                <w:szCs w:val="18"/>
              </w:rPr>
              <w:t>执行河南省《饮食业油烟污染物排放标准》（DB41/1604-2018）中的小型≤1.5mg/m</w:t>
            </w:r>
            <w:r>
              <w:rPr>
                <w:rFonts w:hint="eastAsia" w:asciiTheme="minorEastAsia" w:hAnsiTheme="minorEastAsia"/>
                <w:sz w:val="18"/>
                <w:szCs w:val="18"/>
                <w:vertAlign w:val="superscript"/>
              </w:rPr>
              <w:t>3</w:t>
            </w:r>
            <w:r>
              <w:rPr>
                <w:rFonts w:hint="eastAsia" w:asciiTheme="minorEastAsia" w:hAnsiTheme="minorEastAsia"/>
                <w:sz w:val="18"/>
                <w:szCs w:val="18"/>
              </w:rPr>
              <w:t>标准限值。</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热裂解生产车间无组织废气</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密闭收料设备、设置集气罩集气处理及车间自然沉降等。</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5954" w:type="dxa"/>
            <w:gridSpan w:val="2"/>
            <w:vMerge w:val="restart"/>
            <w:vAlign w:val="center"/>
          </w:tcPr>
          <w:p>
            <w:pPr>
              <w:spacing w:line="240" w:lineRule="atLeast"/>
              <w:rPr>
                <w:rFonts w:asciiTheme="minorEastAsia" w:hAnsiTheme="minorEastAsia"/>
                <w:sz w:val="18"/>
                <w:szCs w:val="18"/>
              </w:rPr>
            </w:pPr>
            <w:r>
              <w:rPr>
                <w:rFonts w:hint="eastAsia" w:asciiTheme="minorEastAsia" w:hAnsiTheme="minorEastAsia"/>
                <w:sz w:val="18"/>
                <w:szCs w:val="18"/>
              </w:rPr>
              <w:t>硫化氢厂界浓度满足《恶臭污染物排放标准》（GB14554-93）表1厂界标准值二级限值要求；厂界无组织颗粒物排放浓度满足《大气污染物综合排放标准》（GB16297-1996）中表2新污染源大气污染物无组织排放监控浓度限值要求；无组非甲烷总烃排放执行《关于全省开展工业企业挥发性有机物专项治理工作中排放建议值的通知》（豫环攻坚办[2017]162号）规定的排放建议值。</w:t>
            </w:r>
          </w:p>
          <w:p>
            <w:pPr>
              <w:spacing w:line="240" w:lineRule="atLeast"/>
              <w:rPr>
                <w:rFonts w:asciiTheme="minorEastAsia" w:hAnsiTheme="minorEastAsia"/>
                <w:sz w:val="18"/>
                <w:szCs w:val="18"/>
              </w:rPr>
            </w:pPr>
            <w:r>
              <w:rPr>
                <w:rFonts w:hint="eastAsia" w:asciiTheme="minorEastAsia" w:hAnsiTheme="minorEastAsia"/>
                <w:sz w:val="18"/>
                <w:szCs w:val="18"/>
              </w:rPr>
              <w:t>同时满足《挥发性有机物无组织排放控制标准》（GB37822-2019）要求。</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产品库无组织废气</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产品袋装储存、库内装卸料等。</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5954" w:type="dxa"/>
            <w:gridSpan w:val="2"/>
            <w:vMerge w:val="continue"/>
            <w:vAlign w:val="center"/>
          </w:tcPr>
          <w:p>
            <w:pPr>
              <w:spacing w:line="240" w:lineRule="atLeast"/>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储罐区废气</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装卸采用平衡鹤管；储罐安装氮封及油气回收装置。</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6套</w:t>
            </w:r>
          </w:p>
        </w:tc>
        <w:tc>
          <w:tcPr>
            <w:tcW w:w="5954" w:type="dxa"/>
            <w:gridSpan w:val="2"/>
            <w:vMerge w:val="continue"/>
            <w:vAlign w:val="center"/>
          </w:tcPr>
          <w:p>
            <w:pPr>
              <w:spacing w:line="240" w:lineRule="atLeast"/>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959"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废水</w:t>
            </w: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废气处理系统排放废水</w:t>
            </w:r>
          </w:p>
        </w:tc>
        <w:tc>
          <w:tcPr>
            <w:tcW w:w="3544" w:type="dxa"/>
            <w:vMerge w:val="restart"/>
            <w:vAlign w:val="center"/>
          </w:tcPr>
          <w:p>
            <w:pPr>
              <w:spacing w:line="240" w:lineRule="atLeast"/>
              <w:rPr>
                <w:rFonts w:asciiTheme="minorEastAsia" w:hAnsiTheme="minorEastAsia"/>
                <w:sz w:val="18"/>
                <w:szCs w:val="18"/>
              </w:rPr>
            </w:pPr>
            <w:r>
              <w:rPr>
                <w:rFonts w:hint="eastAsia" w:asciiTheme="minorEastAsia" w:hAnsiTheme="minorEastAsia"/>
                <w:sz w:val="18"/>
                <w:szCs w:val="18"/>
              </w:rPr>
              <w:t>1座25m</w:t>
            </w:r>
            <w:r>
              <w:rPr>
                <w:rFonts w:hint="eastAsia" w:asciiTheme="minorEastAsia" w:hAnsiTheme="minorEastAsia"/>
                <w:sz w:val="18"/>
                <w:szCs w:val="18"/>
                <w:vertAlign w:val="superscript"/>
              </w:rPr>
              <w:t>3</w:t>
            </w:r>
            <w:r>
              <w:rPr>
                <w:rFonts w:hint="eastAsia" w:asciiTheme="minorEastAsia" w:hAnsiTheme="minorEastAsia"/>
                <w:sz w:val="18"/>
                <w:szCs w:val="18"/>
              </w:rPr>
              <w:t>隔油池预处理后，进入一体化污水处理系统。</w:t>
            </w:r>
          </w:p>
        </w:tc>
        <w:tc>
          <w:tcPr>
            <w:tcW w:w="850"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1套</w:t>
            </w:r>
          </w:p>
        </w:tc>
        <w:tc>
          <w:tcPr>
            <w:tcW w:w="5954" w:type="dxa"/>
            <w:gridSpan w:val="2"/>
            <w:vMerge w:val="restart"/>
            <w:vAlign w:val="center"/>
          </w:tcPr>
          <w:p>
            <w:pPr>
              <w:spacing w:line="240" w:lineRule="atLeast"/>
              <w:rPr>
                <w:rFonts w:asciiTheme="minorEastAsia" w:hAnsiTheme="minorEastAsia"/>
                <w:sz w:val="18"/>
                <w:szCs w:val="18"/>
              </w:rPr>
            </w:pPr>
            <w:r>
              <w:rPr>
                <w:rFonts w:hint="eastAsia" w:asciiTheme="minorEastAsia" w:hAnsiTheme="minorEastAsia"/>
                <w:sz w:val="18"/>
                <w:szCs w:val="18"/>
              </w:rPr>
              <w:t>/</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厂区生产区初期雨水</w:t>
            </w:r>
          </w:p>
        </w:tc>
        <w:tc>
          <w:tcPr>
            <w:tcW w:w="3544" w:type="dxa"/>
            <w:vMerge w:val="continue"/>
            <w:vAlign w:val="center"/>
          </w:tcPr>
          <w:p>
            <w:pPr>
              <w:spacing w:line="240" w:lineRule="atLeast"/>
              <w:rPr>
                <w:rFonts w:asciiTheme="minorEastAsia" w:hAnsiTheme="minorEastAsia"/>
                <w:sz w:val="18"/>
                <w:szCs w:val="18"/>
              </w:rPr>
            </w:pPr>
          </w:p>
        </w:tc>
        <w:tc>
          <w:tcPr>
            <w:tcW w:w="850" w:type="dxa"/>
            <w:vMerge w:val="continue"/>
            <w:vAlign w:val="center"/>
          </w:tcPr>
          <w:p>
            <w:pPr>
              <w:spacing w:line="240" w:lineRule="atLeast"/>
              <w:jc w:val="center"/>
              <w:rPr>
                <w:rFonts w:asciiTheme="minorEastAsia" w:hAnsiTheme="minorEastAsia"/>
                <w:sz w:val="18"/>
                <w:szCs w:val="18"/>
              </w:rPr>
            </w:pPr>
          </w:p>
        </w:tc>
        <w:tc>
          <w:tcPr>
            <w:tcW w:w="5954" w:type="dxa"/>
            <w:gridSpan w:val="2"/>
            <w:vMerge w:val="continue"/>
            <w:vAlign w:val="center"/>
          </w:tcPr>
          <w:p>
            <w:pPr>
              <w:spacing w:line="240" w:lineRule="atLeast"/>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生活污水</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1座15m</w:t>
            </w:r>
            <w:r>
              <w:rPr>
                <w:rFonts w:hint="eastAsia" w:asciiTheme="minorEastAsia" w:hAnsiTheme="minorEastAsia"/>
                <w:sz w:val="18"/>
                <w:szCs w:val="18"/>
                <w:vertAlign w:val="superscript"/>
              </w:rPr>
              <w:t>3</w:t>
            </w:r>
            <w:r>
              <w:rPr>
                <w:rFonts w:hint="eastAsia" w:asciiTheme="minorEastAsia" w:hAnsiTheme="minorEastAsia"/>
                <w:sz w:val="18"/>
                <w:szCs w:val="18"/>
              </w:rPr>
              <w:t>隔油化粪池处理后，进入一体化污水处理系统。</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1套</w:t>
            </w:r>
          </w:p>
        </w:tc>
        <w:tc>
          <w:tcPr>
            <w:tcW w:w="5954" w:type="dxa"/>
            <w:gridSpan w:val="2"/>
            <w:vAlign w:val="center"/>
          </w:tcPr>
          <w:p>
            <w:pPr>
              <w:spacing w:line="240" w:lineRule="atLeast"/>
              <w:rPr>
                <w:rFonts w:asciiTheme="minorEastAsia" w:hAnsiTheme="minorEastAsia"/>
                <w:sz w:val="18"/>
                <w:szCs w:val="18"/>
              </w:rPr>
            </w:pPr>
            <w:r>
              <w:rPr>
                <w:rFonts w:hint="eastAsia" w:asciiTheme="minorEastAsia" w:hAnsiTheme="minorEastAsia"/>
                <w:sz w:val="18"/>
                <w:szCs w:val="18"/>
              </w:rPr>
              <w:t>/</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预处理后生产废水、生活污水、生产区初期雨水等</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1套40m</w:t>
            </w:r>
            <w:r>
              <w:rPr>
                <w:rFonts w:hint="eastAsia" w:asciiTheme="minorEastAsia" w:hAnsiTheme="minorEastAsia"/>
                <w:sz w:val="18"/>
                <w:szCs w:val="18"/>
                <w:vertAlign w:val="superscript"/>
              </w:rPr>
              <w:t>3</w:t>
            </w:r>
            <w:r>
              <w:rPr>
                <w:rFonts w:hint="eastAsia" w:asciiTheme="minorEastAsia" w:hAnsiTheme="minorEastAsia"/>
                <w:sz w:val="18"/>
                <w:szCs w:val="18"/>
              </w:rPr>
              <w:t>/d的一体化污水处理系统（调节池+气浮池+接触氧化池+絮凝沉淀池+二沉池+清水池+达标排放），处理后废水排放城市污水处理厂，处理达标排放地表水体。</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1套</w:t>
            </w:r>
          </w:p>
        </w:tc>
        <w:tc>
          <w:tcPr>
            <w:tcW w:w="5954" w:type="dxa"/>
            <w:gridSpan w:val="2"/>
            <w:vAlign w:val="center"/>
          </w:tcPr>
          <w:p>
            <w:pPr>
              <w:spacing w:line="240" w:lineRule="atLeast"/>
              <w:rPr>
                <w:rFonts w:cs="Times New Roman" w:asciiTheme="minorEastAsia" w:hAnsiTheme="minorEastAsia"/>
                <w:bCs/>
                <w:sz w:val="18"/>
                <w:szCs w:val="18"/>
              </w:rPr>
            </w:pPr>
            <w:r>
              <w:rPr>
                <w:rFonts w:hint="eastAsia" w:cs="Times New Roman" w:asciiTheme="minorEastAsia" w:hAnsiTheme="minorEastAsia"/>
                <w:bCs/>
                <w:sz w:val="18"/>
                <w:szCs w:val="18"/>
              </w:rPr>
              <w:t>厂区污水总排口各类污染物满足《污水综合排放标准》（GB8978-1996）表4三级标准及西平县城市污水处理厂进水水质要求。</w:t>
            </w:r>
          </w:p>
          <w:p>
            <w:pPr>
              <w:spacing w:line="240" w:lineRule="atLeast"/>
              <w:rPr>
                <w:rFonts w:cs="Times New Roman" w:asciiTheme="minorEastAsia" w:hAnsiTheme="minorEastAsia"/>
                <w:bCs/>
                <w:sz w:val="18"/>
                <w:szCs w:val="18"/>
              </w:rPr>
            </w:pPr>
            <w:r>
              <w:rPr>
                <w:rFonts w:hint="eastAsia" w:cs="Times New Roman" w:asciiTheme="minorEastAsia" w:hAnsiTheme="minorEastAsia"/>
                <w:bCs/>
                <w:sz w:val="18"/>
                <w:szCs w:val="18"/>
              </w:rPr>
              <w:t>污水厂出水执行《城镇污水处理厂污染物排放标准》（GB18918-2002）一级A标准。</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洗车废水</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1座5.0m</w:t>
            </w:r>
            <w:r>
              <w:rPr>
                <w:rFonts w:hint="eastAsia" w:asciiTheme="minorEastAsia" w:hAnsiTheme="minorEastAsia"/>
                <w:sz w:val="18"/>
                <w:szCs w:val="18"/>
                <w:vertAlign w:val="superscript"/>
              </w:rPr>
              <w:t>3</w:t>
            </w:r>
            <w:r>
              <w:rPr>
                <w:rFonts w:hint="eastAsia" w:asciiTheme="minorEastAsia" w:hAnsiTheme="minorEastAsia"/>
                <w:sz w:val="18"/>
                <w:szCs w:val="18"/>
              </w:rPr>
              <w:t>三级沉淀系统处理后，全部回用。</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1套</w:t>
            </w:r>
          </w:p>
        </w:tc>
        <w:tc>
          <w:tcPr>
            <w:tcW w:w="5954" w:type="dxa"/>
            <w:gridSpan w:val="2"/>
            <w:vAlign w:val="center"/>
          </w:tcPr>
          <w:p>
            <w:pPr>
              <w:spacing w:line="240" w:lineRule="atLeast"/>
              <w:rPr>
                <w:rFonts w:cs="Times New Roman" w:asciiTheme="minorEastAsia" w:hAnsiTheme="minorEastAsia"/>
                <w:bCs/>
                <w:sz w:val="18"/>
                <w:szCs w:val="18"/>
              </w:rPr>
            </w:pPr>
            <w:r>
              <w:rPr>
                <w:rFonts w:hint="eastAsia" w:asciiTheme="minorEastAsia" w:hAnsiTheme="minorEastAsia"/>
                <w:sz w:val="18"/>
                <w:szCs w:val="18"/>
              </w:rPr>
              <w:t>不外排。</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冷却系统排放清下水</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沉淀后排放污水处理厂。</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5954" w:type="dxa"/>
            <w:gridSpan w:val="2"/>
            <w:vAlign w:val="center"/>
          </w:tcPr>
          <w:p>
            <w:pPr>
              <w:spacing w:line="240" w:lineRule="atLeast"/>
              <w:rPr>
                <w:rFonts w:cs="Times New Roman" w:asciiTheme="minorEastAsia" w:hAnsiTheme="minorEastAsia"/>
                <w:bCs/>
                <w:sz w:val="18"/>
                <w:szCs w:val="18"/>
              </w:rPr>
            </w:pPr>
            <w:r>
              <w:rPr>
                <w:rFonts w:hint="eastAsia" w:cs="Times New Roman" w:asciiTheme="minorEastAsia" w:hAnsiTheme="minorEastAsia"/>
                <w:bCs/>
                <w:sz w:val="18"/>
                <w:szCs w:val="18"/>
              </w:rPr>
              <w:t>直接通过厂区总排口排放。</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959"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噪声</w:t>
            </w: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生产设备等</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减振、隔声、车间合理布置等措施。</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5954" w:type="dxa"/>
            <w:gridSpan w:val="2"/>
            <w:vAlign w:val="center"/>
          </w:tcPr>
          <w:p>
            <w:pPr>
              <w:spacing w:line="240" w:lineRule="atLeast"/>
              <w:rPr>
                <w:rFonts w:asciiTheme="minorEastAsia" w:hAnsiTheme="minorEastAsia"/>
                <w:sz w:val="18"/>
                <w:szCs w:val="18"/>
              </w:rPr>
            </w:pPr>
            <w:r>
              <w:rPr>
                <w:rFonts w:hint="eastAsia" w:asciiTheme="minorEastAsia" w:hAnsiTheme="minorEastAsia"/>
                <w:sz w:val="18"/>
                <w:szCs w:val="18"/>
              </w:rPr>
              <w:t>厂界噪声执行《工业企业厂界环境噪声排放标准》（GB12348-2008）中的3类标准。</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0" w:hRule="atLeast"/>
        </w:trPr>
        <w:tc>
          <w:tcPr>
            <w:tcW w:w="959"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危险废物</w:t>
            </w: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生产环节及废气处理产生的废脱硝催化剂、废紫外灯管、废活性炭、储油罐废油泥渣、水封罐底泥、隔油浮渣等危险废物</w:t>
            </w:r>
          </w:p>
        </w:tc>
        <w:tc>
          <w:tcPr>
            <w:tcW w:w="3544" w:type="dxa"/>
            <w:vAlign w:val="center"/>
          </w:tcPr>
          <w:p>
            <w:pPr>
              <w:spacing w:line="240" w:lineRule="atLeast"/>
              <w:rPr>
                <w:rFonts w:asciiTheme="minorEastAsia" w:hAnsiTheme="minorEastAsia"/>
                <w:sz w:val="18"/>
                <w:szCs w:val="18"/>
              </w:rPr>
            </w:pPr>
            <w:r>
              <w:rPr>
                <w:rFonts w:hint="eastAsia" w:asciiTheme="minorEastAsia" w:hAnsiTheme="minorEastAsia"/>
                <w:sz w:val="18"/>
                <w:szCs w:val="18"/>
              </w:rPr>
              <w:t>1座50m</w:t>
            </w:r>
            <w:r>
              <w:rPr>
                <w:rFonts w:hint="eastAsia" w:asciiTheme="minorEastAsia" w:hAnsiTheme="minorEastAsia"/>
                <w:sz w:val="18"/>
                <w:szCs w:val="18"/>
                <w:vertAlign w:val="superscript"/>
              </w:rPr>
              <w:t>2</w:t>
            </w:r>
            <w:r>
              <w:rPr>
                <w:rFonts w:hint="eastAsia" w:asciiTheme="minorEastAsia" w:hAnsiTheme="minorEastAsia"/>
                <w:sz w:val="18"/>
                <w:szCs w:val="18"/>
              </w:rPr>
              <w:t>危废库；各类废物收集后用专用容器或防渗、防腐包装袋收集，暂存厂区危废库，定期委托有资质单位转移处置。</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1座</w:t>
            </w:r>
          </w:p>
        </w:tc>
        <w:tc>
          <w:tcPr>
            <w:tcW w:w="5954" w:type="dxa"/>
            <w:gridSpan w:val="2"/>
            <w:vAlign w:val="center"/>
          </w:tcPr>
          <w:p>
            <w:pPr>
              <w:spacing w:line="240" w:lineRule="atLeast"/>
              <w:rPr>
                <w:rFonts w:asciiTheme="minorEastAsia" w:hAnsiTheme="minorEastAsia"/>
                <w:sz w:val="18"/>
                <w:szCs w:val="18"/>
              </w:rPr>
            </w:pPr>
            <w:r>
              <w:rPr>
                <w:rFonts w:hint="eastAsia" w:asciiTheme="minorEastAsia" w:hAnsiTheme="minorEastAsia"/>
                <w:sz w:val="18"/>
                <w:szCs w:val="18"/>
              </w:rPr>
              <w:t>规范处理、处置；贮存场所满足GB18597-2001《危险废物贮存污染控制标准》及其修改单的规定；危废库面积不小于50m</w:t>
            </w:r>
            <w:r>
              <w:rPr>
                <w:rFonts w:hint="eastAsia" w:asciiTheme="minorEastAsia" w:hAnsiTheme="minorEastAsia"/>
                <w:sz w:val="18"/>
                <w:szCs w:val="18"/>
                <w:vertAlign w:val="superscript"/>
              </w:rPr>
              <w:t>2</w:t>
            </w:r>
            <w:r>
              <w:rPr>
                <w:rFonts w:hint="eastAsia" w:asciiTheme="minorEastAsia" w:hAnsiTheme="minorEastAsia"/>
                <w:sz w:val="18"/>
                <w:szCs w:val="18"/>
              </w:rPr>
              <w:t>，容积不小于100m</w:t>
            </w:r>
            <w:r>
              <w:rPr>
                <w:rFonts w:hint="eastAsia" w:asciiTheme="minorEastAsia" w:hAnsiTheme="minorEastAsia"/>
                <w:sz w:val="18"/>
                <w:szCs w:val="18"/>
                <w:vertAlign w:val="superscript"/>
              </w:rPr>
              <w:t>3</w:t>
            </w:r>
            <w:r>
              <w:rPr>
                <w:rFonts w:hint="eastAsia" w:asciiTheme="minorEastAsia" w:hAnsiTheme="minorEastAsia"/>
                <w:sz w:val="18"/>
                <w:szCs w:val="18"/>
              </w:rPr>
              <w:t>；做好防渗、防腐处理；设置明显危废标识。</w:t>
            </w:r>
          </w:p>
        </w:tc>
        <w:tc>
          <w:tcPr>
            <w:tcW w:w="992"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运行期严格落实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959"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一般固体废物及生活垃圾</w:t>
            </w: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回收热裂解油、粗碳黑、钢丝等产品</w:t>
            </w:r>
          </w:p>
        </w:tc>
        <w:tc>
          <w:tcPr>
            <w:tcW w:w="3544" w:type="dxa"/>
            <w:vAlign w:val="center"/>
          </w:tcPr>
          <w:p>
            <w:pPr>
              <w:adjustRightInd w:val="0"/>
              <w:snapToGrid w:val="0"/>
              <w:spacing w:line="260" w:lineRule="exact"/>
              <w:ind w:left="-105" w:leftChars="-50" w:right="-105" w:rightChars="-50"/>
              <w:rPr>
                <w:rFonts w:cs="Times New Roman" w:asciiTheme="minorEastAsia" w:hAnsiTheme="minorEastAsia"/>
                <w:sz w:val="18"/>
                <w:szCs w:val="18"/>
              </w:rPr>
            </w:pPr>
            <w:r>
              <w:rPr>
                <w:rFonts w:hint="eastAsia" w:cs="Times New Roman" w:asciiTheme="minorEastAsia" w:hAnsiTheme="minorEastAsia"/>
                <w:sz w:val="18"/>
                <w:szCs w:val="18"/>
              </w:rPr>
              <w:t>外售、资源化再利用。</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5954" w:type="dxa"/>
            <w:gridSpan w:val="2"/>
            <w:vAlign w:val="center"/>
          </w:tcPr>
          <w:p>
            <w:pPr>
              <w:spacing w:line="240" w:lineRule="atLeast"/>
              <w:rPr>
                <w:rFonts w:asciiTheme="minorEastAsia" w:hAnsiTheme="minorEastAsia"/>
                <w:sz w:val="18"/>
                <w:szCs w:val="18"/>
              </w:rPr>
            </w:pPr>
            <w:r>
              <w:rPr>
                <w:rFonts w:hint="eastAsia" w:asciiTheme="minorEastAsia" w:hAnsiTheme="minorEastAsia"/>
                <w:sz w:val="18"/>
                <w:szCs w:val="18"/>
              </w:rPr>
              <w:t>热裂解油严格按照国家规定规范储存、运输。</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59" w:type="dxa"/>
            <w:vMerge w:val="continue"/>
            <w:vAlign w:val="center"/>
          </w:tcPr>
          <w:p>
            <w:pPr>
              <w:spacing w:line="240" w:lineRule="atLeast"/>
              <w:jc w:val="center"/>
              <w:rPr>
                <w:rFonts w:asciiTheme="minorEastAsia" w:hAnsiTheme="minorEastAsia"/>
                <w:b/>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脱硫泥渣</w:t>
            </w:r>
          </w:p>
        </w:tc>
        <w:tc>
          <w:tcPr>
            <w:tcW w:w="3544" w:type="dxa"/>
            <w:vAlign w:val="center"/>
          </w:tcPr>
          <w:p>
            <w:pPr>
              <w:adjustRightInd w:val="0"/>
              <w:snapToGrid w:val="0"/>
              <w:spacing w:line="260" w:lineRule="exact"/>
              <w:ind w:left="-105" w:leftChars="-50" w:right="-105" w:rightChars="-50"/>
              <w:rPr>
                <w:rFonts w:cs="Times New Roman" w:asciiTheme="minorEastAsia" w:hAnsiTheme="minorEastAsia"/>
                <w:sz w:val="18"/>
                <w:szCs w:val="18"/>
              </w:rPr>
            </w:pPr>
            <w:r>
              <w:rPr>
                <w:rFonts w:hint="eastAsia" w:cs="Times New Roman" w:asciiTheme="minorEastAsia" w:hAnsiTheme="minorEastAsia"/>
                <w:sz w:val="18"/>
                <w:szCs w:val="18"/>
              </w:rPr>
              <w:t>外售制砖厂作为生产原料、资源化再利用。</w:t>
            </w:r>
          </w:p>
        </w:tc>
        <w:tc>
          <w:tcPr>
            <w:tcW w:w="850"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一般固废库1座</w:t>
            </w:r>
          </w:p>
        </w:tc>
        <w:tc>
          <w:tcPr>
            <w:tcW w:w="5954" w:type="dxa"/>
            <w:gridSpan w:val="2"/>
            <w:vMerge w:val="restart"/>
            <w:vAlign w:val="center"/>
          </w:tcPr>
          <w:p>
            <w:pPr>
              <w:spacing w:line="240" w:lineRule="atLeast"/>
              <w:rPr>
                <w:rFonts w:asciiTheme="minorEastAsia" w:hAnsiTheme="minorEastAsia"/>
                <w:sz w:val="18"/>
                <w:szCs w:val="18"/>
              </w:rPr>
            </w:pPr>
            <w:r>
              <w:rPr>
                <w:rFonts w:hint="eastAsia" w:asciiTheme="minorEastAsia" w:hAnsiTheme="minorEastAsia"/>
                <w:sz w:val="18"/>
                <w:szCs w:val="18"/>
              </w:rPr>
              <w:t>一般固废库面积不小于50m</w:t>
            </w:r>
            <w:r>
              <w:rPr>
                <w:rFonts w:hint="eastAsia" w:asciiTheme="minorEastAsia" w:hAnsiTheme="minorEastAsia"/>
                <w:sz w:val="18"/>
                <w:szCs w:val="18"/>
                <w:vertAlign w:val="superscript"/>
              </w:rPr>
              <w:t>2</w:t>
            </w:r>
            <w:r>
              <w:rPr>
                <w:rFonts w:hint="eastAsia" w:asciiTheme="minorEastAsia" w:hAnsiTheme="minorEastAsia"/>
                <w:sz w:val="18"/>
                <w:szCs w:val="18"/>
              </w:rPr>
              <w:t>,容积大于100m</w:t>
            </w:r>
            <w:r>
              <w:rPr>
                <w:rFonts w:hint="eastAsia" w:asciiTheme="minorEastAsia" w:hAnsiTheme="minorEastAsia"/>
                <w:sz w:val="18"/>
                <w:szCs w:val="18"/>
                <w:vertAlign w:val="superscript"/>
              </w:rPr>
              <w:t>3</w:t>
            </w:r>
            <w:r>
              <w:rPr>
                <w:rFonts w:hint="eastAsia" w:asciiTheme="minorEastAsia" w:hAnsiTheme="minorEastAsia"/>
                <w:sz w:val="18"/>
                <w:szCs w:val="18"/>
              </w:rPr>
              <w:t>；</w:t>
            </w:r>
          </w:p>
          <w:p>
            <w:pPr>
              <w:spacing w:line="240" w:lineRule="atLeast"/>
              <w:rPr>
                <w:rFonts w:asciiTheme="minorEastAsia" w:hAnsiTheme="minorEastAsia"/>
                <w:sz w:val="18"/>
                <w:szCs w:val="18"/>
              </w:rPr>
            </w:pPr>
            <w:r>
              <w:rPr>
                <w:rFonts w:hint="eastAsia" w:asciiTheme="minorEastAsia" w:hAnsiTheme="minorEastAsia"/>
                <w:sz w:val="18"/>
                <w:szCs w:val="18"/>
              </w:rPr>
              <w:t>贮存场所满足GB18599-2001《一般工业固体废物贮存、处置场污染物控制标准》及其修改单的规定；</w:t>
            </w:r>
          </w:p>
          <w:p>
            <w:pPr>
              <w:spacing w:line="240" w:lineRule="atLeast"/>
              <w:rPr>
                <w:rFonts w:asciiTheme="minorEastAsia" w:hAnsiTheme="minorEastAsia"/>
                <w:sz w:val="18"/>
                <w:szCs w:val="18"/>
              </w:rPr>
            </w:pPr>
            <w:r>
              <w:rPr>
                <w:rFonts w:hint="eastAsia" w:asciiTheme="minorEastAsia" w:hAnsiTheme="minorEastAsia"/>
                <w:sz w:val="18"/>
                <w:szCs w:val="18"/>
              </w:rPr>
              <w:t>规范处理、处置各类一般工业固废，确保对环境不造成二次污染。</w:t>
            </w: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59" w:type="dxa"/>
            <w:vMerge w:val="continue"/>
            <w:vAlign w:val="center"/>
          </w:tcPr>
          <w:p>
            <w:pPr>
              <w:spacing w:line="240" w:lineRule="atLeast"/>
              <w:jc w:val="center"/>
              <w:rPr>
                <w:rFonts w:asciiTheme="minorEastAsia" w:hAnsiTheme="minorEastAsia"/>
                <w:b/>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收集粉尘</w:t>
            </w:r>
          </w:p>
        </w:tc>
        <w:tc>
          <w:tcPr>
            <w:tcW w:w="3544" w:type="dxa"/>
            <w:vAlign w:val="center"/>
          </w:tcPr>
          <w:p>
            <w:pPr>
              <w:adjustRightInd w:val="0"/>
              <w:snapToGrid w:val="0"/>
              <w:spacing w:line="260" w:lineRule="exact"/>
              <w:ind w:left="-105" w:leftChars="-50" w:right="-105" w:rightChars="-50"/>
              <w:rPr>
                <w:rFonts w:cs="Times New Roman" w:asciiTheme="minorEastAsia" w:hAnsiTheme="minorEastAsia"/>
                <w:sz w:val="18"/>
                <w:szCs w:val="18"/>
              </w:rPr>
            </w:pPr>
            <w:r>
              <w:rPr>
                <w:rFonts w:hint="eastAsia" w:cs="Times New Roman" w:asciiTheme="minorEastAsia" w:hAnsiTheme="minorEastAsia"/>
                <w:sz w:val="18"/>
                <w:szCs w:val="18"/>
              </w:rPr>
              <w:t>作为碳黑产品出售。</w:t>
            </w:r>
          </w:p>
        </w:tc>
        <w:tc>
          <w:tcPr>
            <w:tcW w:w="850" w:type="dxa"/>
            <w:vMerge w:val="continue"/>
            <w:vAlign w:val="center"/>
          </w:tcPr>
          <w:p>
            <w:pPr>
              <w:spacing w:line="240" w:lineRule="atLeast"/>
              <w:jc w:val="center"/>
              <w:rPr>
                <w:rFonts w:asciiTheme="minorEastAsia" w:hAnsiTheme="minorEastAsia"/>
                <w:sz w:val="18"/>
                <w:szCs w:val="18"/>
              </w:rPr>
            </w:pPr>
          </w:p>
        </w:tc>
        <w:tc>
          <w:tcPr>
            <w:tcW w:w="5954" w:type="dxa"/>
            <w:gridSpan w:val="2"/>
            <w:vMerge w:val="continue"/>
            <w:vAlign w:val="center"/>
          </w:tcPr>
          <w:p>
            <w:pPr>
              <w:spacing w:line="240" w:lineRule="atLeast"/>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959" w:type="dxa"/>
            <w:vMerge w:val="continue"/>
            <w:vAlign w:val="center"/>
          </w:tcPr>
          <w:p>
            <w:pPr>
              <w:spacing w:line="240" w:lineRule="atLeast"/>
              <w:jc w:val="center"/>
              <w:rPr>
                <w:rFonts w:asciiTheme="minorEastAsia" w:hAnsiTheme="minorEastAsia"/>
                <w:b/>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污水处理装置脱水污泥</w:t>
            </w:r>
          </w:p>
        </w:tc>
        <w:tc>
          <w:tcPr>
            <w:tcW w:w="3544" w:type="dxa"/>
            <w:vAlign w:val="center"/>
          </w:tcPr>
          <w:p>
            <w:pPr>
              <w:spacing w:line="240" w:lineRule="atLeast"/>
              <w:rPr>
                <w:rFonts w:asciiTheme="minorEastAsia" w:hAnsiTheme="minorEastAsia"/>
                <w:sz w:val="18"/>
                <w:szCs w:val="18"/>
              </w:rPr>
            </w:pPr>
            <w:r>
              <w:rPr>
                <w:rFonts w:hint="eastAsia" w:cs="Times New Roman" w:asciiTheme="minorEastAsia" w:hAnsiTheme="minorEastAsia"/>
                <w:sz w:val="18"/>
                <w:szCs w:val="18"/>
              </w:rPr>
              <w:t>转运垃圾填埋场卫生填埋。</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5954" w:type="dxa"/>
            <w:gridSpan w:val="2"/>
            <w:vMerge w:val="continue"/>
            <w:vAlign w:val="center"/>
          </w:tcPr>
          <w:p>
            <w:pPr>
              <w:spacing w:line="240" w:lineRule="atLeast"/>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b/>
                <w:sz w:val="18"/>
                <w:szCs w:val="18"/>
              </w:rPr>
            </w:pPr>
          </w:p>
        </w:tc>
        <w:tc>
          <w:tcPr>
            <w:tcW w:w="2126" w:type="dxa"/>
            <w:vAlign w:val="center"/>
          </w:tcPr>
          <w:p>
            <w:pPr>
              <w:spacing w:line="240" w:lineRule="atLeast"/>
              <w:jc w:val="center"/>
              <w:rPr>
                <w:rFonts w:asciiTheme="minorEastAsia" w:hAnsiTheme="minorEastAsia"/>
                <w:sz w:val="18"/>
                <w:szCs w:val="18"/>
              </w:rPr>
            </w:pPr>
            <w:r>
              <w:rPr>
                <w:rFonts w:hint="eastAsia" w:cs="Times New Roman" w:asciiTheme="minorEastAsia" w:hAnsiTheme="minorEastAsia"/>
                <w:sz w:val="18"/>
                <w:szCs w:val="18"/>
              </w:rPr>
              <w:t>生活垃圾</w:t>
            </w:r>
          </w:p>
        </w:tc>
        <w:tc>
          <w:tcPr>
            <w:tcW w:w="3544" w:type="dxa"/>
            <w:vAlign w:val="center"/>
          </w:tcPr>
          <w:p>
            <w:pPr>
              <w:spacing w:line="240" w:lineRule="atLeast"/>
              <w:rPr>
                <w:rFonts w:asciiTheme="minorEastAsia" w:hAnsiTheme="minorEastAsia"/>
                <w:sz w:val="18"/>
                <w:szCs w:val="18"/>
              </w:rPr>
            </w:pPr>
            <w:r>
              <w:rPr>
                <w:rFonts w:hint="eastAsia" w:cs="Times New Roman" w:asciiTheme="minorEastAsia" w:hAnsiTheme="minorEastAsia"/>
                <w:sz w:val="18"/>
                <w:szCs w:val="18"/>
              </w:rPr>
              <w:t>垃圾桶收集，转运垃圾填埋场填埋。</w:t>
            </w:r>
          </w:p>
        </w:tc>
        <w:tc>
          <w:tcPr>
            <w:tcW w:w="850"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垃圾桶</w:t>
            </w:r>
          </w:p>
        </w:tc>
        <w:tc>
          <w:tcPr>
            <w:tcW w:w="5954" w:type="dxa"/>
            <w:gridSpan w:val="2"/>
            <w:vMerge w:val="continue"/>
            <w:vAlign w:val="center"/>
          </w:tcPr>
          <w:p>
            <w:pPr>
              <w:spacing w:line="240" w:lineRule="atLeast"/>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地下水污染防治</w:t>
            </w:r>
          </w:p>
        </w:tc>
        <w:tc>
          <w:tcPr>
            <w:tcW w:w="6520" w:type="dxa"/>
            <w:gridSpan w:val="3"/>
            <w:vAlign w:val="center"/>
          </w:tcPr>
          <w:p>
            <w:pPr>
              <w:spacing w:line="240" w:lineRule="exact"/>
              <w:jc w:val="left"/>
              <w:rPr>
                <w:rFonts w:asciiTheme="minorEastAsia" w:hAnsiTheme="minorEastAsia"/>
                <w:sz w:val="18"/>
                <w:szCs w:val="18"/>
              </w:rPr>
            </w:pPr>
            <w:r>
              <w:rPr>
                <w:rFonts w:hint="eastAsia" w:asciiTheme="minorEastAsia" w:hAnsiTheme="minorEastAsia"/>
                <w:sz w:val="18"/>
                <w:szCs w:val="18"/>
              </w:rPr>
              <w:t>厂区按照规范要求落实分区防渗措施。</w:t>
            </w:r>
          </w:p>
          <w:p>
            <w:pPr>
              <w:spacing w:line="240" w:lineRule="exact"/>
              <w:jc w:val="left"/>
              <w:rPr>
                <w:rFonts w:cs="Times New Roman" w:asciiTheme="minorEastAsia" w:hAnsiTheme="minorEastAsia"/>
                <w:color w:val="000000"/>
                <w:sz w:val="18"/>
                <w:szCs w:val="18"/>
                <w:lang w:bidi="ar"/>
              </w:rPr>
            </w:pPr>
            <w:r>
              <w:rPr>
                <w:rFonts w:hint="eastAsia" w:asciiTheme="minorEastAsia" w:hAnsiTheme="minorEastAsia"/>
                <w:sz w:val="18"/>
                <w:szCs w:val="18"/>
              </w:rPr>
              <w:t>车间、危废库、储罐区、废气处理区污水站等重点防渗区：</w:t>
            </w:r>
            <w:r>
              <w:rPr>
                <w:rFonts w:cs="Times New Roman" w:asciiTheme="minorEastAsia" w:hAnsiTheme="minorEastAsia"/>
                <w:color w:val="000000"/>
                <w:sz w:val="18"/>
                <w:szCs w:val="18"/>
                <w:lang w:bidi="ar"/>
              </w:rPr>
              <w:t>防渗层自下而上依次为</w:t>
            </w:r>
            <w:r>
              <w:rPr>
                <w:rFonts w:hint="eastAsia" w:cs="Times New Roman" w:asciiTheme="minorEastAsia" w:hAnsiTheme="minorEastAsia"/>
                <w:color w:val="000000"/>
                <w:sz w:val="18"/>
                <w:szCs w:val="18"/>
                <w:lang w:bidi="ar"/>
              </w:rPr>
              <w:t>6m厚黏土层</w:t>
            </w:r>
            <w:r>
              <w:rPr>
                <w:rFonts w:cs="Times New Roman" w:asciiTheme="minorEastAsia" w:hAnsiTheme="minorEastAsia"/>
                <w:sz w:val="18"/>
                <w:szCs w:val="18"/>
                <w:lang w:val="zh-CN" w:bidi="ar"/>
              </w:rPr>
              <w:t>压实地基、</w:t>
            </w:r>
            <w:r>
              <w:rPr>
                <w:rFonts w:hint="eastAsia" w:cs="Times New Roman" w:asciiTheme="minorEastAsia" w:hAnsiTheme="minorEastAsia"/>
                <w:sz w:val="18"/>
                <w:szCs w:val="18"/>
                <w:lang w:val="zh-CN" w:bidi="ar"/>
              </w:rPr>
              <w:t>6</w:t>
            </w:r>
            <w:r>
              <w:rPr>
                <w:rFonts w:cs="Times New Roman" w:asciiTheme="minorEastAsia" w:hAnsiTheme="minorEastAsia"/>
                <w:sz w:val="18"/>
                <w:szCs w:val="18"/>
                <w:lang w:val="zh-CN" w:bidi="ar"/>
              </w:rPr>
              <w:t>00g/m</w:t>
            </w:r>
            <w:r>
              <w:rPr>
                <w:rFonts w:cs="Times New Roman" w:asciiTheme="minorEastAsia" w:hAnsiTheme="minorEastAsia"/>
                <w:sz w:val="18"/>
                <w:szCs w:val="18"/>
                <w:vertAlign w:val="superscript"/>
                <w:lang w:val="zh-CN" w:bidi="ar"/>
              </w:rPr>
              <w:t>2</w:t>
            </w:r>
            <w:r>
              <w:rPr>
                <w:rFonts w:cs="Times New Roman" w:asciiTheme="minorEastAsia" w:hAnsiTheme="minorEastAsia"/>
                <w:sz w:val="18"/>
                <w:szCs w:val="18"/>
                <w:lang w:val="zh-CN" w:bidi="ar"/>
              </w:rPr>
              <w:t>土工布、2mm厚</w:t>
            </w:r>
            <w:r>
              <w:rPr>
                <w:rFonts w:hint="eastAsia" w:cs="Times New Roman" w:asciiTheme="minorEastAsia" w:hAnsiTheme="minorEastAsia"/>
                <w:sz w:val="18"/>
                <w:szCs w:val="18"/>
                <w:lang w:val="zh-CN" w:bidi="ar"/>
              </w:rPr>
              <w:t>双层高密度</w:t>
            </w:r>
            <w:r>
              <w:rPr>
                <w:rFonts w:cs="Times New Roman" w:asciiTheme="minorEastAsia" w:hAnsiTheme="minorEastAsia"/>
                <w:sz w:val="18"/>
                <w:szCs w:val="18"/>
                <w:lang w:val="zh-CN" w:bidi="ar"/>
              </w:rPr>
              <w:t>HDPE膜，</w:t>
            </w:r>
            <w:r>
              <w:rPr>
                <w:rFonts w:hint="eastAsia" w:cs="Times New Roman" w:asciiTheme="minorEastAsia" w:hAnsiTheme="minorEastAsia"/>
                <w:sz w:val="18"/>
                <w:szCs w:val="18"/>
                <w:lang w:val="zh-CN" w:bidi="ar"/>
              </w:rPr>
              <w:t>地坪采取三布四油防渗措施，</w:t>
            </w:r>
            <w:r>
              <w:rPr>
                <w:rFonts w:cs="Times New Roman" w:asciiTheme="minorEastAsia" w:hAnsiTheme="minorEastAsia"/>
                <w:kern w:val="0"/>
                <w:sz w:val="18"/>
                <w:szCs w:val="18"/>
                <w:lang w:bidi="ar"/>
              </w:rPr>
              <w:t>防渗结构层渗透系数</w:t>
            </w:r>
            <w:r>
              <w:rPr>
                <w:rFonts w:hint="eastAsia" w:cs="Times New Roman" w:asciiTheme="minorEastAsia" w:hAnsiTheme="minorEastAsia"/>
                <w:kern w:val="0"/>
                <w:sz w:val="18"/>
                <w:szCs w:val="18"/>
                <w:lang w:bidi="ar"/>
              </w:rPr>
              <w:t>小于</w:t>
            </w:r>
            <w:r>
              <w:rPr>
                <w:rFonts w:cs="Times New Roman" w:asciiTheme="minorEastAsia" w:hAnsiTheme="minorEastAsia"/>
                <w:kern w:val="0"/>
                <w:sz w:val="18"/>
                <w:szCs w:val="18"/>
                <w:lang w:bidi="ar"/>
              </w:rPr>
              <w:t>1.0×10</w:t>
            </w:r>
            <w:r>
              <w:rPr>
                <w:rFonts w:cs="Times New Roman" w:asciiTheme="minorEastAsia" w:hAnsiTheme="minorEastAsia"/>
                <w:kern w:val="0"/>
                <w:sz w:val="18"/>
                <w:szCs w:val="18"/>
                <w:vertAlign w:val="superscript"/>
                <w:lang w:bidi="ar"/>
              </w:rPr>
              <w:t>-10</w:t>
            </w:r>
            <w:r>
              <w:rPr>
                <w:rFonts w:cs="Times New Roman" w:asciiTheme="minorEastAsia" w:hAnsiTheme="minorEastAsia"/>
                <w:kern w:val="0"/>
                <w:sz w:val="18"/>
                <w:szCs w:val="18"/>
                <w:lang w:bidi="ar"/>
              </w:rPr>
              <w:t>cm/s。</w:t>
            </w:r>
          </w:p>
          <w:p>
            <w:pPr>
              <w:spacing w:line="240" w:lineRule="atLeast"/>
              <w:rPr>
                <w:rFonts w:cs="Times New Roman" w:asciiTheme="minorEastAsia" w:hAnsiTheme="minorEastAsia"/>
                <w:color w:val="000000"/>
                <w:sz w:val="18"/>
                <w:szCs w:val="18"/>
                <w:lang w:bidi="ar"/>
              </w:rPr>
            </w:pPr>
            <w:r>
              <w:rPr>
                <w:rFonts w:hint="eastAsia" w:cs="Times New Roman" w:asciiTheme="minorEastAsia" w:hAnsiTheme="minorEastAsia"/>
                <w:color w:val="000000"/>
                <w:sz w:val="18"/>
                <w:szCs w:val="18"/>
                <w:lang w:bidi="ar"/>
              </w:rPr>
              <w:t>产品库、包装车间、冷却系统等一般防渗区：</w:t>
            </w:r>
            <w:r>
              <w:rPr>
                <w:rFonts w:cs="Times New Roman" w:asciiTheme="minorEastAsia" w:hAnsiTheme="minorEastAsia"/>
                <w:color w:val="000000"/>
                <w:sz w:val="18"/>
                <w:szCs w:val="18"/>
                <w:lang w:bidi="ar"/>
              </w:rPr>
              <w:t>防渗层为</w:t>
            </w:r>
            <w:r>
              <w:rPr>
                <w:rFonts w:hint="eastAsia" w:cs="Times New Roman" w:asciiTheme="minorEastAsia" w:hAnsiTheme="minorEastAsia"/>
                <w:color w:val="000000"/>
                <w:sz w:val="18"/>
                <w:szCs w:val="18"/>
                <w:lang w:bidi="ar"/>
              </w:rPr>
              <w:t>2m厚黏土层</w:t>
            </w:r>
            <w:r>
              <w:rPr>
                <w:rFonts w:cs="Times New Roman" w:asciiTheme="minorEastAsia" w:hAnsiTheme="minorEastAsia"/>
                <w:sz w:val="18"/>
                <w:szCs w:val="18"/>
                <w:lang w:val="zh-CN" w:bidi="ar"/>
              </w:rPr>
              <w:t>压实地基、</w:t>
            </w:r>
            <w:r>
              <w:rPr>
                <w:rFonts w:hint="eastAsia" w:cs="Times New Roman" w:asciiTheme="minorEastAsia" w:hAnsiTheme="minorEastAsia"/>
                <w:sz w:val="18"/>
                <w:szCs w:val="18"/>
                <w:lang w:val="zh-CN" w:bidi="ar"/>
              </w:rPr>
              <w:t>6</w:t>
            </w:r>
            <w:r>
              <w:rPr>
                <w:rFonts w:cs="Times New Roman" w:asciiTheme="minorEastAsia" w:hAnsiTheme="minorEastAsia"/>
                <w:sz w:val="18"/>
                <w:szCs w:val="18"/>
                <w:lang w:val="zh-CN" w:bidi="ar"/>
              </w:rPr>
              <w:t>00g/m</w:t>
            </w:r>
            <w:r>
              <w:rPr>
                <w:rFonts w:cs="Times New Roman" w:asciiTheme="minorEastAsia" w:hAnsiTheme="minorEastAsia"/>
                <w:sz w:val="18"/>
                <w:szCs w:val="18"/>
                <w:vertAlign w:val="superscript"/>
                <w:lang w:val="zh-CN" w:bidi="ar"/>
              </w:rPr>
              <w:t>2</w:t>
            </w:r>
            <w:r>
              <w:rPr>
                <w:rFonts w:cs="Times New Roman" w:asciiTheme="minorEastAsia" w:hAnsiTheme="minorEastAsia"/>
                <w:sz w:val="18"/>
                <w:szCs w:val="18"/>
                <w:lang w:val="zh-CN" w:bidi="ar"/>
              </w:rPr>
              <w:t>土工布、2mm厚</w:t>
            </w:r>
            <w:r>
              <w:rPr>
                <w:rFonts w:hint="eastAsia" w:cs="Times New Roman" w:asciiTheme="minorEastAsia" w:hAnsiTheme="minorEastAsia"/>
                <w:sz w:val="18"/>
                <w:szCs w:val="18"/>
                <w:lang w:val="zh-CN" w:bidi="ar"/>
              </w:rPr>
              <w:t>双层高密度</w:t>
            </w:r>
            <w:r>
              <w:rPr>
                <w:rFonts w:cs="Times New Roman" w:asciiTheme="minorEastAsia" w:hAnsiTheme="minorEastAsia"/>
                <w:sz w:val="18"/>
                <w:szCs w:val="18"/>
                <w:lang w:val="zh-CN" w:bidi="ar"/>
              </w:rPr>
              <w:t>HDPE膜，</w:t>
            </w:r>
            <w:r>
              <w:rPr>
                <w:rFonts w:cs="Times New Roman" w:asciiTheme="minorEastAsia" w:hAnsiTheme="minorEastAsia"/>
                <w:kern w:val="0"/>
                <w:sz w:val="18"/>
                <w:szCs w:val="18"/>
                <w:lang w:bidi="ar"/>
              </w:rPr>
              <w:t>防渗结构层渗透系数</w:t>
            </w:r>
            <w:r>
              <w:rPr>
                <w:rFonts w:hint="eastAsia" w:cs="Times New Roman" w:asciiTheme="minorEastAsia" w:hAnsiTheme="minorEastAsia"/>
                <w:kern w:val="0"/>
                <w:sz w:val="18"/>
                <w:szCs w:val="18"/>
                <w:lang w:bidi="ar"/>
              </w:rPr>
              <w:t>小于</w:t>
            </w:r>
            <w:r>
              <w:rPr>
                <w:rFonts w:cs="Times New Roman" w:asciiTheme="minorEastAsia" w:hAnsiTheme="minorEastAsia"/>
                <w:kern w:val="0"/>
                <w:sz w:val="18"/>
                <w:szCs w:val="18"/>
                <w:lang w:bidi="ar"/>
              </w:rPr>
              <w:t>1.0×10</w:t>
            </w:r>
            <w:r>
              <w:rPr>
                <w:rFonts w:cs="Times New Roman" w:asciiTheme="minorEastAsia" w:hAnsiTheme="minorEastAsia"/>
                <w:kern w:val="0"/>
                <w:sz w:val="18"/>
                <w:szCs w:val="18"/>
                <w:vertAlign w:val="superscript"/>
                <w:lang w:bidi="ar"/>
              </w:rPr>
              <w:t>-</w:t>
            </w:r>
            <w:r>
              <w:rPr>
                <w:rFonts w:hint="eastAsia" w:cs="Times New Roman" w:asciiTheme="minorEastAsia" w:hAnsiTheme="minorEastAsia"/>
                <w:kern w:val="0"/>
                <w:sz w:val="18"/>
                <w:szCs w:val="18"/>
                <w:vertAlign w:val="superscript"/>
                <w:lang w:bidi="ar"/>
              </w:rPr>
              <w:t>7</w:t>
            </w:r>
            <w:r>
              <w:rPr>
                <w:rFonts w:cs="Times New Roman" w:asciiTheme="minorEastAsia" w:hAnsiTheme="minorEastAsia"/>
                <w:kern w:val="0"/>
                <w:sz w:val="18"/>
                <w:szCs w:val="18"/>
                <w:lang w:bidi="ar"/>
              </w:rPr>
              <w:t>cm/s。</w:t>
            </w:r>
            <w:r>
              <w:rPr>
                <w:rFonts w:cs="Times New Roman" w:asciiTheme="minorEastAsia" w:hAnsiTheme="minorEastAsia"/>
                <w:color w:val="000000"/>
                <w:sz w:val="18"/>
                <w:szCs w:val="18"/>
                <w:lang w:bidi="ar"/>
              </w:rPr>
              <w:t>构筑物采用钢筋砼结构型式，池内采用刷水泥基渗透结晶型防腐防水涂料，抗渗等级S6。</w:t>
            </w:r>
          </w:p>
          <w:p>
            <w:pPr>
              <w:spacing w:line="240" w:lineRule="atLeast"/>
              <w:rPr>
                <w:rFonts w:asciiTheme="minorEastAsia" w:hAnsiTheme="minorEastAsia"/>
                <w:sz w:val="18"/>
                <w:szCs w:val="18"/>
              </w:rPr>
            </w:pPr>
            <w:r>
              <w:rPr>
                <w:rFonts w:hint="eastAsia" w:cs="Times New Roman" w:asciiTheme="minorEastAsia" w:hAnsiTheme="minorEastAsia"/>
                <w:kern w:val="0"/>
                <w:sz w:val="18"/>
                <w:szCs w:val="18"/>
                <w:lang w:bidi="ar"/>
              </w:rPr>
              <w:t>办公区、厂区道路等简单防渗区：</w:t>
            </w:r>
            <w:r>
              <w:rPr>
                <w:rFonts w:hint="eastAsia" w:cs="Times New Roman" w:asciiTheme="minorEastAsia" w:hAnsiTheme="minorEastAsia"/>
                <w:sz w:val="18"/>
                <w:szCs w:val="18"/>
              </w:rPr>
              <w:t>一般地面硬化，</w:t>
            </w:r>
            <w:r>
              <w:rPr>
                <w:rFonts w:cs="Times New Roman" w:asciiTheme="minorEastAsia" w:hAnsiTheme="minorEastAsia"/>
                <w:kern w:val="0"/>
                <w:sz w:val="18"/>
                <w:szCs w:val="18"/>
                <w:lang w:bidi="ar"/>
              </w:rPr>
              <w:t>采取非铺砌地坪或普通混凝土地坪</w:t>
            </w:r>
            <w:r>
              <w:rPr>
                <w:rFonts w:hint="eastAsia" w:cs="Times New Roman" w:asciiTheme="minorEastAsia" w:hAnsiTheme="minorEastAsia"/>
                <w:kern w:val="0"/>
                <w:sz w:val="18"/>
                <w:szCs w:val="18"/>
                <w:lang w:bidi="ar"/>
              </w:rPr>
              <w:t>，厂区道路</w:t>
            </w:r>
            <w:r>
              <w:rPr>
                <w:rFonts w:cs="Times New Roman" w:asciiTheme="minorEastAsia" w:hAnsiTheme="minorEastAsia"/>
                <w:kern w:val="0"/>
                <w:sz w:val="18"/>
                <w:szCs w:val="18"/>
                <w:lang w:bidi="ar"/>
              </w:rPr>
              <w:t>设置</w:t>
            </w:r>
            <w:r>
              <w:rPr>
                <w:rFonts w:hint="eastAsia" w:cs="Times New Roman" w:asciiTheme="minorEastAsia" w:hAnsiTheme="minorEastAsia"/>
                <w:color w:val="000000"/>
                <w:sz w:val="18"/>
                <w:szCs w:val="18"/>
                <w:lang w:bidi="ar"/>
              </w:rPr>
              <w:t>1m厚黏土层</w:t>
            </w:r>
            <w:r>
              <w:rPr>
                <w:rFonts w:cs="Times New Roman" w:asciiTheme="minorEastAsia" w:hAnsiTheme="minorEastAsia"/>
                <w:sz w:val="18"/>
                <w:szCs w:val="18"/>
                <w:lang w:val="zh-CN" w:bidi="ar"/>
              </w:rPr>
              <w:t>压实地基</w:t>
            </w:r>
            <w:r>
              <w:rPr>
                <w:rFonts w:cs="Times New Roman" w:asciiTheme="minorEastAsia" w:hAnsiTheme="minorEastAsia"/>
                <w:kern w:val="0"/>
                <w:sz w:val="18"/>
                <w:szCs w:val="18"/>
                <w:lang w:bidi="ar"/>
              </w:rPr>
              <w:t>防渗层。</w:t>
            </w:r>
          </w:p>
        </w:tc>
        <w:tc>
          <w:tcPr>
            <w:tcW w:w="5954" w:type="dxa"/>
            <w:gridSpan w:val="2"/>
            <w:vAlign w:val="center"/>
          </w:tcPr>
          <w:p>
            <w:pPr>
              <w:spacing w:line="240" w:lineRule="atLeast"/>
              <w:rPr>
                <w:rFonts w:cs="Times New Roman" w:asciiTheme="minorEastAsia" w:hAnsiTheme="minorEastAsia"/>
                <w:sz w:val="18"/>
                <w:szCs w:val="18"/>
              </w:rPr>
            </w:pPr>
            <w:r>
              <w:rPr>
                <w:rFonts w:hint="eastAsia" w:cs="Times New Roman" w:asciiTheme="minorEastAsia" w:hAnsiTheme="minorEastAsia"/>
                <w:sz w:val="18"/>
                <w:szCs w:val="18"/>
              </w:rPr>
              <w:t>重点防渗区防渗技术要求：</w:t>
            </w:r>
          </w:p>
          <w:p>
            <w:pPr>
              <w:spacing w:line="240" w:lineRule="atLeast"/>
              <w:rPr>
                <w:rFonts w:cs="Times New Roman" w:asciiTheme="minorEastAsia" w:hAnsiTheme="minorEastAsia"/>
                <w:sz w:val="18"/>
                <w:szCs w:val="18"/>
              </w:rPr>
            </w:pPr>
            <w:r>
              <w:rPr>
                <w:rFonts w:hint="eastAsia" w:cs="Times New Roman" w:asciiTheme="minorEastAsia" w:hAnsiTheme="minorEastAsia"/>
                <w:sz w:val="18"/>
                <w:szCs w:val="18"/>
              </w:rPr>
              <w:t>等效粘土防渗层Mb≥6m，K≤1</w:t>
            </w:r>
            <w:r>
              <w:rPr>
                <w:rFonts w:cs="Times New Roman" w:asciiTheme="minorEastAsia" w:hAnsiTheme="minorEastAsia"/>
                <w:sz w:val="18"/>
                <w:szCs w:val="18"/>
              </w:rPr>
              <w:t>×10</w:t>
            </w:r>
            <w:r>
              <w:rPr>
                <w:rFonts w:cs="Times New Roman" w:asciiTheme="minorEastAsia" w:hAnsiTheme="minorEastAsia"/>
                <w:sz w:val="18"/>
                <w:szCs w:val="18"/>
                <w:vertAlign w:val="superscript"/>
              </w:rPr>
              <w:t>-</w:t>
            </w:r>
            <w:r>
              <w:rPr>
                <w:rFonts w:hint="eastAsia" w:cs="Times New Roman" w:asciiTheme="minorEastAsia" w:hAnsiTheme="minorEastAsia"/>
                <w:sz w:val="18"/>
                <w:szCs w:val="18"/>
                <w:vertAlign w:val="superscript"/>
              </w:rPr>
              <w:t>7</w:t>
            </w:r>
            <w:r>
              <w:rPr>
                <w:rFonts w:cs="Times New Roman" w:asciiTheme="minorEastAsia" w:hAnsiTheme="minorEastAsia"/>
                <w:sz w:val="18"/>
                <w:szCs w:val="18"/>
              </w:rPr>
              <w:t>cm/s</w:t>
            </w:r>
            <w:r>
              <w:rPr>
                <w:rFonts w:hint="eastAsia" w:cs="Times New Roman" w:asciiTheme="minorEastAsia" w:hAnsiTheme="minorEastAsia"/>
                <w:sz w:val="18"/>
                <w:szCs w:val="18"/>
              </w:rPr>
              <w:t>；或参照《危险废物填埋污染控制标准》（GB18598-2001）；</w:t>
            </w:r>
          </w:p>
          <w:p>
            <w:pPr>
              <w:spacing w:line="240" w:lineRule="atLeast"/>
              <w:rPr>
                <w:rFonts w:asciiTheme="minorEastAsia" w:hAnsiTheme="minorEastAsia"/>
                <w:sz w:val="18"/>
                <w:szCs w:val="18"/>
              </w:rPr>
            </w:pPr>
            <w:r>
              <w:rPr>
                <w:rFonts w:hint="eastAsia" w:asciiTheme="minorEastAsia" w:hAnsiTheme="minorEastAsia"/>
                <w:sz w:val="18"/>
                <w:szCs w:val="18"/>
              </w:rPr>
              <w:t>一般防渗区防渗技术要求：</w:t>
            </w:r>
          </w:p>
          <w:p>
            <w:pPr>
              <w:spacing w:line="240" w:lineRule="atLeast"/>
              <w:rPr>
                <w:rFonts w:asciiTheme="minorEastAsia" w:hAnsiTheme="minorEastAsia"/>
                <w:sz w:val="18"/>
                <w:szCs w:val="18"/>
              </w:rPr>
            </w:pPr>
            <w:r>
              <w:rPr>
                <w:rFonts w:hint="eastAsia" w:cs="Times New Roman" w:asciiTheme="minorEastAsia" w:hAnsiTheme="minorEastAsia"/>
                <w:sz w:val="18"/>
                <w:szCs w:val="18"/>
              </w:rPr>
              <w:t>等效粘土防渗层Mb≥1.5m，K≤1</w:t>
            </w:r>
            <w:r>
              <w:rPr>
                <w:rFonts w:cs="Times New Roman" w:asciiTheme="minorEastAsia" w:hAnsiTheme="minorEastAsia"/>
                <w:sz w:val="18"/>
                <w:szCs w:val="18"/>
              </w:rPr>
              <w:t>×10</w:t>
            </w:r>
            <w:r>
              <w:rPr>
                <w:rFonts w:cs="Times New Roman" w:asciiTheme="minorEastAsia" w:hAnsiTheme="minorEastAsia"/>
                <w:sz w:val="18"/>
                <w:szCs w:val="18"/>
                <w:vertAlign w:val="superscript"/>
              </w:rPr>
              <w:t>-</w:t>
            </w:r>
            <w:r>
              <w:rPr>
                <w:rFonts w:hint="eastAsia" w:cs="Times New Roman" w:asciiTheme="minorEastAsia" w:hAnsiTheme="minorEastAsia"/>
                <w:sz w:val="18"/>
                <w:szCs w:val="18"/>
                <w:vertAlign w:val="superscript"/>
              </w:rPr>
              <w:t>7</w:t>
            </w:r>
            <w:r>
              <w:rPr>
                <w:rFonts w:cs="Times New Roman" w:asciiTheme="minorEastAsia" w:hAnsiTheme="minorEastAsia"/>
                <w:sz w:val="18"/>
                <w:szCs w:val="18"/>
              </w:rPr>
              <w:t>cm/s</w:t>
            </w:r>
            <w:r>
              <w:rPr>
                <w:rFonts w:hint="eastAsia" w:cs="Times New Roman" w:asciiTheme="minorEastAsia" w:hAnsiTheme="minorEastAsia"/>
                <w:sz w:val="18"/>
                <w:szCs w:val="18"/>
              </w:rPr>
              <w:t>；或参照</w:t>
            </w:r>
            <w:r>
              <w:rPr>
                <w:rFonts w:cs="Times New Roman" w:asciiTheme="minorEastAsia" w:hAnsiTheme="minorEastAsia"/>
                <w:sz w:val="18"/>
                <w:szCs w:val="18"/>
              </w:rPr>
              <w:t>《生活垃圾填埋场控制标准》</w:t>
            </w:r>
            <w:r>
              <w:rPr>
                <w:rFonts w:hint="eastAsia" w:cs="Times New Roman" w:asciiTheme="minorEastAsia" w:hAnsiTheme="minorEastAsia"/>
                <w:sz w:val="18"/>
                <w:szCs w:val="18"/>
              </w:rPr>
              <w:t>（</w:t>
            </w:r>
            <w:r>
              <w:rPr>
                <w:rFonts w:cs="Times New Roman" w:asciiTheme="minorEastAsia" w:hAnsiTheme="minorEastAsia"/>
                <w:sz w:val="18"/>
                <w:szCs w:val="18"/>
              </w:rPr>
              <w:t>GB 16889-2008</w:t>
            </w:r>
            <w:r>
              <w:rPr>
                <w:rFonts w:hint="eastAsia" w:cs="Times New Roman" w:asciiTheme="minorEastAsia" w:hAnsiTheme="minorEastAsia"/>
                <w:sz w:val="18"/>
                <w:szCs w:val="18"/>
              </w:rPr>
              <w:t>）。</w:t>
            </w:r>
          </w:p>
        </w:tc>
        <w:tc>
          <w:tcPr>
            <w:tcW w:w="99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与基础设施建设同步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排污口规范化整治</w:t>
            </w:r>
          </w:p>
        </w:tc>
        <w:tc>
          <w:tcPr>
            <w:tcW w:w="6520" w:type="dxa"/>
            <w:gridSpan w:val="3"/>
            <w:vAlign w:val="center"/>
          </w:tcPr>
          <w:p>
            <w:pPr>
              <w:spacing w:line="240" w:lineRule="atLeast"/>
              <w:jc w:val="center"/>
              <w:rPr>
                <w:rFonts w:asciiTheme="minorEastAsia" w:hAnsiTheme="minorEastAsia"/>
                <w:sz w:val="18"/>
                <w:szCs w:val="18"/>
                <w:u w:val="single"/>
              </w:rPr>
            </w:pPr>
            <w:r>
              <w:rPr>
                <w:rFonts w:hint="eastAsia" w:asciiTheme="minorEastAsia" w:hAnsiTheme="minorEastAsia"/>
                <w:sz w:val="18"/>
                <w:szCs w:val="18"/>
                <w:u w:val="single"/>
              </w:rPr>
              <w:t>设置废气采样孔及采样平台，安装2套燃烧烟气在线监控设备，监测项目包括：烟气量、烟气温度、颗粒物、SO</w:t>
            </w:r>
            <w:r>
              <w:rPr>
                <w:rFonts w:hint="eastAsia" w:asciiTheme="minorEastAsia" w:hAnsiTheme="minorEastAsia"/>
                <w:sz w:val="18"/>
                <w:szCs w:val="18"/>
                <w:u w:val="single"/>
                <w:vertAlign w:val="subscript"/>
              </w:rPr>
              <w:t>2</w:t>
            </w:r>
            <w:r>
              <w:rPr>
                <w:rFonts w:hint="eastAsia" w:asciiTheme="minorEastAsia" w:hAnsiTheme="minorEastAsia"/>
                <w:sz w:val="18"/>
                <w:szCs w:val="18"/>
                <w:u w:val="single"/>
              </w:rPr>
              <w:t>、NOx、氨等；废水排放口设置采样点及测流段。设置废气、废水、固废、噪声等污染源环境保护标志牌。</w:t>
            </w:r>
          </w:p>
        </w:tc>
        <w:tc>
          <w:tcPr>
            <w:tcW w:w="5954" w:type="dxa"/>
            <w:gridSpan w:val="2"/>
            <w:vAlign w:val="center"/>
          </w:tcPr>
          <w:p>
            <w:pPr>
              <w:spacing w:line="240" w:lineRule="atLeast"/>
              <w:rPr>
                <w:rFonts w:asciiTheme="minorEastAsia" w:hAnsiTheme="minorEastAsia"/>
                <w:sz w:val="18"/>
                <w:szCs w:val="18"/>
              </w:rPr>
            </w:pPr>
            <w:r>
              <w:rPr>
                <w:rFonts w:hint="eastAsia" w:asciiTheme="minorEastAsia" w:hAnsiTheme="minorEastAsia"/>
                <w:sz w:val="18"/>
                <w:szCs w:val="18"/>
              </w:rPr>
              <w:t>符合环保管理要求。</w:t>
            </w:r>
          </w:p>
        </w:tc>
        <w:tc>
          <w:tcPr>
            <w:tcW w:w="99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与生产设施建设同步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restart"/>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环境风险防范</w:t>
            </w: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500m</w:t>
            </w:r>
            <w:r>
              <w:rPr>
                <w:rFonts w:hint="eastAsia" w:asciiTheme="minorEastAsia" w:hAnsiTheme="minorEastAsia"/>
                <w:sz w:val="18"/>
                <w:szCs w:val="18"/>
                <w:vertAlign w:val="superscript"/>
              </w:rPr>
              <w:t>3</w:t>
            </w:r>
            <w:r>
              <w:rPr>
                <w:rFonts w:hint="eastAsia" w:asciiTheme="minorEastAsia" w:hAnsiTheme="minorEastAsia"/>
                <w:sz w:val="18"/>
                <w:szCs w:val="18"/>
              </w:rPr>
              <w:t>事故废水收集池</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1座</w:t>
            </w:r>
          </w:p>
        </w:tc>
        <w:tc>
          <w:tcPr>
            <w:tcW w:w="4961"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满足环境应急管理要求及厂区应急救援需求。</w:t>
            </w:r>
          </w:p>
        </w:tc>
        <w:tc>
          <w:tcPr>
            <w:tcW w:w="992" w:type="dxa"/>
            <w:vMerge w:val="restart"/>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与生产设施建设同步或</w:t>
            </w:r>
          </w:p>
          <w:p>
            <w:pPr>
              <w:spacing w:line="240" w:lineRule="atLeast"/>
              <w:jc w:val="center"/>
              <w:rPr>
                <w:rFonts w:asciiTheme="minorEastAsia" w:hAnsiTheme="minorEastAsia"/>
                <w:sz w:val="18"/>
                <w:szCs w:val="18"/>
              </w:rPr>
            </w:pPr>
            <w:r>
              <w:rPr>
                <w:rFonts w:hint="eastAsia" w:asciiTheme="minorEastAsia" w:hAnsiTheme="minorEastAsia"/>
                <w:sz w:val="18"/>
                <w:szCs w:val="18"/>
              </w:rPr>
              <w:t>试生产前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500m</w:t>
            </w:r>
            <w:r>
              <w:rPr>
                <w:rFonts w:hint="eastAsia" w:asciiTheme="minorEastAsia" w:hAnsiTheme="minorEastAsia"/>
                <w:sz w:val="18"/>
                <w:szCs w:val="18"/>
                <w:vertAlign w:val="superscript"/>
              </w:rPr>
              <w:t>3</w:t>
            </w:r>
            <w:r>
              <w:rPr>
                <w:rFonts w:hint="eastAsia" w:asciiTheme="minorEastAsia" w:hAnsiTheme="minorEastAsia"/>
                <w:sz w:val="18"/>
                <w:szCs w:val="18"/>
              </w:rPr>
              <w:t>初期雨水收集池</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1座</w:t>
            </w:r>
          </w:p>
        </w:tc>
        <w:tc>
          <w:tcPr>
            <w:tcW w:w="4961" w:type="dxa"/>
            <w:vMerge w:val="continue"/>
            <w:vAlign w:val="center"/>
          </w:tcPr>
          <w:p>
            <w:pPr>
              <w:spacing w:line="240" w:lineRule="atLeast"/>
              <w:jc w:val="center"/>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500m</w:t>
            </w:r>
            <w:r>
              <w:rPr>
                <w:rFonts w:hint="eastAsia" w:asciiTheme="minorEastAsia" w:hAnsiTheme="minorEastAsia"/>
                <w:sz w:val="18"/>
                <w:szCs w:val="18"/>
                <w:vertAlign w:val="superscript"/>
              </w:rPr>
              <w:t>3</w:t>
            </w:r>
            <w:r>
              <w:rPr>
                <w:rFonts w:hint="eastAsia" w:asciiTheme="minorEastAsia" w:hAnsiTheme="minorEastAsia"/>
                <w:sz w:val="18"/>
                <w:szCs w:val="18"/>
              </w:rPr>
              <w:t>消防水池</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1座</w:t>
            </w:r>
          </w:p>
        </w:tc>
        <w:tc>
          <w:tcPr>
            <w:tcW w:w="4961" w:type="dxa"/>
            <w:vMerge w:val="continue"/>
            <w:vAlign w:val="center"/>
          </w:tcPr>
          <w:p>
            <w:pPr>
              <w:spacing w:line="240" w:lineRule="atLeast"/>
              <w:jc w:val="center"/>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有毒、有害气体自动检测报警装置及火灾报警装置等</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各10套</w:t>
            </w:r>
          </w:p>
        </w:tc>
        <w:tc>
          <w:tcPr>
            <w:tcW w:w="4961" w:type="dxa"/>
            <w:vMerge w:val="continue"/>
            <w:vAlign w:val="center"/>
          </w:tcPr>
          <w:p>
            <w:pPr>
              <w:spacing w:line="240" w:lineRule="atLeast"/>
              <w:jc w:val="center"/>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车间生产线泄漏液体收集槽</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若干</w:t>
            </w:r>
          </w:p>
        </w:tc>
        <w:tc>
          <w:tcPr>
            <w:tcW w:w="4961" w:type="dxa"/>
            <w:vMerge w:val="continue"/>
            <w:vAlign w:val="center"/>
          </w:tcPr>
          <w:p>
            <w:pPr>
              <w:spacing w:line="240" w:lineRule="atLeast"/>
              <w:jc w:val="center"/>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厂区雨水、污水排放口应急切断阀门</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2套</w:t>
            </w:r>
          </w:p>
        </w:tc>
        <w:tc>
          <w:tcPr>
            <w:tcW w:w="4961" w:type="dxa"/>
            <w:vMerge w:val="continue"/>
            <w:vAlign w:val="center"/>
          </w:tcPr>
          <w:p>
            <w:pPr>
              <w:spacing w:line="240" w:lineRule="atLeast"/>
              <w:jc w:val="center"/>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消防栓及水带、灭火器、防毒面具、防化服等</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4961" w:type="dxa"/>
            <w:vMerge w:val="continue"/>
            <w:vAlign w:val="center"/>
          </w:tcPr>
          <w:p>
            <w:pPr>
              <w:spacing w:line="240" w:lineRule="atLeast"/>
              <w:jc w:val="center"/>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vAlign w:val="center"/>
          </w:tcPr>
          <w:p>
            <w:pPr>
              <w:spacing w:line="240" w:lineRule="atLeast"/>
              <w:jc w:val="center"/>
              <w:rPr>
                <w:rFonts w:asciiTheme="minorEastAsia" w:hAnsiTheme="minorEastAsia"/>
                <w:sz w:val="18"/>
                <w:szCs w:val="18"/>
              </w:rPr>
            </w:pPr>
          </w:p>
        </w:tc>
        <w:tc>
          <w:tcPr>
            <w:tcW w:w="6520" w:type="dxa"/>
            <w:gridSpan w:val="3"/>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建立环境应急救援组织体系，制定环境应急预案、开展环境应急演练等。</w:t>
            </w:r>
          </w:p>
        </w:tc>
        <w:tc>
          <w:tcPr>
            <w:tcW w:w="993"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w:t>
            </w:r>
          </w:p>
        </w:tc>
        <w:tc>
          <w:tcPr>
            <w:tcW w:w="4961" w:type="dxa"/>
            <w:vMerge w:val="continue"/>
            <w:vAlign w:val="center"/>
          </w:tcPr>
          <w:p>
            <w:pPr>
              <w:spacing w:line="240" w:lineRule="atLeast"/>
              <w:jc w:val="center"/>
              <w:rPr>
                <w:rFonts w:asciiTheme="minorEastAsia" w:hAnsiTheme="minorEastAsia"/>
                <w:sz w:val="18"/>
                <w:szCs w:val="18"/>
              </w:rPr>
            </w:pPr>
          </w:p>
        </w:tc>
        <w:tc>
          <w:tcPr>
            <w:tcW w:w="992" w:type="dxa"/>
            <w:vMerge w:val="continue"/>
            <w:vAlign w:val="center"/>
          </w:tcPr>
          <w:p>
            <w:pPr>
              <w:spacing w:line="240" w:lineRule="atLeast"/>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959" w:type="dxa"/>
            <w:vAlign w:val="center"/>
          </w:tcPr>
          <w:p>
            <w:pPr>
              <w:spacing w:line="240" w:lineRule="atLeast"/>
              <w:jc w:val="center"/>
              <w:rPr>
                <w:rFonts w:asciiTheme="minorEastAsia" w:hAnsiTheme="minorEastAsia"/>
                <w:b/>
                <w:sz w:val="18"/>
                <w:szCs w:val="18"/>
              </w:rPr>
            </w:pPr>
            <w:r>
              <w:rPr>
                <w:rFonts w:hint="eastAsia" w:asciiTheme="minorEastAsia" w:hAnsiTheme="minorEastAsia"/>
                <w:b/>
                <w:sz w:val="18"/>
                <w:szCs w:val="18"/>
              </w:rPr>
              <w:t>总量控制指标</w:t>
            </w:r>
          </w:p>
        </w:tc>
        <w:tc>
          <w:tcPr>
            <w:tcW w:w="12474" w:type="dxa"/>
            <w:gridSpan w:val="5"/>
            <w:vAlign w:val="center"/>
          </w:tcPr>
          <w:p>
            <w:pPr>
              <w:spacing w:line="360" w:lineRule="auto"/>
              <w:ind w:firstLine="480"/>
              <w:rPr>
                <w:rFonts w:asciiTheme="minorEastAsia" w:hAnsiTheme="minorEastAsia"/>
                <w:sz w:val="18"/>
                <w:szCs w:val="18"/>
                <w:u w:val="single"/>
              </w:rPr>
            </w:pPr>
            <w:r>
              <w:rPr>
                <w:rFonts w:hint="eastAsia" w:asciiTheme="minorEastAsia" w:hAnsiTheme="minorEastAsia"/>
                <w:sz w:val="18"/>
                <w:szCs w:val="18"/>
                <w:u w:val="single"/>
              </w:rPr>
              <w:t>大气污染物排放总量控制指标：颗粒物2.927t/a、SO2 4.0t/a、NOx 3.96t/a、VOCs 1.264t/a。</w:t>
            </w:r>
          </w:p>
          <w:p>
            <w:pPr>
              <w:spacing w:line="360" w:lineRule="auto"/>
              <w:ind w:firstLine="480"/>
              <w:rPr>
                <w:rFonts w:asciiTheme="minorEastAsia" w:hAnsiTheme="minorEastAsia"/>
                <w:sz w:val="18"/>
                <w:szCs w:val="18"/>
              </w:rPr>
            </w:pPr>
            <w:r>
              <w:rPr>
                <w:rFonts w:hint="eastAsia" w:asciiTheme="minorEastAsia" w:hAnsiTheme="minorEastAsia"/>
                <w:sz w:val="18"/>
                <w:szCs w:val="18"/>
                <w:u w:val="single"/>
              </w:rPr>
              <w:t>水污染物总量控制指标：厂区排污口水污染物排放总量指标：化学需氧量0.721t/a，氨氮0.102t/a。项目废水排放西平县城市污水处理厂处理后，按照一级A排放标准（COD50mg/L、氨氮5mg/L）计算，水污染物排放总量控制指标为：化学需氧量0.41t/a，氨氮0.041t/a。</w:t>
            </w:r>
          </w:p>
        </w:tc>
        <w:tc>
          <w:tcPr>
            <w:tcW w:w="992" w:type="dxa"/>
            <w:vAlign w:val="center"/>
          </w:tcPr>
          <w:p>
            <w:pPr>
              <w:spacing w:line="240" w:lineRule="atLeast"/>
              <w:jc w:val="center"/>
              <w:rPr>
                <w:rFonts w:asciiTheme="minorEastAsia" w:hAnsiTheme="minorEastAsia"/>
                <w:sz w:val="18"/>
                <w:szCs w:val="18"/>
              </w:rPr>
            </w:pPr>
            <w:r>
              <w:rPr>
                <w:rFonts w:hint="eastAsia" w:asciiTheme="minorEastAsia" w:hAnsiTheme="minorEastAsia"/>
                <w:sz w:val="18"/>
                <w:szCs w:val="18"/>
              </w:rPr>
              <w:t>运行期</w:t>
            </w:r>
          </w:p>
        </w:tc>
      </w:tr>
    </w:tbl>
    <w:p>
      <w:pPr>
        <w:spacing w:line="360" w:lineRule="auto"/>
      </w:pPr>
    </w:p>
    <w:p>
      <w:pPr>
        <w:rPr>
          <w:rFonts w:asciiTheme="minorEastAsia" w:hAnsiTheme="minorEastAsia"/>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p>
    <w:p>
      <w:pPr>
        <w:keepNext/>
        <w:keepLines/>
        <w:adjustRightInd w:val="0"/>
        <w:snapToGrid w:val="0"/>
        <w:spacing w:before="312" w:beforeLines="100" w:after="312" w:afterLines="100" w:line="360" w:lineRule="auto"/>
        <w:ind w:firstLine="723" w:firstLineChars="200"/>
        <w:jc w:val="center"/>
        <w:outlineLvl w:val="0"/>
        <w:rPr>
          <w:rFonts w:cs="Times New Roman" w:asciiTheme="minorEastAsia" w:hAnsiTheme="minorEastAsia"/>
          <w:b/>
          <w:kern w:val="44"/>
          <w:sz w:val="36"/>
          <w:szCs w:val="24"/>
        </w:rPr>
      </w:pPr>
      <w:bookmarkStart w:id="118" w:name="_Toc288764392"/>
      <w:bookmarkStart w:id="119" w:name="_Toc286308106"/>
      <w:bookmarkStart w:id="120" w:name="_Toc286307827"/>
      <w:bookmarkStart w:id="121" w:name="_Toc11792"/>
      <w:bookmarkStart w:id="122" w:name="_Toc489812843"/>
      <w:bookmarkStart w:id="123" w:name="_Toc225245044"/>
      <w:bookmarkStart w:id="124" w:name="_Toc291573828"/>
      <w:bookmarkStart w:id="125" w:name="_Toc286307800"/>
      <w:bookmarkStart w:id="126" w:name="_Toc169062694"/>
      <w:bookmarkStart w:id="127" w:name="_Toc153615559"/>
      <w:bookmarkStart w:id="128" w:name="_Toc286308079"/>
      <w:bookmarkStart w:id="129" w:name="_Toc278040740"/>
      <w:r>
        <w:rPr>
          <w:rFonts w:cs="Times New Roman" w:asciiTheme="minorEastAsia" w:hAnsiTheme="minorEastAsia"/>
          <w:b/>
          <w:kern w:val="44"/>
          <w:sz w:val="36"/>
          <w:szCs w:val="24"/>
        </w:rPr>
        <w:t xml:space="preserve">第十章 </w:t>
      </w:r>
      <w:bookmarkEnd w:id="118"/>
      <w:bookmarkEnd w:id="119"/>
      <w:bookmarkEnd w:id="120"/>
      <w:r>
        <w:rPr>
          <w:rFonts w:cs="Times New Roman" w:asciiTheme="minorEastAsia" w:hAnsiTheme="minorEastAsia"/>
          <w:b/>
          <w:kern w:val="44"/>
          <w:sz w:val="36"/>
          <w:szCs w:val="24"/>
        </w:rPr>
        <w:t>环境影响评价结论</w:t>
      </w:r>
      <w:bookmarkEnd w:id="121"/>
      <w:bookmarkEnd w:id="122"/>
    </w:p>
    <w:p>
      <w:pPr>
        <w:keepNext/>
        <w:keepLines/>
        <w:adjustRightInd w:val="0"/>
        <w:snapToGrid w:val="0"/>
        <w:spacing w:before="156" w:beforeLines="50" w:line="360" w:lineRule="auto"/>
        <w:outlineLvl w:val="2"/>
        <w:rPr>
          <w:rFonts w:cs="Times New Roman" w:asciiTheme="minorEastAsia" w:hAnsiTheme="minorEastAsia"/>
          <w:b/>
          <w:sz w:val="28"/>
          <w:szCs w:val="28"/>
        </w:rPr>
      </w:pPr>
      <w:bookmarkStart w:id="130" w:name="_Toc354648272"/>
      <w:bookmarkStart w:id="131" w:name="_Toc354648916"/>
      <w:bookmarkStart w:id="132" w:name="_Toc354647987"/>
      <w:r>
        <w:rPr>
          <w:rFonts w:cs="Times New Roman" w:asciiTheme="minorEastAsia" w:hAnsiTheme="minorEastAsia"/>
          <w:b/>
          <w:sz w:val="28"/>
          <w:szCs w:val="28"/>
        </w:rPr>
        <w:t>10.1 项目概况</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color w:val="000000"/>
          <w:kern w:val="0"/>
          <w:sz w:val="24"/>
          <w:szCs w:val="24"/>
          <w:lang w:bidi="ar"/>
        </w:rPr>
        <w:t>西平县景虹再生资源有限公司年处理10万吨废轮胎低温裂解无害化资源化环保处理及循环再利用建设项目</w:t>
      </w:r>
      <w:r>
        <w:rPr>
          <w:rFonts w:cs="Times New Roman" w:asciiTheme="minorEastAsia" w:hAnsiTheme="minorEastAsia"/>
          <w:sz w:val="24"/>
          <w:szCs w:val="24"/>
        </w:rPr>
        <w:t>位于</w:t>
      </w:r>
      <w:r>
        <w:rPr>
          <w:rFonts w:cs="Times New Roman" w:asciiTheme="minorEastAsia" w:hAnsiTheme="minorEastAsia"/>
          <w:color w:val="000000"/>
          <w:kern w:val="0"/>
          <w:sz w:val="24"/>
          <w:szCs w:val="24"/>
          <w:lang w:bidi="ar"/>
        </w:rPr>
        <w:t>西平县产业集聚区静脉产业园</w:t>
      </w:r>
      <w:r>
        <w:rPr>
          <w:rFonts w:cs="Times New Roman" w:asciiTheme="minorEastAsia" w:hAnsiTheme="minorEastAsia"/>
          <w:sz w:val="24"/>
          <w:szCs w:val="24"/>
        </w:rPr>
        <w:t>，总投资5000万元，</w:t>
      </w:r>
      <w:r>
        <w:rPr>
          <w:rFonts w:cs="Times New Roman" w:asciiTheme="minorEastAsia" w:hAnsiTheme="minorEastAsia"/>
          <w:color w:val="000000"/>
          <w:kern w:val="0"/>
          <w:sz w:val="24"/>
          <w:szCs w:val="24"/>
          <w:lang w:bidi="ar"/>
        </w:rPr>
        <w:t>占地面积33350平方米（约50亩），</w:t>
      </w:r>
      <w:r>
        <w:rPr>
          <w:rFonts w:hint="eastAsia" w:cs="Times New Roman" w:asciiTheme="minorEastAsia" w:hAnsiTheme="minorEastAsia"/>
          <w:color w:val="000000"/>
          <w:kern w:val="0"/>
          <w:sz w:val="24"/>
          <w:szCs w:val="24"/>
          <w:lang w:bidi="ar"/>
        </w:rPr>
        <w:t>总</w:t>
      </w:r>
      <w:r>
        <w:rPr>
          <w:rFonts w:cs="Times New Roman" w:asciiTheme="minorEastAsia" w:hAnsiTheme="minorEastAsia"/>
          <w:color w:val="000000"/>
          <w:kern w:val="0"/>
          <w:sz w:val="24"/>
          <w:szCs w:val="24"/>
          <w:lang w:bidi="ar"/>
        </w:rPr>
        <w:t>建设</w:t>
      </w:r>
      <w:r>
        <w:rPr>
          <w:rFonts w:hint="eastAsia" w:cs="Times New Roman" w:asciiTheme="minorEastAsia" w:hAnsiTheme="minorEastAsia"/>
          <w:color w:val="000000"/>
          <w:kern w:val="0"/>
          <w:sz w:val="24"/>
          <w:szCs w:val="24"/>
          <w:lang w:bidi="ar"/>
        </w:rPr>
        <w:t>面积约10000</w:t>
      </w:r>
      <w:r>
        <w:rPr>
          <w:rFonts w:cs="Times New Roman" w:asciiTheme="minorEastAsia" w:hAnsiTheme="minorEastAsia"/>
          <w:color w:val="000000"/>
          <w:kern w:val="0"/>
          <w:sz w:val="24"/>
          <w:szCs w:val="24"/>
          <w:lang w:bidi="ar"/>
        </w:rPr>
        <w:t>平方米</w:t>
      </w:r>
      <w:r>
        <w:rPr>
          <w:rFonts w:cs="Times New Roman" w:asciiTheme="minorEastAsia" w:hAnsiTheme="minorEastAsia"/>
          <w:sz w:val="24"/>
          <w:szCs w:val="24"/>
        </w:rPr>
        <w:t>。</w:t>
      </w:r>
      <w:r>
        <w:rPr>
          <w:rFonts w:hint="eastAsia" w:cs="Times New Roman" w:asciiTheme="minorEastAsia" w:hAnsiTheme="minorEastAsia"/>
          <w:color w:val="000000"/>
          <w:kern w:val="0"/>
          <w:sz w:val="24"/>
          <w:szCs w:val="24"/>
          <w:lang w:bidi="ar"/>
        </w:rPr>
        <w:t>项目</w:t>
      </w:r>
      <w:r>
        <w:rPr>
          <w:rFonts w:cs="Times New Roman" w:asciiTheme="minorEastAsia" w:hAnsiTheme="minorEastAsia"/>
          <w:sz w:val="24"/>
          <w:szCs w:val="24"/>
        </w:rPr>
        <w:t>建设废轮胎</w:t>
      </w:r>
      <w:r>
        <w:rPr>
          <w:rFonts w:hint="eastAsia" w:cs="Times New Roman" w:asciiTheme="minorEastAsia" w:hAnsiTheme="minorEastAsia"/>
          <w:sz w:val="24"/>
          <w:szCs w:val="24"/>
        </w:rPr>
        <w:t>热裂解</w:t>
      </w:r>
      <w:r>
        <w:rPr>
          <w:rFonts w:cs="Times New Roman" w:asciiTheme="minorEastAsia" w:hAnsiTheme="minorEastAsia"/>
          <w:color w:val="000000"/>
          <w:kern w:val="0"/>
          <w:sz w:val="24"/>
          <w:szCs w:val="24"/>
          <w:lang w:bidi="ar"/>
        </w:rPr>
        <w:t>无害化资源化环保处理</w:t>
      </w:r>
      <w:r>
        <w:rPr>
          <w:rFonts w:hint="eastAsia" w:cs="Times New Roman" w:asciiTheme="minorEastAsia" w:hAnsiTheme="minorEastAsia"/>
          <w:sz w:val="24"/>
          <w:szCs w:val="24"/>
        </w:rPr>
        <w:t>设备12套</w:t>
      </w:r>
      <w:r>
        <w:rPr>
          <w:rFonts w:cs="Times New Roman" w:asciiTheme="minorEastAsia" w:hAnsiTheme="minorEastAsia"/>
          <w:sz w:val="24"/>
          <w:szCs w:val="24"/>
        </w:rPr>
        <w:t>，采用</w:t>
      </w:r>
      <w:r>
        <w:rPr>
          <w:rFonts w:cs="Times New Roman" w:asciiTheme="minorEastAsia" w:hAnsiTheme="minorEastAsia"/>
          <w:color w:val="000000"/>
          <w:kern w:val="0"/>
          <w:sz w:val="24"/>
          <w:szCs w:val="24"/>
          <w:lang w:bidi="ar"/>
        </w:rPr>
        <w:t>采用无剥离、低温微负压</w:t>
      </w:r>
      <w:r>
        <w:rPr>
          <w:rFonts w:hint="eastAsia" w:cs="Times New Roman" w:asciiTheme="minorEastAsia" w:hAnsiTheme="minorEastAsia"/>
          <w:color w:val="000000"/>
          <w:kern w:val="0"/>
          <w:sz w:val="24"/>
          <w:szCs w:val="24"/>
          <w:lang w:bidi="ar"/>
        </w:rPr>
        <w:t>废轮胎</w:t>
      </w:r>
      <w:r>
        <w:rPr>
          <w:rFonts w:cs="Times New Roman" w:asciiTheme="minorEastAsia" w:hAnsiTheme="minorEastAsia"/>
          <w:color w:val="000000"/>
          <w:kern w:val="0"/>
          <w:sz w:val="24"/>
          <w:szCs w:val="24"/>
          <w:lang w:bidi="ar"/>
        </w:rPr>
        <w:t>裂解工艺技术，</w:t>
      </w:r>
      <w:r>
        <w:rPr>
          <w:rFonts w:hint="eastAsia" w:cs="Times New Roman" w:asciiTheme="minorEastAsia" w:hAnsiTheme="minorEastAsia"/>
          <w:color w:val="000000"/>
          <w:kern w:val="0"/>
          <w:sz w:val="24"/>
          <w:szCs w:val="24"/>
          <w:lang w:bidi="ar"/>
        </w:rPr>
        <w:t>回收裂解油</w:t>
      </w:r>
      <w:r>
        <w:rPr>
          <w:rFonts w:cs="Times New Roman" w:asciiTheme="minorEastAsia" w:hAnsiTheme="minorEastAsia"/>
          <w:color w:val="000000"/>
          <w:kern w:val="0"/>
          <w:sz w:val="24"/>
          <w:szCs w:val="24"/>
          <w:lang w:bidi="ar"/>
        </w:rPr>
        <w:t>、粗炭黑、钢丝</w:t>
      </w:r>
      <w:r>
        <w:rPr>
          <w:rFonts w:hint="eastAsia" w:cs="Times New Roman" w:asciiTheme="minorEastAsia" w:hAnsiTheme="minorEastAsia"/>
          <w:color w:val="000000"/>
          <w:kern w:val="0"/>
          <w:sz w:val="24"/>
          <w:szCs w:val="24"/>
          <w:lang w:bidi="ar"/>
        </w:rPr>
        <w:t>等产品；</w:t>
      </w:r>
      <w:r>
        <w:rPr>
          <w:rFonts w:cs="Times New Roman" w:asciiTheme="minorEastAsia" w:hAnsiTheme="minorEastAsia"/>
          <w:color w:val="000000"/>
          <w:kern w:val="0"/>
          <w:sz w:val="24"/>
          <w:szCs w:val="24"/>
          <w:lang w:bidi="ar"/>
        </w:rPr>
        <w:t>裂解</w:t>
      </w:r>
      <w:r>
        <w:rPr>
          <w:rFonts w:hint="eastAsia" w:cs="Times New Roman" w:asciiTheme="minorEastAsia" w:hAnsiTheme="minorEastAsia"/>
          <w:color w:val="000000"/>
          <w:kern w:val="0"/>
          <w:sz w:val="24"/>
          <w:szCs w:val="24"/>
          <w:lang w:bidi="ar"/>
        </w:rPr>
        <w:t>气经冷凝回收热裂解油后的</w:t>
      </w:r>
      <w:r>
        <w:rPr>
          <w:rFonts w:cs="Times New Roman" w:asciiTheme="minorEastAsia" w:hAnsiTheme="minorEastAsia"/>
          <w:color w:val="000000"/>
          <w:kern w:val="0"/>
          <w:sz w:val="24"/>
          <w:szCs w:val="24"/>
          <w:lang w:bidi="ar"/>
        </w:rPr>
        <w:t>不凝气</w:t>
      </w:r>
      <w:r>
        <w:rPr>
          <w:rFonts w:hint="eastAsia" w:cs="Times New Roman" w:asciiTheme="minorEastAsia" w:hAnsiTheme="minorEastAsia"/>
          <w:color w:val="000000"/>
          <w:kern w:val="0"/>
          <w:sz w:val="24"/>
          <w:szCs w:val="24"/>
          <w:lang w:bidi="ar"/>
        </w:rPr>
        <w:t>作为</w:t>
      </w:r>
      <w:r>
        <w:rPr>
          <w:rFonts w:cs="Times New Roman" w:asciiTheme="minorEastAsia" w:hAnsiTheme="minorEastAsia"/>
          <w:color w:val="000000"/>
          <w:kern w:val="0"/>
          <w:sz w:val="24"/>
          <w:szCs w:val="24"/>
          <w:lang w:bidi="ar"/>
        </w:rPr>
        <w:t>裂解</w:t>
      </w:r>
      <w:r>
        <w:rPr>
          <w:rFonts w:hint="eastAsia" w:cs="Times New Roman" w:asciiTheme="minorEastAsia" w:hAnsiTheme="minorEastAsia"/>
          <w:color w:val="000000"/>
          <w:kern w:val="0"/>
          <w:sz w:val="24"/>
          <w:szCs w:val="24"/>
          <w:lang w:bidi="ar"/>
        </w:rPr>
        <w:t>炉燃烧室</w:t>
      </w:r>
      <w:r>
        <w:rPr>
          <w:rFonts w:cs="Times New Roman" w:asciiTheme="minorEastAsia" w:hAnsiTheme="minorEastAsia"/>
          <w:color w:val="000000"/>
          <w:kern w:val="0"/>
          <w:sz w:val="24"/>
          <w:szCs w:val="24"/>
          <w:lang w:bidi="ar"/>
        </w:rPr>
        <w:t>供热</w:t>
      </w:r>
      <w:r>
        <w:rPr>
          <w:rFonts w:hint="eastAsia" w:cs="Times New Roman" w:asciiTheme="minorEastAsia" w:hAnsiTheme="minorEastAsia"/>
          <w:color w:val="000000"/>
          <w:kern w:val="0"/>
          <w:sz w:val="24"/>
          <w:szCs w:val="24"/>
          <w:lang w:bidi="ar"/>
        </w:rPr>
        <w:t>燃料</w:t>
      </w:r>
      <w:r>
        <w:rPr>
          <w:rFonts w:cs="Times New Roman" w:asciiTheme="minorEastAsia" w:hAnsiTheme="minorEastAsia"/>
          <w:color w:val="000000"/>
          <w:kern w:val="0"/>
          <w:sz w:val="24"/>
          <w:szCs w:val="24"/>
          <w:lang w:bidi="ar"/>
        </w:rPr>
        <w:t>。</w:t>
      </w:r>
      <w:r>
        <w:rPr>
          <w:rFonts w:hint="eastAsia" w:cs="Times New Roman" w:asciiTheme="minorEastAsia" w:hAnsiTheme="minorEastAsia"/>
          <w:color w:val="000000"/>
          <w:kern w:val="0"/>
          <w:sz w:val="24"/>
          <w:szCs w:val="24"/>
          <w:lang w:bidi="ar"/>
        </w:rPr>
        <w:t>项目</w:t>
      </w:r>
      <w:r>
        <w:rPr>
          <w:rFonts w:hint="eastAsia" w:cs="Times New Roman" w:asciiTheme="minorEastAsia" w:hAnsiTheme="minorEastAsia"/>
          <w:sz w:val="24"/>
          <w:szCs w:val="24"/>
        </w:rPr>
        <w:t>建成后</w:t>
      </w:r>
      <w:r>
        <w:rPr>
          <w:rFonts w:cs="Times New Roman" w:asciiTheme="minorEastAsia" w:hAnsiTheme="minorEastAsia"/>
          <w:color w:val="000000"/>
          <w:kern w:val="0"/>
          <w:sz w:val="24"/>
          <w:szCs w:val="24"/>
          <w:lang w:bidi="ar"/>
        </w:rPr>
        <w:t>废旧轮胎</w:t>
      </w:r>
      <w:r>
        <w:rPr>
          <w:rFonts w:hint="eastAsia" w:cs="Times New Roman" w:asciiTheme="minorEastAsia" w:hAnsiTheme="minorEastAsia"/>
          <w:color w:val="000000"/>
          <w:kern w:val="0"/>
          <w:sz w:val="24"/>
          <w:szCs w:val="24"/>
          <w:lang w:bidi="ar"/>
        </w:rPr>
        <w:t>热裂解处理规模达到10</w:t>
      </w:r>
      <w:r>
        <w:rPr>
          <w:rFonts w:cs="Times New Roman" w:asciiTheme="minorEastAsia" w:hAnsiTheme="minorEastAsia"/>
          <w:color w:val="000000"/>
          <w:kern w:val="0"/>
          <w:sz w:val="24"/>
          <w:szCs w:val="24"/>
          <w:lang w:bidi="ar"/>
        </w:rPr>
        <w:t>万吨</w:t>
      </w:r>
      <w:r>
        <w:rPr>
          <w:rFonts w:hint="eastAsia" w:cs="Times New Roman" w:asciiTheme="minorEastAsia" w:hAnsiTheme="minorEastAsia"/>
          <w:color w:val="000000"/>
          <w:kern w:val="0"/>
          <w:sz w:val="24"/>
          <w:szCs w:val="24"/>
          <w:lang w:bidi="ar"/>
        </w:rPr>
        <w:t>/年</w:t>
      </w:r>
      <w:r>
        <w:rPr>
          <w:rFonts w:cs="Times New Roman" w:asciiTheme="minorEastAsia" w:hAnsiTheme="minorEastAsia"/>
          <w:sz w:val="24"/>
          <w:szCs w:val="24"/>
        </w:rPr>
        <w:t>。</w:t>
      </w:r>
    </w:p>
    <w:p>
      <w:pPr>
        <w:keepNext/>
        <w:keepLines/>
        <w:adjustRightInd w:val="0"/>
        <w:snapToGrid w:val="0"/>
        <w:spacing w:before="156" w:beforeLines="50" w:line="360" w:lineRule="auto"/>
        <w:outlineLvl w:val="2"/>
        <w:rPr>
          <w:rFonts w:cs="Times New Roman" w:asciiTheme="minorEastAsia" w:hAnsiTheme="minorEastAsia"/>
          <w:b/>
          <w:sz w:val="28"/>
          <w:szCs w:val="28"/>
        </w:rPr>
      </w:pPr>
      <w:r>
        <w:rPr>
          <w:rFonts w:cs="Times New Roman" w:asciiTheme="minorEastAsia" w:hAnsiTheme="minorEastAsia"/>
          <w:b/>
          <w:sz w:val="28"/>
          <w:szCs w:val="28"/>
        </w:rPr>
        <w:t>10. 2 产业政策</w:t>
      </w:r>
      <w:bookmarkEnd w:id="130"/>
      <w:bookmarkEnd w:id="131"/>
      <w:bookmarkEnd w:id="132"/>
      <w:r>
        <w:rPr>
          <w:rFonts w:cs="Times New Roman" w:asciiTheme="minorEastAsia" w:hAnsiTheme="minorEastAsia"/>
          <w:b/>
          <w:sz w:val="28"/>
          <w:szCs w:val="28"/>
        </w:rPr>
        <w:t>相符性结论</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本项目属于《产业结构调整指导目录（20</w:t>
      </w:r>
      <w:r>
        <w:rPr>
          <w:rFonts w:hint="eastAsia" w:cs="Times New Roman" w:asciiTheme="minorEastAsia" w:hAnsiTheme="minorEastAsia"/>
          <w:sz w:val="24"/>
          <w:szCs w:val="24"/>
        </w:rPr>
        <w:t>19</w:t>
      </w:r>
      <w:r>
        <w:rPr>
          <w:rFonts w:cs="Times New Roman" w:asciiTheme="minorEastAsia" w:hAnsiTheme="minorEastAsia"/>
          <w:sz w:val="24"/>
          <w:szCs w:val="24"/>
        </w:rPr>
        <w:t>年本）》</w:t>
      </w:r>
      <w:r>
        <w:rPr>
          <w:rFonts w:hint="eastAsia" w:cs="Times New Roman" w:asciiTheme="minorEastAsia" w:hAnsiTheme="minorEastAsia"/>
          <w:sz w:val="24"/>
          <w:szCs w:val="24"/>
        </w:rPr>
        <w:t>鼓励类中“第四十三项、第27条、废旧木材、废旧电器电子产品、废印刷电路板、废旧电池、废旧船舶、废旧农机、废塑料、废旧纺织品及纺织废料和边角料、废（碎）玻璃、废橡胶、废弃油脂等废旧物资等资源循环利用技术、设备开发及应用”类</w:t>
      </w:r>
      <w:r>
        <w:rPr>
          <w:rFonts w:cs="Times New Roman" w:asciiTheme="minorEastAsia" w:hAnsiTheme="minorEastAsia"/>
          <w:sz w:val="24"/>
          <w:szCs w:val="24"/>
        </w:rPr>
        <w:t>项目</w:t>
      </w:r>
      <w:r>
        <w:rPr>
          <w:rFonts w:hint="eastAsia" w:cs="Times New Roman" w:asciiTheme="minorEastAsia" w:hAnsiTheme="minorEastAsia"/>
          <w:sz w:val="24"/>
          <w:szCs w:val="24"/>
        </w:rPr>
        <w:t>，</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生产工艺、设备等均不在国家规定的限制类淘汰类之列。</w:t>
      </w:r>
      <w:r>
        <w:rPr>
          <w:rFonts w:cs="Times New Roman" w:asciiTheme="minorEastAsia" w:hAnsiTheme="minorEastAsia"/>
          <w:sz w:val="24"/>
          <w:szCs w:val="24"/>
        </w:rPr>
        <w:t>项目2019年10月</w:t>
      </w:r>
      <w:r>
        <w:rPr>
          <w:rFonts w:hint="eastAsia" w:cs="Times New Roman" w:asciiTheme="minorEastAsia" w:hAnsiTheme="minorEastAsia"/>
          <w:sz w:val="24"/>
          <w:szCs w:val="24"/>
        </w:rPr>
        <w:t>经</w:t>
      </w:r>
      <w:r>
        <w:rPr>
          <w:rFonts w:cs="Times New Roman" w:asciiTheme="minorEastAsia" w:hAnsiTheme="minorEastAsia"/>
          <w:sz w:val="24"/>
          <w:szCs w:val="24"/>
        </w:rPr>
        <w:t>西平县发改委备案</w:t>
      </w:r>
      <w:r>
        <w:rPr>
          <w:rFonts w:hint="eastAsia" w:cs="Times New Roman" w:asciiTheme="minorEastAsia" w:hAnsiTheme="minorEastAsia"/>
          <w:sz w:val="24"/>
          <w:szCs w:val="24"/>
        </w:rPr>
        <w:t>确认（备案</w:t>
      </w:r>
      <w:r>
        <w:rPr>
          <w:rFonts w:cs="Times New Roman" w:asciiTheme="minorEastAsia" w:hAnsiTheme="minorEastAsia"/>
          <w:sz w:val="24"/>
          <w:szCs w:val="24"/>
        </w:rPr>
        <w:t>代码</w:t>
      </w:r>
      <w:r>
        <w:rPr>
          <w:rFonts w:cs="Times New Roman" w:asciiTheme="minorEastAsia" w:hAnsiTheme="minorEastAsia"/>
          <w:color w:val="000000"/>
          <w:kern w:val="0"/>
          <w:sz w:val="24"/>
          <w:szCs w:val="24"/>
          <w:lang w:bidi="ar"/>
        </w:rPr>
        <w:t>2019-411721-29-03-003791</w:t>
      </w:r>
      <w:r>
        <w:rPr>
          <w:rFonts w:hint="eastAsia" w:cs="Times New Roman" w:asciiTheme="minorEastAsia" w:hAnsiTheme="minorEastAsia"/>
          <w:sz w:val="24"/>
          <w:szCs w:val="24"/>
        </w:rPr>
        <w:t>）</w:t>
      </w:r>
      <w:r>
        <w:rPr>
          <w:rFonts w:cs="Times New Roman" w:asciiTheme="minorEastAsia" w:hAnsiTheme="minorEastAsia"/>
          <w:sz w:val="24"/>
          <w:szCs w:val="24"/>
        </w:rPr>
        <w:t>。</w:t>
      </w:r>
      <w:r>
        <w:rPr>
          <w:rFonts w:hint="eastAsia" w:cs="Times New Roman" w:asciiTheme="minorEastAsia" w:hAnsiTheme="minorEastAsia"/>
          <w:sz w:val="24"/>
          <w:szCs w:val="24"/>
        </w:rPr>
        <w:t>经对照，项目建设与</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《废旧轮胎综合利用指导意见》(工产业政策2010第4号）、《废轮胎综合利用行业准入条件》(工信部公告2012第32号）等</w:t>
      </w:r>
      <w:r>
        <w:rPr>
          <w:rFonts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相关政策的</w:t>
      </w:r>
      <w:r>
        <w:rPr>
          <w:rFonts w:hint="eastAsia" w:cs="Times New Roman" w:asciiTheme="minorEastAsia" w:hAnsiTheme="minorEastAsia"/>
          <w:color w:val="0D0D0D" w:themeColor="text1" w:themeTint="F2"/>
          <w:kern w:val="0"/>
          <w:sz w:val="24"/>
          <w:szCs w:val="24"/>
          <w:lang w:bidi="ar"/>
          <w14:textFill>
            <w14:solidFill>
              <w14:schemeClr w14:val="tx1">
                <w14:lumMod w14:val="95000"/>
                <w14:lumOff w14:val="5000"/>
              </w14:schemeClr>
            </w14:solidFill>
          </w14:textFill>
        </w:rPr>
        <w:t>规定及要求一致。因此，本次项目建设</w:t>
      </w:r>
      <w:r>
        <w:rPr>
          <w:rFonts w:cs="Times New Roman" w:asciiTheme="minorEastAsia" w:hAnsiTheme="minorEastAsia"/>
          <w:sz w:val="24"/>
          <w:szCs w:val="24"/>
        </w:rPr>
        <w:t>符合国家</w:t>
      </w:r>
      <w:r>
        <w:rPr>
          <w:rFonts w:hint="eastAsia" w:cs="Times New Roman" w:asciiTheme="minorEastAsia" w:hAnsiTheme="minorEastAsia"/>
          <w:sz w:val="24"/>
          <w:szCs w:val="24"/>
        </w:rPr>
        <w:t>当前</w:t>
      </w:r>
      <w:r>
        <w:rPr>
          <w:rFonts w:cs="Times New Roman" w:asciiTheme="minorEastAsia" w:hAnsiTheme="minorEastAsia"/>
          <w:sz w:val="24"/>
          <w:szCs w:val="24"/>
        </w:rPr>
        <w:t>产业政策相关要求</w:t>
      </w:r>
      <w:r>
        <w:rPr>
          <w:rFonts w:hint="eastAsia" w:cs="Times New Roman" w:asciiTheme="minorEastAsia" w:hAnsiTheme="minorEastAsia"/>
          <w:sz w:val="24"/>
          <w:szCs w:val="24"/>
        </w:rPr>
        <w:t>。</w:t>
      </w:r>
    </w:p>
    <w:p>
      <w:pPr>
        <w:keepNext/>
        <w:keepLines/>
        <w:adjustRightInd w:val="0"/>
        <w:snapToGrid w:val="0"/>
        <w:spacing w:before="156" w:beforeLines="50" w:line="360" w:lineRule="auto"/>
        <w:outlineLvl w:val="2"/>
        <w:rPr>
          <w:rFonts w:cs="Times New Roman" w:asciiTheme="minorEastAsia" w:hAnsiTheme="minorEastAsia"/>
          <w:b/>
          <w:sz w:val="28"/>
          <w:szCs w:val="28"/>
        </w:rPr>
      </w:pPr>
      <w:bookmarkStart w:id="133" w:name="_Toc354648273"/>
      <w:bookmarkStart w:id="134" w:name="_Toc354648917"/>
      <w:bookmarkStart w:id="135" w:name="_Toc354647988"/>
      <w:r>
        <w:rPr>
          <w:rFonts w:cs="Times New Roman" w:asciiTheme="minorEastAsia" w:hAnsiTheme="minorEastAsia"/>
          <w:b/>
          <w:sz w:val="28"/>
          <w:szCs w:val="28"/>
        </w:rPr>
        <w:t>10. 3 项目</w:t>
      </w:r>
      <w:bookmarkEnd w:id="133"/>
      <w:bookmarkEnd w:id="134"/>
      <w:bookmarkEnd w:id="135"/>
      <w:r>
        <w:rPr>
          <w:rFonts w:cs="Times New Roman" w:asciiTheme="minorEastAsia" w:hAnsiTheme="minorEastAsia"/>
          <w:b/>
          <w:sz w:val="28"/>
          <w:szCs w:val="28"/>
        </w:rPr>
        <w:t>选址</w:t>
      </w:r>
      <w:r>
        <w:rPr>
          <w:rFonts w:hint="eastAsia" w:cs="Times New Roman" w:asciiTheme="minorEastAsia" w:hAnsiTheme="minorEastAsia"/>
          <w:b/>
          <w:sz w:val="28"/>
          <w:szCs w:val="28"/>
        </w:rPr>
        <w:t>合理性</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sz w:val="24"/>
          <w:szCs w:val="24"/>
        </w:rPr>
        <w:t>根据西平县自然资源局出具的关于《西平县景虹再生资源有限公司年处理10万吨废旧轮胎低温裂解无害化资源化环保处理及循环再利用建设项目用地和选址意见的函》复函，本项目</w:t>
      </w:r>
      <w:r>
        <w:rPr>
          <w:rFonts w:hint="eastAsia" w:cs="Times New Roman" w:asciiTheme="minorEastAsia" w:hAnsiTheme="minorEastAsia"/>
          <w:sz w:val="24"/>
          <w:szCs w:val="24"/>
        </w:rPr>
        <w:t>拟建厂址</w:t>
      </w:r>
      <w:r>
        <w:rPr>
          <w:rFonts w:cs="Times New Roman" w:asciiTheme="minorEastAsia" w:hAnsiTheme="minorEastAsia"/>
          <w:sz w:val="24"/>
          <w:szCs w:val="24"/>
        </w:rPr>
        <w:t>位于</w:t>
      </w:r>
      <w:r>
        <w:rPr>
          <w:rFonts w:cs="Times New Roman" w:asciiTheme="minorEastAsia" w:hAnsiTheme="minorEastAsia"/>
          <w:kern w:val="0"/>
          <w:sz w:val="24"/>
          <w:szCs w:val="24"/>
          <w:lang w:bidi="ar"/>
        </w:rPr>
        <w:t>西平县产业集聚区静脉产业园</w:t>
      </w:r>
      <w:r>
        <w:rPr>
          <w:rFonts w:hint="eastAsia" w:cs="Times New Roman" w:asciiTheme="minorEastAsia" w:hAnsiTheme="minorEastAsia"/>
          <w:kern w:val="0"/>
          <w:sz w:val="24"/>
          <w:szCs w:val="24"/>
          <w:lang w:bidi="ar"/>
        </w:rPr>
        <w:t>（</w:t>
      </w:r>
      <w:r>
        <w:rPr>
          <w:rFonts w:cs="Times New Roman" w:asciiTheme="minorEastAsia" w:hAnsiTheme="minorEastAsia"/>
          <w:kern w:val="0"/>
          <w:sz w:val="24"/>
          <w:szCs w:val="24"/>
          <w:lang w:bidi="ar"/>
        </w:rPr>
        <w:t>义岗路东侧、金凤大道北侧、启航路西侧、垃圾处理厂南侧</w:t>
      </w:r>
      <w:r>
        <w:rPr>
          <w:rFonts w:hint="eastAsia" w:cs="Times New Roman" w:asciiTheme="minorEastAsia" w:hAnsiTheme="minorEastAsia"/>
          <w:kern w:val="0"/>
          <w:sz w:val="24"/>
          <w:szCs w:val="24"/>
          <w:lang w:bidi="ar"/>
        </w:rPr>
        <w:t>），</w:t>
      </w:r>
      <w:r>
        <w:rPr>
          <w:rFonts w:cs="Times New Roman" w:asciiTheme="minorEastAsia" w:hAnsiTheme="minorEastAsia"/>
          <w:kern w:val="0"/>
          <w:sz w:val="24"/>
          <w:szCs w:val="24"/>
          <w:lang w:bidi="ar"/>
        </w:rPr>
        <w:t>符合西平县产业集聚区</w:t>
      </w:r>
      <w:r>
        <w:rPr>
          <w:rFonts w:cs="Times New Roman" w:asciiTheme="minorEastAsia" w:hAnsiTheme="minorEastAsia"/>
          <w:sz w:val="24"/>
          <w:szCs w:val="24"/>
        </w:rPr>
        <w:t>产业布局</w:t>
      </w:r>
      <w:r>
        <w:rPr>
          <w:rFonts w:hint="eastAsia" w:cs="Times New Roman" w:asciiTheme="minorEastAsia" w:hAnsiTheme="minorEastAsia"/>
          <w:sz w:val="24"/>
          <w:szCs w:val="24"/>
        </w:rPr>
        <w:t>及</w:t>
      </w:r>
      <w:r>
        <w:rPr>
          <w:rFonts w:cs="Times New Roman" w:asciiTheme="minorEastAsia" w:hAnsiTheme="minorEastAsia"/>
          <w:kern w:val="0"/>
          <w:sz w:val="24"/>
          <w:szCs w:val="24"/>
          <w:lang w:bidi="ar"/>
        </w:rPr>
        <w:t>土地利用总体规划</w:t>
      </w:r>
      <w:r>
        <w:rPr>
          <w:rFonts w:hint="eastAsia" w:cs="Times New Roman" w:asciiTheme="minorEastAsia" w:hAnsiTheme="minorEastAsia"/>
          <w:kern w:val="0"/>
          <w:sz w:val="24"/>
          <w:szCs w:val="24"/>
          <w:lang w:bidi="ar"/>
        </w:rPr>
        <w:t>，</w:t>
      </w:r>
      <w:r>
        <w:rPr>
          <w:rFonts w:hint="eastAsia" w:cs="Times New Roman" w:asciiTheme="minorEastAsia" w:hAnsiTheme="minorEastAsia"/>
          <w:sz w:val="24"/>
          <w:szCs w:val="24"/>
        </w:rPr>
        <w:t>选址区</w:t>
      </w:r>
      <w:r>
        <w:rPr>
          <w:rFonts w:cs="Times New Roman" w:asciiTheme="minorEastAsia" w:hAnsiTheme="minorEastAsia"/>
          <w:sz w:val="24"/>
          <w:szCs w:val="24"/>
        </w:rPr>
        <w:t>环境敏感程度较低</w:t>
      </w:r>
      <w:r>
        <w:rPr>
          <w:rFonts w:hint="eastAsia" w:cs="Times New Roman" w:asciiTheme="minorEastAsia" w:hAnsiTheme="minorEastAsia"/>
          <w:kern w:val="0"/>
          <w:sz w:val="24"/>
          <w:szCs w:val="24"/>
          <w:lang w:bidi="ar"/>
        </w:rPr>
        <w:t>。项目建设</w:t>
      </w:r>
      <w:r>
        <w:rPr>
          <w:rFonts w:cs="Times New Roman" w:asciiTheme="minorEastAsia" w:hAnsiTheme="minorEastAsia"/>
          <w:sz w:val="24"/>
          <w:szCs w:val="24"/>
        </w:rPr>
        <w:t>符合</w:t>
      </w:r>
      <w:r>
        <w:rPr>
          <w:rFonts w:hint="eastAsia" w:cs="Times New Roman" w:asciiTheme="minorEastAsia" w:hAnsiTheme="minorEastAsia"/>
          <w:sz w:val="24"/>
          <w:szCs w:val="24"/>
        </w:rPr>
        <w:t>西平县城市总体</w:t>
      </w:r>
      <w:r>
        <w:rPr>
          <w:rFonts w:cs="Times New Roman" w:asciiTheme="minorEastAsia" w:hAnsiTheme="minorEastAsia"/>
          <w:sz w:val="24"/>
          <w:szCs w:val="24"/>
        </w:rPr>
        <w:t>规划和环境功能区划要求，</w:t>
      </w:r>
      <w:r>
        <w:rPr>
          <w:rFonts w:hint="eastAsia" w:cs="Times New Roman" w:asciiTheme="minorEastAsia" w:hAnsiTheme="minorEastAsia"/>
          <w:sz w:val="24"/>
          <w:szCs w:val="24"/>
        </w:rPr>
        <w:t>符合区域“三线一单”管控约束要求；</w:t>
      </w:r>
      <w:r>
        <w:rPr>
          <w:rFonts w:cs="Times New Roman" w:asciiTheme="minorEastAsia" w:hAnsiTheme="minorEastAsia"/>
          <w:sz w:val="24"/>
          <w:szCs w:val="24"/>
        </w:rPr>
        <w:t>选址较为合理。</w:t>
      </w:r>
    </w:p>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10.4 环境质量现状调查结论</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（1）环境空气</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项目所在区域</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环境空气</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功能</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区划</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为二类区，</w:t>
      </w:r>
      <w:r>
        <w:rPr>
          <w:rFonts w:cs="Times New Roman" w:asciiTheme="minorEastAsia" w:hAnsiTheme="minorEastAsia"/>
          <w:color w:val="000000"/>
          <w:sz w:val="24"/>
          <w:szCs w:val="24"/>
        </w:rPr>
        <w:t>SO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年平均浓度值、NO</w:t>
      </w:r>
      <w:r>
        <w:rPr>
          <w:rFonts w:cs="Times New Roman" w:asciiTheme="minorEastAsia" w:hAnsiTheme="minorEastAsia"/>
          <w:color w:val="000000"/>
          <w:sz w:val="24"/>
          <w:szCs w:val="24"/>
          <w:vertAlign w:val="subscript"/>
        </w:rPr>
        <w:t>2</w:t>
      </w:r>
      <w:r>
        <w:rPr>
          <w:rFonts w:cs="Times New Roman" w:asciiTheme="minorEastAsia" w:hAnsiTheme="minorEastAsia"/>
          <w:color w:val="000000"/>
          <w:sz w:val="24"/>
          <w:szCs w:val="24"/>
        </w:rPr>
        <w:t>年平均浓度值、CO 24小时平均第95百分位数对应的日均浓度值均可满足《环境空气质量标准》（GB3095-2012）中的二级标准要求；PM</w:t>
      </w:r>
      <w:r>
        <w:rPr>
          <w:rFonts w:cs="Times New Roman" w:asciiTheme="minorEastAsia" w:hAnsiTheme="minorEastAsia"/>
          <w:color w:val="000000"/>
          <w:sz w:val="24"/>
          <w:szCs w:val="24"/>
          <w:vertAlign w:val="subscript"/>
        </w:rPr>
        <w:t>2.5</w:t>
      </w:r>
      <w:r>
        <w:rPr>
          <w:rFonts w:cs="Times New Roman" w:asciiTheme="minorEastAsia" w:hAnsiTheme="minorEastAsia"/>
          <w:color w:val="000000"/>
          <w:sz w:val="24"/>
          <w:szCs w:val="24"/>
        </w:rPr>
        <w:t>年平均浓度值、PM</w:t>
      </w:r>
      <w:r>
        <w:rPr>
          <w:rFonts w:cs="Times New Roman" w:asciiTheme="minorEastAsia" w:hAnsiTheme="minorEastAsia"/>
          <w:color w:val="000000"/>
          <w:sz w:val="24"/>
          <w:szCs w:val="24"/>
          <w:vertAlign w:val="subscript"/>
        </w:rPr>
        <w:t>10</w:t>
      </w:r>
      <w:r>
        <w:rPr>
          <w:rFonts w:cs="Times New Roman" w:asciiTheme="minorEastAsia" w:hAnsiTheme="minorEastAsia"/>
          <w:color w:val="000000"/>
          <w:sz w:val="24"/>
          <w:szCs w:val="24"/>
        </w:rPr>
        <w:t>年平均浓度值、O</w:t>
      </w:r>
      <w:r>
        <w:rPr>
          <w:rFonts w:cs="Times New Roman" w:asciiTheme="minorEastAsia" w:hAnsiTheme="minorEastAsia"/>
          <w:color w:val="000000"/>
          <w:sz w:val="24"/>
          <w:szCs w:val="24"/>
          <w:vertAlign w:val="subscript"/>
        </w:rPr>
        <w:t>3</w:t>
      </w:r>
      <w:r>
        <w:rPr>
          <w:rFonts w:cs="Times New Roman" w:asciiTheme="minorEastAsia" w:hAnsiTheme="minorEastAsia"/>
          <w:color w:val="000000"/>
          <w:sz w:val="24"/>
          <w:szCs w:val="24"/>
        </w:rPr>
        <w:t>日最大8小时滑动平均值第90百分位数对应的日均浓度值不能满足《环境空气质量标准》（GB3095-2012）中的二级标准要求</w:t>
      </w:r>
      <w:r>
        <w:rPr>
          <w:rFonts w:hint="eastAsia" w:cs="Times New Roman" w:asciiTheme="minorEastAsia" w:hAnsiTheme="minorEastAsia"/>
          <w:color w:val="000000"/>
          <w:sz w:val="24"/>
          <w:szCs w:val="24"/>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项目区非甲烷总烃、H</w:t>
      </w:r>
      <w:r>
        <w:rPr>
          <w:rFonts w:hint="eastAsia" w:cs="Times New Roman"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S、TSP等特征污染物均可满足相应标准要求。</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sz w:val="24"/>
          <w:szCs w:val="24"/>
        </w:rPr>
        <w:t xml:space="preserve"> （2）地表水</w:t>
      </w:r>
    </w:p>
    <w:p>
      <w:pPr>
        <w:adjustRightInd w:val="0"/>
        <w:snapToGrid w:val="0"/>
        <w:spacing w:line="360" w:lineRule="auto"/>
        <w:ind w:firstLine="480" w:firstLineChars="200"/>
        <w:rPr>
          <w:rFonts w:cs="Times New Roman" w:asciiTheme="minorEastAsia" w:hAnsiTheme="minorEastAsia"/>
          <w:sz w:val="24"/>
          <w:szCs w:val="24"/>
        </w:rPr>
      </w:pPr>
      <w:r>
        <w:rPr>
          <w:rFonts w:hint="eastAsia" w:cs="Times New Roman" w:asciiTheme="minorEastAsia" w:hAnsiTheme="minorEastAsia"/>
          <w:color w:val="000000"/>
          <w:sz w:val="24"/>
          <w:szCs w:val="24"/>
        </w:rPr>
        <w:t>项目区所在流域为洪河流域，项目区主要地表水体为</w:t>
      </w:r>
      <w:r>
        <w:rPr>
          <w:rFonts w:cs="Times New Roman" w:asciiTheme="minorEastAsia" w:hAnsiTheme="minorEastAsia"/>
          <w:color w:val="000000"/>
          <w:sz w:val="24"/>
          <w:szCs w:val="24"/>
        </w:rPr>
        <w:t>红澍河</w:t>
      </w:r>
      <w:r>
        <w:rPr>
          <w:rFonts w:hint="eastAsia" w:cs="Times New Roman" w:asciiTheme="minorEastAsia" w:hAnsiTheme="minorEastAsia"/>
          <w:color w:val="000000"/>
          <w:sz w:val="24"/>
          <w:szCs w:val="24"/>
        </w:rPr>
        <w:t>，水体功能区划为Ⅲ类水体。红澍河-上蔡陈桥断面现状水质</w:t>
      </w:r>
      <w:r>
        <w:rPr>
          <w:rFonts w:cs="Times New Roman" w:asciiTheme="minorEastAsia" w:hAnsiTheme="minorEastAsia"/>
          <w:color w:val="000000"/>
          <w:sz w:val="24"/>
          <w:szCs w:val="24"/>
        </w:rPr>
        <w:t>不能满足《地表水环境质量标准》（GB3838-2002）</w:t>
      </w:r>
      <w:r>
        <w:rPr>
          <w:rFonts w:hint="eastAsia" w:cs="宋体" w:asciiTheme="minorEastAsia" w:hAnsiTheme="minorEastAsia"/>
          <w:color w:val="000000"/>
          <w:sz w:val="24"/>
          <w:szCs w:val="24"/>
        </w:rPr>
        <w:t>Ⅲ</w:t>
      </w:r>
      <w:r>
        <w:rPr>
          <w:rFonts w:cs="Times New Roman" w:asciiTheme="minorEastAsia" w:hAnsiTheme="minorEastAsia"/>
          <w:color w:val="000000"/>
          <w:sz w:val="24"/>
          <w:szCs w:val="24"/>
        </w:rPr>
        <w:t>类标准限值</w:t>
      </w:r>
      <w:r>
        <w:rPr>
          <w:rFonts w:hint="eastAsia" w:cs="Times New Roman" w:asciiTheme="minorEastAsia" w:hAnsiTheme="minorEastAsia"/>
          <w:color w:val="000000"/>
          <w:sz w:val="24"/>
          <w:szCs w:val="24"/>
        </w:rPr>
        <w:t>要求</w:t>
      </w:r>
      <w:r>
        <w:rPr>
          <w:rFonts w:cs="Times New Roman" w:asciiTheme="minorEastAsia" w:hAnsiTheme="minorEastAsia"/>
          <w:color w:val="000000"/>
          <w:sz w:val="24"/>
          <w:szCs w:val="24"/>
        </w:rPr>
        <w:t>。主要原因是区域生活污水</w:t>
      </w:r>
      <w:r>
        <w:rPr>
          <w:rFonts w:hint="eastAsia" w:cs="Times New Roman" w:asciiTheme="minorEastAsia" w:hAnsiTheme="minorEastAsia"/>
          <w:color w:val="000000"/>
          <w:sz w:val="24"/>
          <w:szCs w:val="24"/>
        </w:rPr>
        <w:t>集中收集处理率较低，城市污水管网未覆盖区域、河流沿岸村庄生活污水及部分养殖废水直接</w:t>
      </w:r>
      <w:r>
        <w:rPr>
          <w:rFonts w:cs="Times New Roman" w:asciiTheme="minorEastAsia" w:hAnsiTheme="minorEastAsia"/>
          <w:color w:val="000000"/>
          <w:sz w:val="24"/>
          <w:szCs w:val="24"/>
        </w:rPr>
        <w:t>汇入</w:t>
      </w:r>
      <w:r>
        <w:rPr>
          <w:rFonts w:hint="eastAsia" w:cs="Times New Roman" w:asciiTheme="minorEastAsia" w:hAnsiTheme="minorEastAsia"/>
          <w:color w:val="000000"/>
          <w:sz w:val="24"/>
          <w:szCs w:val="24"/>
        </w:rPr>
        <w:t>河流，导致地表水现状不能满足环境功能区划要求</w:t>
      </w:r>
      <w:r>
        <w:rPr>
          <w:rFonts w:cs="Times New Roman" w:asciiTheme="minorEastAsia" w:hAnsiTheme="minorEastAsia"/>
          <w:color w:val="000000"/>
          <w:sz w:val="24"/>
          <w:szCs w:val="24"/>
        </w:rPr>
        <w:t>。</w:t>
      </w:r>
    </w:p>
    <w:p>
      <w:pPr>
        <w:adjustRightInd w:val="0"/>
        <w:snapToGrid w:val="0"/>
        <w:spacing w:line="360" w:lineRule="auto"/>
        <w:ind w:firstLine="480" w:firstLineChars="200"/>
        <w:rPr>
          <w:rFonts w:cs="Times New Roman" w:asciiTheme="minorEastAsia" w:hAnsiTheme="minorEastAsia"/>
          <w:sz w:val="24"/>
          <w:szCs w:val="24"/>
        </w:rPr>
      </w:pPr>
      <w:r>
        <w:rPr>
          <w:rFonts w:cs="Times New Roman" w:asciiTheme="minorEastAsia" w:hAnsiTheme="minorEastAsia"/>
          <w:color w:val="000000"/>
          <w:sz w:val="24"/>
          <w:szCs w:val="24"/>
        </w:rPr>
        <w:t>根据《</w:t>
      </w:r>
      <w:r>
        <w:rPr>
          <w:rFonts w:cs="Times New Roman" w:asciiTheme="minorEastAsia" w:hAnsiTheme="minorEastAsia"/>
          <w:color w:val="000000"/>
          <w:spacing w:val="10"/>
          <w:kern w:val="0"/>
          <w:sz w:val="24"/>
          <w:szCs w:val="24"/>
          <w:lang w:bidi="ar"/>
        </w:rPr>
        <w:t>驻马店市</w:t>
      </w:r>
      <w:r>
        <w:rPr>
          <w:rFonts w:cs="Times New Roman" w:asciiTheme="minorEastAsia" w:hAnsiTheme="minorEastAsia"/>
          <w:color w:val="000000"/>
          <w:sz w:val="24"/>
          <w:szCs w:val="24"/>
          <w:lang w:bidi="ar"/>
        </w:rPr>
        <w:t>辖淮河流域</w:t>
      </w:r>
      <w:r>
        <w:rPr>
          <w:rFonts w:cs="Times New Roman" w:asciiTheme="minorEastAsia" w:hAnsiTheme="minorEastAsia"/>
          <w:color w:val="000000"/>
          <w:spacing w:val="10"/>
          <w:kern w:val="0"/>
          <w:sz w:val="24"/>
          <w:szCs w:val="24"/>
          <w:lang w:bidi="ar"/>
        </w:rPr>
        <w:t>水污染防治攻坚战实施方案（2017~2019年）</w:t>
      </w:r>
      <w:r>
        <w:rPr>
          <w:rFonts w:cs="Times New Roman" w:asciiTheme="minorEastAsia" w:hAnsiTheme="minorEastAsia"/>
          <w:color w:val="000000"/>
          <w:sz w:val="24"/>
          <w:szCs w:val="24"/>
        </w:rPr>
        <w:t>》</w:t>
      </w:r>
      <w:r>
        <w:rPr>
          <w:rFonts w:cs="Times New Roman" w:asciiTheme="minorEastAsia" w:hAnsiTheme="minorEastAsia"/>
          <w:color w:val="000000"/>
          <w:spacing w:val="10"/>
          <w:kern w:val="0"/>
          <w:sz w:val="24"/>
          <w:szCs w:val="24"/>
          <w:lang w:bidi="ar"/>
        </w:rPr>
        <w:t>要求，</w:t>
      </w:r>
      <w:r>
        <w:rPr>
          <w:rFonts w:cs="Times New Roman" w:asciiTheme="minorEastAsia" w:hAnsiTheme="minorEastAsia"/>
          <w:color w:val="000000"/>
          <w:kern w:val="0"/>
          <w:sz w:val="24"/>
          <w:szCs w:val="24"/>
          <w:lang w:bidi="ar"/>
        </w:rPr>
        <w:t>加快城镇污水处理设施建设，推进西平县污水处理厂二期工程，完善污水处理设施配套管网，加快建设城区污水管网建设。加强农业面源污染治理，加强畜禽养殖污染治理，对沿河禁养区内的养殖场（小区）、养殖专业户关停或搬迁到位，加大畜禽养殖粪便污水资源化利用力度。推进河道综合治理，实施小洪河、引洪道治理等水环境综合治理工程</w:t>
      </w:r>
      <w:r>
        <w:rPr>
          <w:rFonts w:cs="Times New Roman" w:asciiTheme="minorEastAsia" w:hAnsiTheme="minorEastAsia"/>
          <w:color w:val="000000"/>
          <w:sz w:val="24"/>
          <w:szCs w:val="24"/>
        </w:rPr>
        <w:t>。</w:t>
      </w:r>
      <w:r>
        <w:rPr>
          <w:rFonts w:hint="eastAsia" w:cs="Times New Roman" w:asciiTheme="minorEastAsia" w:hAnsiTheme="minorEastAsia"/>
          <w:color w:val="000000"/>
          <w:sz w:val="24"/>
          <w:szCs w:val="24"/>
        </w:rPr>
        <w:t>预计上述环境主治理方案实施后</w:t>
      </w:r>
      <w:r>
        <w:rPr>
          <w:rFonts w:cs="Times New Roman" w:asciiTheme="minorEastAsia" w:hAnsiTheme="minorEastAsia"/>
          <w:color w:val="000000"/>
          <w:sz w:val="24"/>
          <w:szCs w:val="24"/>
        </w:rPr>
        <w:t>，红澍河水质</w:t>
      </w:r>
      <w:r>
        <w:rPr>
          <w:rFonts w:hint="eastAsia" w:cs="Times New Roman" w:asciiTheme="minorEastAsia" w:hAnsiTheme="minorEastAsia"/>
          <w:color w:val="000000"/>
          <w:sz w:val="24"/>
          <w:szCs w:val="24"/>
        </w:rPr>
        <w:t>将得到较大</w:t>
      </w:r>
      <w:r>
        <w:rPr>
          <w:rFonts w:cs="Times New Roman" w:asciiTheme="minorEastAsia" w:hAnsiTheme="minorEastAsia"/>
          <w:color w:val="000000"/>
          <w:sz w:val="24"/>
          <w:szCs w:val="24"/>
        </w:rPr>
        <w:t>改善。</w:t>
      </w:r>
    </w:p>
    <w:p>
      <w:pPr>
        <w:spacing w:line="360" w:lineRule="auto"/>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（3）地下水环境</w:t>
      </w:r>
    </w:p>
    <w:p>
      <w:pPr>
        <w:spacing w:line="360" w:lineRule="auto"/>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项目区域地下水水质现状能够满足《地下水质量标准》（GB14848－93）中Ⅲ类标准。</w:t>
      </w:r>
    </w:p>
    <w:p>
      <w:pPr>
        <w:spacing w:line="360" w:lineRule="auto"/>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（4）声环境</w:t>
      </w:r>
    </w:p>
    <w:p>
      <w:pPr>
        <w:spacing w:line="360" w:lineRule="auto"/>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项目四周厂界昼、夜噪声现状监测值符合《声环境质量标准》（GB3096-2008）中3类标准限值要求。</w:t>
      </w:r>
    </w:p>
    <w:p>
      <w:pPr>
        <w:spacing w:line="360" w:lineRule="auto"/>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（5）土壤环境</w:t>
      </w:r>
    </w:p>
    <w:p>
      <w:pPr>
        <w:spacing w:line="360" w:lineRule="auto"/>
        <w:ind w:firstLine="48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项目区土壤环境现状监测点位各监测项目监测值均低于《土壤环境质量 建设用地土壤污染风险管控标准》（GB36600-2018）中的污染风险筛选值，说明项目场地土壤环境质量能够满足相应的功能要求。</w:t>
      </w:r>
    </w:p>
    <w:p>
      <w:pPr>
        <w:spacing w:line="360" w:lineRule="auto"/>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10.5 环境影响评价结论</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10.5.1施工期环境影响分析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项目施工期采取相应的废水、噪声、固废等污染防治措施后，不会对周边环境造成明显影响。</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10.5.2 运营期环境影响评价结论</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10.5.2.1大气环境影响评价结论</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 xml:space="preserve">     项目运行期排放废气主要是废轮胎热裂解不凝气燃烧废气及车间碳黑尘，排放大气污染物主要为烟尘、SO</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、NOx、H</w:t>
      </w:r>
      <w:r>
        <w:rPr>
          <w:rFonts w:hint="eastAsia" w:asciiTheme="minorEastAsia" w:hAnsiTheme="minorEastAsia"/>
          <w:color w:val="0D0D0D" w:themeColor="text1" w:themeTint="F2"/>
          <w:sz w:val="24"/>
          <w:szCs w:val="24"/>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S、非甲烷总烃、氨、苯并芘及碳黑尘等。估算模式计算结果可知，项目大气环境影响评价等级为二级。</w:t>
      </w:r>
    </w:p>
    <w:p>
      <w:pPr>
        <w:spacing w:line="360" w:lineRule="auto"/>
        <w:ind w:firstLine="480" w:firstLineChars="200"/>
        <w:rPr>
          <w:rFonts w:asciiTheme="minorEastAsia" w:hAnsiTheme="minorEastAsia"/>
          <w:color w:val="0D0D0D" w:themeColor="text1" w:themeTint="F2"/>
          <w:kern w:val="0"/>
          <w:sz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由估算模式计算结果可知，正常及非正常工况下，项目运行期裂解不凝气燃烧废气处理装置排气筒排放污染物对环境空气质量小时浓度贡献值最大占标率4.8%；各污染源正常排放下污染物短期浓度贡献值的最大浓度占标率均满足≤100%的要求，因此，项目运营期正常工况下大气环境影响可以接受。</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hint="eastAsia" w:asciiTheme="minorEastAsia" w:hAnsiTheme="minorEastAsia"/>
          <w:color w:val="0D0D0D" w:themeColor="text1" w:themeTint="F2"/>
          <w:kern w:val="0"/>
          <w:sz w:val="24"/>
          <w14:textFill>
            <w14:solidFill>
              <w14:schemeClr w14:val="tx1">
                <w14:lumMod w14:val="95000"/>
                <w14:lumOff w14:val="5000"/>
              </w14:schemeClr>
            </w14:solidFill>
          </w14:textFill>
        </w:rPr>
        <w:t>由估算模式计算结果可知，</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事故性排放下，项目燃烧废气处理设施排气筒污染物排放对环境空气质量小时浓度贡献值最大占标率为24.01%；与正常工况比较，污染物排放对大气环境的影响程度明显增加。本次评价要求，企业在日常生产运行过程中，必须加强生产设备及废气治理设施运行管理，严格按照规范程序作业，及时检查检修维护工艺废气处理设施，确保处于良好运行状态；避免出现非正常排放情况，同时，应制定切实可行的废气事故排放应急处置预案，及时排除故障，减轻事故排放对周边大气环境的影响。</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（3）本项目无需设置大气环境防护距离。</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依据《制定地方大气污染物排放标准的技术方法》(GB/T3840-1991)卫生防护距离确定方法，项目</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设置</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卫生防护距离为</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东厂界80m，南厂界80m，西厂界30m，北厂界30m。</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设防范围内无</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现状环境</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敏感点存在</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评价</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建议防护距离范围内不得规划建设新的环境敏感点。</w:t>
      </w:r>
    </w:p>
    <w:p>
      <w:pPr>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10.5.2.2 地表水环境影响评价结论</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项目运行期生产废水及生活污水经隔油、化粪池预处理后，经厂区一体化污水处理设施处理后，通过集聚区污水管网排入西平县第三污水处理厂进一步处理，排放红澍河。项目地表水评价等级为三级B。</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正常工况下，工程排放废水量占集聚区污水厂进水总量的0.11%左右，且废水中各类污染物排放浓度均低于污水厂进水控制标准，不会对污水厂正常运行造成不利影响。项目废水进入污水厂处理后，对污水厂外排水的污染物浓度贡献值较小，不会降低红澍河地表水环境功能改善目标。</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西平县第三污水处理厂位于本项目北侧约0.85km，建成处理规模2.5万t/d，处理后废水满足一级A标准排放红澍河。目前该污水厂实际收集处理水量约2.3万t/d，处理能力尚有较大余量，完全可以接纳足本项目污水。本项目污水排放量约占污水厂剩余处理能力的0.39%左右，进入污水厂处理措施可行。</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10.5.2.3 地下水环境影响分析结论</w:t>
      </w:r>
    </w:p>
    <w:p>
      <w:pPr>
        <w:adjustRightInd w:val="0"/>
        <w:snapToGrid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根据《环境影响评价技术导则  地下水环境》（HJ610-2016），</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本</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项目为</w:t>
      </w:r>
      <w:r>
        <w:rPr>
          <w:rFonts w:hint="eastAsia" w:cs="宋体" w:asciiTheme="minorEastAsia" w:hAnsiTheme="minorEastAsia"/>
          <w:color w:val="0D0D0D" w:themeColor="text1" w:themeTint="F2"/>
          <w:sz w:val="24"/>
          <w:szCs w:val="24"/>
          <w14:textFill>
            <w14:solidFill>
              <w14:schemeClr w14:val="tx1">
                <w14:lumMod w14:val="95000"/>
                <w14:lumOff w14:val="5000"/>
              </w14:schemeClr>
            </w14:solidFill>
          </w14:textFill>
        </w:rPr>
        <w:t>Ⅲ</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类建设项目</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，地下水敏感程度为较敏感，确定</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地下水影响评价等级为</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三</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级。</w:t>
      </w:r>
    </w:p>
    <w:p>
      <w:pPr>
        <w:autoSpaceDE w:val="0"/>
        <w:autoSpaceDN w:val="0"/>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建设严格按照设计方案规范施工，切实落实各类防渗措施，运行期不直接向地表水体排放废水。工程热裂解油采用防腐防锈的地面储罐储存，均不直接接触地表，同时，设备地基采取严格的防渗措施，并设置围堰、防火墙等泄漏收集设施；工程污水收集及处理设施均采取防渗措施，厂区设置500m</w:t>
      </w:r>
      <w:r>
        <w:rPr>
          <w:rFonts w:hint="eastAsia" w:cs="Times New Roman"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事故废水收集池；正常工况下不会发生油品或废水泄漏问题；因此，正常工况下项目运营期对区域地下水不会造成不利影响。</w:t>
      </w:r>
    </w:p>
    <w:p>
      <w:pPr>
        <w:spacing w:line="520" w:lineRule="exact"/>
        <w:ind w:firstLine="480" w:firstLineChars="200"/>
        <w:rPr>
          <w:rFonts w:cs="Times New Roman" w:asciiTheme="minorEastAsia" w:hAnsiTheme="minorEastAsia"/>
          <w:sz w:val="24"/>
          <w:szCs w:val="24"/>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根据预测结果可知，</w:t>
      </w:r>
      <w:r>
        <w:rPr>
          <w:rFonts w:cs="Times New Roman" w:asciiTheme="minorEastAsia" w:hAnsiTheme="minorEastAsia"/>
          <w:sz w:val="24"/>
          <w:szCs w:val="24"/>
        </w:rPr>
        <w:t>非正常工况</w:t>
      </w:r>
      <w:r>
        <w:rPr>
          <w:rFonts w:hint="eastAsia" w:cs="Times New Roman" w:asciiTheme="minorEastAsia" w:hAnsiTheme="minorEastAsia"/>
          <w:sz w:val="24"/>
          <w:szCs w:val="24"/>
        </w:rPr>
        <w:t>，项目储油罐</w:t>
      </w:r>
      <w:r>
        <w:rPr>
          <w:rFonts w:cs="Times New Roman" w:asciiTheme="minorEastAsia" w:hAnsiTheme="minorEastAsia"/>
          <w:sz w:val="24"/>
          <w:szCs w:val="24"/>
        </w:rPr>
        <w:t>泄漏</w:t>
      </w:r>
      <w:r>
        <w:rPr>
          <w:rFonts w:hint="eastAsia" w:cs="Times New Roman" w:asciiTheme="minorEastAsia" w:hAnsiTheme="minorEastAsia"/>
          <w:sz w:val="24"/>
          <w:szCs w:val="24"/>
        </w:rPr>
        <w:t>发生100d</w:t>
      </w:r>
      <w:r>
        <w:rPr>
          <w:rFonts w:cs="Times New Roman" w:asciiTheme="minorEastAsia" w:hAnsiTheme="minorEastAsia"/>
          <w:sz w:val="24"/>
          <w:szCs w:val="24"/>
        </w:rPr>
        <w:t>后</w:t>
      </w:r>
      <w:r>
        <w:rPr>
          <w:rFonts w:hint="eastAsia" w:cs="Times New Roman" w:asciiTheme="minorEastAsia" w:hAnsiTheme="minorEastAsia"/>
          <w:sz w:val="24"/>
          <w:szCs w:val="24"/>
        </w:rPr>
        <w:t>，石油类</w:t>
      </w:r>
      <w:r>
        <w:rPr>
          <w:rFonts w:cs="Times New Roman" w:asciiTheme="minorEastAsia" w:hAnsiTheme="minorEastAsia"/>
          <w:sz w:val="24"/>
          <w:szCs w:val="24"/>
        </w:rPr>
        <w:t>对项目区下游</w:t>
      </w:r>
      <w:r>
        <w:rPr>
          <w:rFonts w:hint="eastAsia" w:cs="Times New Roman" w:asciiTheme="minorEastAsia" w:hAnsiTheme="minorEastAsia"/>
          <w:sz w:val="24"/>
          <w:szCs w:val="24"/>
        </w:rPr>
        <w:t>浅层</w:t>
      </w:r>
      <w:r>
        <w:rPr>
          <w:rFonts w:cs="Times New Roman" w:asciiTheme="minorEastAsia" w:hAnsiTheme="minorEastAsia"/>
          <w:sz w:val="24"/>
          <w:szCs w:val="24"/>
        </w:rPr>
        <w:t>地下水影响范围最远至</w:t>
      </w:r>
      <w:r>
        <w:rPr>
          <w:rFonts w:hint="eastAsia" w:cs="Times New Roman" w:asciiTheme="minorEastAsia" w:hAnsiTheme="minorEastAsia"/>
          <w:sz w:val="24"/>
          <w:szCs w:val="24"/>
        </w:rPr>
        <w:t>140</w:t>
      </w:r>
      <w:r>
        <w:rPr>
          <w:rFonts w:cs="Times New Roman" w:asciiTheme="minorEastAsia" w:hAnsiTheme="minorEastAsia"/>
          <w:sz w:val="24"/>
          <w:szCs w:val="24"/>
        </w:rPr>
        <w:t>m，</w:t>
      </w:r>
      <w:r>
        <w:rPr>
          <w:rFonts w:hint="eastAsia" w:cs="Times New Roman" w:asciiTheme="minorEastAsia" w:hAnsiTheme="minorEastAsia"/>
          <w:sz w:val="24"/>
          <w:szCs w:val="24"/>
        </w:rPr>
        <w:t>60m以外区域地下水石油类浓度</w:t>
      </w:r>
      <w:r>
        <w:rPr>
          <w:rFonts w:cs="Times New Roman" w:asciiTheme="minorEastAsia" w:hAnsiTheme="minorEastAsia"/>
          <w:sz w:val="24"/>
          <w:szCs w:val="24"/>
        </w:rPr>
        <w:t>可以满足《地</w:t>
      </w:r>
      <w:r>
        <w:rPr>
          <w:rFonts w:hint="eastAsia" w:cs="Times New Roman" w:asciiTheme="minorEastAsia" w:hAnsiTheme="minorEastAsia"/>
          <w:sz w:val="24"/>
          <w:szCs w:val="24"/>
        </w:rPr>
        <w:t>下</w:t>
      </w:r>
      <w:r>
        <w:rPr>
          <w:rFonts w:cs="Times New Roman" w:asciiTheme="minorEastAsia" w:hAnsiTheme="minorEastAsia"/>
          <w:sz w:val="24"/>
          <w:szCs w:val="24"/>
        </w:rPr>
        <w:t>水环境质量标准》</w:t>
      </w:r>
      <w:r>
        <w:rPr>
          <w:rFonts w:hint="eastAsia" w:cs="宋体" w:asciiTheme="minorEastAsia" w:hAnsiTheme="minorEastAsia"/>
          <w:sz w:val="24"/>
          <w:szCs w:val="24"/>
        </w:rPr>
        <w:t>Ⅲ</w:t>
      </w:r>
      <w:r>
        <w:rPr>
          <w:rFonts w:cs="Times New Roman" w:asciiTheme="minorEastAsia" w:hAnsiTheme="minorEastAsia"/>
          <w:sz w:val="24"/>
          <w:szCs w:val="24"/>
        </w:rPr>
        <w:t>类水质限值</w:t>
      </w:r>
      <w:r>
        <w:rPr>
          <w:rFonts w:hint="eastAsia" w:cs="Times New Roman" w:asciiTheme="minorEastAsia" w:hAnsiTheme="minorEastAsia"/>
          <w:sz w:val="24"/>
          <w:szCs w:val="24"/>
        </w:rPr>
        <w:t>（0.05mg/L）</w:t>
      </w:r>
      <w:r>
        <w:rPr>
          <w:rFonts w:cs="Times New Roman" w:asciiTheme="minorEastAsia" w:hAnsiTheme="minorEastAsia"/>
          <w:sz w:val="24"/>
          <w:szCs w:val="24"/>
        </w:rPr>
        <w:t>要求</w:t>
      </w:r>
      <w:r>
        <w:rPr>
          <w:rFonts w:hint="eastAsia" w:cs="Times New Roman" w:asciiTheme="minorEastAsia" w:hAnsiTheme="minorEastAsia"/>
          <w:sz w:val="24"/>
          <w:szCs w:val="24"/>
        </w:rPr>
        <w:t>；泄漏点下游50m范围内地下水石油类浓度不能</w:t>
      </w:r>
      <w:r>
        <w:rPr>
          <w:rFonts w:cs="Times New Roman" w:asciiTheme="minorEastAsia" w:hAnsiTheme="minorEastAsia"/>
          <w:sz w:val="24"/>
          <w:szCs w:val="24"/>
        </w:rPr>
        <w:t>满足《地</w:t>
      </w:r>
      <w:r>
        <w:rPr>
          <w:rFonts w:hint="eastAsia" w:cs="Times New Roman" w:asciiTheme="minorEastAsia" w:hAnsiTheme="minorEastAsia"/>
          <w:sz w:val="24"/>
          <w:szCs w:val="24"/>
        </w:rPr>
        <w:t>下</w:t>
      </w:r>
      <w:r>
        <w:rPr>
          <w:rFonts w:cs="Times New Roman" w:asciiTheme="minorEastAsia" w:hAnsiTheme="minorEastAsia"/>
          <w:sz w:val="24"/>
          <w:szCs w:val="24"/>
        </w:rPr>
        <w:t>水环境质量标准》</w:t>
      </w:r>
      <w:r>
        <w:rPr>
          <w:rFonts w:hint="eastAsia" w:cs="宋体" w:asciiTheme="minorEastAsia" w:hAnsiTheme="minorEastAsia"/>
          <w:sz w:val="24"/>
          <w:szCs w:val="24"/>
        </w:rPr>
        <w:t>Ⅲ</w:t>
      </w:r>
      <w:r>
        <w:rPr>
          <w:rFonts w:cs="Times New Roman" w:asciiTheme="minorEastAsia" w:hAnsiTheme="minorEastAsia"/>
          <w:sz w:val="24"/>
          <w:szCs w:val="24"/>
        </w:rPr>
        <w:t>类水质限值</w:t>
      </w:r>
      <w:r>
        <w:rPr>
          <w:rFonts w:hint="eastAsia" w:cs="Times New Roman" w:asciiTheme="minorEastAsia" w:hAnsiTheme="minorEastAsia"/>
          <w:sz w:val="24"/>
          <w:szCs w:val="24"/>
        </w:rPr>
        <w:t>。</w:t>
      </w:r>
    </w:p>
    <w:p>
      <w:pPr>
        <w:spacing w:line="520" w:lineRule="exact"/>
        <w:ind w:firstLine="480" w:firstLineChars="200"/>
        <w:rPr>
          <w:rFonts w:cs="Times New Roman" w:asciiTheme="minorEastAsia" w:hAnsiTheme="minorEastAsia"/>
          <w:sz w:val="24"/>
          <w:szCs w:val="24"/>
        </w:rPr>
      </w:pPr>
      <w:r>
        <w:rPr>
          <w:rFonts w:cs="Times New Roman" w:asciiTheme="minorEastAsia" w:hAnsiTheme="minorEastAsia"/>
          <w:sz w:val="24"/>
          <w:szCs w:val="24"/>
        </w:rPr>
        <w:t>在泄漏发生1000d后，</w:t>
      </w:r>
      <w:r>
        <w:rPr>
          <w:rFonts w:hint="eastAsia" w:cs="Times New Roman" w:asciiTheme="minorEastAsia" w:hAnsiTheme="minorEastAsia"/>
          <w:sz w:val="24"/>
          <w:szCs w:val="24"/>
        </w:rPr>
        <w:t>石油类</w:t>
      </w:r>
      <w:r>
        <w:rPr>
          <w:rFonts w:cs="Times New Roman" w:asciiTheme="minorEastAsia" w:hAnsiTheme="minorEastAsia"/>
          <w:sz w:val="24"/>
          <w:szCs w:val="24"/>
        </w:rPr>
        <w:t>对项目区下游</w:t>
      </w:r>
      <w:r>
        <w:rPr>
          <w:rFonts w:hint="eastAsia" w:cs="Times New Roman" w:asciiTheme="minorEastAsia" w:hAnsiTheme="minorEastAsia"/>
          <w:sz w:val="24"/>
          <w:szCs w:val="24"/>
        </w:rPr>
        <w:t>浅层</w:t>
      </w:r>
      <w:r>
        <w:rPr>
          <w:rFonts w:cs="Times New Roman" w:asciiTheme="minorEastAsia" w:hAnsiTheme="minorEastAsia"/>
          <w:sz w:val="24"/>
          <w:szCs w:val="24"/>
        </w:rPr>
        <w:t>地下水影响范围最远至</w:t>
      </w:r>
      <w:r>
        <w:rPr>
          <w:rFonts w:hint="eastAsia" w:cs="Times New Roman" w:asciiTheme="minorEastAsia" w:hAnsiTheme="minorEastAsia"/>
          <w:sz w:val="24"/>
          <w:szCs w:val="24"/>
        </w:rPr>
        <w:t>63</w:t>
      </w:r>
      <w:r>
        <w:rPr>
          <w:rFonts w:cs="Times New Roman" w:asciiTheme="minorEastAsia" w:hAnsiTheme="minorEastAsia"/>
          <w:sz w:val="24"/>
          <w:szCs w:val="24"/>
        </w:rPr>
        <w:t>0m，</w:t>
      </w:r>
      <w:r>
        <w:rPr>
          <w:rFonts w:hint="eastAsia" w:cs="Times New Roman" w:asciiTheme="minorEastAsia" w:hAnsiTheme="minorEastAsia"/>
          <w:sz w:val="24"/>
          <w:szCs w:val="24"/>
        </w:rPr>
        <w:t xml:space="preserve"> 390m以外区域地下水石油类浓度</w:t>
      </w:r>
      <w:r>
        <w:rPr>
          <w:rFonts w:cs="Times New Roman" w:asciiTheme="minorEastAsia" w:hAnsiTheme="minorEastAsia"/>
          <w:sz w:val="24"/>
          <w:szCs w:val="24"/>
        </w:rPr>
        <w:t>可以满足《地</w:t>
      </w:r>
      <w:r>
        <w:rPr>
          <w:rFonts w:hint="eastAsia" w:cs="Times New Roman" w:asciiTheme="minorEastAsia" w:hAnsiTheme="minorEastAsia"/>
          <w:sz w:val="24"/>
          <w:szCs w:val="24"/>
        </w:rPr>
        <w:t>下</w:t>
      </w:r>
      <w:r>
        <w:rPr>
          <w:rFonts w:cs="Times New Roman" w:asciiTheme="minorEastAsia" w:hAnsiTheme="minorEastAsia"/>
          <w:sz w:val="24"/>
          <w:szCs w:val="24"/>
        </w:rPr>
        <w:t>水环境质量标准》</w:t>
      </w:r>
      <w:r>
        <w:rPr>
          <w:rFonts w:hint="eastAsia" w:cs="宋体" w:asciiTheme="minorEastAsia" w:hAnsiTheme="minorEastAsia"/>
          <w:sz w:val="24"/>
          <w:szCs w:val="24"/>
        </w:rPr>
        <w:t>Ⅲ</w:t>
      </w:r>
      <w:r>
        <w:rPr>
          <w:rFonts w:cs="Times New Roman" w:asciiTheme="minorEastAsia" w:hAnsiTheme="minorEastAsia"/>
          <w:sz w:val="24"/>
          <w:szCs w:val="24"/>
        </w:rPr>
        <w:t>类水质限值</w:t>
      </w:r>
      <w:r>
        <w:rPr>
          <w:rFonts w:hint="eastAsia" w:cs="Times New Roman" w:asciiTheme="minorEastAsia" w:hAnsiTheme="minorEastAsia"/>
          <w:sz w:val="24"/>
          <w:szCs w:val="24"/>
        </w:rPr>
        <w:t>（0.05mg/L）</w:t>
      </w:r>
      <w:r>
        <w:rPr>
          <w:rFonts w:cs="Times New Roman" w:asciiTheme="minorEastAsia" w:hAnsiTheme="minorEastAsia"/>
          <w:sz w:val="24"/>
          <w:szCs w:val="24"/>
        </w:rPr>
        <w:t>要求</w:t>
      </w:r>
      <w:r>
        <w:rPr>
          <w:rFonts w:hint="eastAsia" w:cs="Times New Roman" w:asciiTheme="minorEastAsia" w:hAnsiTheme="minorEastAsia"/>
          <w:sz w:val="24"/>
          <w:szCs w:val="24"/>
        </w:rPr>
        <w:t>；泄漏点下游190-390m范围内地下水石油类浓度不能</w:t>
      </w:r>
      <w:r>
        <w:rPr>
          <w:rFonts w:cs="Times New Roman" w:asciiTheme="minorEastAsia" w:hAnsiTheme="minorEastAsia"/>
          <w:sz w:val="24"/>
          <w:szCs w:val="24"/>
        </w:rPr>
        <w:t>满足《地</w:t>
      </w:r>
      <w:r>
        <w:rPr>
          <w:rFonts w:hint="eastAsia" w:cs="Times New Roman" w:asciiTheme="minorEastAsia" w:hAnsiTheme="minorEastAsia"/>
          <w:sz w:val="24"/>
          <w:szCs w:val="24"/>
        </w:rPr>
        <w:t>下</w:t>
      </w:r>
      <w:r>
        <w:rPr>
          <w:rFonts w:cs="Times New Roman" w:asciiTheme="minorEastAsia" w:hAnsiTheme="minorEastAsia"/>
          <w:sz w:val="24"/>
          <w:szCs w:val="24"/>
        </w:rPr>
        <w:t>水环境质量标准》</w:t>
      </w:r>
      <w:r>
        <w:rPr>
          <w:rFonts w:hint="eastAsia" w:cs="宋体" w:asciiTheme="minorEastAsia" w:hAnsiTheme="minorEastAsia"/>
          <w:sz w:val="24"/>
          <w:szCs w:val="24"/>
        </w:rPr>
        <w:t>Ⅲ</w:t>
      </w:r>
      <w:r>
        <w:rPr>
          <w:rFonts w:cs="Times New Roman" w:asciiTheme="minorEastAsia" w:hAnsiTheme="minorEastAsia"/>
          <w:sz w:val="24"/>
          <w:szCs w:val="24"/>
        </w:rPr>
        <w:t>类水质限值要求</w:t>
      </w:r>
      <w:r>
        <w:rPr>
          <w:rFonts w:hint="eastAsia" w:cs="Times New Roman" w:asciiTheme="minorEastAsia" w:hAnsiTheme="minorEastAsia"/>
          <w:sz w:val="24"/>
          <w:szCs w:val="24"/>
        </w:rPr>
        <w:t>。</w:t>
      </w:r>
    </w:p>
    <w:p>
      <w:pPr>
        <w:spacing w:line="520" w:lineRule="exact"/>
        <w:ind w:firstLine="480" w:firstLineChars="200"/>
        <w:rPr>
          <w:rFonts w:cs="Times New Roman" w:asciiTheme="minorEastAsia" w:hAnsiTheme="minorEastAsia"/>
          <w:sz w:val="24"/>
          <w:szCs w:val="24"/>
        </w:rPr>
      </w:pPr>
      <w:r>
        <w:rPr>
          <w:rFonts w:cs="Times New Roman" w:asciiTheme="minorEastAsia" w:hAnsiTheme="minorEastAsia"/>
          <w:sz w:val="24"/>
          <w:szCs w:val="24"/>
        </w:rPr>
        <w:t>根据现场调查，项目区</w:t>
      </w:r>
      <w:r>
        <w:rPr>
          <w:rFonts w:hint="eastAsia" w:cs="Times New Roman" w:asciiTheme="minorEastAsia" w:hAnsiTheme="minorEastAsia"/>
          <w:sz w:val="24"/>
          <w:szCs w:val="24"/>
        </w:rPr>
        <w:t>周边70</w:t>
      </w:r>
      <w:r>
        <w:rPr>
          <w:rFonts w:cs="Times New Roman" w:asciiTheme="minorEastAsia" w:hAnsiTheme="minorEastAsia"/>
          <w:sz w:val="24"/>
          <w:szCs w:val="24"/>
        </w:rPr>
        <w:t>0m范围内无</w:t>
      </w:r>
      <w:r>
        <w:rPr>
          <w:rFonts w:hint="eastAsia" w:cs="Times New Roman" w:asciiTheme="minorEastAsia" w:hAnsiTheme="minorEastAsia"/>
          <w:sz w:val="24"/>
          <w:szCs w:val="24"/>
        </w:rPr>
        <w:t>村庄、饮用水井等</w:t>
      </w:r>
      <w:r>
        <w:rPr>
          <w:rFonts w:cs="Times New Roman" w:asciiTheme="minorEastAsia" w:hAnsiTheme="minorEastAsia"/>
          <w:sz w:val="24"/>
          <w:szCs w:val="24"/>
        </w:rPr>
        <w:t>敏感点存在。</w:t>
      </w:r>
      <w:r>
        <w:rPr>
          <w:rFonts w:hint="eastAsia" w:cs="Times New Roman" w:asciiTheme="minorEastAsia" w:hAnsiTheme="minorEastAsia"/>
          <w:sz w:val="24"/>
          <w:szCs w:val="24"/>
        </w:rPr>
        <w:t>工程</w:t>
      </w:r>
      <w:r>
        <w:rPr>
          <w:rFonts w:cs="Times New Roman" w:asciiTheme="minorEastAsia" w:hAnsiTheme="minorEastAsia"/>
          <w:sz w:val="24"/>
          <w:szCs w:val="24"/>
        </w:rPr>
        <w:t>非正常工况</w:t>
      </w:r>
      <w:r>
        <w:rPr>
          <w:rFonts w:hint="eastAsia" w:cs="Times New Roman" w:asciiTheme="minorEastAsia" w:hAnsiTheme="minorEastAsia"/>
          <w:sz w:val="24"/>
          <w:szCs w:val="24"/>
        </w:rPr>
        <w:t>下废水泄漏对下游地下水最远影响距离630m,对周边敏感点地下水水质不会造成污染影响。</w:t>
      </w:r>
    </w:p>
    <w:p>
      <w:pPr>
        <w:spacing w:line="520" w:lineRule="exact"/>
        <w:ind w:firstLine="480" w:firstLineChars="200"/>
        <w:rPr>
          <w:rFonts w:cs="Times New Roman" w:asciiTheme="minorEastAsia" w:hAnsiTheme="minorEastAsia"/>
          <w:sz w:val="24"/>
          <w:szCs w:val="24"/>
        </w:rPr>
      </w:pPr>
      <w:r>
        <w:rPr>
          <w:rFonts w:hint="eastAsia" w:cs="Times New Roman" w:asciiTheme="minorEastAsia" w:hAnsiTheme="minorEastAsia"/>
          <w:sz w:val="24"/>
          <w:szCs w:val="24"/>
        </w:rPr>
        <w:t>根据项目区地下水水文地质条件调查情况，浅层地下水与中深层地下水之间有</w:t>
      </w:r>
      <w:r>
        <w:rPr>
          <w:rFonts w:hint="eastAsia" w:cs="Times New Roman" w:asciiTheme="minorEastAsia" w:hAnsiTheme="minorEastAsia"/>
          <w:sz w:val="24"/>
          <w:szCs w:val="20"/>
        </w:rPr>
        <w:t>8.8-10.1m</w:t>
      </w:r>
      <w:r>
        <w:rPr>
          <w:rFonts w:hint="eastAsia" w:cs="Times New Roman" w:asciiTheme="minorEastAsia" w:hAnsiTheme="minorEastAsia"/>
          <w:sz w:val="24"/>
          <w:szCs w:val="24"/>
        </w:rPr>
        <w:t>m包气带隔离，水力联系不明显，泄漏污染物不会对中深层地下水造成污染影响。</w:t>
      </w:r>
      <w:r>
        <w:rPr>
          <w:rFonts w:cs="Times New Roman" w:asciiTheme="minorEastAsia" w:hAnsiTheme="minorEastAsia"/>
          <w:sz w:val="24"/>
          <w:szCs w:val="24"/>
        </w:rPr>
        <w:t>项目区发生</w:t>
      </w:r>
      <w:r>
        <w:rPr>
          <w:rFonts w:hint="eastAsia" w:cs="Times New Roman" w:asciiTheme="minorEastAsia" w:hAnsiTheme="minorEastAsia"/>
          <w:sz w:val="24"/>
          <w:szCs w:val="24"/>
        </w:rPr>
        <w:t>储罐</w:t>
      </w:r>
      <w:r>
        <w:rPr>
          <w:rFonts w:cs="Times New Roman" w:asciiTheme="minorEastAsia" w:hAnsiTheme="minorEastAsia"/>
          <w:sz w:val="24"/>
          <w:szCs w:val="24"/>
        </w:rPr>
        <w:t>事故泄漏后，近距离范围</w:t>
      </w:r>
      <w:r>
        <w:rPr>
          <w:rFonts w:hint="eastAsia" w:cs="Times New Roman" w:asciiTheme="minorEastAsia" w:hAnsiTheme="minorEastAsia"/>
          <w:sz w:val="24"/>
          <w:szCs w:val="24"/>
        </w:rPr>
        <w:t>浅层</w:t>
      </w:r>
      <w:r>
        <w:rPr>
          <w:rFonts w:cs="Times New Roman" w:asciiTheme="minorEastAsia" w:hAnsiTheme="minorEastAsia"/>
          <w:sz w:val="24"/>
          <w:szCs w:val="24"/>
        </w:rPr>
        <w:t>地下水</w:t>
      </w:r>
      <w:r>
        <w:rPr>
          <w:rFonts w:hint="eastAsia" w:cs="Times New Roman" w:asciiTheme="minorEastAsia" w:hAnsiTheme="minorEastAsia"/>
          <w:sz w:val="24"/>
          <w:szCs w:val="24"/>
        </w:rPr>
        <w:t>中石油类</w:t>
      </w:r>
      <w:r>
        <w:rPr>
          <w:rFonts w:cs="Times New Roman" w:asciiTheme="minorEastAsia" w:hAnsiTheme="minorEastAsia"/>
          <w:sz w:val="24"/>
          <w:szCs w:val="24"/>
        </w:rPr>
        <w:t>将出现严重超标，若不及时封堵，随着时间的增长，地下水影响范围将越来越大，最终将对下游</w:t>
      </w:r>
      <w:r>
        <w:rPr>
          <w:rFonts w:hint="eastAsia" w:cs="Times New Roman" w:asciiTheme="minorEastAsia" w:hAnsiTheme="minorEastAsia"/>
          <w:sz w:val="24"/>
          <w:szCs w:val="24"/>
        </w:rPr>
        <w:t>浅层地下水</w:t>
      </w:r>
      <w:r>
        <w:rPr>
          <w:rFonts w:cs="Times New Roman" w:asciiTheme="minorEastAsia" w:hAnsiTheme="minorEastAsia"/>
          <w:sz w:val="24"/>
          <w:szCs w:val="24"/>
        </w:rPr>
        <w:t>造成</w:t>
      </w:r>
      <w:r>
        <w:rPr>
          <w:rFonts w:hint="eastAsia" w:cs="Times New Roman" w:asciiTheme="minorEastAsia" w:hAnsiTheme="minorEastAsia"/>
          <w:sz w:val="24"/>
          <w:szCs w:val="24"/>
        </w:rPr>
        <w:t>不良</w:t>
      </w:r>
      <w:r>
        <w:rPr>
          <w:rFonts w:cs="Times New Roman" w:asciiTheme="minorEastAsia" w:hAnsiTheme="minorEastAsia"/>
          <w:sz w:val="24"/>
          <w:szCs w:val="24"/>
        </w:rPr>
        <w:t>影响</w:t>
      </w:r>
      <w:r>
        <w:rPr>
          <w:rFonts w:hint="eastAsia" w:cs="Times New Roman" w:asciiTheme="minorEastAsia" w:hAnsiTheme="minorEastAsia"/>
          <w:sz w:val="24"/>
          <w:szCs w:val="24"/>
        </w:rPr>
        <w:t>；</w:t>
      </w:r>
      <w:r>
        <w:rPr>
          <w:rFonts w:cs="Times New Roman" w:asciiTheme="minorEastAsia" w:hAnsiTheme="minorEastAsia"/>
          <w:sz w:val="24"/>
          <w:szCs w:val="24"/>
        </w:rPr>
        <w:t>因此，评价要求认真落实</w:t>
      </w:r>
      <w:r>
        <w:rPr>
          <w:rFonts w:hint="eastAsia" w:cs="Times New Roman" w:asciiTheme="minorEastAsia" w:hAnsiTheme="minorEastAsia"/>
          <w:sz w:val="24"/>
          <w:szCs w:val="24"/>
        </w:rPr>
        <w:t>储罐区的</w:t>
      </w:r>
      <w:r>
        <w:rPr>
          <w:rFonts w:cs="Times New Roman" w:asciiTheme="minorEastAsia" w:hAnsiTheme="minorEastAsia"/>
          <w:sz w:val="24"/>
          <w:szCs w:val="24"/>
        </w:rPr>
        <w:t>防渗工程措施</w:t>
      </w:r>
      <w:r>
        <w:rPr>
          <w:rFonts w:hint="eastAsia" w:cs="Times New Roman" w:asciiTheme="minorEastAsia" w:hAnsiTheme="minorEastAsia"/>
          <w:sz w:val="24"/>
          <w:szCs w:val="24"/>
        </w:rPr>
        <w:t>，在储罐周边设置围堰，做好罐区地面防渗和堵漏、截流、收集等泄漏防范措施</w:t>
      </w:r>
      <w:r>
        <w:rPr>
          <w:rFonts w:cs="Times New Roman" w:asciiTheme="minorEastAsia" w:hAnsiTheme="minorEastAsia"/>
          <w:sz w:val="24"/>
          <w:szCs w:val="24"/>
        </w:rPr>
        <w:t>，并制定严格的巡检及监测制度</w:t>
      </w:r>
      <w:r>
        <w:rPr>
          <w:rFonts w:hint="eastAsia" w:cs="Times New Roman" w:asciiTheme="minorEastAsia" w:hAnsiTheme="minorEastAsia"/>
          <w:sz w:val="24"/>
          <w:szCs w:val="24"/>
        </w:rPr>
        <w:t>；在罐区地下水上、下游设置3个地下水污染监测井，</w:t>
      </w:r>
      <w:r>
        <w:rPr>
          <w:rFonts w:cs="Times New Roman" w:asciiTheme="minorEastAsia" w:hAnsiTheme="minorEastAsia"/>
          <w:sz w:val="24"/>
          <w:szCs w:val="24"/>
        </w:rPr>
        <w:t>每季度定期对污染监测井</w:t>
      </w:r>
      <w:r>
        <w:rPr>
          <w:rFonts w:hint="eastAsia" w:cs="Times New Roman" w:asciiTheme="minorEastAsia" w:hAnsiTheme="minorEastAsia"/>
          <w:sz w:val="24"/>
          <w:szCs w:val="24"/>
        </w:rPr>
        <w:t>水质</w:t>
      </w:r>
      <w:r>
        <w:rPr>
          <w:rFonts w:cs="Times New Roman" w:asciiTheme="minorEastAsia" w:hAnsiTheme="minorEastAsia"/>
          <w:sz w:val="24"/>
          <w:szCs w:val="24"/>
        </w:rPr>
        <w:t>进行监测，发现问题及时解决，杜绝事故泄漏的发生。</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10.5.2.4 声环境影响分析结论</w:t>
      </w:r>
    </w:p>
    <w:p>
      <w:pPr>
        <w:spacing w:line="360" w:lineRule="auto"/>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项目位于西平县产业集聚区，所在区域声环境质量功能区划为3类区，厂区周边200m范围内无声环境敏感点；根据《环境影响评价技术导则 声环境》（HJ2.4-2009），声环境评价等级为三级。</w:t>
      </w:r>
    </w:p>
    <w:p>
      <w:pPr>
        <w:spacing w:line="520" w:lineRule="exact"/>
        <w:ind w:firstLine="480" w:firstLineChars="200"/>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运行期间</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，高噪源</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在采取各项降噪措施后，</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四周</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厂界噪声</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昼间预测贡献值均</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可满足</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《工业企业厂界环境噪声排放标准》3类标准限值</w:t>
      </w:r>
      <w:r>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t>要求</w:t>
      </w: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，因此，项目运营期对周围环境的影响是可以接受的。</w:t>
      </w:r>
    </w:p>
    <w:p>
      <w:pPr>
        <w:spacing w:line="360" w:lineRule="auto"/>
        <w:rPr>
          <w:rFonts w:cs="Times New Roman"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10.5.2.5 一般固体废物环境影响评价结论</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4"/>
          <w14:textFill>
            <w14:solidFill>
              <w14:schemeClr w14:val="tx1">
                <w14:lumMod w14:val="95000"/>
                <w14:lumOff w14:val="5000"/>
              </w14:schemeClr>
            </w14:solidFill>
          </w14:textFill>
        </w:rPr>
        <w:t>（1）</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项目运行期回收产品外售，实现资源化综合利用，其他一般固废及生活垃圾转运西平县垃圾处置场处理，不会对环境造成不利影响。</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10.5.2.6 危险废物环境影响评价结论</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项目运行期从源头上控制、减少危废的产生；各类危险废物采取专用容器或防渗包装袋收集，全部进入危废库分区存放，严格按照国家规定委托有资质单位转移处理，并实施转移联单制度，杜绝危废的抛洒、散落或不规范处置，避免危废流失对环境造成危害。因此，正常情况下，项目运行期危险废物产生、收集、处置过程不会对环境造成较大不利影响。</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本项目厂区位于西平县产业集聚区，所在区域地质结构稳定，地震烈度在7度以下，不易发生洪水、泥石流、滑坡等自然灾害，厂区不在西平县县城常年主导风向的上风向，不靠近区域主要地表水域，项目拟在厂区设置1座规范化的50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危废库，基本能够满足《危险废物贮存污染控制标准》（GB18597）及其修改单关于危险废物贮存场选址的要求。</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项目运行期危险废物利用容器及包装袋收集后，最大暂存量不超过80t，最长贮存期限不超过90天，最大储存体积不超过100m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，项目危废库设计储存容积约100m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，能够满足工程危险废物贮存需求。</w:t>
      </w:r>
    </w:p>
    <w:p>
      <w:pPr>
        <w:spacing w:line="360" w:lineRule="auto"/>
        <w:ind w:firstLine="600" w:firstLineChars="25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本项目半固体危废用加盖容器贮存在危废库内，散状固体危废用防渗包装袋贮存在危废库内，且分区存放，一般情况下危废不会发生泄漏；同时，危废库内部设置泄漏收集槽，外部设置围堰，能够及时收集可能泄漏的危废，防止溢出库外；项目危废储存库不会对地表水、地下水、土壤环境造成影响，</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3）项目危废均在车间或产生部位利用容器、包装袋收集，均不接触地表；仅厂区内转移至危废库，即使发生少量物料散落、泄漏情况，也可及时收集清理，不会落入地表而对地表水、地下水、土壤环境造成影响。各类危废外运处置过程中，以完好的包装物或密闭容器形式进行装车，由受委托的有资质单位利用专用危废运输车辆进行运输，严格按照规定的路线行驶，不会对运输沿线的环境敏感点造成影响。</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10.5.2.7土壤环境影响评价结论</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asciiTheme="minorEastAsia" w:hAnsiTheme="minorEastAsia"/>
          <w:color w:val="0D0D0D" w:themeColor="text1" w:themeTint="F2"/>
          <w:sz w:val="24"/>
          <w:szCs w:val="24"/>
          <w14:textFill>
            <w14:solidFill>
              <w14:schemeClr w14:val="tx1">
                <w14:lumMod w14:val="95000"/>
                <w14:lumOff w14:val="5000"/>
              </w14:schemeClr>
            </w14:solidFill>
          </w14:textFill>
        </w:rPr>
        <w:t>项目土壤影响途径主要为垂直入渗</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，大气沉降影响较小，不会对项目区周边土壤环境质量造成明显不利影响。</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一旦发生</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废水或油品体</w:t>
      </w:r>
      <w:r>
        <w:rPr>
          <w:rFonts w:asciiTheme="minorEastAsia" w:hAnsiTheme="minorEastAsia"/>
          <w:color w:val="0D0D0D" w:themeColor="text1" w:themeTint="F2"/>
          <w:sz w:val="24"/>
          <w:szCs w:val="24"/>
          <w14:textFill>
            <w14:solidFill>
              <w14:schemeClr w14:val="tx1">
                <w14:lumMod w14:val="95000"/>
                <w14:lumOff w14:val="5000"/>
              </w14:schemeClr>
            </w14:solidFill>
          </w14:textFill>
        </w:rPr>
        <w:t>泄漏事故，</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影响范围主要是厂区内泄漏点附近土壤，不会导致大面积土壤环境污染情况。因此，评价认为项目运营期对土壤环境不会造成较大污染影响。</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10.5.2.8环境风险评价结论</w:t>
      </w:r>
    </w:p>
    <w:p>
      <w:pPr>
        <w:pStyle w:val="99"/>
        <w:ind w:firstLine="480" w:firstLineChars="200"/>
        <w:rPr>
          <w:rFonts w:ascii="宋体" w:hAnsi="宋体"/>
          <w:color w:val="0D0D0D"/>
          <w:sz w:val="24"/>
        </w:rPr>
      </w:pPr>
      <w:r>
        <w:rPr>
          <w:rFonts w:ascii="宋体" w:hAnsi="宋体"/>
          <w:color w:val="0D0D0D"/>
          <w:sz w:val="24"/>
        </w:rPr>
        <w:t>本项目</w:t>
      </w:r>
      <w:r>
        <w:rPr>
          <w:rFonts w:hint="eastAsia" w:ascii="宋体" w:hAnsi="宋体"/>
          <w:color w:val="0D0D0D"/>
          <w:sz w:val="24"/>
        </w:rPr>
        <w:t>环境风险潜势为Ⅰ，评价等级为简单分析。项目厂址周边环境敏感程度不高，发生环境风险事故对周边环境的影响不大；</w:t>
      </w:r>
      <w:r>
        <w:rPr>
          <w:rFonts w:ascii="宋体" w:hAnsi="宋体"/>
          <w:color w:val="0D0D0D"/>
          <w:sz w:val="24"/>
        </w:rPr>
        <w:t>营运期</w:t>
      </w:r>
      <w:r>
        <w:rPr>
          <w:rFonts w:hint="eastAsia" w:ascii="宋体" w:hAnsi="宋体"/>
          <w:color w:val="0D0D0D"/>
          <w:sz w:val="24"/>
        </w:rPr>
        <w:t>采取的环境</w:t>
      </w:r>
      <w:r>
        <w:rPr>
          <w:rFonts w:ascii="宋体" w:hAnsi="宋体"/>
          <w:color w:val="0D0D0D"/>
          <w:sz w:val="24"/>
        </w:rPr>
        <w:t>风险防范措施</w:t>
      </w:r>
      <w:r>
        <w:rPr>
          <w:rFonts w:hint="eastAsia" w:ascii="宋体" w:hAnsi="宋体"/>
          <w:color w:val="0D0D0D"/>
          <w:sz w:val="24"/>
        </w:rPr>
        <w:t>比较有效</w:t>
      </w:r>
      <w:r>
        <w:rPr>
          <w:rFonts w:ascii="宋体" w:hAnsi="宋体"/>
          <w:color w:val="0D0D0D"/>
          <w:sz w:val="24"/>
        </w:rPr>
        <w:t>，</w:t>
      </w:r>
      <w:r>
        <w:rPr>
          <w:rFonts w:hint="eastAsia" w:ascii="宋体" w:hAnsi="宋体"/>
          <w:color w:val="0D0D0D"/>
          <w:sz w:val="24"/>
        </w:rPr>
        <w:t>能够有效防范环境风险</w:t>
      </w:r>
      <w:r>
        <w:rPr>
          <w:rFonts w:ascii="宋体" w:hAnsi="宋体"/>
          <w:color w:val="0D0D0D"/>
          <w:sz w:val="24"/>
        </w:rPr>
        <w:t>事故的</w:t>
      </w:r>
      <w:r>
        <w:rPr>
          <w:rFonts w:hint="eastAsia" w:ascii="宋体" w:hAnsi="宋体"/>
          <w:color w:val="0D0D0D"/>
          <w:sz w:val="24"/>
        </w:rPr>
        <w:t>发生</w:t>
      </w:r>
      <w:r>
        <w:rPr>
          <w:rFonts w:ascii="宋体" w:hAnsi="宋体"/>
          <w:color w:val="0D0D0D"/>
          <w:sz w:val="24"/>
        </w:rPr>
        <w:t>，环境风险</w:t>
      </w:r>
      <w:r>
        <w:rPr>
          <w:rFonts w:hint="eastAsia" w:ascii="宋体" w:hAnsi="宋体"/>
          <w:color w:val="0D0D0D"/>
          <w:sz w:val="24"/>
        </w:rPr>
        <w:t>水平</w:t>
      </w:r>
      <w:r>
        <w:rPr>
          <w:rFonts w:ascii="宋体" w:hAnsi="宋体"/>
          <w:color w:val="0D0D0D"/>
          <w:sz w:val="24"/>
        </w:rPr>
        <w:t>可以接受。</w:t>
      </w:r>
    </w:p>
    <w:p>
      <w:pPr>
        <w:spacing w:line="360" w:lineRule="auto"/>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10.6 污染防治措施及污染物达标排放可行性分析结论</w:t>
      </w:r>
    </w:p>
    <w:p>
      <w:pPr>
        <w:spacing w:line="360" w:lineRule="auto"/>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10.6.1 废气治理措施及达标排放分析结论</w:t>
      </w:r>
    </w:p>
    <w:p>
      <w:pPr>
        <w:spacing w:line="360" w:lineRule="auto"/>
        <w:ind w:firstLine="480" w:firstLineChars="200"/>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1）工程废轮胎热裂解不凝气燃烧废气通过14套“SCN脱硝反应器+二级脱硫雾化塔+除雾器+袋式除尘器+UV光解一体机+活性炭吸附装置”处理系统处理；尾气经2根20m排气筒集束排放（6台热解炉和1台余气燃烧装置合用1根排气筒）；</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颗粒物、SO</w:t>
      </w:r>
      <w:r>
        <w:rPr>
          <w:rFonts w:hint="eastAsia"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、NOx排放浓度满足</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《燃煤电厂大气污染物排放标准》（DB41/1424-2017）表1排放限值要求</w:t>
      </w:r>
      <w:r>
        <w:rPr>
          <w:rFonts w:hint="eastAsia" w:cs="Times New Roman" w:asciiTheme="minorEastAsia" w:hAnsiTheme="minorEastAsia"/>
          <w:bCs/>
          <w:color w:val="0D0D0D" w:themeColor="text1" w:themeTint="F2"/>
          <w:sz w:val="24"/>
          <w:szCs w:val="24"/>
          <w:u w:val="single"/>
          <w14:textFill>
            <w14:solidFill>
              <w14:schemeClr w14:val="tx1">
                <w14:lumMod w14:val="95000"/>
                <w14:lumOff w14:val="5000"/>
              </w14:schemeClr>
            </w14:solidFill>
          </w14:textFill>
        </w:rPr>
        <w:t>；苯并芘排放浓度满足《石油化学工业污染物排放标准》（GB31571-2015）表6限值要求，</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H</w:t>
      </w:r>
      <w:r>
        <w:rPr>
          <w:rFonts w:cs="Times New Roman"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S排放满足《恶臭污染物排放标准》（GB14554-1993）二级标准限值要求</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；非甲烷总烃排放满足</w:t>
      </w:r>
      <w:r>
        <w:rPr>
          <w:rFonts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豫环攻坚办[2017]162号《关于全省开展工业企业挥发性有机物专项治理工作中排放建议值的通知》中其他行业建议限值要求</w:t>
      </w:r>
      <w:r>
        <w:rPr>
          <w:rFonts w:hint="eastAsia" w:cs="Times New Roman" w:asciiTheme="minorEastAsia" w:hAnsiTheme="minorEastAsia"/>
          <w:color w:val="0D0D0D" w:themeColor="text1" w:themeTint="F2"/>
          <w:sz w:val="24"/>
          <w:szCs w:val="24"/>
          <w:u w:val="single"/>
          <w14:textFill>
            <w14:solidFill>
              <w14:schemeClr w14:val="tx1">
                <w14:lumMod w14:val="95000"/>
                <w14:lumOff w14:val="5000"/>
              </w14:schemeClr>
            </w14:solidFill>
          </w14:textFill>
        </w:rPr>
        <w:t>；氨排放浓度满足《工业炉窑大气污染物排放标准》（DB41/1066-2020）表2限值要求。</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裂解炉出料保持负压状态，出料口及粗碳黑包装设备、钢丝打包设备上方分别设置集气罩，收集废气进入2套“脉冲袋式除尘器+15m排气筒”处理系统处理后达标排放；碳黑尘满足《大气污染物综合排放标准》（GB16297-1996）表2限值要求。</w:t>
      </w:r>
    </w:p>
    <w:p>
      <w:pPr>
        <w:spacing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（2）项目职工食堂油烟经1套处理效率不低于90%的油烟净化器处理后，油烟排放浓度约为0.42mg/m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，满足河南省</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《饮食业油烟</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污染物</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排放标准》（</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D</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B</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41/1604</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-20</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18</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）中的≤</w:t>
      </w: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1.5</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mg/m</w:t>
      </w:r>
      <w:r>
        <w:rPr>
          <w:rFonts w:cs="Times New Roman" w:asciiTheme="minorEastAsia" w:hAnsiTheme="minorEastAsia"/>
          <w:color w:val="0D0D0D" w:themeColor="text1" w:themeTint="F2"/>
          <w:sz w:val="24"/>
          <w:szCs w:val="20"/>
          <w:vertAlign w:val="superscript"/>
          <w14:textFill>
            <w14:solidFill>
              <w14:schemeClr w14:val="tx1">
                <w14:lumMod w14:val="95000"/>
                <w14:lumOff w14:val="5000"/>
              </w14:schemeClr>
            </w14:solidFill>
          </w14:textFill>
        </w:rPr>
        <w:t>3</w:t>
      </w:r>
      <w:r>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t>标准限值。</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（3）项目热裂解油</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储罐采取安装氮封装置及油气回收装置，储罐呼吸废气排放很小；热裂解车间采取密闭收料设备、设置集气罩集气处理等措施，产品库采取袋装储存粗碳黑产品及库内装卸料，可控制无组织碳黑尘排放。根据预测分析，项目厂界无组织排放污染物均可满足相应排放标准限值要求。</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（4）项目挥发性有机物无组织排放控制措施满足《挥发性有机物无组织排放控制标准》（GB37822-2019）要求。</w:t>
      </w:r>
    </w:p>
    <w:p>
      <w:pPr>
        <w:spacing w:line="360" w:lineRule="auto"/>
        <w:ind w:firstLine="480" w:firstLineChars="200"/>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本次工程有组织工艺废气、无组织废气及其他废气通过采取相应的污染治理措施，均可满足污染物达标排放要求，废气处理设施运行成本在企业可承受范围内。评价认为项目采取的废气污染防治措施合理、可行，能够满足环境管理要求。</w:t>
      </w:r>
    </w:p>
    <w:p>
      <w:pPr>
        <w:spacing w:line="360" w:lineRule="auto"/>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0"/>
          <w14:textFill>
            <w14:solidFill>
              <w14:schemeClr w14:val="tx1">
                <w14:lumMod w14:val="95000"/>
                <w14:lumOff w14:val="5000"/>
              </w14:schemeClr>
            </w14:solidFill>
          </w14:textFill>
        </w:rPr>
        <w:t>10.6.2</w:t>
      </w:r>
      <w:r>
        <w:rPr>
          <w:rFonts w:hint="eastAsia"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t>废水治理措施及达标排放分析结论</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项目生产废水、生活污水、厂区初期雨水隔油预处理后，进入1套40m</w:t>
      </w:r>
      <w:r>
        <w:rPr>
          <w:rFonts w:hint="eastAsia" w:asciiTheme="minorEastAsia" w:hAnsiTheme="minorEastAsia"/>
          <w:color w:val="0D0D0D" w:themeColor="text1" w:themeTint="F2"/>
          <w:sz w:val="24"/>
          <w:szCs w:val="24"/>
          <w:vertAlign w:val="superscript"/>
          <w14:textFill>
            <w14:solidFill>
              <w14:schemeClr w14:val="tx1">
                <w14:lumMod w14:val="95000"/>
                <w14:lumOff w14:val="5000"/>
              </w14:schemeClr>
            </w14:solidFill>
          </w14:textFill>
        </w:rPr>
        <w:t>3</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/d的一体化污水处理设施处理，采取“调节池+气浮池+接触氧化池+絮凝沉淀池+二沉池+清水池+达标排放”处理工艺，处理后达标废水通过污水管网排入西平县第三污水处理厂进一步处理后，排入红澍河。</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排放废水能够满足《污水综合排放标准》（GB8978-1996）表4三级标准及西平县第三污水处理厂进水水质要求。废水处理工艺技术成熟，运行及处理效率比较稳定，运行成本在项目可承受范围之内。因此，评价认为本次工程选用的废水治理措施比较合理、可行。</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10.6.3 噪声污染防治措施分析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工程对各类噪声源采取减振、隔声、消声、车间合理布置等防治措施后，厂界噪声值能够满足《工业企业厂界环境噪声排放标准》（GB12348-2008）中的3类标准限值要求。</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4"/>
          <w:szCs w:val="20"/>
          <w14:textFill>
            <w14:solidFill>
              <w14:schemeClr w14:val="tx1">
                <w14:lumMod w14:val="95000"/>
                <w14:lumOff w14:val="5000"/>
              </w14:schemeClr>
            </w14:solidFill>
          </w14:textFill>
        </w:rPr>
        <w:t>10.6.4</w:t>
      </w: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固体废物污染防治措施及可行性分析</w:t>
      </w:r>
    </w:p>
    <w:p>
      <w:pPr>
        <w:spacing w:line="360" w:lineRule="auto"/>
        <w:rPr>
          <w:rFonts w:cs="Times New Roman" w:asciiTheme="minorEastAsia" w:hAnsiTheme="minorEastAsia"/>
          <w:color w:val="0D0D0D" w:themeColor="text1" w:themeTint="F2"/>
          <w:sz w:val="24"/>
          <w:szCs w:val="20"/>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10.6.4.1一般固废处置措施分析</w:t>
      </w:r>
    </w:p>
    <w:p>
      <w:pPr>
        <w:spacing w:line="360" w:lineRule="auto"/>
        <w:ind w:firstLine="480" w:firstLineChars="200"/>
        <w:rPr>
          <w:color w:val="0D0D0D" w:themeColor="text1" w:themeTint="F2"/>
          <w:sz w:val="24"/>
          <w:szCs w:val="24"/>
          <w14:textFill>
            <w14:solidFill>
              <w14:schemeClr w14:val="tx1">
                <w14:lumMod w14:val="95000"/>
                <w14:lumOff w14:val="5000"/>
              </w14:schemeClr>
            </w14:solidFill>
          </w14:textFill>
        </w:rPr>
      </w:pPr>
      <w:r>
        <w:rPr>
          <w:rFonts w:hint="eastAsia"/>
          <w:color w:val="0D0D0D" w:themeColor="text1" w:themeTint="F2"/>
          <w:sz w:val="24"/>
          <w:szCs w:val="24"/>
          <w14:textFill>
            <w14:solidFill>
              <w14:schemeClr w14:val="tx1">
                <w14:lumMod w14:val="95000"/>
                <w14:lumOff w14:val="5000"/>
              </w14:schemeClr>
            </w14:solidFill>
          </w14:textFill>
        </w:rPr>
        <w:t>经类比同类生产企业，工程运行期回收热裂解油、粗碳黑、钢丝等均外售其他企业作为生产原料资源化再利用。一般固废、生活垃圾转运嘻嘻垃圾填埋场卫生填埋处理。</w:t>
      </w:r>
    </w:p>
    <w:p>
      <w:pPr>
        <w:spacing w:line="360" w:lineRule="auto"/>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10.6.4.2 危险废物处置措施分析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按照工程生产工艺设计方案及危险废物处置要求，危险废物利用专用包装袋或容器收集后，全部暂存厂区危废库，定期委托具备危险废物处置资质的单位转移处置。各类危险废物均可得到有效妥善处置，不会对环境造成二次污染。</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10.6.5 地下水、土壤污染防治措施分析</w:t>
      </w:r>
    </w:p>
    <w:p>
      <w:pPr>
        <w:spacing w:line="360" w:lineRule="auto"/>
        <w:ind w:firstLine="48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sz w:val="24"/>
          <w:szCs w:val="20"/>
          <w14:textFill>
            <w14:solidFill>
              <w14:schemeClr w14:val="tx1">
                <w14:lumMod w14:val="95000"/>
                <w14:lumOff w14:val="5000"/>
              </w14:schemeClr>
            </w14:solidFill>
          </w14:textFill>
        </w:rPr>
        <w:t>项目</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对全厂及各类装置设施采取严格的防渗措施，厂区应按照污染区和非污染区进行隔离，按照不同分区要求，采取不同等级的防渗措施，并确保其可靠性和有效性。一般污染区的防渗设计满足《一般工业固体废物贮存、处置场污染控制标准》（GB18599-2001），重点及特殊污染区满足《危险废物填埋污染控制标准》（GBl8598-2001）的规定。经采取上述措施，项目营运期不会对区域地下水、土壤环境造成不良影响。</w:t>
      </w:r>
    </w:p>
    <w:p>
      <w:pPr>
        <w:spacing w:line="360" w:lineRule="auto"/>
        <w:rPr>
          <w:rFonts w:asciiTheme="minorEastAsia" w:hAnsiTheme="minorEastAsia"/>
          <w:b/>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4"/>
          <w:szCs w:val="24"/>
          <w14:textFill>
            <w14:solidFill>
              <w14:schemeClr w14:val="tx1">
                <w14:lumMod w14:val="95000"/>
                <w14:lumOff w14:val="5000"/>
              </w14:schemeClr>
            </w14:solidFill>
          </w14:textFill>
        </w:rPr>
        <w:t>10.6.6 项目环保投资及污染防治措施经济可行性分析</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项目总投资5000万元，环保投资估算429万元，占比8.58%，运行期污染防治设施运行费用估算56.6万元/年，工程建设期环境保护投资和运行期环保治理设施运行费用均在企业承受范围之内。</w:t>
      </w:r>
    </w:p>
    <w:p>
      <w:pPr>
        <w:spacing w:line="360" w:lineRule="auto"/>
        <w:rPr>
          <w:rFonts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sz w:val="28"/>
          <w:szCs w:val="28"/>
          <w14:textFill>
            <w14:solidFill>
              <w14:schemeClr w14:val="tx1">
                <w14:lumMod w14:val="95000"/>
                <w14:lumOff w14:val="5000"/>
              </w14:schemeClr>
            </w14:solidFill>
          </w14:textFill>
        </w:rPr>
        <w:t>10.7 环境经济损益分析结论</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项目投产后生产期平均税后利润1260万元/年，产生环境经济效益约143.4万元/年，环境影响经济损失约56.6万元/年，环境影响经济损失较小，环境、经济、社会效益明显。</w:t>
      </w:r>
    </w:p>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10.8 总量控制指标</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（1）大气污染物</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评价建议项目大气污染物排放总量控制指标：颗粒物2.927t/a、SO</w:t>
      </w:r>
      <w:r>
        <w:rPr>
          <w:rFonts w:hint="eastAsia" w:asciiTheme="minorEastAsia" w:hAnsiTheme="minorEastAsia"/>
          <w:color w:val="0D0D0D" w:themeColor="text1" w:themeTint="F2"/>
          <w:sz w:val="24"/>
          <w:szCs w:val="24"/>
          <w:u w:val="single"/>
          <w:vertAlign w:val="subscript"/>
          <w14:textFill>
            <w14:solidFill>
              <w14:schemeClr w14:val="tx1">
                <w14:lumMod w14:val="95000"/>
                <w14:lumOff w14:val="5000"/>
              </w14:schemeClr>
            </w14:solidFill>
          </w14:textFill>
        </w:rPr>
        <w:t>2</w:t>
      </w: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 xml:space="preserve"> 4.0t/a、NOx 3.96t/a、VOCs 1.264t/a。</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（2）水污染物</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项目运营期厂区排污口水污染物排放总量指标：化学需氧量0.721t/a，氨氮0.102t/a。</w:t>
      </w:r>
    </w:p>
    <w:p>
      <w:pPr>
        <w:spacing w:line="360" w:lineRule="auto"/>
        <w:ind w:firstLine="480"/>
        <w:rPr>
          <w:rFonts w:asciiTheme="minorEastAsia" w:hAnsiTheme="minorEastAsia"/>
          <w:color w:val="0D0D0D" w:themeColor="text1" w:themeTint="F2"/>
          <w:sz w:val="24"/>
          <w:szCs w:val="24"/>
          <w:u w:val="single"/>
          <w14:textFill>
            <w14:solidFill>
              <w14:schemeClr w14:val="tx1">
                <w14:lumMod w14:val="95000"/>
                <w14:lumOff w14:val="5000"/>
              </w14:schemeClr>
            </w14:solidFill>
          </w14:textFill>
        </w:rPr>
      </w:pPr>
      <w:r>
        <w:rPr>
          <w:rFonts w:hint="eastAsia" w:asciiTheme="minorEastAsia" w:hAnsiTheme="minorEastAsia"/>
          <w:color w:val="0D0D0D" w:themeColor="text1" w:themeTint="F2"/>
          <w:sz w:val="24"/>
          <w:szCs w:val="24"/>
          <w:u w:val="single"/>
          <w14:textFill>
            <w14:solidFill>
              <w14:schemeClr w14:val="tx1">
                <w14:lumMod w14:val="95000"/>
                <w14:lumOff w14:val="5000"/>
              </w14:schemeClr>
            </w14:solidFill>
          </w14:textFill>
        </w:rPr>
        <w:t>项目废水处理后排放西平县第三污水处理厂处理，按照一级A排放标准（COD50mg/L、氨氮5mg/L）计算，水污染物排放总量控制指标为：化学需氧量0.41t/a，氨氮0.041t/a。</w:t>
      </w:r>
    </w:p>
    <w:p>
      <w:pPr>
        <w:spacing w:line="360" w:lineRule="auto"/>
        <w:rPr>
          <w:rFonts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10.9公众参与情况</w:t>
      </w:r>
    </w:p>
    <w:p>
      <w:pPr>
        <w:adjustRightInd w:val="0"/>
        <w:snapToGrid w:val="0"/>
        <w:spacing w:line="360" w:lineRule="auto"/>
        <w:ind w:firstLine="480" w:firstLineChars="200"/>
        <w:jc w:val="left"/>
        <w:rPr>
          <w:rFonts w:cs="Times New Roman" w:asciiTheme="minorEastAsia" w:hAnsiTheme="minorEastAsia"/>
          <w:color w:val="0D0D0D" w:themeColor="text1" w:themeTint="F2"/>
          <w:kern w:val="18"/>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18"/>
          <w:sz w:val="24"/>
          <w:szCs w:val="24"/>
          <w14:textFill>
            <w14:solidFill>
              <w14:schemeClr w14:val="tx1">
                <w14:lumMod w14:val="95000"/>
                <w14:lumOff w14:val="5000"/>
              </w14:schemeClr>
            </w14:solidFill>
          </w14:textFill>
        </w:rPr>
        <w:t>本次环评过程中，</w:t>
      </w:r>
      <w:r>
        <w:rPr>
          <w:rFonts w:cs="Times New Roman" w:asciiTheme="minorEastAsia" w:hAnsiTheme="minorEastAsia"/>
          <w:color w:val="0D0D0D" w:themeColor="text1" w:themeTint="F2"/>
          <w:kern w:val="18"/>
          <w:sz w:val="24"/>
          <w:szCs w:val="24"/>
          <w14:textFill>
            <w14:solidFill>
              <w14:schemeClr w14:val="tx1">
                <w14:lumMod w14:val="95000"/>
                <w14:lumOff w14:val="5000"/>
              </w14:schemeClr>
            </w14:solidFill>
          </w14:textFill>
        </w:rPr>
        <w:t>建设单位</w:t>
      </w:r>
      <w:r>
        <w:rPr>
          <w:rFonts w:hint="eastAsia" w:cs="Times New Roman" w:asciiTheme="minorEastAsia" w:hAnsiTheme="minorEastAsia"/>
          <w:color w:val="0D0D0D" w:themeColor="text1" w:themeTint="F2"/>
          <w:kern w:val="18"/>
          <w:sz w:val="24"/>
          <w:szCs w:val="24"/>
          <w14:textFill>
            <w14:solidFill>
              <w14:schemeClr w14:val="tx1">
                <w14:lumMod w14:val="95000"/>
                <w14:lumOff w14:val="5000"/>
              </w14:schemeClr>
            </w14:solidFill>
          </w14:textFill>
        </w:rPr>
        <w:t>按照规定和要求开展了项目环评公众参与活动；无公众对项目建设提出反对意见。</w:t>
      </w:r>
    </w:p>
    <w:p>
      <w:pPr>
        <w:spacing w:line="360" w:lineRule="auto"/>
        <w:rPr>
          <w:rFonts w:cs="Times New Roman" w:asciiTheme="minorEastAsia" w:hAnsiTheme="minorEastAsia"/>
          <w:color w:val="0D0D0D" w:themeColor="text1" w:themeTint="F2"/>
          <w:sz w:val="28"/>
          <w:szCs w:val="28"/>
          <w14:textFill>
            <w14:solidFill>
              <w14:schemeClr w14:val="tx1">
                <w14:lumMod w14:val="95000"/>
                <w14:lumOff w14:val="5000"/>
              </w14:schemeClr>
            </w14:solidFill>
          </w14:textFill>
        </w:rPr>
      </w:pP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10.10</w:t>
      </w:r>
      <w:r>
        <w:rPr>
          <w:rFonts w:hint="eastAsia" w:cs="Times New Roman" w:asciiTheme="minorEastAsia" w:hAnsiTheme="minorEastAsia"/>
          <w:b/>
          <w:color w:val="0D0D0D" w:themeColor="text1" w:themeTint="F2"/>
          <w:kern w:val="0"/>
          <w:sz w:val="28"/>
          <w:szCs w:val="28"/>
          <w14:textFill>
            <w14:solidFill>
              <w14:schemeClr w14:val="tx1">
                <w14:lumMod w14:val="95000"/>
                <w14:lumOff w14:val="5000"/>
              </w14:schemeClr>
            </w14:solidFill>
          </w14:textFill>
        </w:rPr>
        <w:t>环保对策与建议</w:t>
      </w:r>
    </w:p>
    <w:p>
      <w:pPr>
        <w:spacing w:line="360" w:lineRule="auto"/>
        <w:ind w:firstLine="480" w:firstLineChars="200"/>
        <w:rPr>
          <w:rFonts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（1）企业应切实落实环保投资，按照环评报告实施“三同时”。 </w:t>
      </w:r>
    </w:p>
    <w:p>
      <w:pPr>
        <w:spacing w:line="360" w:lineRule="auto"/>
        <w:ind w:firstLine="480" w:firstLineChars="200"/>
        <w:rPr>
          <w:rFonts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t xml:space="preserve">（2）企业应充分重视公众意见，严格生产管理，保证环保设施的正常稳定运行，严格防范环境风险，避免出现事故性排放造成的污染和损失。  </w:t>
      </w:r>
    </w:p>
    <w:p>
      <w:pPr>
        <w:spacing w:line="360" w:lineRule="auto"/>
        <w:ind w:firstLine="480" w:firstLineChars="200"/>
        <w:rPr>
          <w:rFonts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pPr>
      <w:r>
        <w:rPr>
          <w:rFonts w:hint="eastAsia" w:cs="Times New Roman" w:asciiTheme="minorEastAsia" w:hAnsiTheme="minorEastAsia"/>
          <w:color w:val="0D0D0D" w:themeColor="text1" w:themeTint="F2"/>
          <w:kern w:val="0"/>
          <w:sz w:val="24"/>
          <w:szCs w:val="24"/>
          <w14:textFill>
            <w14:solidFill>
              <w14:schemeClr w14:val="tx1">
                <w14:lumMod w14:val="95000"/>
                <w14:lumOff w14:val="5000"/>
              </w14:schemeClr>
            </w14:solidFill>
          </w14:textFill>
        </w:rPr>
        <w:t>（3）项目运行期间应加强职工安全防范教育；强化危险废物运输、储存管理，严防出现危险废物散落、泄漏或非法流入社会事件。</w:t>
      </w:r>
    </w:p>
    <w:p>
      <w:pPr>
        <w:spacing w:line="360" w:lineRule="auto"/>
        <w:jc w:val="left"/>
        <w:rPr>
          <w:rFonts w:asciiTheme="minorEastAsia" w:hAnsiTheme="minorEastAsia"/>
          <w:b/>
          <w:color w:val="0D0D0D" w:themeColor="text1" w:themeTint="F2"/>
          <w:sz w:val="28"/>
          <w:szCs w:val="28"/>
          <w14:textFill>
            <w14:solidFill>
              <w14:schemeClr w14:val="tx1">
                <w14:lumMod w14:val="95000"/>
                <w14:lumOff w14:val="5000"/>
              </w14:schemeClr>
            </w14:solidFill>
          </w14:textFill>
        </w:rPr>
      </w:pPr>
      <w:r>
        <w:rPr>
          <w:rFonts w:hint="eastAsia" w:cs="Times New Roman" w:asciiTheme="minorEastAsia" w:hAnsiTheme="minorEastAsia"/>
          <w:b/>
          <w:color w:val="0D0D0D" w:themeColor="text1" w:themeTint="F2"/>
          <w:kern w:val="0"/>
          <w:sz w:val="28"/>
          <w:szCs w:val="28"/>
          <w14:textFill>
            <w14:solidFill>
              <w14:schemeClr w14:val="tx1">
                <w14:lumMod w14:val="95000"/>
                <w14:lumOff w14:val="5000"/>
              </w14:schemeClr>
            </w14:solidFill>
          </w14:textFill>
        </w:rPr>
        <w:t>10.11环评</w:t>
      </w:r>
      <w:r>
        <w:rPr>
          <w:rFonts w:hint="eastAsia" w:asciiTheme="minorEastAsia" w:hAnsiTheme="minorEastAsia"/>
          <w:b/>
          <w:color w:val="0D0D0D" w:themeColor="text1" w:themeTint="F2"/>
          <w:sz w:val="28"/>
          <w:szCs w:val="28"/>
          <w14:textFill>
            <w14:solidFill>
              <w14:schemeClr w14:val="tx1">
                <w14:lumMod w14:val="95000"/>
                <w14:lumOff w14:val="5000"/>
              </w14:schemeClr>
            </w14:solidFill>
          </w14:textFill>
        </w:rPr>
        <w:t>总结论</w:t>
      </w:r>
    </w:p>
    <w:p>
      <w:pPr>
        <w:spacing w:line="360" w:lineRule="auto"/>
        <w:ind w:firstLine="480" w:firstLineChars="200"/>
        <w:rPr>
          <w:rFonts w:asciiTheme="minorEastAsia" w:hAnsiTheme="minorEastAsia"/>
          <w:color w:val="0D0D0D" w:themeColor="text1" w:themeTint="F2"/>
          <w:sz w:val="24"/>
          <w:szCs w:val="24"/>
          <w14:textFill>
            <w14:solidFill>
              <w14:schemeClr w14:val="tx1">
                <w14:lumMod w14:val="95000"/>
                <w14:lumOff w14:val="5000"/>
              </w14:schemeClr>
            </w14:solidFill>
          </w14:textFill>
        </w:rPr>
      </w:pPr>
      <w:r>
        <w:rPr>
          <w:rFonts w:cs="Times New Roman" w:asciiTheme="minorEastAsia" w:hAnsiTheme="minorEastAsia"/>
          <w:sz w:val="24"/>
          <w:szCs w:val="24"/>
        </w:rPr>
        <w:t>西平县景虹再生资源有限公司年处理10万吨废轮胎低温裂解无害化资源化环保处理及循环再利用建设项目</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符合国家当前产业政策，选址符合西平县产业集聚区产业、空间布局和用地规划，满足区域“三线一单”管控要求；项目工艺、设备及污染物排放符合清洁生产管理要求；各项污染治理措施可行，污染物能够稳定达标排放，对外环境影响不大，不会降低区域环境功能级别；采取相应的风险防范措施后，事故风险在可接受范围内；项目建设运行环境经济损失较小；公众对项目建设无反对意见。因此，在严格落实本次评价提出的</w:t>
      </w:r>
      <w:r>
        <w:rPr>
          <w:rFonts w:cs="Times New Roman" w:asciiTheme="minorEastAsia" w:hAnsiTheme="minorEastAsia"/>
          <w:sz w:val="24"/>
          <w:szCs w:val="24"/>
        </w:rPr>
        <w:t>各项环境保护设施</w:t>
      </w:r>
      <w:r>
        <w:rPr>
          <w:rFonts w:hint="eastAsia" w:cs="Times New Roman" w:asciiTheme="minorEastAsia" w:hAnsiTheme="minorEastAsia"/>
          <w:sz w:val="24"/>
          <w:szCs w:val="24"/>
        </w:rPr>
        <w:t>及环境风险防范措施的基础上，</w:t>
      </w:r>
      <w:r>
        <w:rPr>
          <w:rFonts w:hint="eastAsia" w:asciiTheme="minorEastAsia" w:hAnsiTheme="minorEastAsia"/>
          <w:color w:val="0D0D0D" w:themeColor="text1" w:themeTint="F2"/>
          <w:sz w:val="24"/>
          <w:szCs w:val="24"/>
          <w14:textFill>
            <w14:solidFill>
              <w14:schemeClr w14:val="tx1">
                <w14:lumMod w14:val="95000"/>
                <w14:lumOff w14:val="5000"/>
              </w14:schemeClr>
            </w14:solidFill>
          </w14:textFill>
        </w:rPr>
        <w:t>从环境影响角度分析，本次项目建设是可行的。</w:t>
      </w:r>
    </w:p>
    <w:bookmarkEnd w:id="123"/>
    <w:bookmarkEnd w:id="124"/>
    <w:bookmarkEnd w:id="125"/>
    <w:bookmarkEnd w:id="126"/>
    <w:bookmarkEnd w:id="127"/>
    <w:bookmarkEnd w:id="128"/>
    <w:bookmarkEnd w:id="129"/>
    <w:p>
      <w:pPr>
        <w:adjustRightInd w:val="0"/>
        <w:snapToGrid w:val="0"/>
        <w:spacing w:line="360" w:lineRule="auto"/>
        <w:rPr>
          <w:rFonts w:cs="Times New Roman" w:asciiTheme="minorEastAsia" w:hAnsiTheme="minorEastAsia"/>
          <w:sz w:val="24"/>
          <w:szCs w:val="24"/>
        </w:rPr>
      </w:pPr>
    </w:p>
    <w:p>
      <w:pPr>
        <w:rPr>
          <w:rFonts w:asciiTheme="minorEastAsia" w:hAnsiTheme="minorEastAsia"/>
        </w:rPr>
      </w:pPr>
    </w:p>
    <w:p>
      <w:pPr>
        <w:widowControl/>
        <w:tabs>
          <w:tab w:val="left" w:pos="900"/>
          <w:tab w:val="center" w:pos="4535"/>
        </w:tabs>
        <w:autoSpaceDE w:val="0"/>
        <w:autoSpaceDN w:val="0"/>
        <w:adjustRightInd w:val="0"/>
        <w:snapToGrid w:val="0"/>
        <w:spacing w:line="358" w:lineRule="auto"/>
        <w:ind w:firstLine="482" w:firstLineChars="200"/>
        <w:jc w:val="center"/>
        <w:rPr>
          <w:rFonts w:cs="Times New Roman" w:asciiTheme="minorEastAsia" w:hAnsiTheme="minorEastAsia"/>
          <w:b/>
          <w:color w:val="0D0D0D" w:themeColor="text1" w:themeTint="F2"/>
          <w:sz w:val="24"/>
          <w:szCs w:val="24"/>
          <w14:textFill>
            <w14:solidFill>
              <w14:schemeClr w14:val="tx1">
                <w14:lumMod w14:val="95000"/>
                <w14:lumOff w14:val="5000"/>
              </w14:schemeClr>
            </w14:solidFill>
          </w14:textFill>
        </w:rPr>
      </w:pPr>
      <w:bookmarkStart w:id="136" w:name="_GoBack"/>
      <w:bookmarkEnd w:id="136"/>
    </w:p>
    <w:sectPr>
      <w:headerReference r:id="rId15" w:type="default"/>
      <w:footerReference r:id="rId16"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AFF" w:usb1="C0007843"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Courier New">
    <w:panose1 w:val="02070309020205020404"/>
    <w:charset w:val="00"/>
    <w:family w:val="modern"/>
    <w:pitch w:val="default"/>
    <w:sig w:usb0="E0002AFF" w:usb1="C0007843" w:usb2="00000009" w:usb3="00000000" w:csb0="400001FF" w:csb1="FFFF0000"/>
  </w:font>
  <w:font w:name="楷体_GB2312">
    <w:panose1 w:val="02010609030101010101"/>
    <w:charset w:val="86"/>
    <w:family w:val="modern"/>
    <w:pitch w:val="default"/>
    <w:sig w:usb0="00000001" w:usb1="080E0000" w:usb2="00000000" w:usb3="00000000" w:csb0="00040000" w:csb1="00000000"/>
  </w:font>
  <w:font w:name="MS Mincho">
    <w:panose1 w:val="02020609040205080304"/>
    <w:charset w:val="80"/>
    <w:family w:val="modern"/>
    <w:pitch w:val="default"/>
    <w:sig w:usb0="E00002FF" w:usb1="6AC7FDFB" w:usb2="00000012" w:usb3="00000000" w:csb0="4002009F" w:csb1="DFD70000"/>
  </w:font>
  <w:font w:name="AdobeSongStd-Light-Acro,Bold">
    <w:altName w:val="宋体"/>
    <w:panose1 w:val="00000000000000000000"/>
    <w:charset w:val="86"/>
    <w:family w:val="auto"/>
    <w:pitch w:val="default"/>
    <w:sig w:usb0="00000000" w:usb1="00000000" w:usb2="00000010" w:usb3="00000000" w:csb0="00040000" w:csb1="00000000"/>
  </w:font>
  <w:font w:name="AdobeSongStd-Light-Acro">
    <w:altName w:val="宋体"/>
    <w:panose1 w:val="00000000000000000000"/>
    <w:charset w:val="86"/>
    <w:family w:val="auto"/>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6535471"/>
      <w:docPartObj>
        <w:docPartGallery w:val="autotext"/>
      </w:docPartObj>
    </w:sdtPr>
    <w:sdtEndPr>
      <w:rPr>
        <w:sz w:val="21"/>
        <w:szCs w:val="21"/>
      </w:rPr>
    </w:sdtEndPr>
    <w:sdtContent>
      <w:p>
        <w:pPr>
          <w:pStyle w:val="16"/>
          <w:jc w:val="center"/>
          <w:rPr>
            <w:sz w:val="21"/>
            <w:szCs w:val="21"/>
          </w:rPr>
        </w:pPr>
        <w:r>
          <w:rPr>
            <w:rFonts w:hint="eastAsia"/>
            <w:sz w:val="21"/>
            <w:szCs w:val="21"/>
          </w:rPr>
          <w:t>2-</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w:t>
        </w:r>
        <w:r>
          <w:rPr>
            <w:sz w:val="21"/>
            <w:szCs w:val="21"/>
          </w:rPr>
          <w:fldChar w:fldCharType="end"/>
        </w:r>
      </w:p>
    </w:sdtContent>
  </w:sdt>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78962645"/>
      <w:docPartObj>
        <w:docPartGallery w:val="autotext"/>
      </w:docPartObj>
    </w:sdtPr>
    <w:sdtEndPr>
      <w:rPr>
        <w:sz w:val="21"/>
        <w:szCs w:val="21"/>
      </w:rPr>
    </w:sdtEndPr>
    <w:sdtContent>
      <w:p>
        <w:pPr>
          <w:pStyle w:val="16"/>
          <w:jc w:val="center"/>
          <w:rPr>
            <w:sz w:val="21"/>
            <w:szCs w:val="21"/>
          </w:rPr>
        </w:pPr>
        <w:r>
          <w:rPr>
            <w:rFonts w:hint="eastAsia"/>
            <w:sz w:val="21"/>
            <w:szCs w:val="21"/>
          </w:rPr>
          <w:t>3-</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19</w:t>
        </w:r>
        <w:r>
          <w:rPr>
            <w:sz w:val="21"/>
            <w:szCs w:val="21"/>
          </w:rPr>
          <w:fldChar w:fldCharType="end"/>
        </w:r>
      </w:p>
    </w:sdtContent>
  </w:sdt>
  <w:p>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74937967"/>
      <w:docPartObj>
        <w:docPartGallery w:val="autotext"/>
      </w:docPartObj>
    </w:sdtPr>
    <w:sdtEndPr>
      <w:rPr>
        <w:sz w:val="21"/>
        <w:szCs w:val="21"/>
      </w:rPr>
    </w:sdtEndPr>
    <w:sdtContent>
      <w:p>
        <w:pPr>
          <w:pStyle w:val="16"/>
          <w:jc w:val="center"/>
          <w:rPr>
            <w:sz w:val="21"/>
            <w:szCs w:val="21"/>
          </w:rPr>
        </w:pPr>
        <w:r>
          <w:rPr>
            <w:rFonts w:hint="eastAsia"/>
            <w:sz w:val="21"/>
            <w:szCs w:val="21"/>
          </w:rPr>
          <w:t>4-</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20</w:t>
        </w:r>
        <w:r>
          <w:rPr>
            <w:sz w:val="21"/>
            <w:szCs w:val="21"/>
          </w:rPr>
          <w:fldChar w:fldCharType="end"/>
        </w:r>
      </w:p>
    </w:sdtContent>
  </w:sdt>
  <w:p>
    <w:pPr>
      <w:pStyle w:val="16"/>
      <w:tabs>
        <w:tab w:val="left" w:pos="4920"/>
        <w:tab w:val="clear" w:pos="4153"/>
        <w:tab w:val="clear" w:pos="8306"/>
      </w:tabs>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13747303"/>
      <w:docPartObj>
        <w:docPartGallery w:val="autotext"/>
      </w:docPartObj>
    </w:sdtPr>
    <w:sdtEndPr>
      <w:rPr>
        <w:sz w:val="21"/>
        <w:szCs w:val="21"/>
      </w:rPr>
    </w:sdtEndPr>
    <w:sdtContent>
      <w:p>
        <w:pPr>
          <w:pStyle w:val="16"/>
          <w:jc w:val="center"/>
          <w:rPr>
            <w:sz w:val="21"/>
            <w:szCs w:val="21"/>
          </w:rPr>
        </w:pPr>
        <w:r>
          <w:rPr>
            <w:rFonts w:hint="eastAsia"/>
            <w:sz w:val="21"/>
            <w:szCs w:val="21"/>
          </w:rPr>
          <w:t>5-</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49</w:t>
        </w:r>
        <w:r>
          <w:rPr>
            <w:sz w:val="21"/>
            <w:szCs w:val="21"/>
          </w:rPr>
          <w:fldChar w:fldCharType="end"/>
        </w:r>
      </w:p>
    </w:sdtContent>
  </w:sdt>
  <w:p>
    <w:pPr>
      <w:pStyle w:val="1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36333552"/>
      <w:docPartObj>
        <w:docPartGallery w:val="autotext"/>
      </w:docPartObj>
    </w:sdtPr>
    <w:sdtEndPr>
      <w:rPr>
        <w:sz w:val="21"/>
        <w:szCs w:val="21"/>
      </w:rPr>
    </w:sdtEndPr>
    <w:sdtContent>
      <w:p>
        <w:pPr>
          <w:pStyle w:val="16"/>
          <w:jc w:val="center"/>
          <w:rPr>
            <w:sz w:val="21"/>
            <w:szCs w:val="21"/>
          </w:rPr>
        </w:pPr>
        <w:r>
          <w:rPr>
            <w:rFonts w:hint="eastAsia"/>
            <w:sz w:val="21"/>
            <w:szCs w:val="21"/>
          </w:rPr>
          <w:t>7-</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27</w:t>
        </w:r>
        <w:r>
          <w:rPr>
            <w:sz w:val="21"/>
            <w:szCs w:val="21"/>
          </w:rPr>
          <w:fldChar w:fldCharType="end"/>
        </w:r>
      </w:p>
    </w:sdtContent>
  </w:sdt>
  <w:p>
    <w:pPr>
      <w:pStyle w:val="1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09003797"/>
      <w:docPartObj>
        <w:docPartGallery w:val="autotext"/>
      </w:docPartObj>
    </w:sdtPr>
    <w:sdtEndPr>
      <w:rPr>
        <w:rFonts w:asciiTheme="minorEastAsia" w:hAnsiTheme="minorEastAsia"/>
        <w:sz w:val="21"/>
        <w:szCs w:val="21"/>
      </w:rPr>
    </w:sdtEndPr>
    <w:sdtContent>
      <w:p>
        <w:pPr>
          <w:pStyle w:val="16"/>
          <w:jc w:val="center"/>
          <w:rPr>
            <w:rFonts w:asciiTheme="minorEastAsia" w:hAnsiTheme="minorEastAsia"/>
            <w:sz w:val="21"/>
            <w:szCs w:val="21"/>
          </w:rPr>
        </w:pPr>
        <w:r>
          <w:rPr>
            <w:rFonts w:hint="eastAsia" w:asciiTheme="minorEastAsia" w:hAnsiTheme="minorEastAsia"/>
            <w:sz w:val="21"/>
            <w:szCs w:val="21"/>
          </w:rPr>
          <w:t>9-</w:t>
        </w:r>
        <w:r>
          <w:rPr>
            <w:rFonts w:asciiTheme="minorEastAsia" w:hAnsiTheme="minorEastAsia"/>
            <w:sz w:val="21"/>
            <w:szCs w:val="21"/>
          </w:rPr>
          <w:fldChar w:fldCharType="begin"/>
        </w:r>
        <w:r>
          <w:rPr>
            <w:rFonts w:asciiTheme="minorEastAsia" w:hAnsiTheme="minorEastAsia"/>
            <w:sz w:val="21"/>
            <w:szCs w:val="21"/>
          </w:rPr>
          <w:instrText xml:space="preserve">PAGE   \* MERGEFORMAT</w:instrText>
        </w:r>
        <w:r>
          <w:rPr>
            <w:rFonts w:asciiTheme="minorEastAsia" w:hAnsiTheme="minorEastAsia"/>
            <w:sz w:val="21"/>
            <w:szCs w:val="21"/>
          </w:rPr>
          <w:fldChar w:fldCharType="separate"/>
        </w:r>
        <w:r>
          <w:rPr>
            <w:rFonts w:asciiTheme="minorEastAsia" w:hAnsiTheme="minorEastAsia"/>
            <w:sz w:val="21"/>
            <w:szCs w:val="21"/>
            <w:lang w:val="zh-CN"/>
          </w:rPr>
          <w:t>16</w:t>
        </w:r>
        <w:r>
          <w:rPr>
            <w:rFonts w:asciiTheme="minorEastAsia" w:hAnsiTheme="minorEastAsia"/>
            <w:sz w:val="21"/>
            <w:szCs w:val="21"/>
          </w:rPr>
          <w:fldChar w:fldCharType="end"/>
        </w:r>
      </w:p>
    </w:sdtContent>
  </w:sdt>
  <w:p>
    <w:pPr>
      <w:pStyle w:val="1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8502673"/>
      <w:docPartObj>
        <w:docPartGallery w:val="AutoText"/>
      </w:docPartObj>
    </w:sdtPr>
    <w:sdtEndPr>
      <w:rPr>
        <w:sz w:val="21"/>
        <w:szCs w:val="21"/>
      </w:rPr>
    </w:sdtEndPr>
    <w:sdtContent>
      <w:p>
        <w:pPr>
          <w:pStyle w:val="16"/>
          <w:jc w:val="center"/>
          <w:rPr>
            <w:sz w:val="21"/>
            <w:szCs w:val="21"/>
          </w:rPr>
        </w:pPr>
        <w:r>
          <w:rPr>
            <w:rFonts w:hint="eastAsia"/>
            <w:sz w:val="21"/>
            <w:szCs w:val="21"/>
          </w:rPr>
          <w:t>1-</w:t>
        </w: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26</w:t>
        </w:r>
        <w:r>
          <w:rPr>
            <w:sz w:val="21"/>
            <w:szCs w:val="21"/>
          </w:rPr>
          <w:fldChar w:fldCharType="end"/>
        </w:r>
      </w:p>
    </w:sdtContent>
  </w:sdt>
  <w:p>
    <w:pPr>
      <w:pStyle w:val="1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sz w:val="21"/>
        <w:szCs w:val="21"/>
      </w:rPr>
    </w:pPr>
    <w:r>
      <w:rPr>
        <w:rFonts w:hint="eastAsia"/>
        <w:sz w:val="21"/>
        <w:szCs w:val="21"/>
      </w:rPr>
      <w:t>第二章  建设项目工程分析</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rFonts w:hint="eastAsia"/>
      </w:rPr>
      <w:t>第三章   区域环境概况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sz w:val="21"/>
        <w:szCs w:val="21"/>
      </w:rPr>
    </w:pPr>
    <w:r>
      <w:rPr>
        <w:rFonts w:hint="eastAsia"/>
        <w:sz w:val="21"/>
        <w:szCs w:val="21"/>
      </w:rPr>
      <w:t>第四章 环境质量现状调查</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sz w:val="21"/>
        <w:szCs w:val="21"/>
      </w:rPr>
    </w:pPr>
    <w:r>
      <w:rPr>
        <w:rFonts w:hint="eastAsia"/>
        <w:sz w:val="21"/>
        <w:szCs w:val="21"/>
      </w:rPr>
      <w:t>第五章  环境影响预测与评价</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sz w:val="21"/>
        <w:szCs w:val="21"/>
      </w:rPr>
    </w:pPr>
    <w:r>
      <w:rPr>
        <w:rFonts w:hint="eastAsia"/>
        <w:sz w:val="21"/>
        <w:szCs w:val="21"/>
      </w:rPr>
      <w:t>第七章  污染防治措施可行性分析</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Fonts w:asciiTheme="minorEastAsia" w:hAnsiTheme="minorEastAsia"/>
        <w:sz w:val="21"/>
        <w:szCs w:val="21"/>
      </w:rPr>
    </w:pPr>
    <w:r>
      <w:rPr>
        <w:rFonts w:hint="eastAsia" w:asciiTheme="minorEastAsia" w:hAnsiTheme="minorEastAsia"/>
        <w:sz w:val="21"/>
        <w:szCs w:val="21"/>
      </w:rPr>
      <w:t>第九章   环境管理与监测计划</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rFonts w:hint="eastAsia"/>
      </w:rPr>
      <w:t>第一章  总则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B50245"/>
    <w:multiLevelType w:val="singleLevel"/>
    <w:tmpl w:val="57B50245"/>
    <w:lvl w:ilvl="0" w:tentative="0">
      <w:start w:val="6"/>
      <w:numFmt w:val="decimal"/>
      <w:suff w:val="nothing"/>
      <w:lvlText w:val="%1、"/>
      <w:lvlJc w:val="left"/>
    </w:lvl>
  </w:abstractNum>
  <w:abstractNum w:abstractNumId="1">
    <w:nsid w:val="78B7F05D"/>
    <w:multiLevelType w:val="singleLevel"/>
    <w:tmpl w:val="78B7F05D"/>
    <w:lvl w:ilvl="0" w:tentative="0">
      <w:start w:val="2"/>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313D"/>
    <w:rsid w:val="000440C7"/>
    <w:rsid w:val="00061770"/>
    <w:rsid w:val="00063E65"/>
    <w:rsid w:val="000C44B0"/>
    <w:rsid w:val="000C7E9B"/>
    <w:rsid w:val="000F5CA3"/>
    <w:rsid w:val="00110455"/>
    <w:rsid w:val="00132EEA"/>
    <w:rsid w:val="001575A9"/>
    <w:rsid w:val="00180011"/>
    <w:rsid w:val="00180526"/>
    <w:rsid w:val="00180914"/>
    <w:rsid w:val="001D2F43"/>
    <w:rsid w:val="001E1D94"/>
    <w:rsid w:val="00244C9D"/>
    <w:rsid w:val="00252B29"/>
    <w:rsid w:val="002538F6"/>
    <w:rsid w:val="002741C9"/>
    <w:rsid w:val="00290C13"/>
    <w:rsid w:val="002A23FC"/>
    <w:rsid w:val="002F50CA"/>
    <w:rsid w:val="00317D26"/>
    <w:rsid w:val="00326844"/>
    <w:rsid w:val="003541B9"/>
    <w:rsid w:val="003605D9"/>
    <w:rsid w:val="00364804"/>
    <w:rsid w:val="00392924"/>
    <w:rsid w:val="003932A5"/>
    <w:rsid w:val="00394DEF"/>
    <w:rsid w:val="003A756C"/>
    <w:rsid w:val="003C61FB"/>
    <w:rsid w:val="003D1973"/>
    <w:rsid w:val="003D2E3B"/>
    <w:rsid w:val="003D41BD"/>
    <w:rsid w:val="003E6A39"/>
    <w:rsid w:val="004041D7"/>
    <w:rsid w:val="00423ADE"/>
    <w:rsid w:val="004812DD"/>
    <w:rsid w:val="00484B0F"/>
    <w:rsid w:val="0048728F"/>
    <w:rsid w:val="004B195F"/>
    <w:rsid w:val="004D4000"/>
    <w:rsid w:val="004D41F8"/>
    <w:rsid w:val="004E332B"/>
    <w:rsid w:val="00501EA9"/>
    <w:rsid w:val="00510BBA"/>
    <w:rsid w:val="005224E3"/>
    <w:rsid w:val="00563DAC"/>
    <w:rsid w:val="00570F46"/>
    <w:rsid w:val="005A71DC"/>
    <w:rsid w:val="005E6517"/>
    <w:rsid w:val="005F6834"/>
    <w:rsid w:val="00626158"/>
    <w:rsid w:val="00652FBF"/>
    <w:rsid w:val="006821E5"/>
    <w:rsid w:val="006A34E7"/>
    <w:rsid w:val="006D402F"/>
    <w:rsid w:val="006F629D"/>
    <w:rsid w:val="00703668"/>
    <w:rsid w:val="00711D92"/>
    <w:rsid w:val="00743847"/>
    <w:rsid w:val="0075520D"/>
    <w:rsid w:val="007637B9"/>
    <w:rsid w:val="00783831"/>
    <w:rsid w:val="007A14E5"/>
    <w:rsid w:val="00805266"/>
    <w:rsid w:val="00806B10"/>
    <w:rsid w:val="00811386"/>
    <w:rsid w:val="00813EE4"/>
    <w:rsid w:val="00871DC0"/>
    <w:rsid w:val="008958BA"/>
    <w:rsid w:val="008A2B21"/>
    <w:rsid w:val="008B0213"/>
    <w:rsid w:val="00932373"/>
    <w:rsid w:val="00936E86"/>
    <w:rsid w:val="00937A45"/>
    <w:rsid w:val="00964444"/>
    <w:rsid w:val="00983976"/>
    <w:rsid w:val="00996E73"/>
    <w:rsid w:val="009B66EF"/>
    <w:rsid w:val="009B76CA"/>
    <w:rsid w:val="009C0E28"/>
    <w:rsid w:val="009D0B3D"/>
    <w:rsid w:val="009E217F"/>
    <w:rsid w:val="009E2BAB"/>
    <w:rsid w:val="009E3D8F"/>
    <w:rsid w:val="00A0313D"/>
    <w:rsid w:val="00A0750D"/>
    <w:rsid w:val="00A322D9"/>
    <w:rsid w:val="00AB25B4"/>
    <w:rsid w:val="00AE5EC2"/>
    <w:rsid w:val="00B31C7A"/>
    <w:rsid w:val="00B40490"/>
    <w:rsid w:val="00B52711"/>
    <w:rsid w:val="00B64131"/>
    <w:rsid w:val="00B8102A"/>
    <w:rsid w:val="00B82124"/>
    <w:rsid w:val="00B87D3E"/>
    <w:rsid w:val="00BA7D42"/>
    <w:rsid w:val="00BC5692"/>
    <w:rsid w:val="00BD38DC"/>
    <w:rsid w:val="00C06EB5"/>
    <w:rsid w:val="00C17558"/>
    <w:rsid w:val="00C53644"/>
    <w:rsid w:val="00C5566C"/>
    <w:rsid w:val="00C645E7"/>
    <w:rsid w:val="00CC0DE7"/>
    <w:rsid w:val="00CC7E43"/>
    <w:rsid w:val="00CE1840"/>
    <w:rsid w:val="00D0280E"/>
    <w:rsid w:val="00D30688"/>
    <w:rsid w:val="00D437E4"/>
    <w:rsid w:val="00D617ED"/>
    <w:rsid w:val="00D72C73"/>
    <w:rsid w:val="00D73096"/>
    <w:rsid w:val="00D761CF"/>
    <w:rsid w:val="00DA5C80"/>
    <w:rsid w:val="00DB100F"/>
    <w:rsid w:val="00DB1D77"/>
    <w:rsid w:val="00DB4953"/>
    <w:rsid w:val="00DB56E2"/>
    <w:rsid w:val="00DF272C"/>
    <w:rsid w:val="00E2391E"/>
    <w:rsid w:val="00E4788A"/>
    <w:rsid w:val="00E91283"/>
    <w:rsid w:val="00E97578"/>
    <w:rsid w:val="00EF1C69"/>
    <w:rsid w:val="00F1065F"/>
    <w:rsid w:val="00F206A3"/>
    <w:rsid w:val="00F230F9"/>
    <w:rsid w:val="00F56A15"/>
    <w:rsid w:val="00F6635C"/>
    <w:rsid w:val="00F850A9"/>
    <w:rsid w:val="00F87E2A"/>
    <w:rsid w:val="00F900BE"/>
    <w:rsid w:val="00FB0FDD"/>
    <w:rsid w:val="00FD0BBB"/>
    <w:rsid w:val="00FE6FAB"/>
    <w:rsid w:val="00FF0541"/>
    <w:rsid w:val="7CC831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sdException w:unhideWhenUsed="0" w:uiPriority="0"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uiPriority="0" w:semiHidden="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nhideWhenUsed="0" w:uiPriority="0" w:semiHidden="0"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0" w:semiHidden="0" w:name="Body Text"/>
    <w:lsdException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nhideWhenUsed="0" w:uiPriority="0" w:semiHidden="0" w:name="Body Text First Indent"/>
    <w:lsdException w:unhideWhenUsed="0" w:uiPriority="0" w:semiHidden="0" w:name="Body Text First Indent 2"/>
    <w:lsdException w:unhideWhenUsed="0" w:uiPriority="0" w:semiHidden="0"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nhideWhenUsed="0" w:uiPriority="0" w:semiHidden="0" w:name="Plain Text"/>
    <w:lsdException w:uiPriority="99" w:name="E-mail Signature"/>
    <w:lsdException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5"/>
    <w:qFormat/>
    <w:uiPriority w:val="0"/>
    <w:pPr>
      <w:keepNext/>
      <w:keepLines/>
      <w:adjustRightInd w:val="0"/>
      <w:snapToGrid w:val="0"/>
      <w:spacing w:before="100" w:beforeLines="100" w:after="100" w:afterLines="100" w:line="360" w:lineRule="auto"/>
      <w:ind w:firstLine="560" w:firstLineChars="200"/>
      <w:jc w:val="center"/>
      <w:outlineLvl w:val="0"/>
    </w:pPr>
    <w:rPr>
      <w:rFonts w:ascii="Times New Roman" w:hAnsi="Times New Roman" w:eastAsia="黑体" w:cs="Times New Roman"/>
      <w:kern w:val="44"/>
      <w:sz w:val="36"/>
      <w:szCs w:val="24"/>
    </w:rPr>
  </w:style>
  <w:style w:type="paragraph" w:styleId="3">
    <w:name w:val="heading 2"/>
    <w:basedOn w:val="1"/>
    <w:next w:val="1"/>
    <w:link w:val="36"/>
    <w:qFormat/>
    <w:uiPriority w:val="0"/>
    <w:pPr>
      <w:keepNext/>
      <w:keepLines/>
      <w:adjustRightInd w:val="0"/>
      <w:snapToGrid w:val="0"/>
      <w:spacing w:before="50" w:beforeLines="50" w:line="360" w:lineRule="auto"/>
      <w:outlineLvl w:val="1"/>
    </w:pPr>
    <w:rPr>
      <w:rFonts w:ascii="Times New Roman" w:hAnsi="Times New Roman" w:eastAsia="黑体" w:cs="Times New Roman"/>
      <w:sz w:val="28"/>
      <w:szCs w:val="24"/>
    </w:rPr>
  </w:style>
  <w:style w:type="paragraph" w:styleId="4">
    <w:name w:val="heading 3"/>
    <w:basedOn w:val="1"/>
    <w:next w:val="1"/>
    <w:link w:val="37"/>
    <w:qFormat/>
    <w:uiPriority w:val="0"/>
    <w:pPr>
      <w:keepNext/>
      <w:keepLines/>
      <w:adjustRightInd w:val="0"/>
      <w:snapToGrid w:val="0"/>
      <w:spacing w:before="50" w:beforeLines="50" w:line="360" w:lineRule="auto"/>
      <w:outlineLvl w:val="2"/>
    </w:pPr>
    <w:rPr>
      <w:rFonts w:ascii="Times New Roman" w:hAnsi="Times New Roman" w:eastAsia="黑体" w:cs="Times New Roman"/>
      <w:sz w:val="24"/>
      <w:szCs w:val="24"/>
    </w:rPr>
  </w:style>
  <w:style w:type="paragraph" w:styleId="5">
    <w:name w:val="heading 4"/>
    <w:basedOn w:val="1"/>
    <w:next w:val="1"/>
    <w:link w:val="38"/>
    <w:qFormat/>
    <w:uiPriority w:val="0"/>
    <w:pPr>
      <w:tabs>
        <w:tab w:val="left" w:pos="0"/>
      </w:tabs>
      <w:adjustRightInd w:val="0"/>
      <w:snapToGrid w:val="0"/>
      <w:spacing w:line="360" w:lineRule="auto"/>
      <w:outlineLvl w:val="3"/>
    </w:pPr>
    <w:rPr>
      <w:rFonts w:ascii="Times New Roman" w:hAnsi="Times New Roman" w:eastAsia="楷体" w:cs="Times New Roman"/>
      <w:sz w:val="24"/>
      <w:szCs w:val="24"/>
    </w:rPr>
  </w:style>
  <w:style w:type="character" w:default="1" w:styleId="29">
    <w:name w:val="Default Paragraph Font"/>
    <w:semiHidden/>
    <w:unhideWhenUsed/>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6">
    <w:name w:val="Note Heading"/>
    <w:basedOn w:val="1"/>
    <w:next w:val="1"/>
    <w:link w:val="51"/>
    <w:uiPriority w:val="0"/>
    <w:pPr>
      <w:adjustRightInd w:val="0"/>
      <w:snapToGrid w:val="0"/>
      <w:spacing w:line="360" w:lineRule="auto"/>
      <w:ind w:firstLine="560" w:firstLineChars="200"/>
      <w:jc w:val="center"/>
    </w:pPr>
    <w:rPr>
      <w:rFonts w:ascii="Times New Roman" w:hAnsi="Times New Roman" w:eastAsia="宋体" w:cs="Times New Roman"/>
      <w:sz w:val="24"/>
      <w:szCs w:val="24"/>
    </w:rPr>
  </w:style>
  <w:style w:type="paragraph" w:styleId="7">
    <w:name w:val="Normal Indent"/>
    <w:basedOn w:val="1"/>
    <w:next w:val="1"/>
    <w:uiPriority w:val="0"/>
    <w:pPr>
      <w:adjustRightInd w:val="0"/>
      <w:snapToGrid w:val="0"/>
      <w:spacing w:line="460" w:lineRule="atLeast"/>
      <w:ind w:firstLine="420" w:firstLineChars="200"/>
    </w:pPr>
    <w:rPr>
      <w:rFonts w:ascii="Times New Roman" w:hAnsi="Times New Roman" w:eastAsia="宋体" w:cs="Times New Roman"/>
      <w:sz w:val="24"/>
      <w:szCs w:val="20"/>
    </w:rPr>
  </w:style>
  <w:style w:type="paragraph" w:styleId="8">
    <w:name w:val="annotation text"/>
    <w:basedOn w:val="1"/>
    <w:link w:val="60"/>
    <w:unhideWhenUsed/>
    <w:uiPriority w:val="0"/>
    <w:pPr>
      <w:jc w:val="left"/>
    </w:pPr>
  </w:style>
  <w:style w:type="paragraph" w:styleId="9">
    <w:name w:val="Body Text"/>
    <w:basedOn w:val="1"/>
    <w:link w:val="54"/>
    <w:unhideWhenUsed/>
    <w:uiPriority w:val="0"/>
    <w:pPr>
      <w:spacing w:after="120"/>
    </w:pPr>
  </w:style>
  <w:style w:type="paragraph" w:styleId="10">
    <w:name w:val="Body Text Indent"/>
    <w:basedOn w:val="1"/>
    <w:link w:val="58"/>
    <w:unhideWhenUsed/>
    <w:uiPriority w:val="0"/>
    <w:pPr>
      <w:spacing w:after="120"/>
      <w:ind w:left="420" w:leftChars="200"/>
    </w:pPr>
  </w:style>
  <w:style w:type="paragraph" w:styleId="11">
    <w:name w:val="List 2"/>
    <w:basedOn w:val="1"/>
    <w:uiPriority w:val="0"/>
    <w:pPr>
      <w:adjustRightInd w:val="0"/>
      <w:snapToGrid w:val="0"/>
      <w:spacing w:line="360" w:lineRule="auto"/>
      <w:ind w:left="100" w:leftChars="200" w:hanging="200" w:hangingChars="200"/>
      <w:contextualSpacing/>
    </w:pPr>
    <w:rPr>
      <w:rFonts w:ascii="Times New Roman" w:hAnsi="Times New Roman" w:eastAsia="宋体" w:cs="Times New Roman"/>
      <w:sz w:val="24"/>
      <w:szCs w:val="24"/>
    </w:rPr>
  </w:style>
  <w:style w:type="paragraph" w:styleId="12">
    <w:name w:val="Block Text"/>
    <w:basedOn w:val="1"/>
    <w:qFormat/>
    <w:uiPriority w:val="0"/>
    <w:pPr>
      <w:snapToGrid w:val="0"/>
      <w:ind w:left="-28" w:right="-23" w:firstLine="568" w:firstLineChars="200"/>
    </w:pPr>
    <w:rPr>
      <w:rFonts w:ascii="楷体_GB2312" w:hAnsi="Times New Roman" w:eastAsia="楷体_GB2312" w:cs="Times New Roman"/>
      <w:sz w:val="30"/>
      <w:szCs w:val="20"/>
    </w:rPr>
  </w:style>
  <w:style w:type="paragraph" w:styleId="13">
    <w:name w:val="Plain Text"/>
    <w:basedOn w:val="1"/>
    <w:link w:val="68"/>
    <w:uiPriority w:val="0"/>
    <w:pPr>
      <w:adjustRightInd w:val="0"/>
      <w:snapToGrid w:val="0"/>
      <w:spacing w:line="360" w:lineRule="auto"/>
      <w:ind w:firstLine="560" w:firstLineChars="200"/>
    </w:pPr>
    <w:rPr>
      <w:rFonts w:ascii="宋体" w:hAnsi="Courier New" w:eastAsia="宋体" w:cs="Courier New"/>
      <w:sz w:val="24"/>
      <w:szCs w:val="21"/>
    </w:rPr>
  </w:style>
  <w:style w:type="paragraph" w:styleId="14">
    <w:name w:val="Body Text Indent 2"/>
    <w:basedOn w:val="1"/>
    <w:next w:val="1"/>
    <w:link w:val="53"/>
    <w:qFormat/>
    <w:uiPriority w:val="0"/>
    <w:pPr>
      <w:adjustRightInd w:val="0"/>
      <w:snapToGrid w:val="0"/>
      <w:spacing w:line="360" w:lineRule="auto"/>
      <w:ind w:firstLine="539" w:firstLineChars="200"/>
    </w:pPr>
    <w:rPr>
      <w:rFonts w:ascii="Times New Roman" w:hAnsi="Times New Roman" w:eastAsia="宋体" w:cs="Times New Roman"/>
      <w:sz w:val="24"/>
      <w:szCs w:val="24"/>
    </w:rPr>
  </w:style>
  <w:style w:type="paragraph" w:styleId="15">
    <w:name w:val="Balloon Text"/>
    <w:basedOn w:val="1"/>
    <w:link w:val="42"/>
    <w:uiPriority w:val="0"/>
    <w:pPr>
      <w:adjustRightInd w:val="0"/>
      <w:snapToGrid w:val="0"/>
      <w:ind w:firstLine="560" w:firstLineChars="200"/>
    </w:pPr>
    <w:rPr>
      <w:sz w:val="18"/>
      <w:szCs w:val="18"/>
    </w:rPr>
  </w:style>
  <w:style w:type="paragraph" w:styleId="16">
    <w:name w:val="footer"/>
    <w:basedOn w:val="1"/>
    <w:link w:val="34"/>
    <w:unhideWhenUsed/>
    <w:qFormat/>
    <w:uiPriority w:val="99"/>
    <w:pPr>
      <w:tabs>
        <w:tab w:val="center" w:pos="4153"/>
        <w:tab w:val="right" w:pos="8306"/>
      </w:tabs>
      <w:snapToGrid w:val="0"/>
      <w:jc w:val="left"/>
    </w:pPr>
    <w:rPr>
      <w:sz w:val="18"/>
      <w:szCs w:val="18"/>
    </w:rPr>
  </w:style>
  <w:style w:type="paragraph" w:styleId="17">
    <w:name w:val="envelope return"/>
    <w:basedOn w:val="1"/>
    <w:uiPriority w:val="0"/>
    <w:pPr>
      <w:adjustRightInd w:val="0"/>
      <w:snapToGrid w:val="0"/>
      <w:spacing w:line="360" w:lineRule="auto"/>
      <w:ind w:firstLine="560" w:firstLineChars="200"/>
    </w:pPr>
    <w:rPr>
      <w:rFonts w:ascii="Arial" w:hAnsi="Arial" w:eastAsia="宋体" w:cs="Arial"/>
      <w:sz w:val="24"/>
      <w:szCs w:val="24"/>
    </w:rPr>
  </w:style>
  <w:style w:type="paragraph" w:styleId="18">
    <w:name w:val="header"/>
    <w:basedOn w:val="1"/>
    <w:link w:val="33"/>
    <w:unhideWhenUsed/>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uiPriority w:val="0"/>
    <w:pPr>
      <w:adjustRightInd w:val="0"/>
      <w:snapToGrid w:val="0"/>
      <w:spacing w:line="360" w:lineRule="auto"/>
      <w:ind w:firstLine="560" w:firstLineChars="200"/>
    </w:pPr>
    <w:rPr>
      <w:rFonts w:ascii="Times New Roman" w:hAnsi="Times New Roman" w:eastAsia="宋体" w:cs="Times New Roman"/>
      <w:sz w:val="24"/>
      <w:szCs w:val="24"/>
    </w:rPr>
  </w:style>
  <w:style w:type="paragraph" w:styleId="20">
    <w:name w:val="Body Text Indent 3"/>
    <w:basedOn w:val="1"/>
    <w:link w:val="46"/>
    <w:qFormat/>
    <w:uiPriority w:val="0"/>
    <w:pPr>
      <w:adjustRightInd w:val="0"/>
      <w:snapToGrid w:val="0"/>
      <w:spacing w:after="120"/>
      <w:ind w:left="420" w:leftChars="200"/>
    </w:pPr>
    <w:rPr>
      <w:rFonts w:ascii="Times New Roman" w:hAnsi="Times New Roman" w:eastAsia="宋体" w:cs="Times New Roman"/>
      <w:sz w:val="16"/>
      <w:szCs w:val="16"/>
    </w:rPr>
  </w:style>
  <w:style w:type="paragraph" w:styleId="21">
    <w:name w:val="toc 2"/>
    <w:basedOn w:val="1"/>
    <w:next w:val="1"/>
    <w:uiPriority w:val="0"/>
    <w:pPr>
      <w:adjustRightInd w:val="0"/>
      <w:snapToGrid w:val="0"/>
      <w:spacing w:line="360" w:lineRule="auto"/>
      <w:ind w:left="420" w:leftChars="200" w:firstLine="560" w:firstLineChars="200"/>
    </w:pPr>
    <w:rPr>
      <w:rFonts w:ascii="Times New Roman" w:hAnsi="Times New Roman" w:eastAsia="宋体" w:cs="Times New Roman"/>
      <w:sz w:val="24"/>
      <w:szCs w:val="24"/>
    </w:rPr>
  </w:style>
  <w:style w:type="paragraph" w:styleId="22">
    <w:name w:val="Normal (Web)"/>
    <w:basedOn w:val="1"/>
    <w:uiPriority w:val="0"/>
    <w:pPr>
      <w:adjustRightInd w:val="0"/>
      <w:snapToGrid w:val="0"/>
      <w:spacing w:line="360" w:lineRule="auto"/>
      <w:ind w:firstLine="560" w:firstLineChars="200"/>
    </w:pPr>
    <w:rPr>
      <w:rFonts w:ascii="Times New Roman" w:hAnsi="Times New Roman" w:eastAsia="宋体" w:cs="Times New Roman"/>
      <w:sz w:val="24"/>
      <w:szCs w:val="24"/>
    </w:rPr>
  </w:style>
  <w:style w:type="paragraph" w:styleId="23">
    <w:name w:val="index 1"/>
    <w:basedOn w:val="1"/>
    <w:next w:val="1"/>
    <w:qFormat/>
    <w:uiPriority w:val="0"/>
    <w:pPr>
      <w:snapToGrid w:val="0"/>
      <w:spacing w:line="300" w:lineRule="exact"/>
      <w:ind w:firstLine="200" w:firstLineChars="200"/>
    </w:pPr>
    <w:rPr>
      <w:rFonts w:ascii="宋体" w:hAnsi="宋体" w:eastAsia="宋体" w:cs="Times New Roman"/>
      <w:spacing w:val="10"/>
      <w:szCs w:val="24"/>
    </w:rPr>
  </w:style>
  <w:style w:type="paragraph" w:styleId="24">
    <w:name w:val="annotation subject"/>
    <w:basedOn w:val="8"/>
    <w:next w:val="8"/>
    <w:link w:val="43"/>
    <w:uiPriority w:val="0"/>
    <w:pPr>
      <w:adjustRightInd w:val="0"/>
      <w:snapToGrid w:val="0"/>
      <w:spacing w:line="360" w:lineRule="auto"/>
      <w:ind w:firstLine="560" w:firstLineChars="200"/>
    </w:pPr>
    <w:rPr>
      <w:b/>
      <w:bCs/>
      <w:sz w:val="24"/>
      <w:szCs w:val="24"/>
    </w:rPr>
  </w:style>
  <w:style w:type="paragraph" w:styleId="25">
    <w:name w:val="Body Text First Indent"/>
    <w:basedOn w:val="9"/>
    <w:link w:val="55"/>
    <w:uiPriority w:val="0"/>
    <w:pPr>
      <w:adjustRightInd w:val="0"/>
      <w:snapToGrid w:val="0"/>
      <w:spacing w:after="0" w:line="360" w:lineRule="auto"/>
      <w:ind w:firstLine="200" w:firstLineChars="200"/>
      <w:textAlignment w:val="baseline"/>
    </w:pPr>
    <w:rPr>
      <w:rFonts w:ascii="Times New Roman" w:hAnsi="Times New Roman" w:eastAsia="宋体" w:cs="Times New Roman"/>
      <w:sz w:val="24"/>
      <w:szCs w:val="24"/>
    </w:rPr>
  </w:style>
  <w:style w:type="paragraph" w:styleId="26">
    <w:name w:val="Body Text First Indent 2"/>
    <w:basedOn w:val="1"/>
    <w:next w:val="1"/>
    <w:link w:val="59"/>
    <w:uiPriority w:val="0"/>
    <w:pPr>
      <w:adjustRightInd w:val="0"/>
      <w:snapToGrid w:val="0"/>
      <w:spacing w:line="360" w:lineRule="auto"/>
      <w:ind w:firstLine="420" w:firstLineChars="200"/>
    </w:pPr>
    <w:rPr>
      <w:rFonts w:ascii="Times New Roman" w:hAnsi="Times New Roman" w:eastAsia="宋体" w:cs="Times New Roman"/>
      <w:sz w:val="24"/>
      <w:szCs w:val="24"/>
    </w:rPr>
  </w:style>
  <w:style w:type="table" w:styleId="28">
    <w:name w:val="Table Grid"/>
    <w:basedOn w:val="27"/>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Hyperlink"/>
    <w:qFormat/>
    <w:uiPriority w:val="0"/>
    <w:rPr>
      <w:color w:val="0000FF"/>
      <w:u w:val="single"/>
    </w:rPr>
  </w:style>
  <w:style w:type="character" w:styleId="32">
    <w:name w:val="annotation reference"/>
    <w:qFormat/>
    <w:uiPriority w:val="0"/>
    <w:rPr>
      <w:sz w:val="21"/>
      <w:szCs w:val="21"/>
    </w:rPr>
  </w:style>
  <w:style w:type="character" w:customStyle="1" w:styleId="33">
    <w:name w:val="页眉 Char"/>
    <w:basedOn w:val="29"/>
    <w:link w:val="18"/>
    <w:qFormat/>
    <w:uiPriority w:val="99"/>
    <w:rPr>
      <w:sz w:val="18"/>
      <w:szCs w:val="18"/>
    </w:rPr>
  </w:style>
  <w:style w:type="character" w:customStyle="1" w:styleId="34">
    <w:name w:val="页脚 Char"/>
    <w:basedOn w:val="29"/>
    <w:link w:val="16"/>
    <w:qFormat/>
    <w:uiPriority w:val="99"/>
    <w:rPr>
      <w:sz w:val="18"/>
      <w:szCs w:val="18"/>
    </w:rPr>
  </w:style>
  <w:style w:type="character" w:customStyle="1" w:styleId="35">
    <w:name w:val="标题 1 Char"/>
    <w:basedOn w:val="29"/>
    <w:link w:val="2"/>
    <w:qFormat/>
    <w:uiPriority w:val="0"/>
    <w:rPr>
      <w:rFonts w:ascii="Times New Roman" w:hAnsi="Times New Roman" w:eastAsia="黑体" w:cs="Times New Roman"/>
      <w:kern w:val="44"/>
      <w:sz w:val="36"/>
      <w:szCs w:val="24"/>
    </w:rPr>
  </w:style>
  <w:style w:type="character" w:customStyle="1" w:styleId="36">
    <w:name w:val="标题 2 Char"/>
    <w:basedOn w:val="29"/>
    <w:link w:val="3"/>
    <w:qFormat/>
    <w:uiPriority w:val="0"/>
    <w:rPr>
      <w:rFonts w:ascii="Times New Roman" w:hAnsi="Times New Roman" w:eastAsia="黑体" w:cs="Times New Roman"/>
      <w:sz w:val="28"/>
      <w:szCs w:val="24"/>
    </w:rPr>
  </w:style>
  <w:style w:type="character" w:customStyle="1" w:styleId="37">
    <w:name w:val="标题 3 Char"/>
    <w:basedOn w:val="29"/>
    <w:link w:val="4"/>
    <w:qFormat/>
    <w:uiPriority w:val="0"/>
    <w:rPr>
      <w:rFonts w:ascii="Times New Roman" w:hAnsi="Times New Roman" w:eastAsia="黑体" w:cs="Times New Roman"/>
      <w:sz w:val="24"/>
      <w:szCs w:val="24"/>
    </w:rPr>
  </w:style>
  <w:style w:type="character" w:customStyle="1" w:styleId="38">
    <w:name w:val="标题 4 Char"/>
    <w:basedOn w:val="29"/>
    <w:link w:val="5"/>
    <w:qFormat/>
    <w:uiPriority w:val="0"/>
    <w:rPr>
      <w:rFonts w:ascii="Times New Roman" w:hAnsi="Times New Roman" w:eastAsia="楷体" w:cs="Times New Roman"/>
      <w:sz w:val="24"/>
      <w:szCs w:val="24"/>
    </w:rPr>
  </w:style>
  <w:style w:type="character" w:customStyle="1" w:styleId="39">
    <w:name w:val="font51"/>
    <w:qFormat/>
    <w:uiPriority w:val="0"/>
    <w:rPr>
      <w:rFonts w:hint="default" w:ascii="Times New Roman" w:hAnsi="Times New Roman" w:cs="Times New Roman"/>
      <w:color w:val="000000"/>
      <w:sz w:val="22"/>
      <w:szCs w:val="22"/>
      <w:u w:val="none"/>
      <w:vertAlign w:val="superscript"/>
    </w:rPr>
  </w:style>
  <w:style w:type="character" w:customStyle="1" w:styleId="40">
    <w:name w:val="font01"/>
    <w:qFormat/>
    <w:uiPriority w:val="0"/>
    <w:rPr>
      <w:rFonts w:hint="eastAsia" w:ascii="宋体" w:hAnsi="宋体" w:eastAsia="宋体" w:cs="宋体"/>
      <w:color w:val="000000"/>
      <w:sz w:val="24"/>
      <w:szCs w:val="24"/>
      <w:u w:val="none"/>
    </w:rPr>
  </w:style>
  <w:style w:type="character" w:customStyle="1" w:styleId="41">
    <w:name w:val="批注文字 Char"/>
    <w:qFormat/>
    <w:uiPriority w:val="0"/>
    <w:rPr>
      <w:kern w:val="2"/>
      <w:sz w:val="24"/>
      <w:szCs w:val="24"/>
    </w:rPr>
  </w:style>
  <w:style w:type="character" w:customStyle="1" w:styleId="42">
    <w:name w:val="批注框文本 Char"/>
    <w:link w:val="15"/>
    <w:qFormat/>
    <w:uiPriority w:val="0"/>
    <w:rPr>
      <w:sz w:val="18"/>
      <w:szCs w:val="18"/>
    </w:rPr>
  </w:style>
  <w:style w:type="character" w:customStyle="1" w:styleId="43">
    <w:name w:val="批注主题 Char"/>
    <w:link w:val="24"/>
    <w:qFormat/>
    <w:uiPriority w:val="0"/>
    <w:rPr>
      <w:b/>
      <w:bCs/>
      <w:sz w:val="24"/>
      <w:szCs w:val="24"/>
    </w:rPr>
  </w:style>
  <w:style w:type="paragraph" w:customStyle="1" w:styleId="44">
    <w:name w:val="缩进"/>
    <w:basedOn w:val="1"/>
    <w:qFormat/>
    <w:uiPriority w:val="99"/>
    <w:pPr>
      <w:autoSpaceDE w:val="0"/>
      <w:autoSpaceDN w:val="0"/>
      <w:adjustRightInd w:val="0"/>
      <w:snapToGrid w:val="0"/>
      <w:spacing w:line="400" w:lineRule="atLeast"/>
      <w:ind w:firstLine="200" w:firstLineChars="200"/>
      <w:textAlignment w:val="baseline"/>
    </w:pPr>
    <w:rPr>
      <w:rFonts w:ascii="Times New Roman" w:hAnsi="Times New Roman" w:eastAsia="宋体" w:cs="Times New Roman"/>
      <w:kern w:val="0"/>
      <w:sz w:val="24"/>
      <w:szCs w:val="20"/>
    </w:rPr>
  </w:style>
  <w:style w:type="paragraph" w:customStyle="1" w:styleId="45">
    <w:name w:val="表格五号"/>
    <w:basedOn w:val="1"/>
    <w:qFormat/>
    <w:uiPriority w:val="0"/>
    <w:pPr>
      <w:tabs>
        <w:tab w:val="right" w:leader="dot" w:pos="8721"/>
      </w:tabs>
      <w:adjustRightInd w:val="0"/>
      <w:snapToGrid w:val="0"/>
      <w:spacing w:line="340" w:lineRule="exact"/>
      <w:ind w:left="-56" w:leftChars="-20" w:right="-56" w:rightChars="-20" w:firstLine="200" w:firstLineChars="200"/>
      <w:jc w:val="center"/>
      <w:textAlignment w:val="baseline"/>
    </w:pPr>
    <w:rPr>
      <w:rFonts w:ascii="Times New Roman" w:hAnsi="Times New Roman" w:eastAsia="宋体" w:cs="Times New Roman"/>
      <w:snapToGrid w:val="0"/>
      <w:szCs w:val="21"/>
    </w:rPr>
  </w:style>
  <w:style w:type="character" w:customStyle="1" w:styleId="46">
    <w:name w:val="正文文本缩进 3 Char"/>
    <w:basedOn w:val="29"/>
    <w:link w:val="20"/>
    <w:uiPriority w:val="0"/>
    <w:rPr>
      <w:rFonts w:ascii="Times New Roman" w:hAnsi="Times New Roman" w:eastAsia="宋体" w:cs="Times New Roman"/>
      <w:sz w:val="16"/>
      <w:szCs w:val="16"/>
    </w:rPr>
  </w:style>
  <w:style w:type="paragraph" w:customStyle="1" w:styleId="47">
    <w:name w:val="正文1"/>
    <w:basedOn w:val="1"/>
    <w:qFormat/>
    <w:uiPriority w:val="0"/>
    <w:pPr>
      <w:adjustRightInd w:val="0"/>
      <w:snapToGrid w:val="0"/>
      <w:spacing w:line="360" w:lineRule="auto"/>
      <w:ind w:firstLine="562" w:firstLineChars="200"/>
    </w:pPr>
    <w:rPr>
      <w:rFonts w:ascii="Times New Roman" w:hAnsi="Times New Roman" w:eastAsia="宋体" w:cs="Times New Roman"/>
      <w:sz w:val="24"/>
      <w:szCs w:val="24"/>
    </w:rPr>
  </w:style>
  <w:style w:type="paragraph" w:customStyle="1" w:styleId="48">
    <w:name w:val="新格式表"/>
    <w:basedOn w:val="1"/>
    <w:uiPriority w:val="99"/>
    <w:pPr>
      <w:adjustRightInd w:val="0"/>
      <w:snapToGrid w:val="0"/>
      <w:spacing w:line="360" w:lineRule="auto"/>
      <w:ind w:firstLine="560" w:firstLineChars="200"/>
      <w:jc w:val="center"/>
    </w:pPr>
    <w:rPr>
      <w:rFonts w:ascii="Times New Roman" w:hAnsi="Times New Roman" w:eastAsia="宋体" w:cs="Times New Roman"/>
      <w:b/>
      <w:snapToGrid w:val="0"/>
      <w:color w:val="FF0000"/>
      <w:sz w:val="24"/>
      <w:szCs w:val="21"/>
    </w:rPr>
  </w:style>
  <w:style w:type="paragraph" w:customStyle="1" w:styleId="49">
    <w:name w:val="样式 段前: 0.5 行 首行缩进:  2 字符"/>
    <w:basedOn w:val="1"/>
    <w:uiPriority w:val="0"/>
    <w:pPr>
      <w:adjustRightInd w:val="0"/>
      <w:snapToGrid w:val="0"/>
      <w:spacing w:before="156" w:line="360" w:lineRule="auto"/>
      <w:ind w:firstLine="480" w:firstLineChars="200"/>
    </w:pPr>
    <w:rPr>
      <w:rFonts w:ascii="Times New Roman" w:hAnsi="Times New Roman" w:eastAsia="宋体" w:cs="Times New Roman"/>
      <w:sz w:val="24"/>
      <w:szCs w:val="20"/>
    </w:rPr>
  </w:style>
  <w:style w:type="paragraph" w:customStyle="1" w:styleId="50">
    <w:name w:val="样式 样式 首行缩进:  2 字符 + 首行缩进:  2 字符"/>
    <w:basedOn w:val="1"/>
    <w:uiPriority w:val="0"/>
    <w:pPr>
      <w:adjustRightInd w:val="0"/>
      <w:snapToGrid w:val="0"/>
      <w:spacing w:line="360" w:lineRule="auto"/>
      <w:ind w:firstLine="480" w:firstLineChars="200"/>
      <w:jc w:val="left"/>
    </w:pPr>
    <w:rPr>
      <w:rFonts w:ascii="Times New Roman" w:hAnsi="Times New Roman" w:eastAsia="宋体" w:cs="宋体"/>
      <w:sz w:val="24"/>
      <w:szCs w:val="20"/>
    </w:rPr>
  </w:style>
  <w:style w:type="character" w:customStyle="1" w:styleId="51">
    <w:name w:val="注释标题 Char"/>
    <w:basedOn w:val="29"/>
    <w:link w:val="6"/>
    <w:uiPriority w:val="0"/>
    <w:rPr>
      <w:rFonts w:ascii="Times New Roman" w:hAnsi="Times New Roman" w:eastAsia="宋体" w:cs="Times New Roman"/>
      <w:sz w:val="24"/>
      <w:szCs w:val="24"/>
    </w:rPr>
  </w:style>
  <w:style w:type="paragraph" w:customStyle="1" w:styleId="52">
    <w:name w:val="表格"/>
    <w:uiPriority w:val="0"/>
    <w:pPr>
      <w:adjustRightInd w:val="0"/>
      <w:snapToGrid w:val="0"/>
      <w:jc w:val="center"/>
    </w:pPr>
    <w:rPr>
      <w:rFonts w:ascii="Times New Roman" w:hAnsi="Times New Roman" w:eastAsia="宋体" w:cs="Times New Roman"/>
      <w:kern w:val="0"/>
      <w:sz w:val="21"/>
      <w:szCs w:val="22"/>
      <w:lang w:val="en-US" w:eastAsia="zh-CN" w:bidi="ar-SA"/>
    </w:rPr>
  </w:style>
  <w:style w:type="character" w:customStyle="1" w:styleId="53">
    <w:name w:val="正文文本缩进 2 Char"/>
    <w:basedOn w:val="29"/>
    <w:link w:val="14"/>
    <w:uiPriority w:val="0"/>
    <w:rPr>
      <w:rFonts w:ascii="Times New Roman" w:hAnsi="Times New Roman" w:eastAsia="宋体" w:cs="Times New Roman"/>
      <w:sz w:val="24"/>
      <w:szCs w:val="24"/>
    </w:rPr>
  </w:style>
  <w:style w:type="character" w:customStyle="1" w:styleId="54">
    <w:name w:val="正文文本 Char"/>
    <w:basedOn w:val="29"/>
    <w:link w:val="9"/>
    <w:semiHidden/>
    <w:uiPriority w:val="99"/>
  </w:style>
  <w:style w:type="character" w:customStyle="1" w:styleId="55">
    <w:name w:val="正文首行缩进 Char"/>
    <w:basedOn w:val="54"/>
    <w:link w:val="25"/>
    <w:uiPriority w:val="0"/>
    <w:rPr>
      <w:rFonts w:ascii="Times New Roman" w:hAnsi="Times New Roman" w:eastAsia="宋体" w:cs="Times New Roman"/>
      <w:sz w:val="24"/>
      <w:szCs w:val="24"/>
    </w:rPr>
  </w:style>
  <w:style w:type="paragraph" w:customStyle="1" w:styleId="56">
    <w:name w:val="1111四级标题"/>
    <w:basedOn w:val="1"/>
    <w:next w:val="1"/>
    <w:qFormat/>
    <w:uiPriority w:val="0"/>
    <w:pPr>
      <w:adjustRightInd w:val="0"/>
      <w:snapToGrid w:val="0"/>
      <w:spacing w:line="480" w:lineRule="exact"/>
      <w:ind w:firstLine="560" w:firstLineChars="200"/>
      <w:jc w:val="left"/>
      <w:outlineLvl w:val="3"/>
    </w:pPr>
    <w:rPr>
      <w:rFonts w:ascii="Times New Roman" w:hAnsi="Times New Roman" w:eastAsia="宋体" w:cs="Times New Roman"/>
      <w:kern w:val="0"/>
      <w:sz w:val="24"/>
      <w:szCs w:val="24"/>
    </w:rPr>
  </w:style>
  <w:style w:type="paragraph" w:styleId="57">
    <w:name w:val="List Paragraph"/>
    <w:basedOn w:val="1"/>
    <w:qFormat/>
    <w:uiPriority w:val="34"/>
    <w:pPr>
      <w:adjustRightInd w:val="0"/>
      <w:snapToGrid w:val="0"/>
      <w:spacing w:line="360" w:lineRule="auto"/>
      <w:ind w:firstLine="420" w:firstLineChars="200"/>
    </w:pPr>
    <w:rPr>
      <w:rFonts w:ascii="Calibri" w:hAnsi="Calibri" w:eastAsia="宋体" w:cs="Times New Roman"/>
      <w:sz w:val="24"/>
    </w:rPr>
  </w:style>
  <w:style w:type="character" w:customStyle="1" w:styleId="58">
    <w:name w:val="正文文本缩进 Char"/>
    <w:basedOn w:val="29"/>
    <w:link w:val="10"/>
    <w:semiHidden/>
    <w:uiPriority w:val="99"/>
  </w:style>
  <w:style w:type="character" w:customStyle="1" w:styleId="59">
    <w:name w:val="正文首行缩进 2 Char"/>
    <w:basedOn w:val="58"/>
    <w:link w:val="26"/>
    <w:uiPriority w:val="0"/>
    <w:rPr>
      <w:rFonts w:ascii="Times New Roman" w:hAnsi="Times New Roman" w:eastAsia="宋体" w:cs="Times New Roman"/>
      <w:sz w:val="24"/>
      <w:szCs w:val="24"/>
    </w:rPr>
  </w:style>
  <w:style w:type="character" w:customStyle="1" w:styleId="60">
    <w:name w:val="批注文字 Char1"/>
    <w:basedOn w:val="29"/>
    <w:link w:val="8"/>
    <w:semiHidden/>
    <w:uiPriority w:val="99"/>
  </w:style>
  <w:style w:type="character" w:customStyle="1" w:styleId="61">
    <w:name w:val="批注主题 Char1"/>
    <w:basedOn w:val="60"/>
    <w:semiHidden/>
    <w:uiPriority w:val="99"/>
    <w:rPr>
      <w:b/>
      <w:bCs/>
    </w:rPr>
  </w:style>
  <w:style w:type="paragraph" w:customStyle="1" w:styleId="62">
    <w:name w:val="表格专用"/>
    <w:basedOn w:val="20"/>
    <w:qFormat/>
    <w:uiPriority w:val="0"/>
    <w:pPr>
      <w:ind w:left="6" w:leftChars="2"/>
      <w:jc w:val="center"/>
    </w:pPr>
    <w:rPr>
      <w:sz w:val="21"/>
    </w:rPr>
  </w:style>
  <w:style w:type="paragraph" w:customStyle="1" w:styleId="63">
    <w:name w:val="表头"/>
    <w:uiPriority w:val="0"/>
    <w:pPr>
      <w:spacing w:line="500" w:lineRule="atLeast"/>
      <w:ind w:firstLine="200"/>
      <w:jc w:val="center"/>
    </w:pPr>
    <w:rPr>
      <w:rFonts w:hint="eastAsia" w:ascii="仿宋_GB2312" w:hAnsi="宋体" w:eastAsia="仿宋_GB2312" w:cs="Times New Roman"/>
      <w:b/>
      <w:kern w:val="0"/>
      <w:sz w:val="28"/>
      <w:szCs w:val="22"/>
      <w:lang w:val="en-US" w:eastAsia="zh-CN" w:bidi="ar-SA"/>
    </w:rPr>
  </w:style>
  <w:style w:type="paragraph" w:customStyle="1" w:styleId="64">
    <w:name w:val="1111表文字"/>
    <w:basedOn w:val="1"/>
    <w:next w:val="1"/>
    <w:qFormat/>
    <w:uiPriority w:val="0"/>
    <w:pPr>
      <w:adjustRightInd w:val="0"/>
      <w:snapToGrid w:val="0"/>
      <w:spacing w:line="320" w:lineRule="exact"/>
      <w:ind w:firstLine="560" w:firstLineChars="200"/>
      <w:jc w:val="center"/>
      <w:textAlignment w:val="center"/>
    </w:pPr>
    <w:rPr>
      <w:rFonts w:ascii="Times New Roman" w:hAnsi="Times New Roman" w:eastAsia="宋体" w:cs="Times New Roman"/>
      <w:kern w:val="0"/>
      <w:sz w:val="20"/>
      <w:szCs w:val="24"/>
    </w:rPr>
  </w:style>
  <w:style w:type="paragraph" w:customStyle="1" w:styleId="65">
    <w:name w:val="文章正文样式"/>
    <w:basedOn w:val="1"/>
    <w:qFormat/>
    <w:uiPriority w:val="0"/>
    <w:pPr>
      <w:adjustRightInd w:val="0"/>
      <w:snapToGrid w:val="0"/>
      <w:spacing w:line="520" w:lineRule="exact"/>
      <w:ind w:firstLine="480" w:firstLineChars="200"/>
      <w:jc w:val="left"/>
    </w:pPr>
    <w:rPr>
      <w:rFonts w:ascii="宋体" w:hAnsi="宋体" w:eastAsia="宋体" w:cs="宋体"/>
      <w:bCs/>
      <w:sz w:val="24"/>
      <w:szCs w:val="18"/>
    </w:rPr>
  </w:style>
  <w:style w:type="paragraph" w:customStyle="1" w:styleId="66">
    <w:name w:val="图号"/>
    <w:basedOn w:val="44"/>
    <w:qFormat/>
    <w:uiPriority w:val="99"/>
    <w:pPr>
      <w:ind w:firstLine="0" w:firstLineChars="0"/>
      <w:jc w:val="center"/>
    </w:pPr>
  </w:style>
  <w:style w:type="paragraph" w:customStyle="1" w:styleId="67">
    <w:name w:val="表格字体"/>
    <w:basedOn w:val="1"/>
    <w:uiPriority w:val="0"/>
    <w:pPr>
      <w:adjustRightInd w:val="0"/>
      <w:snapToGrid w:val="0"/>
      <w:spacing w:line="300" w:lineRule="exact"/>
      <w:ind w:firstLine="560" w:firstLineChars="200"/>
      <w:jc w:val="center"/>
    </w:pPr>
    <w:rPr>
      <w:rFonts w:ascii="Times New Roman" w:hAnsi="Times New Roman" w:eastAsia="宋体" w:cs="Times New Roman"/>
      <w:color w:val="000000"/>
      <w:sz w:val="18"/>
      <w:szCs w:val="24"/>
    </w:rPr>
  </w:style>
  <w:style w:type="character" w:customStyle="1" w:styleId="68">
    <w:name w:val="纯文本 Char"/>
    <w:basedOn w:val="29"/>
    <w:link w:val="13"/>
    <w:uiPriority w:val="0"/>
    <w:rPr>
      <w:rFonts w:ascii="宋体" w:hAnsi="Courier New" w:eastAsia="宋体" w:cs="Courier New"/>
      <w:sz w:val="24"/>
      <w:szCs w:val="21"/>
    </w:rPr>
  </w:style>
  <w:style w:type="paragraph" w:customStyle="1" w:styleId="69">
    <w:name w:val="正文(首行缩进)"/>
    <w:basedOn w:val="1"/>
    <w:uiPriority w:val="0"/>
    <w:pPr>
      <w:adjustRightInd w:val="0"/>
      <w:snapToGrid w:val="0"/>
      <w:spacing w:line="360" w:lineRule="auto"/>
      <w:ind w:firstLine="480" w:firstLineChars="200"/>
    </w:pPr>
    <w:rPr>
      <w:rFonts w:ascii="黑体" w:hAnsi="宋体" w:eastAsia="黑体" w:cs="Times New Roman"/>
      <w:snapToGrid w:val="0"/>
      <w:color w:val="000000"/>
      <w:kern w:val="0"/>
      <w:sz w:val="24"/>
      <w:szCs w:val="24"/>
    </w:rPr>
  </w:style>
  <w:style w:type="character" w:customStyle="1" w:styleId="70">
    <w:name w:val="批注框文本 Char1"/>
    <w:basedOn w:val="29"/>
    <w:semiHidden/>
    <w:uiPriority w:val="99"/>
    <w:rPr>
      <w:sz w:val="18"/>
      <w:szCs w:val="18"/>
    </w:rPr>
  </w:style>
  <w:style w:type="paragraph" w:customStyle="1" w:styleId="71">
    <w:name w:val="二级无标题条"/>
    <w:basedOn w:val="1"/>
    <w:qFormat/>
    <w:uiPriority w:val="0"/>
    <w:pPr>
      <w:adjustRightInd w:val="0"/>
      <w:snapToGrid w:val="0"/>
      <w:spacing w:line="360" w:lineRule="auto"/>
      <w:ind w:firstLine="560" w:firstLineChars="200"/>
    </w:pPr>
    <w:rPr>
      <w:rFonts w:ascii="Calibri" w:hAnsi="Calibri" w:eastAsia="宋体" w:cs="Times New Roman"/>
      <w:sz w:val="24"/>
      <w:szCs w:val="21"/>
    </w:rPr>
  </w:style>
  <w:style w:type="paragraph" w:customStyle="1" w:styleId="72">
    <w:name w:val="报告正文"/>
    <w:basedOn w:val="1"/>
    <w:uiPriority w:val="0"/>
    <w:pPr>
      <w:adjustRightInd w:val="0"/>
      <w:snapToGrid w:val="0"/>
      <w:spacing w:line="480" w:lineRule="exact"/>
      <w:ind w:firstLine="200" w:firstLineChars="200"/>
    </w:pPr>
    <w:rPr>
      <w:rFonts w:ascii="Times New Roman" w:hAnsi="Times New Roman" w:eastAsia="宋体" w:cs="Times New Roman"/>
      <w:color w:val="000000"/>
      <w:sz w:val="24"/>
      <w:szCs w:val="24"/>
    </w:rPr>
  </w:style>
  <w:style w:type="paragraph" w:customStyle="1" w:styleId="73">
    <w:name w:val="报告"/>
    <w:basedOn w:val="1"/>
    <w:qFormat/>
    <w:uiPriority w:val="0"/>
    <w:pPr>
      <w:adjustRightInd w:val="0"/>
      <w:snapToGrid w:val="0"/>
      <w:spacing w:line="360" w:lineRule="auto"/>
      <w:ind w:firstLine="505" w:firstLineChars="200"/>
      <w:textAlignment w:val="baseline"/>
    </w:pPr>
    <w:rPr>
      <w:rFonts w:ascii="Times New Roman" w:hAnsi="Times New Roman" w:eastAsia="宋体" w:cs="Times New Roman"/>
      <w:kern w:val="0"/>
      <w:sz w:val="24"/>
      <w:szCs w:val="20"/>
    </w:rPr>
  </w:style>
  <w:style w:type="paragraph" w:customStyle="1" w:styleId="74">
    <w:name w:val="5正文"/>
    <w:uiPriority w:val="0"/>
    <w:pPr>
      <w:widowControl w:val="0"/>
      <w:spacing w:line="520" w:lineRule="exact"/>
      <w:ind w:firstLine="200" w:firstLineChars="200"/>
      <w:jc w:val="both"/>
    </w:pPr>
    <w:rPr>
      <w:rFonts w:ascii="Calibri" w:hAnsi="Calibri" w:eastAsia="宋体" w:cs="Times New Roman"/>
      <w:kern w:val="2"/>
      <w:sz w:val="24"/>
      <w:szCs w:val="20"/>
      <w:lang w:val="en-US" w:eastAsia="zh-CN" w:bidi="ar-SA"/>
    </w:rPr>
  </w:style>
  <w:style w:type="paragraph" w:styleId="75">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76">
    <w:name w:val="表格正文"/>
    <w:basedOn w:val="1"/>
    <w:next w:val="1"/>
    <w:qFormat/>
    <w:uiPriority w:val="0"/>
    <w:pPr>
      <w:adjustRightInd w:val="0"/>
      <w:snapToGrid w:val="0"/>
      <w:spacing w:line="360" w:lineRule="auto"/>
      <w:ind w:firstLine="560" w:firstLineChars="200"/>
      <w:jc w:val="center"/>
    </w:pPr>
    <w:rPr>
      <w:rFonts w:ascii="Times New Roman" w:hAnsi="Times New Roman" w:eastAsia="宋体" w:cs="Times New Roman"/>
      <w:szCs w:val="24"/>
    </w:rPr>
  </w:style>
  <w:style w:type="paragraph" w:customStyle="1" w:styleId="77">
    <w:name w:val="_Style 1"/>
    <w:basedOn w:val="1"/>
    <w:qFormat/>
    <w:uiPriority w:val="34"/>
    <w:pPr>
      <w:adjustRightInd w:val="0"/>
      <w:snapToGrid w:val="0"/>
      <w:spacing w:line="360" w:lineRule="auto"/>
      <w:ind w:firstLine="420" w:firstLineChars="200"/>
    </w:pPr>
    <w:rPr>
      <w:rFonts w:ascii="Calibri" w:hAnsi="Calibri" w:eastAsia="宋体" w:cs="Times New Roman"/>
      <w:sz w:val="24"/>
    </w:rPr>
  </w:style>
  <w:style w:type="paragraph" w:customStyle="1" w:styleId="78">
    <w:name w:val="样式 表头文字 + 段前: 1 行"/>
    <w:basedOn w:val="1"/>
    <w:qFormat/>
    <w:uiPriority w:val="0"/>
    <w:pPr>
      <w:adjustRightInd w:val="0"/>
      <w:snapToGrid w:val="0"/>
      <w:jc w:val="center"/>
    </w:pPr>
    <w:rPr>
      <w:rFonts w:ascii="Times New Roman" w:hAnsi="Times New Roman" w:eastAsia="宋体" w:cs="宋体"/>
      <w:szCs w:val="20"/>
    </w:rPr>
  </w:style>
  <w:style w:type="paragraph" w:customStyle="1" w:styleId="79">
    <w:name w:val="正文格式42"/>
    <w:basedOn w:val="1"/>
    <w:uiPriority w:val="0"/>
    <w:pPr>
      <w:snapToGrid w:val="0"/>
      <w:spacing w:line="360" w:lineRule="auto"/>
      <w:ind w:firstLine="482" w:firstLineChars="200"/>
    </w:pPr>
    <w:rPr>
      <w:rFonts w:ascii="宋体" w:hAnsi="宋体" w:eastAsia="宋体" w:cs="Times New Roman"/>
      <w:sz w:val="24"/>
      <w:szCs w:val="24"/>
    </w:rPr>
  </w:style>
  <w:style w:type="paragraph" w:customStyle="1" w:styleId="80">
    <w:name w:val="正文01"/>
    <w:basedOn w:val="1"/>
    <w:qFormat/>
    <w:uiPriority w:val="0"/>
    <w:pPr>
      <w:adjustRightInd w:val="0"/>
      <w:snapToGrid w:val="0"/>
      <w:spacing w:before="60" w:line="460" w:lineRule="exact"/>
      <w:ind w:firstLine="200" w:firstLineChars="200"/>
    </w:pPr>
    <w:rPr>
      <w:rFonts w:ascii="Times New Roman" w:hAnsi="Times New Roman" w:eastAsia="宋体" w:cs="Times New Roman"/>
      <w:sz w:val="24"/>
      <w:szCs w:val="24"/>
    </w:rPr>
  </w:style>
  <w:style w:type="paragraph" w:customStyle="1" w:styleId="81">
    <w:name w:val="p17"/>
    <w:basedOn w:val="1"/>
    <w:uiPriority w:val="0"/>
    <w:pPr>
      <w:widowControl/>
      <w:snapToGrid w:val="0"/>
      <w:spacing w:line="560" w:lineRule="atLeast"/>
      <w:ind w:firstLine="560" w:firstLineChars="200"/>
    </w:pPr>
    <w:rPr>
      <w:rFonts w:ascii="Times New Roman" w:hAnsi="Times New Roman" w:eastAsia="宋体" w:cs="Times New Roman"/>
      <w:color w:val="000000"/>
      <w:sz w:val="24"/>
      <w:szCs w:val="24"/>
    </w:rPr>
  </w:style>
  <w:style w:type="paragraph" w:customStyle="1" w:styleId="82">
    <w:name w:val="Default"/>
    <w:uiPriority w:val="0"/>
    <w:pPr>
      <w:widowControl w:val="0"/>
      <w:autoSpaceDE w:val="0"/>
      <w:autoSpaceDN w:val="0"/>
      <w:adjustRightInd w:val="0"/>
    </w:pPr>
    <w:rPr>
      <w:rFonts w:ascii="宋体" w:hAnsi="Calibri" w:eastAsia="宋体" w:cs="宋体"/>
      <w:color w:val="000000"/>
      <w:kern w:val="0"/>
      <w:sz w:val="24"/>
      <w:szCs w:val="24"/>
      <w:lang w:val="en-US" w:eastAsia="zh-CN" w:bidi="ar-SA"/>
    </w:rPr>
  </w:style>
  <w:style w:type="paragraph" w:customStyle="1" w:styleId="83">
    <w:name w:val="0正文"/>
    <w:unhideWhenUsed/>
    <w:qFormat/>
    <w:uiPriority w:val="0"/>
    <w:pPr>
      <w:widowControl w:val="0"/>
      <w:spacing w:line="360" w:lineRule="auto"/>
      <w:ind w:firstLine="720" w:firstLineChars="200"/>
    </w:pPr>
    <w:rPr>
      <w:rFonts w:ascii="Calibri" w:hAnsi="Calibri" w:eastAsia="宋体" w:cs="Times New Roman"/>
      <w:kern w:val="0"/>
      <w:sz w:val="24"/>
      <w:szCs w:val="22"/>
      <w:lang w:val="en-US" w:eastAsia="zh-CN" w:bidi="ar-SA"/>
    </w:rPr>
  </w:style>
  <w:style w:type="paragraph" w:customStyle="1" w:styleId="84">
    <w:name w:val="6表头"/>
    <w:next w:val="74"/>
    <w:uiPriority w:val="0"/>
    <w:pPr>
      <w:widowControl w:val="0"/>
      <w:spacing w:line="520" w:lineRule="exact"/>
      <w:ind w:firstLine="200" w:firstLineChars="200"/>
    </w:pPr>
    <w:rPr>
      <w:rFonts w:ascii="Times New Roman" w:hAnsi="Times New Roman" w:eastAsia="黑体" w:cs="Times New Roman"/>
      <w:kern w:val="2"/>
      <w:sz w:val="24"/>
      <w:szCs w:val="20"/>
      <w:lang w:val="en-US" w:eastAsia="zh-CN" w:bidi="ar-SA"/>
    </w:rPr>
  </w:style>
  <w:style w:type="paragraph" w:customStyle="1" w:styleId="85">
    <w:name w:val="正文标准"/>
    <w:basedOn w:val="1"/>
    <w:uiPriority w:val="0"/>
    <w:pPr>
      <w:adjustRightInd w:val="0"/>
      <w:snapToGrid w:val="0"/>
      <w:spacing w:line="520" w:lineRule="atLeast"/>
      <w:ind w:firstLine="200" w:firstLineChars="200"/>
    </w:pPr>
    <w:rPr>
      <w:rFonts w:ascii="宋体" w:hAnsi="宋体" w:eastAsia="宋体" w:cs="Times New Roman"/>
      <w:bCs/>
      <w:sz w:val="24"/>
      <w:szCs w:val="18"/>
    </w:rPr>
  </w:style>
  <w:style w:type="paragraph" w:customStyle="1" w:styleId="86">
    <w:name w:val="p15"/>
    <w:basedOn w:val="1"/>
    <w:qFormat/>
    <w:uiPriority w:val="0"/>
    <w:pPr>
      <w:widowControl/>
      <w:snapToGrid w:val="0"/>
      <w:ind w:firstLine="200" w:firstLineChars="200"/>
      <w:jc w:val="left"/>
    </w:pPr>
    <w:rPr>
      <w:rFonts w:ascii="宋体" w:hAnsi="Times New Roman" w:eastAsia="宋体" w:cs="Times New Roman"/>
      <w:color w:val="0000FF"/>
      <w:sz w:val="24"/>
      <w:szCs w:val="20"/>
    </w:rPr>
  </w:style>
  <w:style w:type="paragraph" w:customStyle="1" w:styleId="87">
    <w:name w:val="工艺统一正文"/>
    <w:basedOn w:val="1"/>
    <w:qFormat/>
    <w:uiPriority w:val="0"/>
    <w:pPr>
      <w:adjustRightInd w:val="0"/>
      <w:snapToGrid w:val="0"/>
      <w:spacing w:line="360" w:lineRule="auto"/>
      <w:ind w:firstLine="578" w:firstLineChars="200"/>
    </w:pPr>
    <w:rPr>
      <w:rFonts w:ascii="宋体" w:hAnsi="Times New Roman" w:eastAsia="宋体" w:cs="Times New Roman"/>
      <w:sz w:val="28"/>
      <w:szCs w:val="20"/>
    </w:rPr>
  </w:style>
  <w:style w:type="paragraph" w:customStyle="1" w:styleId="88">
    <w:name w:val="表格内容"/>
    <w:qFormat/>
    <w:uiPriority w:val="0"/>
    <w:pPr>
      <w:widowControl w:val="0"/>
      <w:autoSpaceDE w:val="0"/>
      <w:autoSpaceDN w:val="0"/>
      <w:adjustRightInd w:val="0"/>
      <w:snapToGrid w:val="0"/>
      <w:jc w:val="center"/>
      <w:textAlignment w:val="baseline"/>
    </w:pPr>
    <w:rPr>
      <w:rFonts w:ascii="Times New Roman" w:hAnsi="Times New Roman" w:eastAsia="宋体" w:cs="Times New Roman"/>
      <w:kern w:val="0"/>
      <w:sz w:val="24"/>
      <w:szCs w:val="22"/>
      <w:lang w:val="en-US" w:eastAsia="zh-CN" w:bidi="ar-SA"/>
    </w:rPr>
  </w:style>
  <w:style w:type="table" w:customStyle="1" w:styleId="89">
    <w:name w:val="网格型28"/>
    <w:basedOn w:val="2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0">
    <w:name w:val="网格型4"/>
    <w:basedOn w:val="27"/>
    <w:qFormat/>
    <w:uiPriority w:val="5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1">
    <w:name w:val="网格型5"/>
    <w:basedOn w:val="27"/>
    <w:qFormat/>
    <w:uiPriority w:val="5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
    <w:name w:val="网格型1"/>
    <w:basedOn w:val="27"/>
    <w:qFormat/>
    <w:uiPriority w:val="0"/>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3">
    <w:name w:val="网格型-无边竖线1"/>
    <w:basedOn w:val="2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4">
    <w:name w:val="网格型-无边竖线2"/>
    <w:basedOn w:val="2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5">
    <w:name w:val="网格型-无边竖线3"/>
    <w:basedOn w:val="2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6">
    <w:name w:val="网格型-无边竖线4"/>
    <w:basedOn w:val="2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7">
    <w:name w:val="Table Paragraph"/>
    <w:basedOn w:val="1"/>
    <w:qFormat/>
    <w:uiPriority w:val="1"/>
    <w:pPr>
      <w:autoSpaceDE w:val="0"/>
      <w:autoSpaceDN w:val="0"/>
      <w:jc w:val="left"/>
    </w:pPr>
    <w:rPr>
      <w:rFonts w:ascii="宋体" w:hAnsi="宋体" w:eastAsia="宋体" w:cs="宋体"/>
      <w:kern w:val="0"/>
      <w:sz w:val="22"/>
      <w:lang w:eastAsia="en-US" w:bidi="en-US"/>
    </w:rPr>
  </w:style>
  <w:style w:type="paragraph" w:customStyle="1" w:styleId="98">
    <w:name w:val="段"/>
    <w:qFormat/>
    <w:uiPriority w:val="0"/>
    <w:pPr>
      <w:autoSpaceDE w:val="0"/>
      <w:autoSpaceDN w:val="0"/>
      <w:ind w:firstLine="200" w:firstLineChars="200"/>
      <w:jc w:val="both"/>
    </w:pPr>
    <w:rPr>
      <w:rFonts w:ascii="宋体" w:hAnsi="Times New Roman" w:eastAsia="宋体" w:cs="Times New Roman"/>
      <w:kern w:val="0"/>
      <w:sz w:val="21"/>
      <w:szCs w:val="20"/>
      <w:lang w:val="en-US" w:eastAsia="zh-CN" w:bidi="ar-SA"/>
    </w:rPr>
  </w:style>
  <w:style w:type="paragraph" w:customStyle="1" w:styleId="99">
    <w:name w:val="正文文本缩进 21"/>
    <w:basedOn w:val="1"/>
    <w:uiPriority w:val="0"/>
    <w:pPr>
      <w:spacing w:line="500" w:lineRule="exact"/>
      <w:ind w:firstLine="573"/>
    </w:pPr>
    <w:rPr>
      <w:rFonts w:ascii="Calibri" w:hAnsi="Calibri" w:eastAsia="宋体" w:cs="Times New Roman"/>
      <w:sz w:val="28"/>
      <w:szCs w:val="24"/>
    </w:rPr>
  </w:style>
  <w:style w:type="table" w:customStyle="1" w:styleId="100">
    <w:name w:val="网格型2"/>
    <w:basedOn w:val="27"/>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1">
    <w:name w:val="表格内容自定"/>
    <w:basedOn w:val="1"/>
    <w:qFormat/>
    <w:uiPriority w:val="0"/>
    <w:pPr>
      <w:spacing w:line="280" w:lineRule="exact"/>
      <w:jc w:val="center"/>
    </w:pPr>
    <w:rPr>
      <w:rFonts w:ascii="Times New Roman" w:hAnsi="Times New Roman" w:eastAsia="宋体" w:cs="Times New Roman"/>
      <w:kern w:val="0"/>
      <w:sz w:val="18"/>
      <w:szCs w:val="21"/>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9" Type="http://schemas.openxmlformats.org/officeDocument/2006/relationships/fontTable" Target="fontTable.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56.jpeg"/><Relationship Id="rId85" Type="http://schemas.openxmlformats.org/officeDocument/2006/relationships/image" Target="media/image55.jpeg"/><Relationship Id="rId84" Type="http://schemas.openxmlformats.org/officeDocument/2006/relationships/image" Target="media/image54.jpeg"/><Relationship Id="rId83" Type="http://schemas.openxmlformats.org/officeDocument/2006/relationships/image" Target="media/image53.jpeg"/><Relationship Id="rId82" Type="http://schemas.openxmlformats.org/officeDocument/2006/relationships/image" Target="media/image52.jpeg"/><Relationship Id="rId81" Type="http://schemas.openxmlformats.org/officeDocument/2006/relationships/image" Target="media/image51.jpeg"/><Relationship Id="rId80" Type="http://schemas.openxmlformats.org/officeDocument/2006/relationships/image" Target="media/image50.jpeg"/><Relationship Id="rId8" Type="http://schemas.openxmlformats.org/officeDocument/2006/relationships/footer" Target="footer3.xml"/><Relationship Id="rId79" Type="http://schemas.openxmlformats.org/officeDocument/2006/relationships/image" Target="media/image49.jpeg"/><Relationship Id="rId78" Type="http://schemas.openxmlformats.org/officeDocument/2006/relationships/image" Target="media/image48.jpeg"/><Relationship Id="rId77" Type="http://schemas.openxmlformats.org/officeDocument/2006/relationships/image" Target="media/image47.wmf"/><Relationship Id="rId76" Type="http://schemas.openxmlformats.org/officeDocument/2006/relationships/oleObject" Target="embeddings/oleObject13.bin"/><Relationship Id="rId75" Type="http://schemas.openxmlformats.org/officeDocument/2006/relationships/image" Target="media/image46.wmf"/><Relationship Id="rId74" Type="http://schemas.openxmlformats.org/officeDocument/2006/relationships/oleObject" Target="embeddings/oleObject12.bin"/><Relationship Id="rId73" Type="http://schemas.openxmlformats.org/officeDocument/2006/relationships/image" Target="media/image45.wmf"/><Relationship Id="rId72" Type="http://schemas.openxmlformats.org/officeDocument/2006/relationships/oleObject" Target="embeddings/oleObject11.bin"/><Relationship Id="rId71" Type="http://schemas.openxmlformats.org/officeDocument/2006/relationships/image" Target="media/image44.wmf"/><Relationship Id="rId70" Type="http://schemas.openxmlformats.org/officeDocument/2006/relationships/oleObject" Target="embeddings/oleObject10.bin"/><Relationship Id="rId7" Type="http://schemas.openxmlformats.org/officeDocument/2006/relationships/header" Target="header3.xml"/><Relationship Id="rId69" Type="http://schemas.openxmlformats.org/officeDocument/2006/relationships/image" Target="media/image43.wmf"/><Relationship Id="rId68" Type="http://schemas.openxmlformats.org/officeDocument/2006/relationships/oleObject" Target="embeddings/oleObject9.bin"/><Relationship Id="rId67" Type="http://schemas.openxmlformats.org/officeDocument/2006/relationships/image" Target="media/image42.wmf"/><Relationship Id="rId66" Type="http://schemas.openxmlformats.org/officeDocument/2006/relationships/oleObject" Target="embeddings/oleObject8.bin"/><Relationship Id="rId65" Type="http://schemas.openxmlformats.org/officeDocument/2006/relationships/image" Target="media/image41.wmf"/><Relationship Id="rId64" Type="http://schemas.openxmlformats.org/officeDocument/2006/relationships/oleObject" Target="embeddings/oleObject7.bin"/><Relationship Id="rId63" Type="http://schemas.openxmlformats.org/officeDocument/2006/relationships/image" Target="media/image40.wmf"/><Relationship Id="rId62" Type="http://schemas.openxmlformats.org/officeDocument/2006/relationships/oleObject" Target="embeddings/oleObject6.bin"/><Relationship Id="rId61" Type="http://schemas.openxmlformats.org/officeDocument/2006/relationships/image" Target="media/image39.emf"/><Relationship Id="rId60" Type="http://schemas.openxmlformats.org/officeDocument/2006/relationships/image" Target="media/image38.emf"/><Relationship Id="rId6" Type="http://schemas.openxmlformats.org/officeDocument/2006/relationships/footer" Target="footer2.xml"/><Relationship Id="rId59" Type="http://schemas.openxmlformats.org/officeDocument/2006/relationships/image" Target="media/image37.emf"/><Relationship Id="rId58" Type="http://schemas.microsoft.com/office/2007/relationships/hdphoto" Target="media/image36.wdp"/><Relationship Id="rId57" Type="http://schemas.openxmlformats.org/officeDocument/2006/relationships/image" Target="media/image35.png"/><Relationship Id="rId56" Type="http://schemas.openxmlformats.org/officeDocument/2006/relationships/image" Target="media/image34.emf"/><Relationship Id="rId55" Type="http://schemas.openxmlformats.org/officeDocument/2006/relationships/image" Target="media/image33.emf"/><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wmf"/><Relationship Id="rId50" Type="http://schemas.openxmlformats.org/officeDocument/2006/relationships/oleObject" Target="embeddings/oleObject5.bin"/><Relationship Id="rId5" Type="http://schemas.openxmlformats.org/officeDocument/2006/relationships/header" Target="header2.xml"/><Relationship Id="rId49" Type="http://schemas.openxmlformats.org/officeDocument/2006/relationships/image" Target="media/image28.wmf"/><Relationship Id="rId48" Type="http://schemas.openxmlformats.org/officeDocument/2006/relationships/oleObject" Target="embeddings/oleObject4.bin"/><Relationship Id="rId47" Type="http://schemas.openxmlformats.org/officeDocument/2006/relationships/image" Target="media/image27.wmf"/><Relationship Id="rId46" Type="http://schemas.openxmlformats.org/officeDocument/2006/relationships/oleObject" Target="embeddings/oleObject3.bin"/><Relationship Id="rId45" Type="http://schemas.openxmlformats.org/officeDocument/2006/relationships/image" Target="media/image26.bmp"/><Relationship Id="rId44" Type="http://schemas.openxmlformats.org/officeDocument/2006/relationships/image" Target="media/image25.bmp"/><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emf"/><Relationship Id="rId40" Type="http://schemas.openxmlformats.org/officeDocument/2006/relationships/image" Target="media/image21.wmf"/><Relationship Id="rId4" Type="http://schemas.openxmlformats.org/officeDocument/2006/relationships/footer" Target="footer1.xml"/><Relationship Id="rId39" Type="http://schemas.openxmlformats.org/officeDocument/2006/relationships/oleObject" Target="embeddings/oleObject2.bin"/><Relationship Id="rId38" Type="http://schemas.openxmlformats.org/officeDocument/2006/relationships/image" Target="media/image20.wmf"/><Relationship Id="rId37" Type="http://schemas.openxmlformats.org/officeDocument/2006/relationships/oleObject" Target="embeddings/oleObject1.bin"/><Relationship Id="rId36" Type="http://schemas.openxmlformats.org/officeDocument/2006/relationships/image" Target="media/image19.emf"/><Relationship Id="rId35" Type="http://schemas.openxmlformats.org/officeDocument/2006/relationships/image" Target="media/image18.png"/><Relationship Id="rId34" Type="http://schemas.openxmlformats.org/officeDocument/2006/relationships/image" Target="media/image17.emf"/><Relationship Id="rId33" Type="http://schemas.openxmlformats.org/officeDocument/2006/relationships/image" Target="media/image16.emf"/><Relationship Id="rId32" Type="http://schemas.openxmlformats.org/officeDocument/2006/relationships/image" Target="media/image15.emf"/><Relationship Id="rId31" Type="http://schemas.openxmlformats.org/officeDocument/2006/relationships/image" Target="media/image14.png"/><Relationship Id="rId30" Type="http://schemas.openxmlformats.org/officeDocument/2006/relationships/image" Target="media/image13.jpeg"/><Relationship Id="rId3" Type="http://schemas.openxmlformats.org/officeDocument/2006/relationships/header" Target="header1.xml"/><Relationship Id="rId29" Type="http://schemas.openxmlformats.org/officeDocument/2006/relationships/image" Target="media/image12.emf"/><Relationship Id="rId28" Type="http://schemas.openxmlformats.org/officeDocument/2006/relationships/image" Target="media/image11.png"/><Relationship Id="rId27" Type="http://schemas.openxmlformats.org/officeDocument/2006/relationships/image" Target="media/image10.wmf"/><Relationship Id="rId26" Type="http://schemas.openxmlformats.org/officeDocument/2006/relationships/image" Target="media/image9.emf"/><Relationship Id="rId25" Type="http://schemas.openxmlformats.org/officeDocument/2006/relationships/image" Target="media/image8.emf"/><Relationship Id="rId24" Type="http://schemas.openxmlformats.org/officeDocument/2006/relationships/image" Target="media/image7.emf"/><Relationship Id="rId23" Type="http://schemas.openxmlformats.org/officeDocument/2006/relationships/image" Target="media/image6.emf"/><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emf"/><Relationship Id="rId18" Type="http://schemas.openxmlformats.org/officeDocument/2006/relationships/image" Target="media/image1.wmf"/><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header" Target="head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26</Pages>
  <Words>2921</Words>
  <Characters>16651</Characters>
  <Lines>138</Lines>
  <Paragraphs>39</Paragraphs>
  <TotalTime>0</TotalTime>
  <ScaleCrop>false</ScaleCrop>
  <LinksUpToDate>false</LinksUpToDate>
  <CharactersWithSpaces>19533</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2020-05-03T06:30:00Z</dcterms:created>
  <dc:creator>admin</dc:creator>
  <cp:lastModifiedBy>华钰</cp:lastModifiedBy>
  <dcterms:modified xsi:type="dcterms:W3CDTF">2020-07-06T02:22:51Z</dcterms:modified>
  <cp:revision>265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