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ind w:firstLine="1021"/>
        <w:jc w:val="center"/>
        <w:textAlignment w:val="auto"/>
        <w:rPr>
          <w:rFonts w:ascii="Times New Roman" w:hAnsi="Times New Roman" w:eastAsia="华文新魏"/>
          <w:b/>
          <w:color w:val="auto"/>
          <w:spacing w:val="-5"/>
          <w:sz w:val="52"/>
          <w:szCs w:val="52"/>
          <w:highlight w:val="none"/>
        </w:rPr>
      </w:pPr>
      <w:r>
        <w:rPr>
          <w:rFonts w:hint="eastAsia" w:ascii="Times New Roman" w:hAnsi="Times New Roman" w:eastAsia="华文新魏"/>
          <w:b/>
          <w:color w:val="auto"/>
          <w:spacing w:val="-5"/>
          <w:sz w:val="52"/>
          <w:szCs w:val="52"/>
          <w:highlight w:val="none"/>
        </w:rPr>
        <w:t>平舆牧原农牧有限公司平舆四场生猪养殖项目</w:t>
      </w:r>
    </w:p>
    <w:p>
      <w:pPr>
        <w:ind w:firstLine="1440"/>
        <w:jc w:val="center"/>
        <w:rPr>
          <w:rFonts w:ascii="华文行楷" w:hAnsi="Times New Roman" w:eastAsia="华文行楷"/>
          <w:color w:val="auto"/>
          <w:sz w:val="72"/>
          <w:szCs w:val="72"/>
          <w:highlight w:val="none"/>
        </w:rPr>
      </w:pPr>
      <w:r>
        <w:rPr>
          <w:rFonts w:ascii="华文行楷" w:hAnsi="Times New Roman" w:eastAsia="华文行楷"/>
          <w:color w:val="auto"/>
          <w:sz w:val="72"/>
          <w:szCs w:val="72"/>
          <w:highlight w:val="none"/>
        </w:rPr>
        <w:t>环境影响报告书</w:t>
      </w:r>
    </w:p>
    <w:p>
      <w:pPr>
        <w:keepNext w:val="0"/>
        <w:keepLines w:val="0"/>
        <w:pageBreakBefore w:val="0"/>
        <w:widowControl/>
        <w:kinsoku/>
        <w:wordWrap/>
        <w:overflowPunct/>
        <w:topLinePunct w:val="0"/>
        <w:autoSpaceDE/>
        <w:autoSpaceDN/>
        <w:bidi w:val="0"/>
        <w:adjustRightInd/>
        <w:snapToGrid/>
        <w:ind w:firstLine="643"/>
        <w:jc w:val="center"/>
        <w:textAlignment w:val="auto"/>
        <w:outlineLvl w:val="9"/>
        <w:rPr>
          <w:rFonts w:ascii="Times New Roman" w:hAnsi="Times New Roman" w:eastAsia="黑体"/>
          <w:b/>
          <w:bCs/>
          <w:color w:val="auto"/>
          <w:sz w:val="32"/>
          <w:szCs w:val="32"/>
          <w:highlight w:val="none"/>
        </w:rPr>
      </w:pPr>
      <w:r>
        <w:rPr>
          <w:rFonts w:ascii="Times New Roman" w:hAnsi="Times New Roman" w:eastAsia="黑体"/>
          <w:b/>
          <w:bCs/>
          <w:color w:val="auto"/>
          <w:sz w:val="32"/>
          <w:szCs w:val="32"/>
          <w:highlight w:val="none"/>
        </w:rPr>
        <w:t>（</w:t>
      </w:r>
      <w:r>
        <w:rPr>
          <w:rFonts w:hint="eastAsia" w:ascii="Times New Roman" w:hAnsi="Times New Roman" w:eastAsia="黑体"/>
          <w:b/>
          <w:bCs/>
          <w:color w:val="auto"/>
          <w:sz w:val="32"/>
          <w:szCs w:val="32"/>
          <w:highlight w:val="none"/>
        </w:rPr>
        <w:t>报批版</w:t>
      </w:r>
      <w:r>
        <w:rPr>
          <w:rFonts w:ascii="Times New Roman" w:hAnsi="Times New Roman" w:eastAsia="黑体"/>
          <w:b/>
          <w:bCs/>
          <w:color w:val="auto"/>
          <w:sz w:val="32"/>
          <w:szCs w:val="32"/>
          <w:highlight w:val="none"/>
        </w:rPr>
        <w:t>）</w:t>
      </w:r>
    </w:p>
    <w:p>
      <w:pPr>
        <w:ind w:firstLine="640"/>
        <w:jc w:val="center"/>
        <w:rPr>
          <w:rFonts w:ascii="Times New Roman" w:hAnsi="Times New Roman" w:eastAsia="黑体"/>
          <w:color w:val="auto"/>
          <w:sz w:val="32"/>
          <w:highlight w:val="none"/>
        </w:rPr>
      </w:pPr>
    </w:p>
    <w:p>
      <w:pPr>
        <w:ind w:firstLine="640"/>
        <w:jc w:val="center"/>
        <w:rPr>
          <w:rFonts w:ascii="Times New Roman" w:hAnsi="Times New Roman" w:eastAsia="黑体"/>
          <w:color w:val="auto"/>
          <w:sz w:val="32"/>
          <w:highlight w:val="none"/>
        </w:rPr>
      </w:pPr>
    </w:p>
    <w:p>
      <w:pPr>
        <w:ind w:firstLine="640"/>
        <w:jc w:val="center"/>
        <w:rPr>
          <w:rFonts w:ascii="Times New Roman" w:hAnsi="Times New Roman" w:eastAsia="黑体"/>
          <w:color w:val="auto"/>
          <w:sz w:val="32"/>
          <w:highlight w:val="none"/>
        </w:rPr>
      </w:pPr>
    </w:p>
    <w:p>
      <w:pPr>
        <w:ind w:firstLine="640"/>
        <w:jc w:val="center"/>
        <w:rPr>
          <w:rFonts w:ascii="Times New Roman" w:hAnsi="Times New Roman" w:eastAsia="黑体"/>
          <w:color w:val="auto"/>
          <w:sz w:val="32"/>
          <w:highlight w:val="none"/>
        </w:rPr>
      </w:pPr>
    </w:p>
    <w:p>
      <w:pPr>
        <w:ind w:firstLine="480"/>
        <w:jc w:val="center"/>
        <w:rPr>
          <w:rFonts w:ascii="Times New Roman" w:hAnsi="Times New Roman" w:eastAsia="黑体"/>
          <w:color w:val="auto"/>
          <w:szCs w:val="21"/>
          <w:highlight w:val="none"/>
        </w:rPr>
      </w:pPr>
    </w:p>
    <w:p>
      <w:pPr>
        <w:ind w:firstLine="480"/>
        <w:jc w:val="center"/>
        <w:rPr>
          <w:rFonts w:ascii="Times New Roman" w:hAnsi="Times New Roman" w:eastAsia="黑体"/>
          <w:color w:val="auto"/>
          <w:szCs w:val="21"/>
          <w:highlight w:val="none"/>
        </w:rPr>
      </w:pPr>
    </w:p>
    <w:p>
      <w:pPr>
        <w:ind w:firstLine="480"/>
        <w:jc w:val="center"/>
        <w:rPr>
          <w:rFonts w:ascii="Times New Roman" w:hAnsi="Times New Roman" w:eastAsia="黑体"/>
          <w:color w:val="auto"/>
          <w:szCs w:val="21"/>
          <w:highlight w:val="none"/>
        </w:rPr>
      </w:pPr>
    </w:p>
    <w:p>
      <w:pPr>
        <w:ind w:firstLine="480"/>
        <w:jc w:val="center"/>
        <w:rPr>
          <w:rFonts w:ascii="Times New Roman" w:hAnsi="Times New Roman" w:eastAsia="黑体"/>
          <w:color w:val="auto"/>
          <w:szCs w:val="21"/>
          <w:highlight w:val="none"/>
        </w:rPr>
      </w:pPr>
    </w:p>
    <w:p>
      <w:pPr>
        <w:ind w:firstLine="480"/>
        <w:jc w:val="center"/>
        <w:rPr>
          <w:rFonts w:ascii="Times New Roman" w:hAnsi="Times New Roman" w:eastAsia="黑体"/>
          <w:color w:val="auto"/>
          <w:szCs w:val="21"/>
          <w:highlight w:val="none"/>
        </w:rPr>
      </w:pPr>
    </w:p>
    <w:p>
      <w:pPr>
        <w:ind w:firstLine="480"/>
        <w:rPr>
          <w:rFonts w:ascii="Times New Roman" w:hAnsi="Times New Roman" w:eastAsia="黑体"/>
          <w:color w:val="auto"/>
          <w:szCs w:val="21"/>
          <w:highlight w:val="none"/>
        </w:rPr>
      </w:pPr>
    </w:p>
    <w:p>
      <w:pPr>
        <w:spacing w:line="480" w:lineRule="auto"/>
        <w:ind w:firstLine="846" w:firstLineChars="245"/>
        <w:rPr>
          <w:rFonts w:ascii="Times New Roman" w:hAnsi="宋体"/>
          <w:b/>
          <w:bCs/>
          <w:color w:val="auto"/>
          <w:spacing w:val="12"/>
          <w:sz w:val="32"/>
          <w:highlight w:val="none"/>
        </w:rPr>
      </w:pPr>
      <w:r>
        <w:rPr>
          <w:rFonts w:hint="eastAsia" w:ascii="Times New Roman" w:hAnsi="宋体"/>
          <w:b/>
          <w:bCs/>
          <w:color w:val="auto"/>
          <w:spacing w:val="12"/>
          <w:sz w:val="32"/>
          <w:highlight w:val="none"/>
        </w:rPr>
        <w:t>建设单位：平舆牧原农牧有限公司</w:t>
      </w:r>
    </w:p>
    <w:p>
      <w:pPr>
        <w:spacing w:line="480" w:lineRule="auto"/>
        <w:ind w:firstLine="846" w:firstLineChars="245"/>
        <w:rPr>
          <w:rFonts w:ascii="Times New Roman" w:hAnsi="宋体"/>
          <w:b/>
          <w:color w:val="auto"/>
          <w:spacing w:val="20"/>
          <w:sz w:val="32"/>
          <w:szCs w:val="32"/>
          <w:highlight w:val="none"/>
        </w:rPr>
      </w:pPr>
      <w:r>
        <w:rPr>
          <w:rFonts w:hint="eastAsia" w:ascii="Times New Roman" w:hAnsi="宋体"/>
          <w:b/>
          <w:bCs/>
          <w:color w:val="auto"/>
          <w:spacing w:val="12"/>
          <w:sz w:val="32"/>
          <w:highlight w:val="none"/>
        </w:rPr>
        <w:t>编制单位：济源蓝天科技有限责任公司</w:t>
      </w:r>
    </w:p>
    <w:p>
      <w:pPr>
        <w:spacing w:after="156" w:line="720" w:lineRule="auto"/>
        <w:ind w:firstLine="650"/>
        <w:jc w:val="center"/>
        <w:rPr>
          <w:rFonts w:ascii="Times New Roman" w:hAnsi="宋体"/>
          <w:b/>
          <w:bCs/>
          <w:color w:val="auto"/>
          <w:spacing w:val="12"/>
          <w:sz w:val="30"/>
          <w:szCs w:val="30"/>
          <w:highlight w:val="none"/>
        </w:rPr>
      </w:pPr>
      <w:r>
        <w:rPr>
          <w:rFonts w:ascii="Times New Roman" w:hAnsi="宋体"/>
          <w:b/>
          <w:bCs/>
          <w:color w:val="auto"/>
          <w:spacing w:val="12"/>
          <w:sz w:val="30"/>
          <w:szCs w:val="30"/>
          <w:highlight w:val="none"/>
        </w:rPr>
        <w:t>二</w:t>
      </w:r>
      <w:r>
        <w:rPr>
          <w:rFonts w:hint="eastAsia" w:ascii="Times New Roman" w:hAnsi="Times New Roman"/>
          <w:b/>
          <w:bCs/>
          <w:color w:val="auto"/>
          <w:spacing w:val="12"/>
          <w:sz w:val="30"/>
          <w:szCs w:val="30"/>
          <w:highlight w:val="none"/>
        </w:rPr>
        <w:t>○</w:t>
      </w:r>
      <w:r>
        <w:rPr>
          <w:rFonts w:ascii="Times New Roman" w:hAnsi="宋体"/>
          <w:b/>
          <w:bCs/>
          <w:color w:val="auto"/>
          <w:spacing w:val="12"/>
          <w:sz w:val="30"/>
          <w:szCs w:val="30"/>
          <w:highlight w:val="none"/>
        </w:rPr>
        <w:t>二</w:t>
      </w:r>
      <w:r>
        <w:rPr>
          <w:rFonts w:hint="eastAsia" w:ascii="Times New Roman" w:hAnsi="Times New Roman"/>
          <w:b/>
          <w:bCs/>
          <w:color w:val="auto"/>
          <w:spacing w:val="12"/>
          <w:sz w:val="30"/>
          <w:szCs w:val="30"/>
          <w:highlight w:val="none"/>
        </w:rPr>
        <w:t>○</w:t>
      </w:r>
      <w:r>
        <w:rPr>
          <w:rFonts w:ascii="Times New Roman" w:hAnsi="宋体"/>
          <w:b/>
          <w:bCs/>
          <w:color w:val="auto"/>
          <w:spacing w:val="12"/>
          <w:sz w:val="30"/>
          <w:szCs w:val="30"/>
          <w:highlight w:val="none"/>
        </w:rPr>
        <w:t>年</w:t>
      </w:r>
      <w:r>
        <w:rPr>
          <w:rFonts w:hint="eastAsia" w:hAnsi="宋体"/>
          <w:b/>
          <w:bCs/>
          <w:color w:val="auto"/>
          <w:spacing w:val="12"/>
          <w:sz w:val="30"/>
          <w:szCs w:val="30"/>
          <w:highlight w:val="none"/>
          <w:lang w:eastAsia="zh-CN"/>
        </w:rPr>
        <w:t>九</w:t>
      </w:r>
      <w:r>
        <w:rPr>
          <w:rFonts w:hint="eastAsia" w:ascii="Times New Roman" w:hAnsi="宋体"/>
          <w:b/>
          <w:bCs/>
          <w:color w:val="auto"/>
          <w:spacing w:val="12"/>
          <w:sz w:val="30"/>
          <w:szCs w:val="30"/>
          <w:highlight w:val="none"/>
        </w:rPr>
        <w:t>月</w:t>
      </w:r>
    </w:p>
    <w:p>
      <w:pPr>
        <w:spacing w:line="360" w:lineRule="auto"/>
        <w:ind w:firstLine="562" w:firstLineChars="200"/>
        <w:jc w:val="center"/>
        <w:rPr>
          <w:rFonts w:ascii="Times New Roman" w:hAnsi="Times New Roman" w:eastAsia="宋体" w:cs="Times New Roman"/>
          <w:b/>
          <w:color w:val="auto"/>
          <w:kern w:val="2"/>
          <w:sz w:val="28"/>
          <w:szCs w:val="24"/>
          <w:highlight w:val="none"/>
          <w:lang w:val="en-US" w:eastAsia="zh-CN" w:bidi="ar-SA"/>
        </w:rPr>
      </w:pPr>
    </w:p>
    <w:p>
      <w:pPr>
        <w:pStyle w:val="39"/>
        <w:spacing w:line="360" w:lineRule="auto"/>
        <w:ind w:firstLine="562"/>
        <w:rPr>
          <w:rFonts w:cs="Times New Roman"/>
          <w:color w:val="auto"/>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9"/>
        <w:spacing w:line="360" w:lineRule="auto"/>
        <w:ind w:firstLine="562"/>
        <w:rPr>
          <w:rFonts w:cs="Times New Roman"/>
          <w:color w:val="auto"/>
          <w:highlight w:val="none"/>
        </w:rPr>
      </w:pPr>
      <w:r>
        <w:rPr>
          <w:rFonts w:cs="Times New Roman"/>
          <w:color w:val="auto"/>
          <w:highlight w:val="none"/>
        </w:rPr>
        <w:t>目录</w:t>
      </w:r>
    </w:p>
    <w:p>
      <w:pPr>
        <w:pStyle w:val="17"/>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TOC \o "1-2" \h \u </w:instrText>
      </w:r>
      <w:r>
        <w:rPr>
          <w:rFonts w:cs="Times New Roman"/>
          <w:color w:val="auto"/>
          <w:highlight w:val="none"/>
        </w:rPr>
        <w:fldChar w:fldCharType="separate"/>
      </w:r>
      <w:r>
        <w:rPr>
          <w:rFonts w:cs="Times New Roman"/>
          <w:color w:val="auto"/>
          <w:highlight w:val="none"/>
        </w:rPr>
        <w:fldChar w:fldCharType="begin"/>
      </w:r>
      <w:r>
        <w:rPr>
          <w:rFonts w:cs="Times New Roman"/>
          <w:color w:val="auto"/>
          <w:highlight w:val="none"/>
        </w:rPr>
        <w:instrText xml:space="preserve"> HYPERLINK \l _Toc2840 </w:instrText>
      </w:r>
      <w:r>
        <w:rPr>
          <w:rFonts w:cs="Times New Roman"/>
          <w:color w:val="auto"/>
          <w:highlight w:val="none"/>
        </w:rPr>
        <w:fldChar w:fldCharType="separate"/>
      </w:r>
      <w:r>
        <w:rPr>
          <w:rFonts w:cs="Times New Roman"/>
          <w:color w:val="auto"/>
          <w:highlight w:val="none"/>
        </w:rPr>
        <w:t>概述</w:t>
      </w:r>
      <w:r>
        <w:rPr>
          <w:color w:val="auto"/>
          <w:highlight w:val="none"/>
        </w:rPr>
        <w:tab/>
      </w:r>
      <w:r>
        <w:rPr>
          <w:color w:val="auto"/>
          <w:highlight w:val="none"/>
        </w:rPr>
        <w:fldChar w:fldCharType="begin"/>
      </w:r>
      <w:r>
        <w:rPr>
          <w:color w:val="auto"/>
          <w:highlight w:val="none"/>
        </w:rPr>
        <w:instrText xml:space="preserve"> PAGEREF _Toc2840 </w:instrText>
      </w:r>
      <w:r>
        <w:rPr>
          <w:color w:val="auto"/>
          <w:highlight w:val="none"/>
        </w:rPr>
        <w:fldChar w:fldCharType="separate"/>
      </w:r>
      <w:r>
        <w:rPr>
          <w:color w:val="auto"/>
          <w:highlight w:val="none"/>
        </w:rPr>
        <w:t>1</w:t>
      </w:r>
      <w:r>
        <w:rPr>
          <w:color w:val="auto"/>
          <w:highlight w:val="none"/>
        </w:rPr>
        <w:fldChar w:fldCharType="end"/>
      </w:r>
      <w:r>
        <w:rPr>
          <w:rFonts w:cs="Times New Roman"/>
          <w:color w:val="auto"/>
          <w:highlight w:val="none"/>
        </w:rPr>
        <w:fldChar w:fldCharType="end"/>
      </w:r>
    </w:p>
    <w:p>
      <w:pPr>
        <w:pStyle w:val="17"/>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_Toc15300 </w:instrText>
      </w:r>
      <w:r>
        <w:rPr>
          <w:rFonts w:cs="Times New Roman"/>
          <w:color w:val="auto"/>
          <w:highlight w:val="none"/>
        </w:rPr>
        <w:fldChar w:fldCharType="separate"/>
      </w:r>
      <w:r>
        <w:rPr>
          <w:rFonts w:cs="Times New Roman"/>
          <w:color w:val="auto"/>
          <w:highlight w:val="none"/>
        </w:rPr>
        <w:t>1总则</w:t>
      </w:r>
      <w:r>
        <w:rPr>
          <w:color w:val="auto"/>
          <w:highlight w:val="none"/>
        </w:rPr>
        <w:tab/>
      </w:r>
      <w:r>
        <w:rPr>
          <w:color w:val="auto"/>
          <w:highlight w:val="none"/>
        </w:rPr>
        <w:fldChar w:fldCharType="begin"/>
      </w:r>
      <w:r>
        <w:rPr>
          <w:color w:val="auto"/>
          <w:highlight w:val="none"/>
        </w:rPr>
        <w:instrText xml:space="preserve"> PAGEREF _Toc15300 </w:instrText>
      </w:r>
      <w:r>
        <w:rPr>
          <w:color w:val="auto"/>
          <w:highlight w:val="none"/>
        </w:rPr>
        <w:fldChar w:fldCharType="separate"/>
      </w:r>
      <w:r>
        <w:rPr>
          <w:color w:val="auto"/>
          <w:highlight w:val="none"/>
        </w:rPr>
        <w:t>6</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_Toc1750 </w:instrText>
      </w:r>
      <w:r>
        <w:rPr>
          <w:rFonts w:cs="Times New Roman"/>
          <w:color w:val="auto"/>
          <w:highlight w:val="none"/>
        </w:rPr>
        <w:fldChar w:fldCharType="separate"/>
      </w:r>
      <w:r>
        <w:rPr>
          <w:rFonts w:cs="Times New Roman"/>
          <w:color w:val="auto"/>
          <w:highlight w:val="none"/>
        </w:rPr>
        <w:t>1.1评价目的及评价原则</w:t>
      </w:r>
      <w:r>
        <w:rPr>
          <w:color w:val="auto"/>
          <w:highlight w:val="none"/>
        </w:rPr>
        <w:tab/>
      </w:r>
      <w:r>
        <w:rPr>
          <w:color w:val="auto"/>
          <w:highlight w:val="none"/>
        </w:rPr>
        <w:fldChar w:fldCharType="begin"/>
      </w:r>
      <w:r>
        <w:rPr>
          <w:color w:val="auto"/>
          <w:highlight w:val="none"/>
        </w:rPr>
        <w:instrText xml:space="preserve"> PAGEREF _Toc1750 </w:instrText>
      </w:r>
      <w:r>
        <w:rPr>
          <w:color w:val="auto"/>
          <w:highlight w:val="none"/>
        </w:rPr>
        <w:fldChar w:fldCharType="separate"/>
      </w:r>
      <w:r>
        <w:rPr>
          <w:color w:val="auto"/>
          <w:highlight w:val="none"/>
        </w:rPr>
        <w:t>6</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_Toc12174 </w:instrText>
      </w:r>
      <w:r>
        <w:rPr>
          <w:rFonts w:cs="Times New Roman"/>
          <w:color w:val="auto"/>
          <w:highlight w:val="none"/>
        </w:rPr>
        <w:fldChar w:fldCharType="separate"/>
      </w:r>
      <w:r>
        <w:rPr>
          <w:rFonts w:cs="Times New Roman"/>
          <w:color w:val="auto"/>
          <w:highlight w:val="none"/>
        </w:rPr>
        <w:t>1.2编制依据</w:t>
      </w:r>
      <w:r>
        <w:rPr>
          <w:color w:val="auto"/>
          <w:highlight w:val="none"/>
        </w:rPr>
        <w:tab/>
      </w:r>
      <w:r>
        <w:rPr>
          <w:color w:val="auto"/>
          <w:highlight w:val="none"/>
        </w:rPr>
        <w:fldChar w:fldCharType="begin"/>
      </w:r>
      <w:r>
        <w:rPr>
          <w:color w:val="auto"/>
          <w:highlight w:val="none"/>
        </w:rPr>
        <w:instrText xml:space="preserve"> PAGEREF _Toc12174 </w:instrText>
      </w:r>
      <w:r>
        <w:rPr>
          <w:color w:val="auto"/>
          <w:highlight w:val="none"/>
        </w:rPr>
        <w:fldChar w:fldCharType="separate"/>
      </w:r>
      <w:r>
        <w:rPr>
          <w:color w:val="auto"/>
          <w:highlight w:val="none"/>
        </w:rPr>
        <w:t>6</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_Toc29713 </w:instrText>
      </w:r>
      <w:r>
        <w:rPr>
          <w:rFonts w:cs="Times New Roman"/>
          <w:color w:val="auto"/>
          <w:highlight w:val="none"/>
        </w:rPr>
        <w:fldChar w:fldCharType="separate"/>
      </w:r>
      <w:r>
        <w:rPr>
          <w:rFonts w:cs="Times New Roman"/>
          <w:color w:val="auto"/>
          <w:highlight w:val="none"/>
        </w:rPr>
        <w:t>1.3评价时段</w:t>
      </w:r>
      <w:r>
        <w:rPr>
          <w:color w:val="auto"/>
          <w:highlight w:val="none"/>
        </w:rPr>
        <w:tab/>
      </w:r>
      <w:r>
        <w:rPr>
          <w:color w:val="auto"/>
          <w:highlight w:val="none"/>
        </w:rPr>
        <w:fldChar w:fldCharType="begin"/>
      </w:r>
      <w:r>
        <w:rPr>
          <w:color w:val="auto"/>
          <w:highlight w:val="none"/>
        </w:rPr>
        <w:instrText xml:space="preserve"> PAGEREF _Toc29713 </w:instrText>
      </w:r>
      <w:r>
        <w:rPr>
          <w:color w:val="auto"/>
          <w:highlight w:val="none"/>
        </w:rPr>
        <w:fldChar w:fldCharType="separate"/>
      </w:r>
      <w:r>
        <w:rPr>
          <w:color w:val="auto"/>
          <w:highlight w:val="none"/>
        </w:rPr>
        <w:t>9</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_Toc5431 </w:instrText>
      </w:r>
      <w:r>
        <w:rPr>
          <w:rFonts w:cs="Times New Roman"/>
          <w:color w:val="auto"/>
          <w:highlight w:val="none"/>
        </w:rPr>
        <w:fldChar w:fldCharType="separate"/>
      </w:r>
      <w:r>
        <w:rPr>
          <w:color w:val="auto"/>
          <w:highlight w:val="none"/>
        </w:rPr>
        <w:t>1.4评价因子及识别</w:t>
      </w:r>
      <w:r>
        <w:rPr>
          <w:color w:val="auto"/>
          <w:highlight w:val="none"/>
        </w:rPr>
        <w:tab/>
      </w:r>
      <w:r>
        <w:rPr>
          <w:color w:val="auto"/>
          <w:highlight w:val="none"/>
        </w:rPr>
        <w:fldChar w:fldCharType="begin"/>
      </w:r>
      <w:r>
        <w:rPr>
          <w:color w:val="auto"/>
          <w:highlight w:val="none"/>
        </w:rPr>
        <w:instrText xml:space="preserve"> PAGEREF _Toc5431 </w:instrText>
      </w:r>
      <w:r>
        <w:rPr>
          <w:color w:val="auto"/>
          <w:highlight w:val="none"/>
        </w:rPr>
        <w:fldChar w:fldCharType="separate"/>
      </w:r>
      <w:r>
        <w:rPr>
          <w:color w:val="auto"/>
          <w:highlight w:val="none"/>
        </w:rPr>
        <w:t>10</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_Toc9639 </w:instrText>
      </w:r>
      <w:r>
        <w:rPr>
          <w:rFonts w:cs="Times New Roman"/>
          <w:color w:val="auto"/>
          <w:highlight w:val="none"/>
        </w:rPr>
        <w:fldChar w:fldCharType="separate"/>
      </w:r>
      <w:r>
        <w:rPr>
          <w:rFonts w:cs="Times New Roman"/>
          <w:color w:val="auto"/>
          <w:highlight w:val="none"/>
        </w:rPr>
        <w:t>1.5评价重点</w:t>
      </w:r>
      <w:r>
        <w:rPr>
          <w:color w:val="auto"/>
          <w:highlight w:val="none"/>
        </w:rPr>
        <w:tab/>
      </w:r>
      <w:r>
        <w:rPr>
          <w:color w:val="auto"/>
          <w:highlight w:val="none"/>
        </w:rPr>
        <w:fldChar w:fldCharType="begin"/>
      </w:r>
      <w:r>
        <w:rPr>
          <w:color w:val="auto"/>
          <w:highlight w:val="none"/>
        </w:rPr>
        <w:instrText xml:space="preserve"> PAGEREF _Toc9639 </w:instrText>
      </w:r>
      <w:r>
        <w:rPr>
          <w:color w:val="auto"/>
          <w:highlight w:val="none"/>
        </w:rPr>
        <w:fldChar w:fldCharType="separate"/>
      </w:r>
      <w:r>
        <w:rPr>
          <w:color w:val="auto"/>
          <w:highlight w:val="none"/>
        </w:rPr>
        <w:t>11</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_Toc6368 </w:instrText>
      </w:r>
      <w:r>
        <w:rPr>
          <w:rFonts w:cs="Times New Roman"/>
          <w:color w:val="auto"/>
          <w:highlight w:val="none"/>
        </w:rPr>
        <w:fldChar w:fldCharType="separate"/>
      </w:r>
      <w:r>
        <w:rPr>
          <w:rFonts w:cs="Times New Roman"/>
          <w:color w:val="auto"/>
          <w:highlight w:val="none"/>
        </w:rPr>
        <w:t>1.6评价标准</w:t>
      </w:r>
      <w:r>
        <w:rPr>
          <w:color w:val="auto"/>
          <w:highlight w:val="none"/>
        </w:rPr>
        <w:tab/>
      </w:r>
      <w:r>
        <w:rPr>
          <w:color w:val="auto"/>
          <w:highlight w:val="none"/>
        </w:rPr>
        <w:fldChar w:fldCharType="begin"/>
      </w:r>
      <w:r>
        <w:rPr>
          <w:color w:val="auto"/>
          <w:highlight w:val="none"/>
        </w:rPr>
        <w:instrText xml:space="preserve"> PAGEREF _Toc6368 </w:instrText>
      </w:r>
      <w:r>
        <w:rPr>
          <w:color w:val="auto"/>
          <w:highlight w:val="none"/>
        </w:rPr>
        <w:fldChar w:fldCharType="separate"/>
      </w:r>
      <w:r>
        <w:rPr>
          <w:color w:val="auto"/>
          <w:highlight w:val="none"/>
        </w:rPr>
        <w:t>11</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_Toc4361 </w:instrText>
      </w:r>
      <w:r>
        <w:rPr>
          <w:rFonts w:cs="Times New Roman"/>
          <w:color w:val="auto"/>
          <w:highlight w:val="none"/>
        </w:rPr>
        <w:fldChar w:fldCharType="separate"/>
      </w:r>
      <w:r>
        <w:rPr>
          <w:rFonts w:cs="Times New Roman"/>
          <w:color w:val="auto"/>
          <w:highlight w:val="none"/>
        </w:rPr>
        <w:t>1.</w:t>
      </w:r>
      <w:r>
        <w:rPr>
          <w:rFonts w:hint="eastAsia" w:cs="Times New Roman"/>
          <w:color w:val="auto"/>
          <w:highlight w:val="none"/>
        </w:rPr>
        <w:t>7</w:t>
      </w:r>
      <w:r>
        <w:rPr>
          <w:rFonts w:cs="Times New Roman"/>
          <w:color w:val="auto"/>
          <w:highlight w:val="none"/>
        </w:rPr>
        <w:t>评价等级与范围</w:t>
      </w:r>
      <w:r>
        <w:rPr>
          <w:color w:val="auto"/>
          <w:highlight w:val="none"/>
        </w:rPr>
        <w:tab/>
      </w:r>
      <w:r>
        <w:rPr>
          <w:color w:val="auto"/>
          <w:highlight w:val="none"/>
        </w:rPr>
        <w:fldChar w:fldCharType="begin"/>
      </w:r>
      <w:r>
        <w:rPr>
          <w:color w:val="auto"/>
          <w:highlight w:val="none"/>
        </w:rPr>
        <w:instrText xml:space="preserve"> PAGEREF _Toc4361 </w:instrText>
      </w:r>
      <w:r>
        <w:rPr>
          <w:color w:val="auto"/>
          <w:highlight w:val="none"/>
        </w:rPr>
        <w:fldChar w:fldCharType="separate"/>
      </w:r>
      <w:r>
        <w:rPr>
          <w:color w:val="auto"/>
          <w:highlight w:val="none"/>
        </w:rPr>
        <w:t>14</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_Toc13504 </w:instrText>
      </w:r>
      <w:r>
        <w:rPr>
          <w:rFonts w:cs="Times New Roman"/>
          <w:color w:val="auto"/>
          <w:highlight w:val="none"/>
        </w:rPr>
        <w:fldChar w:fldCharType="separate"/>
      </w:r>
      <w:r>
        <w:rPr>
          <w:rFonts w:cs="Times New Roman"/>
          <w:color w:val="auto"/>
          <w:highlight w:val="none"/>
        </w:rPr>
        <w:t>1.</w:t>
      </w:r>
      <w:r>
        <w:rPr>
          <w:rFonts w:hint="eastAsia" w:cs="Times New Roman"/>
          <w:color w:val="auto"/>
          <w:highlight w:val="none"/>
          <w:lang w:val="en-US" w:eastAsia="zh-CN"/>
        </w:rPr>
        <w:t>8</w:t>
      </w:r>
      <w:r>
        <w:rPr>
          <w:color w:val="auto"/>
          <w:highlight w:val="none"/>
        </w:rPr>
        <w:t>政策符合性分析</w:t>
      </w:r>
      <w:r>
        <w:rPr>
          <w:color w:val="auto"/>
          <w:highlight w:val="none"/>
        </w:rPr>
        <w:tab/>
      </w:r>
      <w:r>
        <w:rPr>
          <w:color w:val="auto"/>
          <w:highlight w:val="none"/>
        </w:rPr>
        <w:fldChar w:fldCharType="begin"/>
      </w:r>
      <w:r>
        <w:rPr>
          <w:color w:val="auto"/>
          <w:highlight w:val="none"/>
        </w:rPr>
        <w:instrText xml:space="preserve"> PAGEREF _Toc13504 </w:instrText>
      </w:r>
      <w:r>
        <w:rPr>
          <w:color w:val="auto"/>
          <w:highlight w:val="none"/>
        </w:rPr>
        <w:fldChar w:fldCharType="separate"/>
      </w:r>
      <w:r>
        <w:rPr>
          <w:color w:val="auto"/>
          <w:highlight w:val="none"/>
        </w:rPr>
        <w:t>19</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_Toc24565 </w:instrText>
      </w:r>
      <w:r>
        <w:rPr>
          <w:rFonts w:cs="Times New Roman"/>
          <w:color w:val="auto"/>
          <w:highlight w:val="none"/>
        </w:rPr>
        <w:fldChar w:fldCharType="separate"/>
      </w:r>
      <w:r>
        <w:rPr>
          <w:rFonts w:cs="Times New Roman"/>
          <w:color w:val="auto"/>
          <w:highlight w:val="none"/>
        </w:rPr>
        <w:t>1.</w:t>
      </w:r>
      <w:r>
        <w:rPr>
          <w:rFonts w:hint="eastAsia" w:cs="Times New Roman"/>
          <w:color w:val="auto"/>
          <w:highlight w:val="none"/>
          <w:lang w:val="en-US" w:eastAsia="zh-CN"/>
        </w:rPr>
        <w:t>9</w:t>
      </w:r>
      <w:r>
        <w:rPr>
          <w:rFonts w:cs="Times New Roman"/>
          <w:color w:val="auto"/>
          <w:highlight w:val="none"/>
        </w:rPr>
        <w:t>环境保护目标</w:t>
      </w:r>
      <w:r>
        <w:rPr>
          <w:color w:val="auto"/>
          <w:highlight w:val="none"/>
        </w:rPr>
        <w:tab/>
      </w:r>
      <w:r>
        <w:rPr>
          <w:color w:val="auto"/>
          <w:highlight w:val="none"/>
        </w:rPr>
        <w:fldChar w:fldCharType="begin"/>
      </w:r>
      <w:r>
        <w:rPr>
          <w:color w:val="auto"/>
          <w:highlight w:val="none"/>
        </w:rPr>
        <w:instrText xml:space="preserve"> PAGEREF _Toc24565 </w:instrText>
      </w:r>
      <w:r>
        <w:rPr>
          <w:color w:val="auto"/>
          <w:highlight w:val="none"/>
        </w:rPr>
        <w:fldChar w:fldCharType="separate"/>
      </w:r>
      <w:r>
        <w:rPr>
          <w:color w:val="auto"/>
          <w:highlight w:val="none"/>
        </w:rPr>
        <w:t>27</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_Toc10871 </w:instrText>
      </w:r>
      <w:r>
        <w:rPr>
          <w:rFonts w:cs="Times New Roman"/>
          <w:color w:val="auto"/>
          <w:highlight w:val="none"/>
        </w:rPr>
        <w:fldChar w:fldCharType="separate"/>
      </w:r>
      <w:r>
        <w:rPr>
          <w:rFonts w:hint="eastAsia" w:cs="Times New Roman"/>
          <w:color w:val="auto"/>
          <w:highlight w:val="none"/>
          <w:lang w:val="en-US" w:eastAsia="zh-CN"/>
        </w:rPr>
        <w:t>1.10</w:t>
      </w:r>
      <w:r>
        <w:rPr>
          <w:rFonts w:cs="Times New Roman"/>
          <w:color w:val="auto"/>
          <w:highlight w:val="none"/>
        </w:rPr>
        <w:t>评价工作程序</w:t>
      </w:r>
      <w:r>
        <w:rPr>
          <w:color w:val="auto"/>
          <w:highlight w:val="none"/>
        </w:rPr>
        <w:tab/>
      </w:r>
      <w:r>
        <w:rPr>
          <w:color w:val="auto"/>
          <w:highlight w:val="none"/>
        </w:rPr>
        <w:fldChar w:fldCharType="begin"/>
      </w:r>
      <w:r>
        <w:rPr>
          <w:color w:val="auto"/>
          <w:highlight w:val="none"/>
        </w:rPr>
        <w:instrText xml:space="preserve"> PAGEREF _Toc10871 </w:instrText>
      </w:r>
      <w:r>
        <w:rPr>
          <w:color w:val="auto"/>
          <w:highlight w:val="none"/>
        </w:rPr>
        <w:fldChar w:fldCharType="separate"/>
      </w:r>
      <w:r>
        <w:rPr>
          <w:color w:val="auto"/>
          <w:highlight w:val="none"/>
        </w:rPr>
        <w:t>29</w:t>
      </w:r>
      <w:r>
        <w:rPr>
          <w:color w:val="auto"/>
          <w:highlight w:val="none"/>
        </w:rPr>
        <w:fldChar w:fldCharType="end"/>
      </w:r>
      <w:r>
        <w:rPr>
          <w:rFonts w:cs="Times New Roman"/>
          <w:color w:val="auto"/>
          <w:highlight w:val="none"/>
        </w:rPr>
        <w:fldChar w:fldCharType="end"/>
      </w:r>
    </w:p>
    <w:p>
      <w:pPr>
        <w:pStyle w:val="17"/>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_Toc30973 </w:instrText>
      </w:r>
      <w:r>
        <w:rPr>
          <w:rFonts w:cs="Times New Roman"/>
          <w:color w:val="auto"/>
          <w:highlight w:val="none"/>
        </w:rPr>
        <w:fldChar w:fldCharType="separate"/>
      </w:r>
      <w:r>
        <w:rPr>
          <w:color w:val="auto"/>
          <w:highlight w:val="none"/>
        </w:rPr>
        <w:t>2</w:t>
      </w:r>
      <w:r>
        <w:rPr>
          <w:rFonts w:hint="eastAsia"/>
          <w:color w:val="auto"/>
          <w:highlight w:val="none"/>
        </w:rPr>
        <w:t>项目概况</w:t>
      </w:r>
      <w:r>
        <w:rPr>
          <w:rFonts w:hint="eastAsia"/>
          <w:color w:val="auto"/>
          <w:highlight w:val="none"/>
          <w:lang w:eastAsia="zh-CN"/>
        </w:rPr>
        <w:t>及工程分析</w:t>
      </w:r>
      <w:r>
        <w:rPr>
          <w:color w:val="auto"/>
          <w:highlight w:val="none"/>
        </w:rPr>
        <w:tab/>
      </w:r>
      <w:r>
        <w:rPr>
          <w:color w:val="auto"/>
          <w:highlight w:val="none"/>
        </w:rPr>
        <w:fldChar w:fldCharType="begin"/>
      </w:r>
      <w:r>
        <w:rPr>
          <w:color w:val="auto"/>
          <w:highlight w:val="none"/>
        </w:rPr>
        <w:instrText xml:space="preserve"> PAGEREF _Toc30973 </w:instrText>
      </w:r>
      <w:r>
        <w:rPr>
          <w:color w:val="auto"/>
          <w:highlight w:val="none"/>
        </w:rPr>
        <w:fldChar w:fldCharType="separate"/>
      </w:r>
      <w:r>
        <w:rPr>
          <w:color w:val="auto"/>
          <w:highlight w:val="none"/>
        </w:rPr>
        <w:t>31</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_Toc3066 </w:instrText>
      </w:r>
      <w:r>
        <w:rPr>
          <w:rFonts w:cs="Times New Roman"/>
          <w:color w:val="auto"/>
          <w:highlight w:val="none"/>
        </w:rPr>
        <w:fldChar w:fldCharType="separate"/>
      </w:r>
      <w:r>
        <w:rPr>
          <w:rFonts w:cs="Times New Roman"/>
          <w:color w:val="auto"/>
          <w:highlight w:val="none"/>
        </w:rPr>
        <w:t>2.</w:t>
      </w:r>
      <w:r>
        <w:rPr>
          <w:rFonts w:hint="eastAsia" w:cs="Times New Roman"/>
          <w:color w:val="auto"/>
          <w:highlight w:val="none"/>
        </w:rPr>
        <w:t>1</w:t>
      </w:r>
      <w:r>
        <w:rPr>
          <w:color w:val="auto"/>
          <w:highlight w:val="none"/>
        </w:rPr>
        <w:t>工程基本情况</w:t>
      </w:r>
      <w:r>
        <w:rPr>
          <w:color w:val="auto"/>
          <w:highlight w:val="none"/>
        </w:rPr>
        <w:tab/>
      </w:r>
      <w:r>
        <w:rPr>
          <w:color w:val="auto"/>
          <w:highlight w:val="none"/>
        </w:rPr>
        <w:fldChar w:fldCharType="begin"/>
      </w:r>
      <w:r>
        <w:rPr>
          <w:color w:val="auto"/>
          <w:highlight w:val="none"/>
        </w:rPr>
        <w:instrText xml:space="preserve"> PAGEREF _Toc3066 </w:instrText>
      </w:r>
      <w:r>
        <w:rPr>
          <w:color w:val="auto"/>
          <w:highlight w:val="none"/>
        </w:rPr>
        <w:fldChar w:fldCharType="separate"/>
      </w:r>
      <w:r>
        <w:rPr>
          <w:color w:val="auto"/>
          <w:highlight w:val="none"/>
        </w:rPr>
        <w:t>31</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_Toc32065 </w:instrText>
      </w:r>
      <w:r>
        <w:rPr>
          <w:rFonts w:cs="Times New Roman"/>
          <w:color w:val="auto"/>
          <w:highlight w:val="none"/>
        </w:rPr>
        <w:fldChar w:fldCharType="separate"/>
      </w:r>
      <w:r>
        <w:rPr>
          <w:rFonts w:hint="eastAsia" w:cs="Times New Roman"/>
          <w:color w:val="auto"/>
          <w:highlight w:val="none"/>
        </w:rPr>
        <w:t>2.2产品</w:t>
      </w:r>
      <w:r>
        <w:rPr>
          <w:rFonts w:hint="eastAsia" w:cs="Times New Roman"/>
          <w:color w:val="auto"/>
          <w:highlight w:val="none"/>
          <w:lang w:eastAsia="zh-CN"/>
        </w:rPr>
        <w:t>方案</w:t>
      </w:r>
      <w:r>
        <w:rPr>
          <w:color w:val="auto"/>
          <w:highlight w:val="none"/>
        </w:rPr>
        <w:tab/>
      </w:r>
      <w:r>
        <w:rPr>
          <w:color w:val="auto"/>
          <w:highlight w:val="none"/>
        </w:rPr>
        <w:fldChar w:fldCharType="begin"/>
      </w:r>
      <w:r>
        <w:rPr>
          <w:color w:val="auto"/>
          <w:highlight w:val="none"/>
        </w:rPr>
        <w:instrText xml:space="preserve"> PAGEREF _Toc32065 </w:instrText>
      </w:r>
      <w:r>
        <w:rPr>
          <w:color w:val="auto"/>
          <w:highlight w:val="none"/>
        </w:rPr>
        <w:fldChar w:fldCharType="separate"/>
      </w:r>
      <w:r>
        <w:rPr>
          <w:color w:val="auto"/>
          <w:highlight w:val="none"/>
        </w:rPr>
        <w:t>33</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_Toc30947 </w:instrText>
      </w:r>
      <w:r>
        <w:rPr>
          <w:rFonts w:cs="Times New Roman"/>
          <w:color w:val="auto"/>
          <w:highlight w:val="none"/>
        </w:rPr>
        <w:fldChar w:fldCharType="separate"/>
      </w:r>
      <w:r>
        <w:rPr>
          <w:rFonts w:cs="Times New Roman"/>
          <w:color w:val="auto"/>
          <w:highlight w:val="none"/>
        </w:rPr>
        <w:t>2.</w:t>
      </w:r>
      <w:r>
        <w:rPr>
          <w:rFonts w:hint="eastAsia" w:cs="Times New Roman"/>
          <w:color w:val="auto"/>
          <w:highlight w:val="none"/>
        </w:rPr>
        <w:t>3</w:t>
      </w:r>
      <w:r>
        <w:rPr>
          <w:rFonts w:cs="Times New Roman"/>
          <w:color w:val="auto"/>
          <w:highlight w:val="none"/>
        </w:rPr>
        <w:t>原辅材料</w:t>
      </w:r>
      <w:r>
        <w:rPr>
          <w:color w:val="auto"/>
          <w:highlight w:val="none"/>
        </w:rPr>
        <w:tab/>
      </w:r>
      <w:r>
        <w:rPr>
          <w:color w:val="auto"/>
          <w:highlight w:val="none"/>
        </w:rPr>
        <w:fldChar w:fldCharType="begin"/>
      </w:r>
      <w:r>
        <w:rPr>
          <w:color w:val="auto"/>
          <w:highlight w:val="none"/>
        </w:rPr>
        <w:instrText xml:space="preserve"> PAGEREF _Toc30947 </w:instrText>
      </w:r>
      <w:r>
        <w:rPr>
          <w:color w:val="auto"/>
          <w:highlight w:val="none"/>
        </w:rPr>
        <w:fldChar w:fldCharType="separate"/>
      </w:r>
      <w:r>
        <w:rPr>
          <w:color w:val="auto"/>
          <w:highlight w:val="none"/>
        </w:rPr>
        <w:t>34</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_Toc27913 </w:instrText>
      </w:r>
      <w:r>
        <w:rPr>
          <w:rFonts w:cs="Times New Roman"/>
          <w:color w:val="auto"/>
          <w:highlight w:val="none"/>
        </w:rPr>
        <w:fldChar w:fldCharType="separate"/>
      </w:r>
      <w:r>
        <w:rPr>
          <w:rFonts w:cs="Times New Roman"/>
          <w:color w:val="auto"/>
          <w:highlight w:val="none"/>
        </w:rPr>
        <w:t>2.</w:t>
      </w:r>
      <w:r>
        <w:rPr>
          <w:rFonts w:hint="eastAsia" w:cs="Times New Roman"/>
          <w:color w:val="auto"/>
          <w:highlight w:val="none"/>
        </w:rPr>
        <w:t>4</w:t>
      </w:r>
      <w:r>
        <w:rPr>
          <w:rFonts w:cs="Times New Roman"/>
          <w:color w:val="auto"/>
          <w:highlight w:val="none"/>
        </w:rPr>
        <w:t>生产设备</w:t>
      </w:r>
      <w:r>
        <w:rPr>
          <w:color w:val="auto"/>
          <w:highlight w:val="none"/>
        </w:rPr>
        <w:tab/>
      </w:r>
      <w:r>
        <w:rPr>
          <w:color w:val="auto"/>
          <w:highlight w:val="none"/>
        </w:rPr>
        <w:fldChar w:fldCharType="begin"/>
      </w:r>
      <w:r>
        <w:rPr>
          <w:color w:val="auto"/>
          <w:highlight w:val="none"/>
        </w:rPr>
        <w:instrText xml:space="preserve"> PAGEREF _Toc27913 </w:instrText>
      </w:r>
      <w:r>
        <w:rPr>
          <w:color w:val="auto"/>
          <w:highlight w:val="none"/>
        </w:rPr>
        <w:fldChar w:fldCharType="separate"/>
      </w:r>
      <w:r>
        <w:rPr>
          <w:color w:val="auto"/>
          <w:highlight w:val="none"/>
        </w:rPr>
        <w:t>35</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_Toc6947 </w:instrText>
      </w:r>
      <w:r>
        <w:rPr>
          <w:rFonts w:cs="Times New Roman"/>
          <w:color w:val="auto"/>
          <w:highlight w:val="none"/>
        </w:rPr>
        <w:fldChar w:fldCharType="separate"/>
      </w:r>
      <w:r>
        <w:rPr>
          <w:rFonts w:hint="eastAsia" w:cs="Times New Roman"/>
          <w:color w:val="auto"/>
          <w:highlight w:val="none"/>
        </w:rPr>
        <w:t>2.5</w:t>
      </w:r>
      <w:r>
        <w:rPr>
          <w:rFonts w:cs="Times New Roman"/>
          <w:color w:val="auto"/>
          <w:highlight w:val="none"/>
        </w:rPr>
        <w:t>公用工程</w:t>
      </w:r>
      <w:r>
        <w:rPr>
          <w:rFonts w:hint="eastAsia" w:cs="Times New Roman"/>
          <w:color w:val="auto"/>
          <w:highlight w:val="none"/>
        </w:rPr>
        <w:t>及辅助设施</w:t>
      </w:r>
      <w:r>
        <w:rPr>
          <w:color w:val="auto"/>
          <w:highlight w:val="none"/>
        </w:rPr>
        <w:tab/>
      </w:r>
      <w:r>
        <w:rPr>
          <w:color w:val="auto"/>
          <w:highlight w:val="none"/>
        </w:rPr>
        <w:fldChar w:fldCharType="begin"/>
      </w:r>
      <w:r>
        <w:rPr>
          <w:color w:val="auto"/>
          <w:highlight w:val="none"/>
        </w:rPr>
        <w:instrText xml:space="preserve"> PAGEREF _Toc6947 </w:instrText>
      </w:r>
      <w:r>
        <w:rPr>
          <w:color w:val="auto"/>
          <w:highlight w:val="none"/>
        </w:rPr>
        <w:fldChar w:fldCharType="separate"/>
      </w:r>
      <w:r>
        <w:rPr>
          <w:color w:val="auto"/>
          <w:highlight w:val="none"/>
        </w:rPr>
        <w:t>35</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_Toc29219 </w:instrText>
      </w:r>
      <w:r>
        <w:rPr>
          <w:rFonts w:cs="Times New Roman"/>
          <w:color w:val="auto"/>
          <w:highlight w:val="none"/>
        </w:rPr>
        <w:fldChar w:fldCharType="separate"/>
      </w:r>
      <w:r>
        <w:rPr>
          <w:rFonts w:hint="eastAsia" w:cs="Times New Roman"/>
          <w:color w:val="auto"/>
          <w:highlight w:val="none"/>
        </w:rPr>
        <w:t>2.6</w:t>
      </w:r>
      <w:r>
        <w:rPr>
          <w:rFonts w:cs="Times New Roman"/>
          <w:color w:val="auto"/>
          <w:highlight w:val="none"/>
        </w:rPr>
        <w:t>总体</w:t>
      </w:r>
      <w:r>
        <w:rPr>
          <w:rFonts w:hint="eastAsia" w:cs="Times New Roman"/>
          <w:color w:val="auto"/>
          <w:highlight w:val="none"/>
        </w:rPr>
        <w:t>平面</w:t>
      </w:r>
      <w:r>
        <w:rPr>
          <w:rFonts w:cs="Times New Roman"/>
          <w:color w:val="auto"/>
          <w:highlight w:val="none"/>
        </w:rPr>
        <w:t>布置</w:t>
      </w:r>
      <w:r>
        <w:rPr>
          <w:color w:val="auto"/>
          <w:highlight w:val="none"/>
        </w:rPr>
        <w:tab/>
      </w:r>
      <w:r>
        <w:rPr>
          <w:color w:val="auto"/>
          <w:highlight w:val="none"/>
        </w:rPr>
        <w:fldChar w:fldCharType="begin"/>
      </w:r>
      <w:r>
        <w:rPr>
          <w:color w:val="auto"/>
          <w:highlight w:val="none"/>
        </w:rPr>
        <w:instrText xml:space="preserve"> PAGEREF _Toc29219 </w:instrText>
      </w:r>
      <w:r>
        <w:rPr>
          <w:color w:val="auto"/>
          <w:highlight w:val="none"/>
        </w:rPr>
        <w:fldChar w:fldCharType="separate"/>
      </w:r>
      <w:r>
        <w:rPr>
          <w:color w:val="auto"/>
          <w:highlight w:val="none"/>
        </w:rPr>
        <w:t>39</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_Toc1643 </w:instrText>
      </w:r>
      <w:r>
        <w:rPr>
          <w:rFonts w:cs="Times New Roman"/>
          <w:color w:val="auto"/>
          <w:highlight w:val="none"/>
        </w:rPr>
        <w:fldChar w:fldCharType="separate"/>
      </w:r>
      <w:r>
        <w:rPr>
          <w:rFonts w:hint="eastAsia" w:cs="Times New Roman"/>
          <w:color w:val="auto"/>
          <w:highlight w:val="none"/>
        </w:rPr>
        <w:t>2.7劳动定员及工作制度</w:t>
      </w:r>
      <w:r>
        <w:rPr>
          <w:color w:val="auto"/>
          <w:highlight w:val="none"/>
        </w:rPr>
        <w:tab/>
      </w:r>
      <w:r>
        <w:rPr>
          <w:color w:val="auto"/>
          <w:highlight w:val="none"/>
        </w:rPr>
        <w:fldChar w:fldCharType="begin"/>
      </w:r>
      <w:r>
        <w:rPr>
          <w:color w:val="auto"/>
          <w:highlight w:val="none"/>
        </w:rPr>
        <w:instrText xml:space="preserve"> PAGEREF _Toc1643 </w:instrText>
      </w:r>
      <w:r>
        <w:rPr>
          <w:color w:val="auto"/>
          <w:highlight w:val="none"/>
        </w:rPr>
        <w:fldChar w:fldCharType="separate"/>
      </w:r>
      <w:r>
        <w:rPr>
          <w:color w:val="auto"/>
          <w:highlight w:val="none"/>
        </w:rPr>
        <w:t>40</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_Toc1579 </w:instrText>
      </w:r>
      <w:r>
        <w:rPr>
          <w:rFonts w:cs="Times New Roman"/>
          <w:color w:val="auto"/>
          <w:highlight w:val="none"/>
        </w:rPr>
        <w:fldChar w:fldCharType="separate"/>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8</w:t>
      </w:r>
      <w:r>
        <w:rPr>
          <w:color w:val="auto"/>
          <w:highlight w:val="none"/>
        </w:rPr>
        <w:t>工艺流程</w:t>
      </w:r>
      <w:r>
        <w:rPr>
          <w:color w:val="auto"/>
          <w:highlight w:val="none"/>
        </w:rPr>
        <w:tab/>
      </w:r>
      <w:r>
        <w:rPr>
          <w:color w:val="auto"/>
          <w:highlight w:val="none"/>
        </w:rPr>
        <w:fldChar w:fldCharType="begin"/>
      </w:r>
      <w:r>
        <w:rPr>
          <w:color w:val="auto"/>
          <w:highlight w:val="none"/>
        </w:rPr>
        <w:instrText xml:space="preserve"> PAGEREF _Toc1579 </w:instrText>
      </w:r>
      <w:r>
        <w:rPr>
          <w:color w:val="auto"/>
          <w:highlight w:val="none"/>
        </w:rPr>
        <w:fldChar w:fldCharType="separate"/>
      </w:r>
      <w:r>
        <w:rPr>
          <w:color w:val="auto"/>
          <w:highlight w:val="none"/>
        </w:rPr>
        <w:t>40</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_Toc30670 </w:instrText>
      </w:r>
      <w:r>
        <w:rPr>
          <w:rFonts w:cs="Times New Roman"/>
          <w:color w:val="auto"/>
          <w:highlight w:val="none"/>
        </w:rPr>
        <w:fldChar w:fldCharType="separate"/>
      </w:r>
      <w:r>
        <w:rPr>
          <w:rFonts w:hint="eastAsia"/>
          <w:color w:val="auto"/>
          <w:highlight w:val="none"/>
          <w:lang w:val="en-US" w:eastAsia="zh-CN"/>
        </w:rPr>
        <w:t>2</w:t>
      </w:r>
      <w:r>
        <w:rPr>
          <w:rFonts w:hint="eastAsia" w:ascii="Times New Roman" w:hAnsi="Times New Roman"/>
          <w:color w:val="auto"/>
          <w:highlight w:val="none"/>
        </w:rPr>
        <w:t>.</w:t>
      </w:r>
      <w:r>
        <w:rPr>
          <w:rFonts w:hint="eastAsia"/>
          <w:color w:val="auto"/>
          <w:highlight w:val="none"/>
          <w:lang w:val="en-US" w:eastAsia="zh-CN"/>
        </w:rPr>
        <w:t>9</w:t>
      </w:r>
      <w:r>
        <w:rPr>
          <w:rFonts w:hint="eastAsia" w:ascii="Times New Roman" w:hAnsi="Times New Roman"/>
          <w:color w:val="auto"/>
          <w:highlight w:val="none"/>
          <w:lang w:eastAsia="zh-CN"/>
        </w:rPr>
        <w:t>产污环节分析</w:t>
      </w:r>
      <w:r>
        <w:rPr>
          <w:color w:val="auto"/>
          <w:highlight w:val="none"/>
        </w:rPr>
        <w:tab/>
      </w:r>
      <w:r>
        <w:rPr>
          <w:color w:val="auto"/>
          <w:highlight w:val="none"/>
        </w:rPr>
        <w:fldChar w:fldCharType="begin"/>
      </w:r>
      <w:r>
        <w:rPr>
          <w:color w:val="auto"/>
          <w:highlight w:val="none"/>
        </w:rPr>
        <w:instrText xml:space="preserve"> PAGEREF _Toc30670 </w:instrText>
      </w:r>
      <w:r>
        <w:rPr>
          <w:color w:val="auto"/>
          <w:highlight w:val="none"/>
        </w:rPr>
        <w:fldChar w:fldCharType="separate"/>
      </w:r>
      <w:r>
        <w:rPr>
          <w:color w:val="auto"/>
          <w:highlight w:val="none"/>
        </w:rPr>
        <w:t>55</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_Toc7216 </w:instrText>
      </w:r>
      <w:r>
        <w:rPr>
          <w:rFonts w:cs="Times New Roman"/>
          <w:color w:val="auto"/>
          <w:highlight w:val="none"/>
        </w:rPr>
        <w:fldChar w:fldCharType="separate"/>
      </w:r>
      <w:r>
        <w:rPr>
          <w:rFonts w:hint="eastAsia"/>
          <w:color w:val="auto"/>
          <w:highlight w:val="none"/>
          <w:lang w:val="en-US" w:eastAsia="zh-CN"/>
        </w:rPr>
        <w:t>2</w:t>
      </w:r>
      <w:r>
        <w:rPr>
          <w:rFonts w:hint="eastAsia" w:ascii="Times New Roman" w:hAnsi="Times New Roman"/>
          <w:color w:val="auto"/>
          <w:highlight w:val="none"/>
        </w:rPr>
        <w:t>.</w:t>
      </w:r>
      <w:r>
        <w:rPr>
          <w:rFonts w:hint="eastAsia"/>
          <w:color w:val="auto"/>
          <w:highlight w:val="none"/>
          <w:lang w:val="en-US" w:eastAsia="zh-CN"/>
        </w:rPr>
        <w:t>10</w:t>
      </w:r>
      <w:r>
        <w:rPr>
          <w:rFonts w:hint="eastAsia"/>
          <w:color w:val="auto"/>
          <w:highlight w:val="none"/>
          <w:lang w:eastAsia="zh-CN"/>
        </w:rPr>
        <w:t>项目</w:t>
      </w:r>
      <w:r>
        <w:rPr>
          <w:rFonts w:hint="eastAsia" w:ascii="Times New Roman" w:hAnsi="Times New Roman"/>
          <w:color w:val="auto"/>
          <w:highlight w:val="none"/>
        </w:rPr>
        <w:t>平衡</w:t>
      </w:r>
      <w:r>
        <w:rPr>
          <w:color w:val="auto"/>
          <w:highlight w:val="none"/>
        </w:rPr>
        <w:tab/>
      </w:r>
      <w:r>
        <w:rPr>
          <w:color w:val="auto"/>
          <w:highlight w:val="none"/>
        </w:rPr>
        <w:fldChar w:fldCharType="begin"/>
      </w:r>
      <w:r>
        <w:rPr>
          <w:color w:val="auto"/>
          <w:highlight w:val="none"/>
        </w:rPr>
        <w:instrText xml:space="preserve"> PAGEREF _Toc7216 </w:instrText>
      </w:r>
      <w:r>
        <w:rPr>
          <w:color w:val="auto"/>
          <w:highlight w:val="none"/>
        </w:rPr>
        <w:fldChar w:fldCharType="separate"/>
      </w:r>
      <w:r>
        <w:rPr>
          <w:color w:val="auto"/>
          <w:highlight w:val="none"/>
        </w:rPr>
        <w:t>57</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_Toc8029 </w:instrText>
      </w:r>
      <w:r>
        <w:rPr>
          <w:rFonts w:cs="Times New Roman"/>
          <w:color w:val="auto"/>
          <w:highlight w:val="none"/>
        </w:rPr>
        <w:fldChar w:fldCharType="separate"/>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11</w:t>
      </w:r>
      <w:r>
        <w:rPr>
          <w:color w:val="auto"/>
          <w:highlight w:val="none"/>
        </w:rPr>
        <w:t>污染源强</w:t>
      </w:r>
      <w:r>
        <w:rPr>
          <w:color w:val="auto"/>
          <w:highlight w:val="none"/>
        </w:rPr>
        <w:tab/>
      </w:r>
      <w:r>
        <w:rPr>
          <w:color w:val="auto"/>
          <w:highlight w:val="none"/>
        </w:rPr>
        <w:fldChar w:fldCharType="begin"/>
      </w:r>
      <w:r>
        <w:rPr>
          <w:color w:val="auto"/>
          <w:highlight w:val="none"/>
        </w:rPr>
        <w:instrText xml:space="preserve"> PAGEREF _Toc8029 </w:instrText>
      </w:r>
      <w:r>
        <w:rPr>
          <w:color w:val="auto"/>
          <w:highlight w:val="none"/>
        </w:rPr>
        <w:fldChar w:fldCharType="separate"/>
      </w:r>
      <w:r>
        <w:rPr>
          <w:color w:val="auto"/>
          <w:highlight w:val="none"/>
        </w:rPr>
        <w:t>61</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_Toc28746 </w:instrText>
      </w:r>
      <w:r>
        <w:rPr>
          <w:rFonts w:cs="Times New Roman"/>
          <w:color w:val="auto"/>
          <w:highlight w:val="none"/>
        </w:rPr>
        <w:fldChar w:fldCharType="separate"/>
      </w:r>
      <w:r>
        <w:rPr>
          <w:rFonts w:hint="eastAsia"/>
          <w:color w:val="auto"/>
          <w:highlight w:val="none"/>
          <w:lang w:val="en-US" w:eastAsia="zh-CN"/>
        </w:rPr>
        <w:t>2</w:t>
      </w:r>
      <w:r>
        <w:rPr>
          <w:color w:val="auto"/>
          <w:highlight w:val="none"/>
        </w:rPr>
        <w:t>.</w:t>
      </w:r>
      <w:r>
        <w:rPr>
          <w:rFonts w:hint="eastAsia"/>
          <w:color w:val="auto"/>
          <w:highlight w:val="none"/>
          <w:lang w:val="en-US" w:eastAsia="zh-CN"/>
        </w:rPr>
        <w:t>12</w:t>
      </w:r>
      <w:r>
        <w:rPr>
          <w:rFonts w:hint="eastAsia"/>
          <w:color w:val="auto"/>
          <w:highlight w:val="none"/>
        </w:rPr>
        <w:t>全厂项目污染物环保措施及排放情况</w:t>
      </w:r>
      <w:r>
        <w:rPr>
          <w:color w:val="auto"/>
          <w:highlight w:val="none"/>
        </w:rPr>
        <w:t>汇总</w:t>
      </w:r>
      <w:r>
        <w:rPr>
          <w:color w:val="auto"/>
          <w:highlight w:val="none"/>
        </w:rPr>
        <w:tab/>
      </w:r>
      <w:r>
        <w:rPr>
          <w:color w:val="auto"/>
          <w:highlight w:val="none"/>
        </w:rPr>
        <w:fldChar w:fldCharType="begin"/>
      </w:r>
      <w:r>
        <w:rPr>
          <w:color w:val="auto"/>
          <w:highlight w:val="none"/>
        </w:rPr>
        <w:instrText xml:space="preserve"> PAGEREF _Toc28746 </w:instrText>
      </w:r>
      <w:r>
        <w:rPr>
          <w:color w:val="auto"/>
          <w:highlight w:val="none"/>
        </w:rPr>
        <w:fldChar w:fldCharType="separate"/>
      </w:r>
      <w:r>
        <w:rPr>
          <w:color w:val="auto"/>
          <w:highlight w:val="none"/>
        </w:rPr>
        <w:t>74</w:t>
      </w:r>
      <w:r>
        <w:rPr>
          <w:color w:val="auto"/>
          <w:highlight w:val="none"/>
        </w:rPr>
        <w:fldChar w:fldCharType="end"/>
      </w:r>
      <w:r>
        <w:rPr>
          <w:rFonts w:cs="Times New Roman"/>
          <w:color w:val="auto"/>
          <w:highlight w:val="none"/>
        </w:rPr>
        <w:fldChar w:fldCharType="end"/>
      </w:r>
    </w:p>
    <w:p>
      <w:pPr>
        <w:pStyle w:val="17"/>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_Toc11223 </w:instrText>
      </w:r>
      <w:r>
        <w:rPr>
          <w:rFonts w:cs="Times New Roman"/>
          <w:color w:val="auto"/>
          <w:highlight w:val="none"/>
        </w:rPr>
        <w:fldChar w:fldCharType="separate"/>
      </w:r>
      <w:r>
        <w:rPr>
          <w:rFonts w:hint="eastAsia"/>
          <w:color w:val="auto"/>
          <w:highlight w:val="none"/>
          <w:lang w:val="en-US" w:eastAsia="zh-CN"/>
        </w:rPr>
        <w:t>3</w:t>
      </w:r>
      <w:r>
        <w:rPr>
          <w:rFonts w:hint="eastAsia"/>
          <w:color w:val="auto"/>
          <w:highlight w:val="none"/>
        </w:rPr>
        <w:t>环境现状调查与评价</w:t>
      </w:r>
      <w:r>
        <w:rPr>
          <w:color w:val="auto"/>
          <w:highlight w:val="none"/>
        </w:rPr>
        <w:tab/>
      </w:r>
      <w:r>
        <w:rPr>
          <w:color w:val="auto"/>
          <w:highlight w:val="none"/>
        </w:rPr>
        <w:fldChar w:fldCharType="begin"/>
      </w:r>
      <w:r>
        <w:rPr>
          <w:color w:val="auto"/>
          <w:highlight w:val="none"/>
        </w:rPr>
        <w:instrText xml:space="preserve"> PAGEREF _Toc11223 </w:instrText>
      </w:r>
      <w:r>
        <w:rPr>
          <w:color w:val="auto"/>
          <w:highlight w:val="none"/>
        </w:rPr>
        <w:fldChar w:fldCharType="separate"/>
      </w:r>
      <w:r>
        <w:rPr>
          <w:color w:val="auto"/>
          <w:highlight w:val="none"/>
        </w:rPr>
        <w:t>77</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_Toc29984 </w:instrText>
      </w:r>
      <w:r>
        <w:rPr>
          <w:rFonts w:cs="Times New Roman"/>
          <w:color w:val="auto"/>
          <w:highlight w:val="none"/>
        </w:rPr>
        <w:fldChar w:fldCharType="separate"/>
      </w:r>
      <w:r>
        <w:rPr>
          <w:rFonts w:hint="eastAsia"/>
          <w:color w:val="auto"/>
          <w:highlight w:val="none"/>
          <w:lang w:val="en-US" w:eastAsia="zh-CN"/>
        </w:rPr>
        <w:t>3</w:t>
      </w:r>
      <w:r>
        <w:rPr>
          <w:color w:val="auto"/>
          <w:highlight w:val="none"/>
        </w:rPr>
        <w:t>.1</w:t>
      </w:r>
      <w:r>
        <w:rPr>
          <w:rFonts w:hint="eastAsia"/>
          <w:color w:val="auto"/>
          <w:highlight w:val="none"/>
        </w:rPr>
        <w:t>区域自然</w:t>
      </w:r>
      <w:r>
        <w:rPr>
          <w:color w:val="auto"/>
          <w:highlight w:val="none"/>
        </w:rPr>
        <w:t>环境概况</w:t>
      </w:r>
      <w:r>
        <w:rPr>
          <w:color w:val="auto"/>
          <w:highlight w:val="none"/>
        </w:rPr>
        <w:tab/>
      </w:r>
      <w:r>
        <w:rPr>
          <w:color w:val="auto"/>
          <w:highlight w:val="none"/>
        </w:rPr>
        <w:fldChar w:fldCharType="begin"/>
      </w:r>
      <w:r>
        <w:rPr>
          <w:color w:val="auto"/>
          <w:highlight w:val="none"/>
        </w:rPr>
        <w:instrText xml:space="preserve"> PAGEREF _Toc29984 </w:instrText>
      </w:r>
      <w:r>
        <w:rPr>
          <w:color w:val="auto"/>
          <w:highlight w:val="none"/>
        </w:rPr>
        <w:fldChar w:fldCharType="separate"/>
      </w:r>
      <w:r>
        <w:rPr>
          <w:color w:val="auto"/>
          <w:highlight w:val="none"/>
        </w:rPr>
        <w:t>77</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_Toc20642 </w:instrText>
      </w:r>
      <w:r>
        <w:rPr>
          <w:rFonts w:cs="Times New Roman"/>
          <w:color w:val="auto"/>
          <w:highlight w:val="none"/>
        </w:rPr>
        <w:fldChar w:fldCharType="separate"/>
      </w:r>
      <w:r>
        <w:rPr>
          <w:rFonts w:hint="eastAsia"/>
          <w:color w:val="auto"/>
          <w:highlight w:val="none"/>
          <w:lang w:val="en-US" w:eastAsia="zh-CN"/>
        </w:rPr>
        <w:t>3</w:t>
      </w:r>
      <w:r>
        <w:rPr>
          <w:color w:val="auto"/>
          <w:highlight w:val="none"/>
        </w:rPr>
        <w:t>.</w:t>
      </w:r>
      <w:r>
        <w:rPr>
          <w:rFonts w:hint="eastAsia"/>
          <w:color w:val="auto"/>
          <w:highlight w:val="none"/>
          <w:lang w:val="en-US" w:eastAsia="zh-CN"/>
        </w:rPr>
        <w:t>2</w:t>
      </w:r>
      <w:r>
        <w:rPr>
          <w:rFonts w:hint="eastAsia"/>
          <w:color w:val="auto"/>
          <w:highlight w:val="none"/>
        </w:rPr>
        <w:t>环境质量现状调查与评价</w:t>
      </w:r>
      <w:r>
        <w:rPr>
          <w:color w:val="auto"/>
          <w:highlight w:val="none"/>
        </w:rPr>
        <w:tab/>
      </w:r>
      <w:r>
        <w:rPr>
          <w:color w:val="auto"/>
          <w:highlight w:val="none"/>
        </w:rPr>
        <w:fldChar w:fldCharType="begin"/>
      </w:r>
      <w:r>
        <w:rPr>
          <w:color w:val="auto"/>
          <w:highlight w:val="none"/>
        </w:rPr>
        <w:instrText xml:space="preserve"> PAGEREF _Toc20642 </w:instrText>
      </w:r>
      <w:r>
        <w:rPr>
          <w:color w:val="auto"/>
          <w:highlight w:val="none"/>
        </w:rPr>
        <w:fldChar w:fldCharType="separate"/>
      </w:r>
      <w:r>
        <w:rPr>
          <w:color w:val="auto"/>
          <w:highlight w:val="none"/>
        </w:rPr>
        <w:t>80</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_Toc22135 </w:instrText>
      </w:r>
      <w:r>
        <w:rPr>
          <w:rFonts w:cs="Times New Roman"/>
          <w:color w:val="auto"/>
          <w:highlight w:val="none"/>
        </w:rPr>
        <w:fldChar w:fldCharType="separate"/>
      </w:r>
      <w:r>
        <w:rPr>
          <w:rFonts w:hint="eastAsia"/>
          <w:color w:val="auto"/>
          <w:highlight w:val="none"/>
          <w:lang w:val="en-US" w:eastAsia="zh-CN"/>
        </w:rPr>
        <w:t>3</w:t>
      </w:r>
      <w:r>
        <w:rPr>
          <w:color w:val="auto"/>
          <w:highlight w:val="none"/>
        </w:rPr>
        <w:t>.</w:t>
      </w:r>
      <w:r>
        <w:rPr>
          <w:rFonts w:hint="eastAsia"/>
          <w:color w:val="auto"/>
          <w:highlight w:val="none"/>
          <w:lang w:val="en-US" w:eastAsia="zh-CN"/>
        </w:rPr>
        <w:t>3</w:t>
      </w:r>
      <w:r>
        <w:rPr>
          <w:rFonts w:hint="eastAsia"/>
          <w:color w:val="auto"/>
          <w:highlight w:val="none"/>
        </w:rPr>
        <w:t>养殖区环境评价</w:t>
      </w:r>
      <w:r>
        <w:rPr>
          <w:color w:val="auto"/>
          <w:highlight w:val="none"/>
        </w:rPr>
        <w:tab/>
      </w:r>
      <w:r>
        <w:rPr>
          <w:color w:val="auto"/>
          <w:highlight w:val="none"/>
        </w:rPr>
        <w:fldChar w:fldCharType="begin"/>
      </w:r>
      <w:r>
        <w:rPr>
          <w:color w:val="auto"/>
          <w:highlight w:val="none"/>
        </w:rPr>
        <w:instrText xml:space="preserve"> PAGEREF _Toc22135 </w:instrText>
      </w:r>
      <w:r>
        <w:rPr>
          <w:color w:val="auto"/>
          <w:highlight w:val="none"/>
        </w:rPr>
        <w:fldChar w:fldCharType="separate"/>
      </w:r>
      <w:r>
        <w:rPr>
          <w:color w:val="auto"/>
          <w:highlight w:val="none"/>
        </w:rPr>
        <w:t>94</w:t>
      </w:r>
      <w:r>
        <w:rPr>
          <w:color w:val="auto"/>
          <w:highlight w:val="none"/>
        </w:rPr>
        <w:fldChar w:fldCharType="end"/>
      </w:r>
      <w:r>
        <w:rPr>
          <w:rFonts w:cs="Times New Roman"/>
          <w:color w:val="auto"/>
          <w:highlight w:val="none"/>
        </w:rPr>
        <w:fldChar w:fldCharType="end"/>
      </w:r>
    </w:p>
    <w:p>
      <w:pPr>
        <w:pStyle w:val="17"/>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_Toc156 </w:instrText>
      </w:r>
      <w:r>
        <w:rPr>
          <w:rFonts w:cs="Times New Roman"/>
          <w:color w:val="auto"/>
          <w:highlight w:val="none"/>
        </w:rPr>
        <w:fldChar w:fldCharType="separate"/>
      </w:r>
      <w:r>
        <w:rPr>
          <w:rFonts w:hint="eastAsia"/>
          <w:color w:val="auto"/>
          <w:highlight w:val="none"/>
          <w:lang w:val="en-US" w:eastAsia="zh-CN"/>
        </w:rPr>
        <w:t>4</w:t>
      </w:r>
      <w:r>
        <w:rPr>
          <w:color w:val="auto"/>
          <w:highlight w:val="none"/>
        </w:rPr>
        <w:t>环境影响预测</w:t>
      </w:r>
      <w:r>
        <w:rPr>
          <w:rFonts w:hint="eastAsia"/>
          <w:color w:val="auto"/>
          <w:highlight w:val="none"/>
        </w:rPr>
        <w:t>分析</w:t>
      </w:r>
      <w:r>
        <w:rPr>
          <w:color w:val="auto"/>
          <w:highlight w:val="none"/>
        </w:rPr>
        <w:t>与评价</w:t>
      </w:r>
      <w:r>
        <w:rPr>
          <w:color w:val="auto"/>
          <w:highlight w:val="none"/>
        </w:rPr>
        <w:tab/>
      </w:r>
      <w:r>
        <w:rPr>
          <w:color w:val="auto"/>
          <w:highlight w:val="none"/>
        </w:rPr>
        <w:fldChar w:fldCharType="begin"/>
      </w:r>
      <w:r>
        <w:rPr>
          <w:color w:val="auto"/>
          <w:highlight w:val="none"/>
        </w:rPr>
        <w:instrText xml:space="preserve"> PAGEREF _Toc156 </w:instrText>
      </w:r>
      <w:r>
        <w:rPr>
          <w:color w:val="auto"/>
          <w:highlight w:val="none"/>
        </w:rPr>
        <w:fldChar w:fldCharType="separate"/>
      </w:r>
      <w:r>
        <w:rPr>
          <w:color w:val="auto"/>
          <w:highlight w:val="none"/>
        </w:rPr>
        <w:t>98</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_Toc305 </w:instrText>
      </w:r>
      <w:r>
        <w:rPr>
          <w:rFonts w:cs="Times New Roman"/>
          <w:color w:val="auto"/>
          <w:highlight w:val="none"/>
        </w:rPr>
        <w:fldChar w:fldCharType="separate"/>
      </w:r>
      <w:r>
        <w:rPr>
          <w:rFonts w:hint="eastAsia"/>
          <w:color w:val="auto"/>
          <w:highlight w:val="none"/>
          <w:lang w:val="en-US" w:eastAsia="zh-CN"/>
        </w:rPr>
        <w:t>4</w:t>
      </w:r>
      <w:r>
        <w:rPr>
          <w:rFonts w:hint="eastAsia"/>
          <w:color w:val="auto"/>
          <w:highlight w:val="none"/>
        </w:rPr>
        <w:t>.1施工期环境影响分析</w:t>
      </w:r>
      <w:r>
        <w:rPr>
          <w:color w:val="auto"/>
          <w:highlight w:val="none"/>
        </w:rPr>
        <w:tab/>
      </w:r>
      <w:r>
        <w:rPr>
          <w:color w:val="auto"/>
          <w:highlight w:val="none"/>
        </w:rPr>
        <w:fldChar w:fldCharType="begin"/>
      </w:r>
      <w:r>
        <w:rPr>
          <w:color w:val="auto"/>
          <w:highlight w:val="none"/>
        </w:rPr>
        <w:instrText xml:space="preserve"> PAGEREF _Toc305 </w:instrText>
      </w:r>
      <w:r>
        <w:rPr>
          <w:color w:val="auto"/>
          <w:highlight w:val="none"/>
        </w:rPr>
        <w:fldChar w:fldCharType="separate"/>
      </w:r>
      <w:r>
        <w:rPr>
          <w:color w:val="auto"/>
          <w:highlight w:val="none"/>
        </w:rPr>
        <w:t>98</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_Toc11413 </w:instrText>
      </w:r>
      <w:r>
        <w:rPr>
          <w:rFonts w:cs="Times New Roman"/>
          <w:color w:val="auto"/>
          <w:highlight w:val="none"/>
        </w:rPr>
        <w:fldChar w:fldCharType="separate"/>
      </w:r>
      <w:r>
        <w:rPr>
          <w:rFonts w:hint="eastAsia"/>
          <w:color w:val="auto"/>
          <w:highlight w:val="none"/>
          <w:lang w:val="en-US" w:eastAsia="zh-CN"/>
        </w:rPr>
        <w:t>4</w:t>
      </w:r>
      <w:r>
        <w:rPr>
          <w:rFonts w:hint="eastAsia"/>
          <w:color w:val="auto"/>
          <w:highlight w:val="none"/>
        </w:rPr>
        <w:t>.2运营期环境影响预测与评价</w:t>
      </w:r>
      <w:r>
        <w:rPr>
          <w:color w:val="auto"/>
          <w:highlight w:val="none"/>
        </w:rPr>
        <w:tab/>
      </w:r>
      <w:r>
        <w:rPr>
          <w:color w:val="auto"/>
          <w:highlight w:val="none"/>
        </w:rPr>
        <w:fldChar w:fldCharType="begin"/>
      </w:r>
      <w:r>
        <w:rPr>
          <w:color w:val="auto"/>
          <w:highlight w:val="none"/>
        </w:rPr>
        <w:instrText xml:space="preserve"> PAGEREF _Toc11413 </w:instrText>
      </w:r>
      <w:r>
        <w:rPr>
          <w:color w:val="auto"/>
          <w:highlight w:val="none"/>
        </w:rPr>
        <w:fldChar w:fldCharType="separate"/>
      </w:r>
      <w:r>
        <w:rPr>
          <w:color w:val="auto"/>
          <w:highlight w:val="none"/>
        </w:rPr>
        <w:t>103</w:t>
      </w:r>
      <w:r>
        <w:rPr>
          <w:color w:val="auto"/>
          <w:highlight w:val="none"/>
        </w:rPr>
        <w:fldChar w:fldCharType="end"/>
      </w:r>
      <w:r>
        <w:rPr>
          <w:rFonts w:cs="Times New Roman"/>
          <w:color w:val="auto"/>
          <w:highlight w:val="none"/>
        </w:rPr>
        <w:fldChar w:fldCharType="end"/>
      </w:r>
    </w:p>
    <w:p>
      <w:pPr>
        <w:pStyle w:val="17"/>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_Toc25714 </w:instrText>
      </w:r>
      <w:r>
        <w:rPr>
          <w:rFonts w:cs="Times New Roman"/>
          <w:color w:val="auto"/>
          <w:highlight w:val="none"/>
        </w:rPr>
        <w:fldChar w:fldCharType="separate"/>
      </w:r>
      <w:r>
        <w:rPr>
          <w:rFonts w:hint="eastAsia" w:cs="Times New Roman"/>
          <w:color w:val="auto"/>
          <w:highlight w:val="none"/>
          <w:lang w:val="en-US" w:eastAsia="zh-CN"/>
        </w:rPr>
        <w:t>5</w:t>
      </w:r>
      <w:r>
        <w:rPr>
          <w:rFonts w:cs="Times New Roman"/>
          <w:color w:val="auto"/>
          <w:highlight w:val="none"/>
        </w:rPr>
        <w:t>环境保护措施及其可行性分析</w:t>
      </w:r>
      <w:r>
        <w:rPr>
          <w:color w:val="auto"/>
          <w:highlight w:val="none"/>
        </w:rPr>
        <w:tab/>
      </w:r>
      <w:r>
        <w:rPr>
          <w:color w:val="auto"/>
          <w:highlight w:val="none"/>
        </w:rPr>
        <w:fldChar w:fldCharType="begin"/>
      </w:r>
      <w:r>
        <w:rPr>
          <w:color w:val="auto"/>
          <w:highlight w:val="none"/>
        </w:rPr>
        <w:instrText xml:space="preserve"> PAGEREF _Toc25714 </w:instrText>
      </w:r>
      <w:r>
        <w:rPr>
          <w:color w:val="auto"/>
          <w:highlight w:val="none"/>
        </w:rPr>
        <w:fldChar w:fldCharType="separate"/>
      </w:r>
      <w:r>
        <w:rPr>
          <w:color w:val="auto"/>
          <w:highlight w:val="none"/>
        </w:rPr>
        <w:t>172</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_Toc2666 </w:instrText>
      </w:r>
      <w:r>
        <w:rPr>
          <w:rFonts w:cs="Times New Roman"/>
          <w:color w:val="auto"/>
          <w:highlight w:val="none"/>
        </w:rPr>
        <w:fldChar w:fldCharType="separate"/>
      </w:r>
      <w:r>
        <w:rPr>
          <w:rFonts w:hint="eastAsia" w:cs="Times New Roman"/>
          <w:color w:val="auto"/>
          <w:highlight w:val="none"/>
          <w:lang w:val="en-US" w:eastAsia="zh-CN"/>
        </w:rPr>
        <w:t>5</w:t>
      </w:r>
      <w:r>
        <w:rPr>
          <w:rFonts w:hint="eastAsia" w:cs="Times New Roman"/>
          <w:color w:val="auto"/>
          <w:highlight w:val="none"/>
        </w:rPr>
        <w:t>.</w:t>
      </w:r>
      <w:r>
        <w:rPr>
          <w:rFonts w:cs="Times New Roman"/>
          <w:color w:val="auto"/>
          <w:highlight w:val="none"/>
        </w:rPr>
        <w:t>1</w:t>
      </w:r>
      <w:r>
        <w:rPr>
          <w:rFonts w:hint="eastAsia" w:cs="Times New Roman"/>
          <w:color w:val="auto"/>
          <w:highlight w:val="none"/>
        </w:rPr>
        <w:t>施工期环境保护措施</w:t>
      </w:r>
      <w:r>
        <w:rPr>
          <w:color w:val="auto"/>
          <w:highlight w:val="none"/>
        </w:rPr>
        <w:tab/>
      </w:r>
      <w:r>
        <w:rPr>
          <w:color w:val="auto"/>
          <w:highlight w:val="none"/>
        </w:rPr>
        <w:fldChar w:fldCharType="begin"/>
      </w:r>
      <w:r>
        <w:rPr>
          <w:color w:val="auto"/>
          <w:highlight w:val="none"/>
        </w:rPr>
        <w:instrText xml:space="preserve"> PAGEREF _Toc2666 </w:instrText>
      </w:r>
      <w:r>
        <w:rPr>
          <w:color w:val="auto"/>
          <w:highlight w:val="none"/>
        </w:rPr>
        <w:fldChar w:fldCharType="separate"/>
      </w:r>
      <w:r>
        <w:rPr>
          <w:color w:val="auto"/>
          <w:highlight w:val="none"/>
        </w:rPr>
        <w:t>172</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_Toc31942 </w:instrText>
      </w:r>
      <w:r>
        <w:rPr>
          <w:rFonts w:cs="Times New Roman"/>
          <w:color w:val="auto"/>
          <w:highlight w:val="none"/>
        </w:rPr>
        <w:fldChar w:fldCharType="separate"/>
      </w:r>
      <w:r>
        <w:rPr>
          <w:rFonts w:hint="eastAsia" w:cs="Times New Roman"/>
          <w:color w:val="auto"/>
          <w:highlight w:val="none"/>
          <w:lang w:val="en-US" w:eastAsia="zh-CN"/>
        </w:rPr>
        <w:t>5</w:t>
      </w:r>
      <w:r>
        <w:rPr>
          <w:rFonts w:hint="eastAsia" w:cs="Times New Roman"/>
          <w:color w:val="auto"/>
          <w:highlight w:val="none"/>
        </w:rPr>
        <w:t>.2营运期环境保护措施</w:t>
      </w:r>
      <w:r>
        <w:rPr>
          <w:color w:val="auto"/>
          <w:highlight w:val="none"/>
        </w:rPr>
        <w:tab/>
      </w:r>
      <w:r>
        <w:rPr>
          <w:color w:val="auto"/>
          <w:highlight w:val="none"/>
        </w:rPr>
        <w:fldChar w:fldCharType="begin"/>
      </w:r>
      <w:r>
        <w:rPr>
          <w:color w:val="auto"/>
          <w:highlight w:val="none"/>
        </w:rPr>
        <w:instrText xml:space="preserve"> PAGEREF _Toc31942 </w:instrText>
      </w:r>
      <w:r>
        <w:rPr>
          <w:color w:val="auto"/>
          <w:highlight w:val="none"/>
        </w:rPr>
        <w:fldChar w:fldCharType="separate"/>
      </w:r>
      <w:r>
        <w:rPr>
          <w:color w:val="auto"/>
          <w:highlight w:val="none"/>
        </w:rPr>
        <w:t>175</w:t>
      </w:r>
      <w:r>
        <w:rPr>
          <w:color w:val="auto"/>
          <w:highlight w:val="none"/>
        </w:rPr>
        <w:fldChar w:fldCharType="end"/>
      </w:r>
      <w:r>
        <w:rPr>
          <w:rFonts w:cs="Times New Roman"/>
          <w:color w:val="auto"/>
          <w:highlight w:val="none"/>
        </w:rPr>
        <w:fldChar w:fldCharType="end"/>
      </w:r>
    </w:p>
    <w:p>
      <w:pPr>
        <w:pStyle w:val="17"/>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_Toc21014 </w:instrText>
      </w:r>
      <w:r>
        <w:rPr>
          <w:rFonts w:cs="Times New Roman"/>
          <w:color w:val="auto"/>
          <w:highlight w:val="none"/>
        </w:rPr>
        <w:fldChar w:fldCharType="separate"/>
      </w:r>
      <w:r>
        <w:rPr>
          <w:rFonts w:hint="eastAsia"/>
          <w:color w:val="auto"/>
          <w:highlight w:val="none"/>
          <w:lang w:val="en-US" w:eastAsia="zh-CN"/>
        </w:rPr>
        <w:t>6</w:t>
      </w:r>
      <w:r>
        <w:rPr>
          <w:color w:val="auto"/>
          <w:highlight w:val="none"/>
        </w:rPr>
        <w:t>环境影响经济损益分析</w:t>
      </w:r>
      <w:r>
        <w:rPr>
          <w:color w:val="auto"/>
          <w:highlight w:val="none"/>
        </w:rPr>
        <w:tab/>
      </w:r>
      <w:r>
        <w:rPr>
          <w:color w:val="auto"/>
          <w:highlight w:val="none"/>
        </w:rPr>
        <w:fldChar w:fldCharType="begin"/>
      </w:r>
      <w:r>
        <w:rPr>
          <w:color w:val="auto"/>
          <w:highlight w:val="none"/>
        </w:rPr>
        <w:instrText xml:space="preserve"> PAGEREF _Toc21014 </w:instrText>
      </w:r>
      <w:r>
        <w:rPr>
          <w:color w:val="auto"/>
          <w:highlight w:val="none"/>
        </w:rPr>
        <w:fldChar w:fldCharType="separate"/>
      </w:r>
      <w:r>
        <w:rPr>
          <w:color w:val="auto"/>
          <w:highlight w:val="none"/>
        </w:rPr>
        <w:t>202</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_Toc368 </w:instrText>
      </w:r>
      <w:r>
        <w:rPr>
          <w:rFonts w:cs="Times New Roman"/>
          <w:color w:val="auto"/>
          <w:highlight w:val="none"/>
        </w:rPr>
        <w:fldChar w:fldCharType="separate"/>
      </w:r>
      <w:r>
        <w:rPr>
          <w:rFonts w:hint="eastAsia"/>
          <w:color w:val="auto"/>
          <w:highlight w:val="none"/>
          <w:lang w:val="en-US" w:eastAsia="zh-CN"/>
        </w:rPr>
        <w:t>6</w:t>
      </w:r>
      <w:r>
        <w:rPr>
          <w:rFonts w:hint="eastAsia"/>
          <w:color w:val="auto"/>
          <w:highlight w:val="none"/>
        </w:rPr>
        <w:t>.1环保投资估算</w:t>
      </w:r>
      <w:r>
        <w:rPr>
          <w:color w:val="auto"/>
          <w:highlight w:val="none"/>
        </w:rPr>
        <w:tab/>
      </w:r>
      <w:r>
        <w:rPr>
          <w:color w:val="auto"/>
          <w:highlight w:val="none"/>
        </w:rPr>
        <w:fldChar w:fldCharType="begin"/>
      </w:r>
      <w:r>
        <w:rPr>
          <w:color w:val="auto"/>
          <w:highlight w:val="none"/>
        </w:rPr>
        <w:instrText xml:space="preserve"> PAGEREF _Toc368 </w:instrText>
      </w:r>
      <w:r>
        <w:rPr>
          <w:color w:val="auto"/>
          <w:highlight w:val="none"/>
        </w:rPr>
        <w:fldChar w:fldCharType="separate"/>
      </w:r>
      <w:r>
        <w:rPr>
          <w:color w:val="auto"/>
          <w:highlight w:val="none"/>
        </w:rPr>
        <w:t>202</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_Toc2102 </w:instrText>
      </w:r>
      <w:r>
        <w:rPr>
          <w:rFonts w:cs="Times New Roman"/>
          <w:color w:val="auto"/>
          <w:highlight w:val="none"/>
        </w:rPr>
        <w:fldChar w:fldCharType="separate"/>
      </w:r>
      <w:r>
        <w:rPr>
          <w:rFonts w:hint="eastAsia"/>
          <w:color w:val="auto"/>
          <w:highlight w:val="none"/>
          <w:lang w:val="en-US" w:eastAsia="zh-CN"/>
        </w:rPr>
        <w:t>6</w:t>
      </w:r>
      <w:r>
        <w:rPr>
          <w:rFonts w:hint="eastAsia"/>
          <w:color w:val="auto"/>
          <w:highlight w:val="none"/>
        </w:rPr>
        <w:t>.2环境影响经济损益分析</w:t>
      </w:r>
      <w:r>
        <w:rPr>
          <w:color w:val="auto"/>
          <w:highlight w:val="none"/>
        </w:rPr>
        <w:tab/>
      </w:r>
      <w:r>
        <w:rPr>
          <w:color w:val="auto"/>
          <w:highlight w:val="none"/>
        </w:rPr>
        <w:fldChar w:fldCharType="begin"/>
      </w:r>
      <w:r>
        <w:rPr>
          <w:color w:val="auto"/>
          <w:highlight w:val="none"/>
        </w:rPr>
        <w:instrText xml:space="preserve"> PAGEREF _Toc2102 </w:instrText>
      </w:r>
      <w:r>
        <w:rPr>
          <w:color w:val="auto"/>
          <w:highlight w:val="none"/>
        </w:rPr>
        <w:fldChar w:fldCharType="separate"/>
      </w:r>
      <w:r>
        <w:rPr>
          <w:color w:val="auto"/>
          <w:highlight w:val="none"/>
        </w:rPr>
        <w:t>203</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_Toc3412 </w:instrText>
      </w:r>
      <w:r>
        <w:rPr>
          <w:rFonts w:cs="Times New Roman"/>
          <w:color w:val="auto"/>
          <w:highlight w:val="none"/>
        </w:rPr>
        <w:fldChar w:fldCharType="separate"/>
      </w:r>
      <w:r>
        <w:rPr>
          <w:rFonts w:hint="eastAsia"/>
          <w:color w:val="auto"/>
          <w:highlight w:val="none"/>
          <w:lang w:val="en-US" w:eastAsia="zh-CN"/>
        </w:rPr>
        <w:t>6</w:t>
      </w:r>
      <w:r>
        <w:rPr>
          <w:color w:val="auto"/>
          <w:highlight w:val="none"/>
        </w:rPr>
        <w:t>.3</w:t>
      </w:r>
      <w:r>
        <w:rPr>
          <w:rFonts w:hint="eastAsia"/>
          <w:color w:val="auto"/>
          <w:highlight w:val="none"/>
          <w:lang w:eastAsia="zh-CN"/>
        </w:rPr>
        <w:t>经济</w:t>
      </w:r>
      <w:r>
        <w:rPr>
          <w:color w:val="auto"/>
          <w:highlight w:val="none"/>
        </w:rPr>
        <w:t>效益</w:t>
      </w:r>
      <w:r>
        <w:rPr>
          <w:rFonts w:hint="eastAsia"/>
          <w:color w:val="auto"/>
          <w:highlight w:val="none"/>
          <w:lang w:eastAsia="zh-CN"/>
        </w:rPr>
        <w:t>分析</w:t>
      </w:r>
      <w:r>
        <w:rPr>
          <w:color w:val="auto"/>
          <w:highlight w:val="none"/>
        </w:rPr>
        <w:tab/>
      </w:r>
      <w:r>
        <w:rPr>
          <w:color w:val="auto"/>
          <w:highlight w:val="none"/>
        </w:rPr>
        <w:fldChar w:fldCharType="begin"/>
      </w:r>
      <w:r>
        <w:rPr>
          <w:color w:val="auto"/>
          <w:highlight w:val="none"/>
        </w:rPr>
        <w:instrText xml:space="preserve"> PAGEREF _Toc3412 </w:instrText>
      </w:r>
      <w:r>
        <w:rPr>
          <w:color w:val="auto"/>
          <w:highlight w:val="none"/>
        </w:rPr>
        <w:fldChar w:fldCharType="separate"/>
      </w:r>
      <w:r>
        <w:rPr>
          <w:color w:val="auto"/>
          <w:highlight w:val="none"/>
        </w:rPr>
        <w:t>204</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_Toc27097 </w:instrText>
      </w:r>
      <w:r>
        <w:rPr>
          <w:rFonts w:cs="Times New Roman"/>
          <w:color w:val="auto"/>
          <w:highlight w:val="none"/>
        </w:rPr>
        <w:fldChar w:fldCharType="separate"/>
      </w:r>
      <w:r>
        <w:rPr>
          <w:rFonts w:hint="eastAsia"/>
          <w:color w:val="auto"/>
          <w:highlight w:val="none"/>
          <w:lang w:val="en-US" w:eastAsia="zh-CN"/>
        </w:rPr>
        <w:t>6.4环境效益分析</w:t>
      </w:r>
      <w:r>
        <w:rPr>
          <w:color w:val="auto"/>
          <w:highlight w:val="none"/>
        </w:rPr>
        <w:tab/>
      </w:r>
      <w:r>
        <w:rPr>
          <w:color w:val="auto"/>
          <w:highlight w:val="none"/>
        </w:rPr>
        <w:fldChar w:fldCharType="begin"/>
      </w:r>
      <w:r>
        <w:rPr>
          <w:color w:val="auto"/>
          <w:highlight w:val="none"/>
        </w:rPr>
        <w:instrText xml:space="preserve"> PAGEREF _Toc27097 </w:instrText>
      </w:r>
      <w:r>
        <w:rPr>
          <w:color w:val="auto"/>
          <w:highlight w:val="none"/>
        </w:rPr>
        <w:fldChar w:fldCharType="separate"/>
      </w:r>
      <w:r>
        <w:rPr>
          <w:color w:val="auto"/>
          <w:highlight w:val="none"/>
        </w:rPr>
        <w:t>205</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_Toc10267 </w:instrText>
      </w:r>
      <w:r>
        <w:rPr>
          <w:rFonts w:cs="Times New Roman"/>
          <w:color w:val="auto"/>
          <w:highlight w:val="none"/>
        </w:rPr>
        <w:fldChar w:fldCharType="separate"/>
      </w:r>
      <w:r>
        <w:rPr>
          <w:rFonts w:hint="eastAsia"/>
          <w:color w:val="auto"/>
          <w:highlight w:val="none"/>
          <w:lang w:val="en-US" w:eastAsia="zh-CN"/>
        </w:rPr>
        <w:t>6.5社会效益分析</w:t>
      </w:r>
      <w:r>
        <w:rPr>
          <w:color w:val="auto"/>
          <w:highlight w:val="none"/>
        </w:rPr>
        <w:tab/>
      </w:r>
      <w:r>
        <w:rPr>
          <w:color w:val="auto"/>
          <w:highlight w:val="none"/>
        </w:rPr>
        <w:fldChar w:fldCharType="begin"/>
      </w:r>
      <w:r>
        <w:rPr>
          <w:color w:val="auto"/>
          <w:highlight w:val="none"/>
        </w:rPr>
        <w:instrText xml:space="preserve"> PAGEREF _Toc10267 </w:instrText>
      </w:r>
      <w:r>
        <w:rPr>
          <w:color w:val="auto"/>
          <w:highlight w:val="none"/>
        </w:rPr>
        <w:fldChar w:fldCharType="separate"/>
      </w:r>
      <w:r>
        <w:rPr>
          <w:color w:val="auto"/>
          <w:highlight w:val="none"/>
        </w:rPr>
        <w:t>206</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_Toc27534 </w:instrText>
      </w:r>
      <w:r>
        <w:rPr>
          <w:rFonts w:cs="Times New Roman"/>
          <w:color w:val="auto"/>
          <w:highlight w:val="none"/>
        </w:rPr>
        <w:fldChar w:fldCharType="separate"/>
      </w:r>
      <w:r>
        <w:rPr>
          <w:rFonts w:hint="eastAsia"/>
          <w:color w:val="auto"/>
          <w:highlight w:val="none"/>
          <w:lang w:val="en-US" w:eastAsia="zh-CN"/>
        </w:rPr>
        <w:t>6.6生态效益分析</w:t>
      </w:r>
      <w:r>
        <w:rPr>
          <w:color w:val="auto"/>
          <w:highlight w:val="none"/>
        </w:rPr>
        <w:tab/>
      </w:r>
      <w:r>
        <w:rPr>
          <w:color w:val="auto"/>
          <w:highlight w:val="none"/>
        </w:rPr>
        <w:fldChar w:fldCharType="begin"/>
      </w:r>
      <w:r>
        <w:rPr>
          <w:color w:val="auto"/>
          <w:highlight w:val="none"/>
        </w:rPr>
        <w:instrText xml:space="preserve"> PAGEREF _Toc27534 </w:instrText>
      </w:r>
      <w:r>
        <w:rPr>
          <w:color w:val="auto"/>
          <w:highlight w:val="none"/>
        </w:rPr>
        <w:fldChar w:fldCharType="separate"/>
      </w:r>
      <w:r>
        <w:rPr>
          <w:color w:val="auto"/>
          <w:highlight w:val="none"/>
        </w:rPr>
        <w:t>207</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_Toc31102 </w:instrText>
      </w:r>
      <w:r>
        <w:rPr>
          <w:rFonts w:cs="Times New Roman"/>
          <w:color w:val="auto"/>
          <w:highlight w:val="none"/>
        </w:rPr>
        <w:fldChar w:fldCharType="separate"/>
      </w:r>
      <w:r>
        <w:rPr>
          <w:rFonts w:hint="eastAsia"/>
          <w:color w:val="auto"/>
          <w:highlight w:val="none"/>
          <w:lang w:val="en-US" w:eastAsia="zh-CN"/>
        </w:rPr>
        <w:t>6.7</w:t>
      </w:r>
      <w:r>
        <w:rPr>
          <w:color w:val="auto"/>
          <w:highlight w:val="none"/>
        </w:rPr>
        <w:t>环境经济损益分析结论</w:t>
      </w:r>
      <w:r>
        <w:rPr>
          <w:color w:val="auto"/>
          <w:highlight w:val="none"/>
        </w:rPr>
        <w:tab/>
      </w:r>
      <w:r>
        <w:rPr>
          <w:color w:val="auto"/>
          <w:highlight w:val="none"/>
        </w:rPr>
        <w:fldChar w:fldCharType="begin"/>
      </w:r>
      <w:r>
        <w:rPr>
          <w:color w:val="auto"/>
          <w:highlight w:val="none"/>
        </w:rPr>
        <w:instrText xml:space="preserve"> PAGEREF _Toc31102 </w:instrText>
      </w:r>
      <w:r>
        <w:rPr>
          <w:color w:val="auto"/>
          <w:highlight w:val="none"/>
        </w:rPr>
        <w:fldChar w:fldCharType="separate"/>
      </w:r>
      <w:r>
        <w:rPr>
          <w:color w:val="auto"/>
          <w:highlight w:val="none"/>
        </w:rPr>
        <w:t>207</w:t>
      </w:r>
      <w:r>
        <w:rPr>
          <w:color w:val="auto"/>
          <w:highlight w:val="none"/>
        </w:rPr>
        <w:fldChar w:fldCharType="end"/>
      </w:r>
      <w:r>
        <w:rPr>
          <w:rFonts w:cs="Times New Roman"/>
          <w:color w:val="auto"/>
          <w:highlight w:val="none"/>
        </w:rPr>
        <w:fldChar w:fldCharType="end"/>
      </w:r>
    </w:p>
    <w:p>
      <w:pPr>
        <w:pStyle w:val="17"/>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_Toc3588 </w:instrText>
      </w:r>
      <w:r>
        <w:rPr>
          <w:rFonts w:cs="Times New Roman"/>
          <w:color w:val="auto"/>
          <w:highlight w:val="none"/>
        </w:rPr>
        <w:fldChar w:fldCharType="separate"/>
      </w:r>
      <w:r>
        <w:rPr>
          <w:rFonts w:hint="eastAsia"/>
          <w:color w:val="auto"/>
          <w:highlight w:val="none"/>
          <w:lang w:val="en-US" w:eastAsia="zh-CN"/>
        </w:rPr>
        <w:t>7</w:t>
      </w:r>
      <w:r>
        <w:rPr>
          <w:color w:val="auto"/>
          <w:highlight w:val="none"/>
        </w:rPr>
        <w:t>环境管理与监测计划</w:t>
      </w:r>
      <w:r>
        <w:rPr>
          <w:color w:val="auto"/>
          <w:highlight w:val="none"/>
        </w:rPr>
        <w:tab/>
      </w:r>
      <w:r>
        <w:rPr>
          <w:color w:val="auto"/>
          <w:highlight w:val="none"/>
        </w:rPr>
        <w:fldChar w:fldCharType="begin"/>
      </w:r>
      <w:r>
        <w:rPr>
          <w:color w:val="auto"/>
          <w:highlight w:val="none"/>
        </w:rPr>
        <w:instrText xml:space="preserve"> PAGEREF _Toc3588 </w:instrText>
      </w:r>
      <w:r>
        <w:rPr>
          <w:color w:val="auto"/>
          <w:highlight w:val="none"/>
        </w:rPr>
        <w:fldChar w:fldCharType="separate"/>
      </w:r>
      <w:r>
        <w:rPr>
          <w:color w:val="auto"/>
          <w:highlight w:val="none"/>
        </w:rPr>
        <w:t>208</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_Toc32731 </w:instrText>
      </w:r>
      <w:r>
        <w:rPr>
          <w:rFonts w:cs="Times New Roman"/>
          <w:color w:val="auto"/>
          <w:highlight w:val="none"/>
        </w:rPr>
        <w:fldChar w:fldCharType="separate"/>
      </w:r>
      <w:r>
        <w:rPr>
          <w:rFonts w:hint="eastAsia" w:cs="Times New Roman"/>
          <w:color w:val="auto"/>
          <w:highlight w:val="none"/>
          <w:lang w:val="en-US" w:eastAsia="zh-CN"/>
        </w:rPr>
        <w:t>7</w:t>
      </w:r>
      <w:r>
        <w:rPr>
          <w:rFonts w:cs="Times New Roman"/>
          <w:color w:val="auto"/>
          <w:highlight w:val="none"/>
        </w:rPr>
        <w:t>.1环境管理</w:t>
      </w:r>
      <w:r>
        <w:rPr>
          <w:color w:val="auto"/>
          <w:highlight w:val="none"/>
        </w:rPr>
        <w:tab/>
      </w:r>
      <w:r>
        <w:rPr>
          <w:color w:val="auto"/>
          <w:highlight w:val="none"/>
        </w:rPr>
        <w:fldChar w:fldCharType="begin"/>
      </w:r>
      <w:r>
        <w:rPr>
          <w:color w:val="auto"/>
          <w:highlight w:val="none"/>
        </w:rPr>
        <w:instrText xml:space="preserve"> PAGEREF _Toc32731 </w:instrText>
      </w:r>
      <w:r>
        <w:rPr>
          <w:color w:val="auto"/>
          <w:highlight w:val="none"/>
        </w:rPr>
        <w:fldChar w:fldCharType="separate"/>
      </w:r>
      <w:r>
        <w:rPr>
          <w:color w:val="auto"/>
          <w:highlight w:val="none"/>
        </w:rPr>
        <w:t>208</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_Toc7375 </w:instrText>
      </w:r>
      <w:r>
        <w:rPr>
          <w:rFonts w:cs="Times New Roman"/>
          <w:color w:val="auto"/>
          <w:highlight w:val="none"/>
        </w:rPr>
        <w:fldChar w:fldCharType="separate"/>
      </w:r>
      <w:r>
        <w:rPr>
          <w:rFonts w:hint="eastAsia" w:cs="Times New Roman"/>
          <w:color w:val="auto"/>
          <w:highlight w:val="none"/>
          <w:lang w:val="en-US" w:eastAsia="zh-CN"/>
        </w:rPr>
        <w:t>7</w:t>
      </w:r>
      <w:r>
        <w:rPr>
          <w:rFonts w:hint="eastAsia" w:cs="Times New Roman"/>
          <w:color w:val="auto"/>
          <w:highlight w:val="none"/>
        </w:rPr>
        <w:t>.2环境监测计划</w:t>
      </w:r>
      <w:r>
        <w:rPr>
          <w:color w:val="auto"/>
          <w:highlight w:val="none"/>
        </w:rPr>
        <w:tab/>
      </w:r>
      <w:r>
        <w:rPr>
          <w:color w:val="auto"/>
          <w:highlight w:val="none"/>
        </w:rPr>
        <w:fldChar w:fldCharType="begin"/>
      </w:r>
      <w:r>
        <w:rPr>
          <w:color w:val="auto"/>
          <w:highlight w:val="none"/>
        </w:rPr>
        <w:instrText xml:space="preserve"> PAGEREF _Toc7375 </w:instrText>
      </w:r>
      <w:r>
        <w:rPr>
          <w:color w:val="auto"/>
          <w:highlight w:val="none"/>
        </w:rPr>
        <w:fldChar w:fldCharType="separate"/>
      </w:r>
      <w:r>
        <w:rPr>
          <w:color w:val="auto"/>
          <w:highlight w:val="none"/>
        </w:rPr>
        <w:t>209</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_Toc11391 </w:instrText>
      </w:r>
      <w:r>
        <w:rPr>
          <w:rFonts w:cs="Times New Roman"/>
          <w:color w:val="auto"/>
          <w:highlight w:val="none"/>
        </w:rPr>
        <w:fldChar w:fldCharType="separate"/>
      </w:r>
      <w:r>
        <w:rPr>
          <w:rFonts w:hint="eastAsia" w:cs="Times New Roman"/>
          <w:color w:val="auto"/>
          <w:highlight w:val="none"/>
          <w:lang w:val="en-US" w:eastAsia="zh-CN"/>
        </w:rPr>
        <w:t>7</w:t>
      </w:r>
      <w:r>
        <w:rPr>
          <w:rFonts w:hint="eastAsia" w:cs="Times New Roman"/>
          <w:color w:val="auto"/>
          <w:highlight w:val="none"/>
        </w:rPr>
        <w:t>.3环保验收要求内容</w:t>
      </w:r>
      <w:r>
        <w:rPr>
          <w:color w:val="auto"/>
          <w:highlight w:val="none"/>
        </w:rPr>
        <w:tab/>
      </w:r>
      <w:r>
        <w:rPr>
          <w:color w:val="auto"/>
          <w:highlight w:val="none"/>
        </w:rPr>
        <w:fldChar w:fldCharType="begin"/>
      </w:r>
      <w:r>
        <w:rPr>
          <w:color w:val="auto"/>
          <w:highlight w:val="none"/>
        </w:rPr>
        <w:instrText xml:space="preserve"> PAGEREF _Toc11391 </w:instrText>
      </w:r>
      <w:r>
        <w:rPr>
          <w:color w:val="auto"/>
          <w:highlight w:val="none"/>
        </w:rPr>
        <w:fldChar w:fldCharType="separate"/>
      </w:r>
      <w:r>
        <w:rPr>
          <w:color w:val="auto"/>
          <w:highlight w:val="none"/>
        </w:rPr>
        <w:t>210</w:t>
      </w:r>
      <w:r>
        <w:rPr>
          <w:color w:val="auto"/>
          <w:highlight w:val="none"/>
        </w:rPr>
        <w:fldChar w:fldCharType="end"/>
      </w:r>
      <w:r>
        <w:rPr>
          <w:rFonts w:cs="Times New Roman"/>
          <w:color w:val="auto"/>
          <w:highlight w:val="none"/>
        </w:rPr>
        <w:fldChar w:fldCharType="end"/>
      </w:r>
    </w:p>
    <w:p>
      <w:pPr>
        <w:pStyle w:val="17"/>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_Toc20474 </w:instrText>
      </w:r>
      <w:r>
        <w:rPr>
          <w:rFonts w:cs="Times New Roman"/>
          <w:color w:val="auto"/>
          <w:highlight w:val="none"/>
        </w:rPr>
        <w:fldChar w:fldCharType="separate"/>
      </w:r>
      <w:r>
        <w:rPr>
          <w:rFonts w:hint="eastAsia" w:cs="Times New Roman"/>
          <w:color w:val="auto"/>
          <w:highlight w:val="none"/>
          <w:lang w:val="en-US" w:eastAsia="zh-CN"/>
        </w:rPr>
        <w:t>8</w:t>
      </w:r>
      <w:r>
        <w:rPr>
          <w:rFonts w:cs="Times New Roman"/>
          <w:color w:val="auto"/>
          <w:highlight w:val="none"/>
        </w:rPr>
        <w:t>结论</w:t>
      </w:r>
      <w:r>
        <w:rPr>
          <w:rFonts w:hint="eastAsia" w:cs="Times New Roman"/>
          <w:color w:val="auto"/>
          <w:highlight w:val="none"/>
        </w:rPr>
        <w:t>与建议</w:t>
      </w:r>
      <w:r>
        <w:rPr>
          <w:color w:val="auto"/>
          <w:highlight w:val="none"/>
        </w:rPr>
        <w:tab/>
      </w:r>
      <w:r>
        <w:rPr>
          <w:color w:val="auto"/>
          <w:highlight w:val="none"/>
        </w:rPr>
        <w:fldChar w:fldCharType="begin"/>
      </w:r>
      <w:r>
        <w:rPr>
          <w:color w:val="auto"/>
          <w:highlight w:val="none"/>
        </w:rPr>
        <w:instrText xml:space="preserve"> PAGEREF _Toc20474 </w:instrText>
      </w:r>
      <w:r>
        <w:rPr>
          <w:color w:val="auto"/>
          <w:highlight w:val="none"/>
        </w:rPr>
        <w:fldChar w:fldCharType="separate"/>
      </w:r>
      <w:r>
        <w:rPr>
          <w:color w:val="auto"/>
          <w:highlight w:val="none"/>
        </w:rPr>
        <w:t>212</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_Toc6996 </w:instrText>
      </w:r>
      <w:r>
        <w:rPr>
          <w:rFonts w:cs="Times New Roman"/>
          <w:color w:val="auto"/>
          <w:highlight w:val="none"/>
        </w:rPr>
        <w:fldChar w:fldCharType="separate"/>
      </w:r>
      <w:r>
        <w:rPr>
          <w:rFonts w:hint="eastAsia"/>
          <w:color w:val="auto"/>
          <w:highlight w:val="none"/>
          <w:lang w:val="en-US" w:eastAsia="zh-CN"/>
        </w:rPr>
        <w:t>8</w:t>
      </w:r>
      <w:r>
        <w:rPr>
          <w:rFonts w:hint="eastAsia"/>
          <w:color w:val="auto"/>
          <w:highlight w:val="none"/>
        </w:rPr>
        <w:t>.1结论</w:t>
      </w:r>
      <w:r>
        <w:rPr>
          <w:color w:val="auto"/>
          <w:highlight w:val="none"/>
        </w:rPr>
        <w:tab/>
      </w:r>
      <w:r>
        <w:rPr>
          <w:color w:val="auto"/>
          <w:highlight w:val="none"/>
        </w:rPr>
        <w:fldChar w:fldCharType="begin"/>
      </w:r>
      <w:r>
        <w:rPr>
          <w:color w:val="auto"/>
          <w:highlight w:val="none"/>
        </w:rPr>
        <w:instrText xml:space="preserve"> PAGEREF _Toc6996 </w:instrText>
      </w:r>
      <w:r>
        <w:rPr>
          <w:color w:val="auto"/>
          <w:highlight w:val="none"/>
        </w:rPr>
        <w:fldChar w:fldCharType="separate"/>
      </w:r>
      <w:r>
        <w:rPr>
          <w:color w:val="auto"/>
          <w:highlight w:val="none"/>
        </w:rPr>
        <w:t>212</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_Toc20375 </w:instrText>
      </w:r>
      <w:r>
        <w:rPr>
          <w:rFonts w:cs="Times New Roman"/>
          <w:color w:val="auto"/>
          <w:highlight w:val="none"/>
        </w:rPr>
        <w:fldChar w:fldCharType="separate"/>
      </w:r>
      <w:r>
        <w:rPr>
          <w:rFonts w:hint="eastAsia"/>
          <w:color w:val="auto"/>
          <w:highlight w:val="none"/>
          <w:lang w:val="en-US" w:eastAsia="zh-CN"/>
        </w:rPr>
        <w:t>8</w:t>
      </w:r>
      <w:r>
        <w:rPr>
          <w:color w:val="auto"/>
          <w:highlight w:val="none"/>
        </w:rPr>
        <w:t>.2建议</w:t>
      </w:r>
      <w:r>
        <w:rPr>
          <w:color w:val="auto"/>
          <w:highlight w:val="none"/>
        </w:rPr>
        <w:tab/>
      </w:r>
      <w:r>
        <w:rPr>
          <w:color w:val="auto"/>
          <w:highlight w:val="none"/>
        </w:rPr>
        <w:fldChar w:fldCharType="begin"/>
      </w:r>
      <w:r>
        <w:rPr>
          <w:color w:val="auto"/>
          <w:highlight w:val="none"/>
        </w:rPr>
        <w:instrText xml:space="preserve"> PAGEREF _Toc20375 </w:instrText>
      </w:r>
      <w:r>
        <w:rPr>
          <w:color w:val="auto"/>
          <w:highlight w:val="none"/>
        </w:rPr>
        <w:fldChar w:fldCharType="separate"/>
      </w:r>
      <w:r>
        <w:rPr>
          <w:color w:val="auto"/>
          <w:highlight w:val="none"/>
        </w:rPr>
        <w:t>216</w:t>
      </w:r>
      <w:r>
        <w:rPr>
          <w:color w:val="auto"/>
          <w:highlight w:val="none"/>
        </w:rPr>
        <w:fldChar w:fldCharType="end"/>
      </w:r>
      <w:r>
        <w:rPr>
          <w:rFonts w:cs="Times New Roman"/>
          <w:color w:val="auto"/>
          <w:highlight w:val="none"/>
        </w:rPr>
        <w:fldChar w:fldCharType="end"/>
      </w:r>
    </w:p>
    <w:p>
      <w:pPr>
        <w:pStyle w:val="19"/>
        <w:tabs>
          <w:tab w:val="right" w:leader="dot" w:pos="8306"/>
        </w:tabs>
        <w:rPr>
          <w:color w:val="auto"/>
          <w:highlight w:val="none"/>
        </w:rPr>
      </w:pPr>
      <w:r>
        <w:rPr>
          <w:rFonts w:cs="Times New Roman"/>
          <w:color w:val="auto"/>
          <w:highlight w:val="none"/>
        </w:rPr>
        <w:fldChar w:fldCharType="begin"/>
      </w:r>
      <w:r>
        <w:rPr>
          <w:rFonts w:cs="Times New Roman"/>
          <w:color w:val="auto"/>
          <w:highlight w:val="none"/>
        </w:rPr>
        <w:instrText xml:space="preserve"> HYPERLINK \l _Toc2249 </w:instrText>
      </w:r>
      <w:r>
        <w:rPr>
          <w:rFonts w:cs="Times New Roman"/>
          <w:color w:val="auto"/>
          <w:highlight w:val="none"/>
        </w:rPr>
        <w:fldChar w:fldCharType="separate"/>
      </w:r>
      <w:r>
        <w:rPr>
          <w:rFonts w:hint="eastAsia"/>
          <w:color w:val="auto"/>
          <w:highlight w:val="none"/>
          <w:lang w:val="en-US" w:eastAsia="zh-CN"/>
        </w:rPr>
        <w:t>8.3总结论</w:t>
      </w:r>
      <w:r>
        <w:rPr>
          <w:color w:val="auto"/>
          <w:highlight w:val="none"/>
        </w:rPr>
        <w:tab/>
      </w:r>
      <w:r>
        <w:rPr>
          <w:color w:val="auto"/>
          <w:highlight w:val="none"/>
        </w:rPr>
        <w:fldChar w:fldCharType="begin"/>
      </w:r>
      <w:r>
        <w:rPr>
          <w:color w:val="auto"/>
          <w:highlight w:val="none"/>
        </w:rPr>
        <w:instrText xml:space="preserve"> PAGEREF _Toc2249 </w:instrText>
      </w:r>
      <w:r>
        <w:rPr>
          <w:color w:val="auto"/>
          <w:highlight w:val="none"/>
        </w:rPr>
        <w:fldChar w:fldCharType="separate"/>
      </w:r>
      <w:r>
        <w:rPr>
          <w:color w:val="auto"/>
          <w:highlight w:val="none"/>
        </w:rPr>
        <w:t>217</w:t>
      </w:r>
      <w:r>
        <w:rPr>
          <w:color w:val="auto"/>
          <w:highlight w:val="none"/>
        </w:rPr>
        <w:fldChar w:fldCharType="end"/>
      </w:r>
      <w:r>
        <w:rPr>
          <w:rFonts w:cs="Times New Roman"/>
          <w:color w:val="auto"/>
          <w:highlight w:val="none"/>
        </w:rPr>
        <w:fldChar w:fldCharType="end"/>
      </w:r>
    </w:p>
    <w:p>
      <w:pPr>
        <w:ind w:firstLine="0" w:firstLineChars="0"/>
        <w:rPr>
          <w:rFonts w:cs="Times New Roman"/>
          <w:b/>
          <w:bCs/>
          <w:color w:val="auto"/>
          <w:highlight w:val="none"/>
        </w:rPr>
      </w:pPr>
      <w:r>
        <w:rPr>
          <w:rFonts w:cs="Times New Roman"/>
          <w:color w:val="auto"/>
          <w:highlight w:val="none"/>
        </w:rPr>
        <w:fldChar w:fldCharType="end"/>
      </w:r>
      <w:r>
        <w:rPr>
          <w:rFonts w:hint="eastAsia" w:cs="Times New Roman"/>
          <w:b/>
          <w:bCs/>
          <w:color w:val="auto"/>
          <w:highlight w:val="none"/>
        </w:rPr>
        <w:t>附图</w:t>
      </w:r>
    </w:p>
    <w:p>
      <w:pPr>
        <w:ind w:firstLine="0" w:firstLineChars="0"/>
        <w:rPr>
          <w:rFonts w:cs="Times New Roman"/>
          <w:color w:val="auto"/>
          <w:highlight w:val="none"/>
        </w:rPr>
      </w:pPr>
      <w:r>
        <w:rPr>
          <w:rFonts w:hint="eastAsia" w:cs="Times New Roman"/>
          <w:color w:val="auto"/>
          <w:highlight w:val="none"/>
        </w:rPr>
        <w:t>附图一：项目地理位置图</w:t>
      </w:r>
    </w:p>
    <w:p>
      <w:pPr>
        <w:ind w:firstLine="0" w:firstLineChars="0"/>
        <w:rPr>
          <w:rFonts w:cs="Times New Roman"/>
          <w:color w:val="auto"/>
          <w:highlight w:val="none"/>
        </w:rPr>
      </w:pPr>
      <w:r>
        <w:rPr>
          <w:rFonts w:hint="eastAsia" w:cs="Times New Roman"/>
          <w:color w:val="auto"/>
          <w:highlight w:val="none"/>
        </w:rPr>
        <w:t>附图二：项目平面布置图</w:t>
      </w:r>
    </w:p>
    <w:p>
      <w:pPr>
        <w:ind w:firstLine="0" w:firstLineChars="0"/>
        <w:rPr>
          <w:rFonts w:cs="Times New Roman"/>
          <w:color w:val="auto"/>
          <w:highlight w:val="none"/>
        </w:rPr>
      </w:pPr>
      <w:r>
        <w:rPr>
          <w:rFonts w:hint="eastAsia" w:cs="Times New Roman"/>
          <w:color w:val="auto"/>
          <w:highlight w:val="none"/>
        </w:rPr>
        <w:t>附图三：项目敏感目标图</w:t>
      </w:r>
    </w:p>
    <w:p>
      <w:pPr>
        <w:ind w:firstLine="0" w:firstLineChars="0"/>
        <w:rPr>
          <w:rFonts w:cs="Times New Roman"/>
          <w:color w:val="auto"/>
          <w:highlight w:val="none"/>
        </w:rPr>
      </w:pPr>
      <w:r>
        <w:rPr>
          <w:rFonts w:hint="eastAsia" w:cs="Times New Roman"/>
          <w:color w:val="auto"/>
          <w:highlight w:val="none"/>
        </w:rPr>
        <w:t>附图四：项目监测点位图</w:t>
      </w:r>
    </w:p>
    <w:p>
      <w:pPr>
        <w:ind w:firstLine="0" w:firstLineChars="0"/>
        <w:rPr>
          <w:rFonts w:cs="Times New Roman"/>
          <w:color w:val="auto"/>
          <w:highlight w:val="none"/>
        </w:rPr>
      </w:pPr>
      <w:r>
        <w:rPr>
          <w:rFonts w:hint="eastAsia" w:cs="Times New Roman"/>
          <w:color w:val="auto"/>
          <w:highlight w:val="none"/>
        </w:rPr>
        <w:t>附图五：</w:t>
      </w:r>
      <w:r>
        <w:rPr>
          <w:rFonts w:hint="eastAsia" w:cs="Times New Roman"/>
          <w:color w:val="auto"/>
          <w:highlight w:val="none"/>
          <w:lang w:eastAsia="zh-CN"/>
        </w:rPr>
        <w:t>项目</w:t>
      </w:r>
      <w:r>
        <w:rPr>
          <w:rFonts w:hint="eastAsia" w:cs="Times New Roman"/>
          <w:color w:val="auto"/>
          <w:highlight w:val="none"/>
          <w:lang w:val="en-US" w:eastAsia="zh-CN"/>
        </w:rPr>
        <w:t>区域水系</w:t>
      </w:r>
      <w:r>
        <w:rPr>
          <w:rFonts w:hint="eastAsia" w:cs="Times New Roman"/>
          <w:color w:val="auto"/>
          <w:highlight w:val="none"/>
        </w:rPr>
        <w:t>图</w:t>
      </w:r>
    </w:p>
    <w:p>
      <w:pPr>
        <w:ind w:firstLine="0" w:firstLineChars="0"/>
        <w:rPr>
          <w:rFonts w:cs="Times New Roman"/>
          <w:color w:val="auto"/>
          <w:highlight w:val="none"/>
        </w:rPr>
      </w:pPr>
      <w:r>
        <w:rPr>
          <w:rFonts w:hint="eastAsia" w:cs="Times New Roman"/>
          <w:color w:val="auto"/>
          <w:highlight w:val="none"/>
        </w:rPr>
        <w:t>附图六：项目地下水分区防渗图</w:t>
      </w:r>
    </w:p>
    <w:p>
      <w:pPr>
        <w:ind w:firstLine="0" w:firstLineChars="0"/>
        <w:rPr>
          <w:rFonts w:hint="eastAsia" w:cs="Times New Roman"/>
          <w:color w:val="auto"/>
          <w:highlight w:val="none"/>
        </w:rPr>
      </w:pPr>
      <w:r>
        <w:rPr>
          <w:rFonts w:hint="eastAsia" w:cs="Times New Roman"/>
          <w:color w:val="auto"/>
          <w:highlight w:val="none"/>
        </w:rPr>
        <w:t>附图七：驻马店市生态环境保护规划图</w:t>
      </w:r>
    </w:p>
    <w:p>
      <w:pPr>
        <w:ind w:firstLine="0" w:firstLineChars="0"/>
        <w:rPr>
          <w:rFonts w:hint="eastAsia" w:cs="Times New Roman"/>
          <w:color w:val="auto"/>
          <w:highlight w:val="none"/>
        </w:rPr>
      </w:pPr>
      <w:r>
        <w:rPr>
          <w:rFonts w:hint="eastAsia" w:cs="Times New Roman"/>
          <w:color w:val="auto"/>
          <w:highlight w:val="none"/>
        </w:rPr>
        <w:t>附图八：沼液消纳管网布置图</w:t>
      </w:r>
    </w:p>
    <w:p>
      <w:pPr>
        <w:ind w:firstLine="0" w:firstLineChars="0"/>
        <w:rPr>
          <w:rFonts w:hint="eastAsia"/>
          <w:color w:val="auto"/>
          <w:highlight w:val="none"/>
        </w:rPr>
      </w:pPr>
      <w:r>
        <w:rPr>
          <w:rFonts w:hint="eastAsia" w:cs="Times New Roman"/>
          <w:color w:val="auto"/>
          <w:highlight w:val="none"/>
        </w:rPr>
        <w:t>附图</w:t>
      </w:r>
      <w:r>
        <w:rPr>
          <w:rFonts w:hint="eastAsia" w:cs="Times New Roman"/>
          <w:color w:val="auto"/>
          <w:highlight w:val="none"/>
          <w:lang w:eastAsia="zh-CN"/>
        </w:rPr>
        <w:t>九</w:t>
      </w:r>
      <w:r>
        <w:rPr>
          <w:rFonts w:hint="eastAsia" w:cs="Times New Roman"/>
          <w:color w:val="auto"/>
          <w:highlight w:val="none"/>
        </w:rPr>
        <w:t>：</w:t>
      </w:r>
      <w:r>
        <w:rPr>
          <w:rFonts w:hint="eastAsia"/>
          <w:color w:val="auto"/>
          <w:highlight w:val="none"/>
        </w:rPr>
        <w:t>项目卫生防护距离包络线图</w:t>
      </w:r>
    </w:p>
    <w:p>
      <w:pPr>
        <w:ind w:firstLine="0" w:firstLineChars="0"/>
        <w:rPr>
          <w:b/>
          <w:color w:val="auto"/>
          <w:highlight w:val="none"/>
        </w:rPr>
      </w:pPr>
      <w:r>
        <w:rPr>
          <w:rFonts w:hint="eastAsia"/>
          <w:b/>
          <w:color w:val="auto"/>
          <w:highlight w:val="none"/>
        </w:rPr>
        <w:t>附件：</w:t>
      </w:r>
    </w:p>
    <w:p>
      <w:pPr>
        <w:ind w:firstLine="0" w:firstLineChars="0"/>
        <w:rPr>
          <w:color w:val="auto"/>
          <w:highlight w:val="none"/>
        </w:rPr>
      </w:pPr>
      <w:r>
        <w:rPr>
          <w:rFonts w:hint="eastAsia"/>
          <w:color w:val="auto"/>
          <w:highlight w:val="none"/>
        </w:rPr>
        <w:t>附件一：环评委托书</w:t>
      </w:r>
    </w:p>
    <w:p>
      <w:pPr>
        <w:ind w:firstLine="0" w:firstLineChars="0"/>
        <w:rPr>
          <w:color w:val="auto"/>
          <w:highlight w:val="none"/>
        </w:rPr>
      </w:pPr>
      <w:r>
        <w:rPr>
          <w:rFonts w:hint="eastAsia"/>
          <w:color w:val="auto"/>
          <w:highlight w:val="none"/>
        </w:rPr>
        <w:t>附件二：项目备案证明</w:t>
      </w:r>
    </w:p>
    <w:p>
      <w:pPr>
        <w:ind w:firstLine="0" w:firstLineChars="0"/>
        <w:rPr>
          <w:color w:val="auto"/>
          <w:highlight w:val="none"/>
        </w:rPr>
      </w:pPr>
      <w:r>
        <w:rPr>
          <w:rFonts w:hint="eastAsia"/>
          <w:color w:val="auto"/>
          <w:highlight w:val="none"/>
        </w:rPr>
        <w:t>附件三：项目土地证明</w:t>
      </w:r>
    </w:p>
    <w:p>
      <w:pPr>
        <w:ind w:firstLine="0" w:firstLineChars="0"/>
        <w:rPr>
          <w:color w:val="auto"/>
          <w:highlight w:val="none"/>
        </w:rPr>
      </w:pPr>
      <w:r>
        <w:rPr>
          <w:rFonts w:hint="eastAsia"/>
          <w:color w:val="auto"/>
          <w:highlight w:val="none"/>
        </w:rPr>
        <w:t>附件四：监测报告</w:t>
      </w:r>
    </w:p>
    <w:p>
      <w:pPr>
        <w:ind w:firstLine="0" w:firstLineChars="0"/>
        <w:rPr>
          <w:color w:val="auto"/>
          <w:highlight w:val="none"/>
        </w:rPr>
      </w:pPr>
      <w:r>
        <w:rPr>
          <w:rFonts w:hint="eastAsia"/>
          <w:color w:val="auto"/>
          <w:highlight w:val="none"/>
        </w:rPr>
        <w:t>附件五：不在禁养区证明</w:t>
      </w:r>
    </w:p>
    <w:p>
      <w:pPr>
        <w:ind w:firstLine="0" w:firstLineChars="0"/>
        <w:rPr>
          <w:color w:val="auto"/>
          <w:highlight w:val="none"/>
        </w:rPr>
      </w:pPr>
      <w:r>
        <w:rPr>
          <w:rFonts w:hint="eastAsia"/>
          <w:color w:val="auto"/>
          <w:highlight w:val="none"/>
        </w:rPr>
        <w:t>附件六：规划证明</w:t>
      </w:r>
    </w:p>
    <w:p>
      <w:pPr>
        <w:ind w:firstLine="0" w:firstLineChars="0"/>
        <w:rPr>
          <w:color w:val="auto"/>
          <w:highlight w:val="none"/>
        </w:rPr>
      </w:pPr>
      <w:r>
        <w:rPr>
          <w:rFonts w:hint="eastAsia"/>
          <w:color w:val="auto"/>
          <w:highlight w:val="none"/>
        </w:rPr>
        <w:t>附件七：消纳协议</w:t>
      </w:r>
    </w:p>
    <w:p>
      <w:pPr>
        <w:ind w:firstLine="0" w:firstLineChars="0"/>
        <w:rPr>
          <w:rFonts w:hint="eastAsia"/>
          <w:color w:val="auto"/>
          <w:highlight w:val="none"/>
        </w:rPr>
      </w:pPr>
      <w:r>
        <w:rPr>
          <w:rFonts w:hint="eastAsia"/>
          <w:color w:val="auto"/>
          <w:highlight w:val="none"/>
        </w:rPr>
        <w:t>附件八：医疗废物协议</w:t>
      </w:r>
    </w:p>
    <w:p>
      <w:pPr>
        <w:ind w:firstLine="0" w:firstLineChars="0"/>
        <w:rPr>
          <w:rFonts w:hint="eastAsia"/>
          <w:color w:val="auto"/>
          <w:highlight w:val="none"/>
          <w:lang w:eastAsia="zh-CN"/>
        </w:rPr>
      </w:pPr>
      <w:r>
        <w:rPr>
          <w:rFonts w:hint="eastAsia"/>
          <w:color w:val="auto"/>
          <w:highlight w:val="none"/>
          <w:lang w:eastAsia="zh-CN"/>
        </w:rPr>
        <w:t>附件九：执行标准函</w:t>
      </w:r>
    </w:p>
    <w:p>
      <w:pPr>
        <w:ind w:firstLine="0" w:firstLineChars="0"/>
        <w:rPr>
          <w:rFonts w:cs="Times New Roman"/>
          <w:b/>
          <w:bCs/>
          <w:color w:val="auto"/>
          <w:highlight w:val="none"/>
        </w:rPr>
      </w:pPr>
      <w:r>
        <w:rPr>
          <w:rFonts w:hint="eastAsia" w:cs="Times New Roman"/>
          <w:b/>
          <w:bCs/>
          <w:color w:val="auto"/>
          <w:highlight w:val="none"/>
        </w:rPr>
        <w:t>附表</w:t>
      </w:r>
    </w:p>
    <w:p>
      <w:pPr>
        <w:ind w:firstLine="0" w:firstLineChars="0"/>
        <w:rPr>
          <w:rFonts w:cs="Times New Roman"/>
          <w:color w:val="auto"/>
          <w:highlight w:val="none"/>
        </w:rPr>
      </w:pPr>
      <w:r>
        <w:rPr>
          <w:rFonts w:hint="eastAsia"/>
          <w:color w:val="auto"/>
          <w:highlight w:val="none"/>
        </w:rPr>
        <w:t>附表1建设项目环评审批基础信息表</w:t>
      </w:r>
    </w:p>
    <w:p>
      <w:pPr>
        <w:pStyle w:val="3"/>
        <w:spacing w:before="0" w:beforeLines="0" w:after="0" w:afterLines="0"/>
        <w:rPr>
          <w:rFonts w:cs="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spacing w:before="0" w:beforeLines="0" w:after="0" w:afterLines="0"/>
        <w:rPr>
          <w:rFonts w:cs="Times New Roman"/>
          <w:color w:val="auto"/>
          <w:highlight w:val="none"/>
        </w:rPr>
      </w:pPr>
      <w:bookmarkStart w:id="0" w:name="_Toc2840"/>
      <w:r>
        <w:rPr>
          <w:rFonts w:cs="Times New Roman"/>
          <w:color w:val="auto"/>
          <w:highlight w:val="none"/>
        </w:rPr>
        <w:t>概述</w:t>
      </w:r>
      <w:bookmarkEnd w:id="0"/>
    </w:p>
    <w:p>
      <w:pPr>
        <w:pStyle w:val="41"/>
        <w:numPr>
          <w:ilvl w:val="0"/>
          <w:numId w:val="1"/>
        </w:numPr>
        <w:rPr>
          <w:rFonts w:cs="Times New Roman"/>
          <w:color w:val="auto"/>
          <w:highlight w:val="none"/>
        </w:rPr>
      </w:pPr>
      <w:r>
        <w:rPr>
          <w:rFonts w:cs="Times New Roman"/>
          <w:color w:val="auto"/>
          <w:highlight w:val="none"/>
        </w:rPr>
        <w:t>项目由来及项目概况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畜牧业是农业的重要组成部分，其发展水平是一个国家农业发达程度的重要标志。同时，畜牧业是人类的动物性食品的主要来源，一个工业国家的人均畜产品量也是反映国家发达程度和衡量人民生活水平的主要标志之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牧原食品股份有限公司是集约化养猪规模居全国前列的农业产业化国家重点龙头企业，始建于1992年，注册资本20.8亿元，拥有职工50000余人。经过二十多年的发展和积累，本公司形成了以“自育、自繁、自养大规模一体化”为特色的生猪养殖模式：截至目前，公司已拥有</w:t>
      </w:r>
      <w:r>
        <w:rPr>
          <w:rFonts w:hint="eastAsia"/>
          <w:color w:val="auto"/>
          <w:sz w:val="24"/>
          <w:szCs w:val="24"/>
          <w:highlight w:val="none"/>
          <w:lang w:val="en-US" w:eastAsia="zh-CN"/>
        </w:rPr>
        <w:t>200</w:t>
      </w:r>
      <w:r>
        <w:rPr>
          <w:rFonts w:ascii="Times New Roman" w:hAnsi="Times New Roman"/>
          <w:color w:val="auto"/>
          <w:sz w:val="24"/>
          <w:szCs w:val="24"/>
          <w:highlight w:val="none"/>
        </w:rPr>
        <w:t>多家子公司，形成了集饲料加工、生猪育种、种猪扩繁、商品猪饲养为一体的完整生猪产业链。公司于2014年1月28日在深圳证券交易所敲钟上市，正式进入资本市场，股票种类为A股，股票简称</w:t>
      </w:r>
      <w:r>
        <w:rPr>
          <w:rFonts w:hint="eastAsia" w:asciiTheme="minorEastAsia" w:hAnsiTheme="minorEastAsia" w:eastAsiaTheme="minorEastAsia" w:cstheme="minorEastAsia"/>
          <w:color w:val="auto"/>
          <w:sz w:val="24"/>
          <w:szCs w:val="24"/>
          <w:highlight w:val="none"/>
        </w:rPr>
        <w:t>“牧原股份”</w:t>
      </w:r>
      <w:r>
        <w:rPr>
          <w:rFonts w:ascii="Times New Roman" w:hAnsi="Times New Roman"/>
          <w:color w:val="auto"/>
          <w:sz w:val="24"/>
          <w:szCs w:val="24"/>
          <w:highlight w:val="none"/>
        </w:rPr>
        <w:t>，代码为002714。</w:t>
      </w:r>
      <w:r>
        <w:rPr>
          <w:rFonts w:hint="eastAsia" w:ascii="Times New Roman" w:hAnsi="Times New Roman"/>
          <w:color w:val="auto"/>
          <w:sz w:val="24"/>
          <w:szCs w:val="24"/>
          <w:highlight w:val="none"/>
        </w:rPr>
        <w:t>2017年9月</w:t>
      </w:r>
      <w:r>
        <w:rPr>
          <w:rFonts w:hint="eastAsia"/>
          <w:color w:val="auto"/>
          <w:sz w:val="24"/>
          <w:szCs w:val="24"/>
          <w:highlight w:val="none"/>
          <w:lang w:val="en-US" w:eastAsia="zh-CN"/>
        </w:rPr>
        <w:t>11</w:t>
      </w:r>
      <w:r>
        <w:rPr>
          <w:rFonts w:hint="eastAsia" w:ascii="Times New Roman" w:hAnsi="Times New Roman"/>
          <w:color w:val="auto"/>
          <w:sz w:val="24"/>
          <w:szCs w:val="24"/>
          <w:highlight w:val="none"/>
        </w:rPr>
        <w:t>日，平舆牧原农牧有限公司依法成立</w:t>
      </w:r>
      <w:r>
        <w:rPr>
          <w:rFonts w:ascii="Times New Roman" w:hAnsi="Times New Roman"/>
          <w:color w:val="auto"/>
          <w:sz w:val="24"/>
          <w:szCs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Times New Roman" w:hAnsi="Times New Roman"/>
          <w:color w:val="auto"/>
          <w:sz w:val="24"/>
          <w:highlight w:val="none"/>
        </w:rPr>
      </w:pPr>
      <w:r>
        <w:rPr>
          <w:rFonts w:ascii="Times New Roman" w:hAnsi="Times New Roman"/>
          <w:color w:val="auto"/>
          <w:sz w:val="24"/>
          <w:szCs w:val="24"/>
          <w:highlight w:val="none"/>
        </w:rPr>
        <w:t>为了促进农业产业结构调整和养殖业的发展，推动养殖专业化进程，推动农业增效、农民增收，</w:t>
      </w:r>
      <w:r>
        <w:rPr>
          <w:rFonts w:hint="eastAsia"/>
          <w:color w:val="auto"/>
          <w:kern w:val="0"/>
          <w:sz w:val="24"/>
          <w:szCs w:val="21"/>
          <w:highlight w:val="none"/>
          <w:lang w:eastAsia="zh-CN"/>
        </w:rPr>
        <w:t>平舆</w:t>
      </w:r>
      <w:r>
        <w:rPr>
          <w:rFonts w:ascii="Times New Roman" w:hAnsi="Times New Roman"/>
          <w:color w:val="auto"/>
          <w:kern w:val="0"/>
          <w:sz w:val="24"/>
          <w:szCs w:val="21"/>
          <w:highlight w:val="none"/>
        </w:rPr>
        <w:t>牧原农牧有限公司</w:t>
      </w:r>
      <w:r>
        <w:rPr>
          <w:rFonts w:ascii="Times New Roman" w:hAnsi="Times New Roman"/>
          <w:color w:val="auto"/>
          <w:sz w:val="24"/>
          <w:szCs w:val="24"/>
          <w:highlight w:val="none"/>
        </w:rPr>
        <w:t>拟在驻马店市</w:t>
      </w:r>
      <w:r>
        <w:rPr>
          <w:rFonts w:hint="eastAsia"/>
          <w:color w:val="auto"/>
          <w:sz w:val="24"/>
          <w:highlight w:val="none"/>
          <w:lang w:eastAsia="zh-CN"/>
        </w:rPr>
        <w:t>平舆县庙湾乡赵庄村</w:t>
      </w:r>
      <w:r>
        <w:rPr>
          <w:rFonts w:ascii="Times New Roman" w:hAnsi="Times New Roman"/>
          <w:color w:val="auto"/>
          <w:sz w:val="24"/>
          <w:szCs w:val="24"/>
          <w:highlight w:val="none"/>
        </w:rPr>
        <w:t>建设“</w:t>
      </w:r>
      <w:r>
        <w:rPr>
          <w:rFonts w:hint="eastAsia"/>
          <w:color w:val="auto"/>
          <w:sz w:val="24"/>
          <w:szCs w:val="24"/>
          <w:highlight w:val="none"/>
          <w:lang w:eastAsia="zh-CN"/>
        </w:rPr>
        <w:t>平舆牧原农牧有限公司平舆四场生猪养殖项目</w:t>
      </w:r>
      <w:r>
        <w:rPr>
          <w:rFonts w:ascii="Times New Roman" w:hAnsi="Times New Roman"/>
          <w:color w:val="auto"/>
          <w:sz w:val="24"/>
          <w:szCs w:val="24"/>
          <w:highlight w:val="none"/>
        </w:rPr>
        <w:t>”。项目建设内容包括：保育</w:t>
      </w:r>
      <w:r>
        <w:rPr>
          <w:rFonts w:hint="eastAsia"/>
          <w:color w:val="auto"/>
          <w:sz w:val="24"/>
          <w:szCs w:val="24"/>
          <w:highlight w:val="none"/>
          <w:lang w:eastAsia="zh-CN"/>
        </w:rPr>
        <w:t>育肥一体</w:t>
      </w:r>
      <w:r>
        <w:rPr>
          <w:rFonts w:ascii="Times New Roman" w:hAnsi="Times New Roman"/>
          <w:color w:val="auto"/>
          <w:sz w:val="24"/>
          <w:szCs w:val="24"/>
          <w:highlight w:val="none"/>
        </w:rPr>
        <w:t>舍</w:t>
      </w:r>
      <w:r>
        <w:rPr>
          <w:rFonts w:hint="eastAsia"/>
          <w:color w:val="auto"/>
          <w:sz w:val="24"/>
          <w:szCs w:val="24"/>
          <w:highlight w:val="none"/>
          <w:lang w:val="en-US" w:eastAsia="zh-CN"/>
        </w:rPr>
        <w:t>124</w:t>
      </w:r>
      <w:r>
        <w:rPr>
          <w:rFonts w:hint="eastAsia" w:ascii="Times New Roman" w:hAnsi="Times New Roman"/>
          <w:color w:val="auto"/>
          <w:sz w:val="24"/>
          <w:szCs w:val="24"/>
          <w:highlight w:val="none"/>
          <w:lang w:val="en-US" w:eastAsia="zh-CN"/>
        </w:rPr>
        <w:t>个</w:t>
      </w:r>
      <w:r>
        <w:rPr>
          <w:rFonts w:ascii="Times New Roman" w:hAnsi="Times New Roman"/>
          <w:color w:val="auto"/>
          <w:sz w:val="24"/>
          <w:szCs w:val="24"/>
          <w:highlight w:val="none"/>
        </w:rPr>
        <w:t>养殖</w:t>
      </w:r>
      <w:r>
        <w:rPr>
          <w:rFonts w:hint="eastAsia"/>
          <w:color w:val="auto"/>
          <w:sz w:val="24"/>
          <w:szCs w:val="24"/>
          <w:highlight w:val="none"/>
          <w:lang w:eastAsia="zh-CN"/>
        </w:rPr>
        <w:t>猪</w:t>
      </w:r>
      <w:r>
        <w:rPr>
          <w:rFonts w:ascii="Times New Roman" w:hAnsi="Times New Roman"/>
          <w:color w:val="auto"/>
          <w:sz w:val="24"/>
          <w:szCs w:val="24"/>
          <w:highlight w:val="none"/>
        </w:rPr>
        <w:t>舍，并配套建设污水处理设施、沼液综合利用等配套工程；清粪方式</w:t>
      </w:r>
      <w:r>
        <w:rPr>
          <w:rFonts w:ascii="Times New Roman" w:hAnsi="Times New Roman"/>
          <w:color w:val="auto"/>
          <w:sz w:val="24"/>
          <w:highlight w:val="none"/>
        </w:rPr>
        <w:t>采用环保部认定的干清粪工艺</w:t>
      </w:r>
      <w:r>
        <w:rPr>
          <w:rFonts w:ascii="Times New Roman" w:hAnsi="Times New Roman"/>
          <w:color w:val="auto"/>
          <w:sz w:val="24"/>
          <w:szCs w:val="24"/>
          <w:highlight w:val="none"/>
        </w:rPr>
        <w:t>；该项目占地面积约</w:t>
      </w:r>
      <w:r>
        <w:rPr>
          <w:rFonts w:hint="eastAsia"/>
          <w:color w:val="auto"/>
          <w:sz w:val="24"/>
          <w:szCs w:val="24"/>
          <w:highlight w:val="none"/>
          <w:lang w:val="en-US" w:eastAsia="zh-CN"/>
        </w:rPr>
        <w:t>250</w:t>
      </w:r>
      <w:r>
        <w:rPr>
          <w:rFonts w:ascii="Times New Roman" w:hAnsi="Times New Roman"/>
          <w:color w:val="auto"/>
          <w:sz w:val="24"/>
          <w:szCs w:val="24"/>
          <w:highlight w:val="none"/>
        </w:rPr>
        <w:t>亩，总投资</w:t>
      </w:r>
      <w:r>
        <w:rPr>
          <w:rFonts w:hint="eastAsia"/>
          <w:color w:val="auto"/>
          <w:sz w:val="24"/>
          <w:szCs w:val="24"/>
          <w:highlight w:val="none"/>
          <w:lang w:val="en-US" w:eastAsia="zh-CN"/>
        </w:rPr>
        <w:t>12026.4</w:t>
      </w:r>
      <w:r>
        <w:rPr>
          <w:rFonts w:ascii="Times New Roman" w:hAnsi="Times New Roman"/>
          <w:color w:val="auto"/>
          <w:sz w:val="24"/>
          <w:szCs w:val="24"/>
          <w:highlight w:val="none"/>
        </w:rPr>
        <w:t>万元，劳动定员</w:t>
      </w:r>
      <w:r>
        <w:rPr>
          <w:rFonts w:hint="eastAsia"/>
          <w:color w:val="auto"/>
          <w:sz w:val="24"/>
          <w:szCs w:val="24"/>
          <w:highlight w:val="none"/>
          <w:lang w:val="en-US" w:eastAsia="zh-CN"/>
        </w:rPr>
        <w:t>96</w:t>
      </w:r>
      <w:r>
        <w:rPr>
          <w:rFonts w:ascii="Times New Roman" w:hAnsi="Times New Roman"/>
          <w:color w:val="auto"/>
          <w:sz w:val="24"/>
          <w:szCs w:val="24"/>
          <w:highlight w:val="none"/>
        </w:rPr>
        <w:t>人，项目建成后养殖规模可达到</w:t>
      </w:r>
      <w:r>
        <w:rPr>
          <w:rFonts w:hint="eastAsia" w:ascii="Times New Roman" w:hAnsi="Times New Roman"/>
          <w:color w:val="auto"/>
          <w:sz w:val="24"/>
          <w:szCs w:val="24"/>
          <w:highlight w:val="none"/>
        </w:rPr>
        <w:t>年出栏17.2万头商品猪</w:t>
      </w:r>
      <w:r>
        <w:rPr>
          <w:rFonts w:ascii="Times New Roman" w:hAnsi="Times New Roman"/>
          <w:color w:val="auto"/>
          <w:sz w:val="24"/>
          <w:szCs w:val="24"/>
          <w:highlight w:val="none"/>
        </w:rPr>
        <w:t>。</w:t>
      </w:r>
      <w:r>
        <w:rPr>
          <w:rFonts w:ascii="Times New Roman" w:hAnsi="Times New Roman"/>
          <w:color w:val="auto"/>
          <w:sz w:val="24"/>
          <w:highlight w:val="none"/>
        </w:rPr>
        <w:t>项目中心坐标东经：</w:t>
      </w:r>
      <w:r>
        <w:rPr>
          <w:rFonts w:hint="eastAsia" w:ascii="Times New Roman" w:hAnsi="Times New Roman"/>
          <w:color w:val="auto"/>
          <w:sz w:val="24"/>
          <w:highlight w:val="none"/>
        </w:rPr>
        <w:t>114.662697</w:t>
      </w:r>
      <w:r>
        <w:rPr>
          <w:rFonts w:ascii="Times New Roman" w:hAnsi="Times New Roman"/>
          <w:color w:val="auto"/>
          <w:sz w:val="24"/>
          <w:highlight w:val="none"/>
        </w:rPr>
        <w:t>，北纬：</w:t>
      </w:r>
      <w:r>
        <w:rPr>
          <w:rFonts w:hint="eastAsia" w:ascii="Times New Roman" w:hAnsi="Times New Roman"/>
          <w:color w:val="auto"/>
          <w:sz w:val="24"/>
          <w:highlight w:val="none"/>
        </w:rPr>
        <w:t>33.082139</w:t>
      </w:r>
      <w:r>
        <w:rPr>
          <w:rFonts w:ascii="Times New Roman" w:hAnsi="Times New Roman"/>
          <w:color w:val="auto"/>
          <w:sz w:val="24"/>
          <w:highlight w:val="none"/>
        </w:rPr>
        <w:t>。厂界拐点坐标见下表：</w:t>
      </w:r>
    </w:p>
    <w:p>
      <w:pPr>
        <w:pStyle w:val="40"/>
        <w:rPr>
          <w:rFonts w:hint="eastAsia" w:cs="Times New Roman"/>
          <w:color w:val="auto"/>
          <w:highlight w:val="none"/>
          <w:lang w:val="en-US" w:eastAsia="zh-CN"/>
        </w:rPr>
      </w:pPr>
      <w:r>
        <w:rPr>
          <w:rFonts w:hint="eastAsia" w:cs="Times New Roman"/>
          <w:color w:val="auto"/>
          <w:highlight w:val="none"/>
          <w:lang w:val="en-US" w:eastAsia="zh-CN"/>
        </w:rPr>
        <w:t>表1-1 项目场界拐点坐标</w:t>
      </w:r>
    </w:p>
    <w:tbl>
      <w:tblPr>
        <w:tblStyle w:val="24"/>
        <w:tblW w:w="4998"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1992"/>
        <w:gridCol w:w="2969"/>
        <w:gridCol w:w="3558"/>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0"/>
              <w:rPr>
                <w:rFonts w:hint="eastAsia"/>
                <w:b w:val="0"/>
                <w:bCs/>
                <w:color w:val="auto"/>
                <w:sz w:val="21"/>
                <w:szCs w:val="21"/>
                <w:highlight w:val="none"/>
              </w:rPr>
            </w:pPr>
            <w:r>
              <w:rPr>
                <w:rFonts w:hint="eastAsia"/>
                <w:b w:val="0"/>
                <w:bCs/>
                <w:color w:val="auto"/>
                <w:sz w:val="21"/>
                <w:szCs w:val="21"/>
                <w:highlight w:val="none"/>
              </w:rPr>
              <w:t>拐点编号</w:t>
            </w:r>
          </w:p>
        </w:tc>
        <w:tc>
          <w:tcPr>
            <w:tcW w:w="1742" w:type="pct"/>
            <w:noWrap/>
            <w:vAlign w:val="center"/>
          </w:tcPr>
          <w:p>
            <w:pPr>
              <w:pStyle w:val="40"/>
              <w:rPr>
                <w:rFonts w:hint="eastAsia"/>
                <w:b w:val="0"/>
                <w:bCs/>
                <w:color w:val="auto"/>
                <w:sz w:val="21"/>
                <w:szCs w:val="21"/>
                <w:highlight w:val="none"/>
              </w:rPr>
            </w:pPr>
            <w:r>
              <w:rPr>
                <w:rFonts w:hint="eastAsia"/>
                <w:b w:val="0"/>
                <w:bCs/>
                <w:color w:val="auto"/>
                <w:sz w:val="21"/>
                <w:szCs w:val="21"/>
                <w:highlight w:val="none"/>
              </w:rPr>
              <w:t>经度（东经）</w:t>
            </w:r>
          </w:p>
        </w:tc>
        <w:tc>
          <w:tcPr>
            <w:tcW w:w="2088" w:type="pct"/>
            <w:noWrap/>
            <w:vAlign w:val="center"/>
          </w:tcPr>
          <w:p>
            <w:pPr>
              <w:pStyle w:val="40"/>
              <w:rPr>
                <w:rFonts w:hint="eastAsia"/>
                <w:b w:val="0"/>
                <w:bCs/>
                <w:color w:val="auto"/>
                <w:sz w:val="21"/>
                <w:szCs w:val="21"/>
                <w:highlight w:val="none"/>
              </w:rPr>
            </w:pPr>
            <w:r>
              <w:rPr>
                <w:rFonts w:hint="eastAsia"/>
                <w:b w:val="0"/>
                <w:bCs/>
                <w:color w:val="auto"/>
                <w:sz w:val="21"/>
                <w:szCs w:val="21"/>
                <w:highlight w:val="none"/>
              </w:rPr>
              <w:t>纬度（北纬）</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9" w:type="pct"/>
            <w:noWrap w:val="0"/>
            <w:vAlign w:val="top"/>
          </w:tcPr>
          <w:p>
            <w:pPr>
              <w:pStyle w:val="40"/>
              <w:rPr>
                <w:rFonts w:hint="eastAsia"/>
                <w:b w:val="0"/>
                <w:bCs/>
                <w:color w:val="auto"/>
                <w:sz w:val="21"/>
                <w:szCs w:val="21"/>
                <w:highlight w:val="none"/>
              </w:rPr>
            </w:pPr>
            <w:r>
              <w:rPr>
                <w:rFonts w:hint="eastAsia"/>
                <w:b w:val="0"/>
                <w:bCs/>
                <w:color w:val="auto"/>
                <w:sz w:val="21"/>
                <w:szCs w:val="21"/>
                <w:highlight w:val="none"/>
              </w:rPr>
              <w:t>1</w:t>
            </w:r>
          </w:p>
        </w:tc>
        <w:tc>
          <w:tcPr>
            <w:tcW w:w="1742" w:type="pct"/>
            <w:noWrap/>
            <w:vAlign w:val="center"/>
          </w:tcPr>
          <w:p>
            <w:pPr>
              <w:pStyle w:val="40"/>
              <w:rPr>
                <w:rFonts w:hint="eastAsia"/>
                <w:b w:val="0"/>
                <w:bCs/>
                <w:color w:val="auto"/>
                <w:sz w:val="21"/>
                <w:szCs w:val="21"/>
                <w:highlight w:val="none"/>
              </w:rPr>
            </w:pPr>
            <w:r>
              <w:rPr>
                <w:rFonts w:hint="eastAsia"/>
                <w:b w:val="0"/>
                <w:bCs/>
                <w:color w:val="auto"/>
                <w:sz w:val="21"/>
                <w:szCs w:val="21"/>
                <w:highlight w:val="none"/>
              </w:rPr>
              <w:t>114.655503</w:t>
            </w:r>
          </w:p>
        </w:tc>
        <w:tc>
          <w:tcPr>
            <w:tcW w:w="2088" w:type="pct"/>
            <w:noWrap/>
            <w:vAlign w:val="center"/>
          </w:tcPr>
          <w:p>
            <w:pPr>
              <w:pStyle w:val="40"/>
              <w:rPr>
                <w:rFonts w:hint="eastAsia"/>
                <w:b w:val="0"/>
                <w:bCs/>
                <w:color w:val="auto"/>
                <w:sz w:val="21"/>
                <w:szCs w:val="21"/>
                <w:highlight w:val="none"/>
              </w:rPr>
            </w:pPr>
            <w:r>
              <w:rPr>
                <w:rFonts w:hint="eastAsia"/>
                <w:b w:val="0"/>
                <w:bCs/>
                <w:color w:val="auto"/>
                <w:sz w:val="21"/>
                <w:szCs w:val="21"/>
                <w:highlight w:val="none"/>
              </w:rPr>
              <w:t>33.086305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0"/>
              <w:rPr>
                <w:rFonts w:hint="eastAsia"/>
                <w:b w:val="0"/>
                <w:bCs/>
                <w:color w:val="auto"/>
                <w:sz w:val="21"/>
                <w:szCs w:val="21"/>
                <w:highlight w:val="none"/>
              </w:rPr>
            </w:pPr>
            <w:r>
              <w:rPr>
                <w:rFonts w:hint="eastAsia"/>
                <w:b w:val="0"/>
                <w:bCs/>
                <w:color w:val="auto"/>
                <w:sz w:val="21"/>
                <w:szCs w:val="21"/>
                <w:highlight w:val="none"/>
              </w:rPr>
              <w:t>2</w:t>
            </w:r>
          </w:p>
        </w:tc>
        <w:tc>
          <w:tcPr>
            <w:tcW w:w="1742" w:type="pct"/>
            <w:noWrap/>
            <w:vAlign w:val="center"/>
          </w:tcPr>
          <w:p>
            <w:pPr>
              <w:pStyle w:val="40"/>
              <w:rPr>
                <w:rFonts w:hint="eastAsia"/>
                <w:b w:val="0"/>
                <w:bCs/>
                <w:color w:val="auto"/>
                <w:sz w:val="21"/>
                <w:szCs w:val="21"/>
                <w:highlight w:val="none"/>
              </w:rPr>
            </w:pPr>
            <w:r>
              <w:rPr>
                <w:rFonts w:hint="eastAsia"/>
                <w:b w:val="0"/>
                <w:bCs/>
                <w:color w:val="auto"/>
                <w:sz w:val="21"/>
                <w:szCs w:val="21"/>
                <w:highlight w:val="none"/>
              </w:rPr>
              <w:t>114.659301</w:t>
            </w:r>
          </w:p>
        </w:tc>
        <w:tc>
          <w:tcPr>
            <w:tcW w:w="2088" w:type="pct"/>
            <w:noWrap/>
            <w:vAlign w:val="center"/>
          </w:tcPr>
          <w:p>
            <w:pPr>
              <w:pStyle w:val="40"/>
              <w:rPr>
                <w:rFonts w:hint="eastAsia"/>
                <w:b w:val="0"/>
                <w:bCs/>
                <w:color w:val="auto"/>
                <w:sz w:val="21"/>
                <w:szCs w:val="21"/>
                <w:highlight w:val="none"/>
              </w:rPr>
            </w:pPr>
            <w:r>
              <w:rPr>
                <w:rFonts w:hint="eastAsia"/>
                <w:b w:val="0"/>
                <w:bCs/>
                <w:color w:val="auto"/>
                <w:sz w:val="21"/>
                <w:szCs w:val="21"/>
                <w:highlight w:val="none"/>
              </w:rPr>
              <w:t>33.086098</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0"/>
              <w:rPr>
                <w:rFonts w:hint="eastAsia"/>
                <w:b w:val="0"/>
                <w:bCs/>
                <w:color w:val="auto"/>
                <w:sz w:val="21"/>
                <w:szCs w:val="21"/>
                <w:highlight w:val="none"/>
              </w:rPr>
            </w:pPr>
            <w:r>
              <w:rPr>
                <w:rFonts w:hint="eastAsia"/>
                <w:b w:val="0"/>
                <w:bCs/>
                <w:color w:val="auto"/>
                <w:sz w:val="21"/>
                <w:szCs w:val="21"/>
                <w:highlight w:val="none"/>
              </w:rPr>
              <w:t>3</w:t>
            </w:r>
          </w:p>
        </w:tc>
        <w:tc>
          <w:tcPr>
            <w:tcW w:w="1742" w:type="pct"/>
            <w:noWrap/>
            <w:vAlign w:val="center"/>
          </w:tcPr>
          <w:p>
            <w:pPr>
              <w:pStyle w:val="40"/>
              <w:rPr>
                <w:rFonts w:hint="eastAsia"/>
                <w:b w:val="0"/>
                <w:bCs/>
                <w:color w:val="auto"/>
                <w:sz w:val="21"/>
                <w:szCs w:val="21"/>
                <w:highlight w:val="none"/>
              </w:rPr>
            </w:pPr>
            <w:r>
              <w:rPr>
                <w:rFonts w:hint="eastAsia"/>
                <w:b w:val="0"/>
                <w:bCs/>
                <w:color w:val="auto"/>
                <w:sz w:val="21"/>
                <w:szCs w:val="21"/>
                <w:highlight w:val="none"/>
              </w:rPr>
              <w:t>114.659087</w:t>
            </w:r>
          </w:p>
        </w:tc>
        <w:tc>
          <w:tcPr>
            <w:tcW w:w="2088" w:type="pct"/>
            <w:noWrap/>
            <w:vAlign w:val="center"/>
          </w:tcPr>
          <w:p>
            <w:pPr>
              <w:pStyle w:val="40"/>
              <w:rPr>
                <w:rFonts w:hint="eastAsia"/>
                <w:b w:val="0"/>
                <w:bCs/>
                <w:color w:val="auto"/>
                <w:sz w:val="21"/>
                <w:szCs w:val="21"/>
                <w:highlight w:val="none"/>
              </w:rPr>
            </w:pPr>
            <w:r>
              <w:rPr>
                <w:rFonts w:hint="eastAsia"/>
                <w:b w:val="0"/>
                <w:bCs/>
                <w:color w:val="auto"/>
                <w:sz w:val="21"/>
                <w:szCs w:val="21"/>
                <w:highlight w:val="none"/>
              </w:rPr>
              <w:t>33.081335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9" w:type="pct"/>
            <w:noWrap w:val="0"/>
            <w:vAlign w:val="top"/>
          </w:tcPr>
          <w:p>
            <w:pPr>
              <w:pStyle w:val="40"/>
              <w:rPr>
                <w:rFonts w:hint="eastAsia"/>
                <w:b w:val="0"/>
                <w:bCs/>
                <w:color w:val="auto"/>
                <w:sz w:val="21"/>
                <w:szCs w:val="21"/>
                <w:highlight w:val="none"/>
              </w:rPr>
            </w:pPr>
            <w:r>
              <w:rPr>
                <w:rFonts w:hint="eastAsia"/>
                <w:b w:val="0"/>
                <w:bCs/>
                <w:color w:val="auto"/>
                <w:sz w:val="21"/>
                <w:szCs w:val="21"/>
                <w:highlight w:val="none"/>
              </w:rPr>
              <w:t>4</w:t>
            </w:r>
          </w:p>
        </w:tc>
        <w:tc>
          <w:tcPr>
            <w:tcW w:w="1742" w:type="pct"/>
            <w:noWrap/>
            <w:vAlign w:val="center"/>
          </w:tcPr>
          <w:p>
            <w:pPr>
              <w:pStyle w:val="40"/>
              <w:rPr>
                <w:rFonts w:hint="eastAsia"/>
                <w:b w:val="0"/>
                <w:bCs/>
                <w:color w:val="auto"/>
                <w:sz w:val="21"/>
                <w:szCs w:val="21"/>
                <w:highlight w:val="none"/>
              </w:rPr>
            </w:pPr>
            <w:r>
              <w:rPr>
                <w:rFonts w:hint="eastAsia"/>
                <w:b w:val="0"/>
                <w:bCs/>
                <w:color w:val="auto"/>
                <w:sz w:val="21"/>
                <w:szCs w:val="21"/>
                <w:highlight w:val="none"/>
              </w:rPr>
              <w:t>114.655611</w:t>
            </w:r>
          </w:p>
        </w:tc>
        <w:tc>
          <w:tcPr>
            <w:tcW w:w="2088" w:type="pct"/>
            <w:noWrap/>
            <w:vAlign w:val="center"/>
          </w:tcPr>
          <w:p>
            <w:pPr>
              <w:pStyle w:val="40"/>
              <w:rPr>
                <w:rFonts w:hint="eastAsia"/>
                <w:b w:val="0"/>
                <w:bCs/>
                <w:color w:val="auto"/>
                <w:sz w:val="21"/>
                <w:szCs w:val="21"/>
                <w:highlight w:val="none"/>
              </w:rPr>
            </w:pPr>
            <w:r>
              <w:rPr>
                <w:rFonts w:hint="eastAsia"/>
                <w:b w:val="0"/>
                <w:bCs/>
                <w:color w:val="auto"/>
                <w:sz w:val="21"/>
                <w:szCs w:val="21"/>
                <w:highlight w:val="none"/>
              </w:rPr>
              <w:t>33.081442</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畜牧业作为我国农业农村经济的支柱产业，对保障国家食物安全，增加农民收入，保护和改善生态环境，推进农业现代化，促进国民经济现代化，促进国民经济稳定发展，具有十分重要的现实意义。《全国畜牧业发展第十三个五年规划（2016-2020）》及农业部《关于加快推进畜禽标准化规模养殖的意见》（农牧发[2010]6号）均明确指出：畜禽标准化规模养殖是现代畜牧业发展的必由之路，对畜禽养殖优势区域和畜产品主产区的生猪规模养殖场基础设施进行标准化建设，畜禽标准化规模养殖场的排泄物可实现达标排放或资源化利用，重大动物疫病防控能力显著增强，畜产品质量安全水平明显提升；鼓励龙头企业建设标准化生产基地，开展生物安全隔离区建设。</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根据《循环经济发展战略及近期行动计划》（国发〔2013〕5号）</w:t>
      </w:r>
      <w:r>
        <w:rPr>
          <w:rFonts w:hint="eastAsia" w:asciiTheme="minorEastAsia" w:hAnsiTheme="minorEastAsia" w:eastAsiaTheme="minorEastAsia" w:cstheme="minorEastAsia"/>
          <w:bCs/>
          <w:color w:val="auto"/>
          <w:sz w:val="24"/>
          <w:szCs w:val="24"/>
          <w:highlight w:val="none"/>
        </w:rPr>
        <w:t>“第四章构建循环型农业体系第三节畜牧业”</w:t>
      </w:r>
      <w:r>
        <w:rPr>
          <w:rFonts w:ascii="Times New Roman" w:hAnsi="Times New Roman"/>
          <w:bCs/>
          <w:color w:val="auto"/>
          <w:sz w:val="24"/>
          <w:szCs w:val="24"/>
          <w:highlight w:val="none"/>
        </w:rPr>
        <w:t>明确指出：推进畜禽养殖清洁生产，推进适度规模养殖，鼓励养殖与种植相结合，建设标准化畜禽养殖场，推广畜禽清洁养殖、雨污分流、干湿分离和设施化处理技术；加强畜禽粪污资源化利用，推广堆肥处理、工厂化生产有机肥、好氧发酵农田直接施用技术，促进养殖粪污资源化利用和无害化处理；构建农牧业循环经济产业链，构建畜禽粪便—沼气—发电，畜禽粪便—沼气—沼渣、沼液—无害化处理—肥料、农药—农林作物，畜禽加工—副产物—生化制品等产业链。根据《河南省人民政府办公厅关于推动全省都市生态农业发展的指导意见》（豫政办[2014]128号），要加快我省生态农业发展，加强农业生态环境建设，加大农业面源污染防治力度，控制农药化肥使用，发展农牧结合循环经济，推进畜禽粪污资源化利用，推进以沼气池建设为重点的农村生态循环经济发展,规范农业投入品使用，支持推广农业物理和生物防控技术，减少化学农药用量。</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Times New Roman" w:hAnsi="Times New Roman"/>
          <w:bCs/>
          <w:color w:val="auto"/>
          <w:sz w:val="24"/>
          <w:szCs w:val="24"/>
          <w:highlight w:val="none"/>
        </w:rPr>
      </w:pPr>
      <w:r>
        <w:rPr>
          <w:rFonts w:ascii="Times New Roman" w:hAnsi="Times New Roman"/>
          <w:color w:val="auto"/>
          <w:sz w:val="24"/>
          <w:highlight w:val="none"/>
        </w:rPr>
        <w:t>本项目为生猪养殖项目，</w:t>
      </w:r>
      <w:r>
        <w:rPr>
          <w:rFonts w:ascii="Times New Roman" w:hAnsi="Times New Roman"/>
          <w:color w:val="auto"/>
          <w:sz w:val="24"/>
          <w:szCs w:val="28"/>
          <w:highlight w:val="none"/>
        </w:rPr>
        <w:t>建设规模为</w:t>
      </w:r>
      <w:r>
        <w:rPr>
          <w:rFonts w:hint="eastAsia" w:ascii="Times New Roman" w:hAnsi="Times New Roman"/>
          <w:color w:val="auto"/>
          <w:sz w:val="24"/>
          <w:szCs w:val="28"/>
          <w:highlight w:val="none"/>
        </w:rPr>
        <w:t>年出栏17.2万头商品猪</w:t>
      </w:r>
      <w:r>
        <w:rPr>
          <w:rFonts w:ascii="Times New Roman" w:hAnsi="Times New Roman"/>
          <w:bCs/>
          <w:color w:val="auto"/>
          <w:sz w:val="24"/>
          <w:highlight w:val="none"/>
        </w:rPr>
        <w:t>。</w:t>
      </w:r>
      <w:r>
        <w:rPr>
          <w:rFonts w:ascii="Times New Roman" w:hAnsi="Times New Roman"/>
          <w:color w:val="auto"/>
          <w:sz w:val="24"/>
          <w:highlight w:val="none"/>
        </w:rPr>
        <w:t>建设性质为新建，</w:t>
      </w:r>
      <w:r>
        <w:rPr>
          <w:rFonts w:ascii="Times New Roman" w:hAnsi="Times New Roman"/>
          <w:bCs/>
          <w:color w:val="auto"/>
          <w:sz w:val="24"/>
          <w:highlight w:val="none"/>
        </w:rPr>
        <w:t>项目清粪工艺采用环保部认定的</w:t>
      </w:r>
      <w:r>
        <w:rPr>
          <w:rFonts w:ascii="Times New Roman" w:hAnsi="Times New Roman"/>
          <w:color w:val="auto"/>
          <w:sz w:val="24"/>
          <w:szCs w:val="28"/>
          <w:highlight w:val="none"/>
        </w:rPr>
        <w:t>干清粪工艺。项目产生的粪污经固液分离后固形物进入固粪处理区制有机肥原料，经固液分离后的废水进入</w:t>
      </w:r>
      <w:r>
        <w:rPr>
          <w:rFonts w:hint="eastAsia" w:ascii="Times New Roman" w:hAnsi="Times New Roman"/>
          <w:color w:val="auto"/>
          <w:sz w:val="24"/>
          <w:szCs w:val="28"/>
          <w:highlight w:val="none"/>
          <w:lang w:eastAsia="zh-CN"/>
        </w:rPr>
        <w:t>黑膜</w:t>
      </w:r>
      <w:r>
        <w:rPr>
          <w:rFonts w:ascii="Times New Roman" w:hAnsi="Times New Roman"/>
          <w:color w:val="auto"/>
          <w:sz w:val="24"/>
          <w:szCs w:val="28"/>
          <w:highlight w:val="none"/>
        </w:rPr>
        <w:t>沼气池处理。经</w:t>
      </w:r>
      <w:r>
        <w:rPr>
          <w:rFonts w:hint="eastAsia" w:ascii="Times New Roman" w:hAnsi="Times New Roman"/>
          <w:color w:val="auto"/>
          <w:sz w:val="24"/>
          <w:szCs w:val="28"/>
          <w:highlight w:val="none"/>
          <w:lang w:eastAsia="zh-CN"/>
        </w:rPr>
        <w:t>黑膜</w:t>
      </w:r>
      <w:r>
        <w:rPr>
          <w:rFonts w:ascii="Times New Roman" w:hAnsi="Times New Roman"/>
          <w:color w:val="auto"/>
          <w:sz w:val="24"/>
          <w:szCs w:val="28"/>
          <w:highlight w:val="none"/>
        </w:rPr>
        <w:t>沼气池处理后产生沼液的作为农肥施用于周边农田不外排，产生的沼渣经排泥管通过泵送至</w:t>
      </w:r>
      <w:r>
        <w:rPr>
          <w:rFonts w:hint="eastAsia"/>
          <w:color w:val="auto"/>
          <w:sz w:val="24"/>
          <w:szCs w:val="28"/>
          <w:highlight w:val="none"/>
          <w:lang w:eastAsia="zh-CN"/>
        </w:rPr>
        <w:t>固液分离机，</w:t>
      </w:r>
      <w:r>
        <w:rPr>
          <w:rFonts w:ascii="Times New Roman" w:hAnsi="Times New Roman"/>
          <w:color w:val="auto"/>
          <w:sz w:val="24"/>
          <w:szCs w:val="28"/>
          <w:highlight w:val="none"/>
        </w:rPr>
        <w:t>固液分离</w:t>
      </w:r>
      <w:r>
        <w:rPr>
          <w:rFonts w:hint="eastAsia"/>
          <w:color w:val="auto"/>
          <w:sz w:val="24"/>
          <w:szCs w:val="28"/>
          <w:highlight w:val="none"/>
          <w:lang w:eastAsia="zh-CN"/>
        </w:rPr>
        <w:t>后</w:t>
      </w:r>
      <w:r>
        <w:rPr>
          <w:rFonts w:ascii="Times New Roman" w:hAnsi="Times New Roman"/>
          <w:color w:val="auto"/>
          <w:sz w:val="24"/>
          <w:szCs w:val="28"/>
          <w:highlight w:val="none"/>
        </w:rPr>
        <w:t>进入固粪处理区晾晒后制有机肥基肥；</w:t>
      </w:r>
      <w:r>
        <w:rPr>
          <w:rFonts w:hint="eastAsia" w:ascii="Times New Roman" w:hAnsi="Times New Roman"/>
          <w:color w:val="auto"/>
          <w:sz w:val="24"/>
          <w:szCs w:val="28"/>
          <w:highlight w:val="none"/>
          <w:lang w:eastAsia="zh-CN"/>
        </w:rPr>
        <w:t>黑膜</w:t>
      </w:r>
      <w:r>
        <w:rPr>
          <w:rFonts w:ascii="Times New Roman" w:hAnsi="Times New Roman"/>
          <w:color w:val="auto"/>
          <w:sz w:val="24"/>
          <w:szCs w:val="28"/>
          <w:highlight w:val="none"/>
        </w:rPr>
        <w:t>沼气池厌氧发酵产生的沼气</w:t>
      </w:r>
      <w:r>
        <w:rPr>
          <w:rFonts w:ascii="Times New Roman" w:hAnsi="Times New Roman"/>
          <w:color w:val="auto"/>
          <w:sz w:val="24"/>
          <w:highlight w:val="none"/>
        </w:rPr>
        <w:t>经净化后，用于场区食堂灶台，多余部分</w:t>
      </w:r>
      <w:r>
        <w:rPr>
          <w:rFonts w:hint="eastAsia" w:ascii="Times New Roman" w:hAnsi="Times New Roman"/>
          <w:color w:val="auto"/>
          <w:sz w:val="24"/>
          <w:highlight w:val="none"/>
          <w:lang w:eastAsia="zh-CN"/>
        </w:rPr>
        <w:t>用于</w:t>
      </w:r>
      <w:r>
        <w:rPr>
          <w:rFonts w:hint="eastAsia"/>
          <w:color w:val="auto"/>
          <w:sz w:val="24"/>
          <w:highlight w:val="none"/>
          <w:lang w:eastAsia="zh-CN"/>
        </w:rPr>
        <w:t>厂区无害化处理</w:t>
      </w:r>
      <w:r>
        <w:rPr>
          <w:rFonts w:ascii="Times New Roman" w:hAnsi="Times New Roman"/>
          <w:color w:val="auto"/>
          <w:sz w:val="24"/>
          <w:highlight w:val="none"/>
        </w:rPr>
        <w:t>。</w:t>
      </w:r>
      <w:r>
        <w:rPr>
          <w:rFonts w:ascii="Times New Roman" w:hAnsi="Times New Roman"/>
          <w:bCs/>
          <w:color w:val="auto"/>
          <w:sz w:val="24"/>
          <w:szCs w:val="24"/>
          <w:highlight w:val="none"/>
        </w:rPr>
        <w:t>这种间接的种养结合发展模式是符合生态农业发展要求的同时也是满足可持续发展观的。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根据《产业结构调整指导目录（2019年本）》，</w:t>
      </w:r>
      <w:r>
        <w:rPr>
          <w:rFonts w:hint="eastAsia" w:asciiTheme="minorEastAsia" w:hAnsiTheme="minorEastAsia" w:eastAsiaTheme="minorEastAsia" w:cstheme="minorEastAsia"/>
          <w:color w:val="auto"/>
          <w:sz w:val="24"/>
          <w:szCs w:val="24"/>
          <w:highlight w:val="none"/>
        </w:rPr>
        <w:t>本项目属于鼓励类中的“畜禽标准化养殖技术开发与应用”；</w:t>
      </w:r>
      <w:r>
        <w:rPr>
          <w:rFonts w:ascii="Times New Roman" w:hAnsi="Times New Roman"/>
          <w:color w:val="auto"/>
          <w:sz w:val="24"/>
          <w:szCs w:val="24"/>
          <w:highlight w:val="none"/>
        </w:rPr>
        <w:t>根据《中华人民共和国环境保护法》和《中华人民共和国环境影响评价法》等法律有关规定，对新建或改扩建项目需进行环境影响评价。对照《建设项目环境影响评价分类管理名录》及关于修改《建设项目环境影响评价分类管理名录》部分内容的决定（生态环境部令第1号），本项目</w:t>
      </w:r>
      <w:r>
        <w:rPr>
          <w:rFonts w:hint="eastAsia"/>
          <w:color w:val="auto"/>
          <w:sz w:val="24"/>
          <w:szCs w:val="24"/>
          <w:highlight w:val="none"/>
          <w:lang w:eastAsia="zh-CN"/>
        </w:rPr>
        <w:t>属于“</w:t>
      </w:r>
      <w:r>
        <w:rPr>
          <w:rFonts w:ascii="Times New Roman" w:hAnsi="Times New Roman"/>
          <w:color w:val="auto"/>
          <w:sz w:val="24"/>
          <w:szCs w:val="24"/>
          <w:highlight w:val="none"/>
        </w:rPr>
        <w:t>一、畜牧业/1、畜禽养殖场、养殖小区</w:t>
      </w:r>
      <w:r>
        <w:rPr>
          <w:rFonts w:hint="eastAsia" w:ascii="Times New Roman" w:hAnsi="Times New Roman"/>
          <w:color w:val="auto"/>
          <w:sz w:val="24"/>
          <w:szCs w:val="24"/>
          <w:highlight w:val="none"/>
          <w:lang w:val="en-US" w:eastAsia="zh-CN"/>
        </w:rPr>
        <w:t>/</w:t>
      </w:r>
      <w:r>
        <w:rPr>
          <w:rFonts w:ascii="Times New Roman" w:hAnsi="Times New Roman"/>
          <w:color w:val="auto"/>
          <w:sz w:val="24"/>
          <w:szCs w:val="24"/>
          <w:highlight w:val="none"/>
        </w:rPr>
        <w:t>年出栏生猪5000头及以上</w:t>
      </w:r>
      <w:r>
        <w:rPr>
          <w:rFonts w:hint="eastAsia"/>
          <w:color w:val="auto"/>
          <w:sz w:val="24"/>
          <w:szCs w:val="24"/>
          <w:highlight w:val="none"/>
          <w:lang w:eastAsia="zh-CN"/>
        </w:rPr>
        <w:t>”</w:t>
      </w:r>
      <w:r>
        <w:rPr>
          <w:rFonts w:ascii="Times New Roman" w:hAnsi="Times New Roman"/>
          <w:color w:val="auto"/>
          <w:sz w:val="24"/>
          <w:szCs w:val="24"/>
          <w:highlight w:val="none"/>
        </w:rPr>
        <w:t>，环评类别为报告书，本项目需编制环境影响报告书。受</w:t>
      </w:r>
      <w:r>
        <w:rPr>
          <w:rFonts w:hint="eastAsia"/>
          <w:color w:val="auto"/>
          <w:kern w:val="0"/>
          <w:sz w:val="24"/>
          <w:szCs w:val="21"/>
          <w:highlight w:val="none"/>
          <w:lang w:eastAsia="zh-CN"/>
        </w:rPr>
        <w:t>平舆</w:t>
      </w:r>
      <w:r>
        <w:rPr>
          <w:rFonts w:ascii="Times New Roman" w:hAnsi="Times New Roman"/>
          <w:color w:val="auto"/>
          <w:kern w:val="0"/>
          <w:sz w:val="24"/>
          <w:szCs w:val="21"/>
          <w:highlight w:val="none"/>
        </w:rPr>
        <w:t>牧原农牧有限公司</w:t>
      </w:r>
      <w:r>
        <w:rPr>
          <w:rFonts w:ascii="Times New Roman" w:hAnsi="Times New Roman"/>
          <w:color w:val="auto"/>
          <w:sz w:val="24"/>
          <w:szCs w:val="24"/>
          <w:highlight w:val="none"/>
        </w:rPr>
        <w:t>的委托，</w:t>
      </w:r>
      <w:r>
        <w:rPr>
          <w:rFonts w:ascii="Times New Roman" w:hAnsi="Times New Roman"/>
          <w:color w:val="auto"/>
          <w:sz w:val="24"/>
          <w:highlight w:val="none"/>
        </w:rPr>
        <w:t>我单位</w:t>
      </w:r>
      <w:r>
        <w:rPr>
          <w:rFonts w:ascii="Times New Roman" w:hAnsi="Times New Roman"/>
          <w:color w:val="auto"/>
          <w:sz w:val="24"/>
          <w:szCs w:val="24"/>
          <w:highlight w:val="none"/>
        </w:rPr>
        <w:t>承担该项目的环境影响报告书编制工作（项目委托书见附件</w:t>
      </w:r>
      <w:r>
        <w:rPr>
          <w:rFonts w:hint="eastAsia" w:ascii="Times New Roman" w:hAnsi="Times New Roman"/>
          <w:color w:val="auto"/>
          <w:sz w:val="24"/>
          <w:szCs w:val="24"/>
          <w:highlight w:val="none"/>
          <w:lang w:eastAsia="zh-CN"/>
        </w:rPr>
        <w:t>一</w:t>
      </w:r>
      <w:r>
        <w:rPr>
          <w:rFonts w:ascii="Times New Roman" w:hAnsi="Times New Roman"/>
          <w:color w:val="auto"/>
          <w:sz w:val="24"/>
          <w:szCs w:val="24"/>
          <w:highlight w:val="none"/>
        </w:rPr>
        <w:t>）。</w:t>
      </w:r>
    </w:p>
    <w:p>
      <w:pPr>
        <w:ind w:firstLine="480"/>
        <w:rPr>
          <w:rFonts w:cs="Times New Roman"/>
          <w:color w:val="auto"/>
          <w:highlight w:val="none"/>
        </w:rPr>
      </w:pPr>
      <w:r>
        <w:rPr>
          <w:rFonts w:ascii="Times New Roman" w:hAnsi="Times New Roman"/>
          <w:color w:val="auto"/>
          <w:sz w:val="24"/>
          <w:szCs w:val="24"/>
          <w:highlight w:val="none"/>
        </w:rPr>
        <w:t>评价单位在接受委托后，收集有关的资料，进行现场踏勘调查，了解场址及周边环境概况，并组织对区域各环境要素进行监测，分析工程相关污染因素，经预测和评价，本着科学、规范、客观、公正的原则，编制该项目的环境影响报告书。</w:t>
      </w:r>
    </w:p>
    <w:p>
      <w:pPr>
        <w:pStyle w:val="41"/>
        <w:numPr>
          <w:ilvl w:val="0"/>
          <w:numId w:val="1"/>
        </w:numPr>
        <w:rPr>
          <w:rFonts w:cs="Times New Roman"/>
          <w:color w:val="auto"/>
          <w:highlight w:val="none"/>
        </w:rPr>
      </w:pPr>
      <w:r>
        <w:rPr>
          <w:rFonts w:cs="Times New Roman"/>
          <w:color w:val="auto"/>
          <w:highlight w:val="none"/>
        </w:rPr>
        <w:t>项目特点</w:t>
      </w:r>
    </w:p>
    <w:p>
      <w:pPr>
        <w:keepNext w:val="0"/>
        <w:keepLines w:val="0"/>
        <w:pageBreakBefore w:val="0"/>
        <w:widowControl/>
        <w:numPr>
          <w:ilvl w:val="0"/>
          <w:numId w:val="2"/>
        </w:numPr>
        <w:wordWrap/>
        <w:topLinePunct w:val="0"/>
        <w:autoSpaceDE/>
        <w:autoSpaceDN/>
        <w:bidi w:val="0"/>
        <w:adjustRightInd/>
        <w:snapToGrid/>
        <w:spacing w:line="360" w:lineRule="auto"/>
        <w:ind w:firstLine="480"/>
        <w:textAlignment w:val="auto"/>
        <w:rPr>
          <w:rFonts w:hint="eastAsia" w:cs="Times New Roman"/>
          <w:color w:val="auto"/>
          <w:highlight w:val="none"/>
          <w:lang w:eastAsia="zh-CN"/>
        </w:rPr>
      </w:pPr>
      <w:r>
        <w:rPr>
          <w:rFonts w:hint="eastAsia" w:cs="Times New Roman"/>
          <w:color w:val="auto"/>
          <w:highlight w:val="none"/>
          <w:lang w:eastAsia="zh-CN"/>
        </w:rPr>
        <w:t>工程特点</w:t>
      </w:r>
    </w:p>
    <w:p>
      <w:pPr>
        <w:keepNext w:val="0"/>
        <w:keepLines w:val="0"/>
        <w:pageBreakBefore w:val="0"/>
        <w:widowControl/>
        <w:numPr>
          <w:ilvl w:val="0"/>
          <w:numId w:val="0"/>
        </w:numPr>
        <w:wordWrap/>
        <w:topLinePunct w:val="0"/>
        <w:autoSpaceDE/>
        <w:autoSpaceDN/>
        <w:bidi w:val="0"/>
        <w:adjustRightInd/>
        <w:snapToGrid/>
        <w:spacing w:line="360" w:lineRule="auto"/>
        <w:ind w:firstLine="480" w:firstLineChars="200"/>
        <w:textAlignment w:val="auto"/>
        <w:rPr>
          <w:rFonts w:cs="Times New Roman"/>
          <w:color w:val="auto"/>
          <w:highlight w:val="none"/>
        </w:rPr>
      </w:pPr>
      <w:r>
        <w:rPr>
          <w:rFonts w:cs="Times New Roman"/>
          <w:color w:val="auto"/>
          <w:highlight w:val="none"/>
        </w:rPr>
        <w:t>本工程</w:t>
      </w:r>
      <w:r>
        <w:rPr>
          <w:rFonts w:hint="eastAsia" w:cs="Times New Roman"/>
          <w:color w:val="auto"/>
          <w:highlight w:val="none"/>
        </w:rPr>
        <w:t>建设性质为新建，主要特点有：</w:t>
      </w:r>
    </w:p>
    <w:p>
      <w:pPr>
        <w:keepNext w:val="0"/>
        <w:keepLines w:val="0"/>
        <w:pageBreakBefore w:val="0"/>
        <w:widowControl/>
        <w:kinsoku w:val="0"/>
        <w:wordWrap/>
        <w:overflowPunct w:val="0"/>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hint="eastAsia" w:cs="Times New Roman"/>
          <w:color w:val="auto"/>
          <w:highlight w:val="none"/>
        </w:rPr>
        <w:t>1、</w:t>
      </w:r>
      <w:r>
        <w:rPr>
          <w:rFonts w:ascii="Times New Roman" w:hAnsi="Times New Roman"/>
          <w:bCs/>
          <w:color w:val="auto"/>
          <w:sz w:val="24"/>
          <w:szCs w:val="24"/>
          <w:highlight w:val="none"/>
        </w:rPr>
        <w:t>生产规模</w:t>
      </w:r>
      <w:r>
        <w:rPr>
          <w:rFonts w:hint="eastAsia"/>
          <w:bCs/>
          <w:color w:val="auto"/>
          <w:sz w:val="24"/>
          <w:szCs w:val="24"/>
          <w:highlight w:val="none"/>
          <w:lang w:eastAsia="zh-CN"/>
        </w:rPr>
        <w:t>为年出栏17.2万头商品猪</w:t>
      </w:r>
      <w:r>
        <w:rPr>
          <w:rFonts w:ascii="Times New Roman" w:hAnsi="Times New Roman"/>
          <w:bCs/>
          <w:color w:val="auto"/>
          <w:sz w:val="24"/>
          <w:szCs w:val="24"/>
          <w:highlight w:val="none"/>
        </w:rPr>
        <w:t>，</w:t>
      </w:r>
      <w:r>
        <w:rPr>
          <w:rFonts w:ascii="Times New Roman" w:hAnsi="Times New Roman"/>
          <w:color w:val="auto"/>
          <w:sz w:val="24"/>
          <w:highlight w:val="none"/>
        </w:rPr>
        <w:t>采用环保部认定的干清粪</w:t>
      </w:r>
      <w:r>
        <w:rPr>
          <w:rFonts w:ascii="Times New Roman" w:hAnsi="Times New Roman"/>
          <w:color w:val="auto"/>
          <w:sz w:val="24"/>
          <w:szCs w:val="24"/>
          <w:highlight w:val="none"/>
        </w:rPr>
        <w:t>工艺，建设内容包括：保育</w:t>
      </w:r>
      <w:r>
        <w:rPr>
          <w:rFonts w:hint="eastAsia"/>
          <w:color w:val="auto"/>
          <w:sz w:val="24"/>
          <w:szCs w:val="24"/>
          <w:highlight w:val="none"/>
          <w:lang w:eastAsia="zh-CN"/>
        </w:rPr>
        <w:t>育肥一体</w:t>
      </w:r>
      <w:r>
        <w:rPr>
          <w:rFonts w:ascii="Times New Roman" w:hAnsi="Times New Roman"/>
          <w:color w:val="auto"/>
          <w:sz w:val="24"/>
          <w:szCs w:val="24"/>
          <w:highlight w:val="none"/>
        </w:rPr>
        <w:t>舍</w:t>
      </w:r>
      <w:r>
        <w:rPr>
          <w:rFonts w:hint="eastAsia"/>
          <w:color w:val="auto"/>
          <w:sz w:val="24"/>
          <w:szCs w:val="24"/>
          <w:highlight w:val="none"/>
          <w:lang w:val="en-US" w:eastAsia="zh-CN"/>
        </w:rPr>
        <w:t>124个</w:t>
      </w:r>
      <w:r>
        <w:rPr>
          <w:rFonts w:ascii="Times New Roman" w:hAnsi="Times New Roman"/>
          <w:color w:val="auto"/>
          <w:sz w:val="24"/>
          <w:szCs w:val="24"/>
          <w:highlight w:val="none"/>
        </w:rPr>
        <w:t>，粪污处置</w:t>
      </w:r>
      <w:r>
        <w:rPr>
          <w:rFonts w:hint="eastAsia"/>
          <w:color w:val="auto"/>
          <w:sz w:val="24"/>
          <w:szCs w:val="24"/>
          <w:highlight w:val="none"/>
          <w:lang w:eastAsia="zh-CN"/>
        </w:rPr>
        <w:t>设施</w:t>
      </w:r>
      <w:r>
        <w:rPr>
          <w:rFonts w:ascii="Times New Roman" w:hAnsi="Times New Roman"/>
          <w:color w:val="auto"/>
          <w:sz w:val="24"/>
          <w:szCs w:val="24"/>
          <w:highlight w:val="none"/>
        </w:rPr>
        <w:t>、配套的生活设施</w:t>
      </w:r>
      <w:r>
        <w:rPr>
          <w:rFonts w:hint="eastAsia"/>
          <w:color w:val="auto"/>
          <w:sz w:val="24"/>
          <w:szCs w:val="24"/>
          <w:highlight w:val="none"/>
          <w:lang w:eastAsia="zh-CN"/>
        </w:rPr>
        <w:t>及</w:t>
      </w:r>
      <w:r>
        <w:rPr>
          <w:rFonts w:ascii="Times New Roman" w:hAnsi="Times New Roman"/>
          <w:color w:val="auto"/>
          <w:sz w:val="24"/>
          <w:szCs w:val="24"/>
          <w:highlight w:val="none"/>
        </w:rPr>
        <w:t>环保设施</w:t>
      </w:r>
      <w:r>
        <w:rPr>
          <w:rFonts w:hint="eastAsia"/>
          <w:color w:val="auto"/>
          <w:sz w:val="24"/>
          <w:szCs w:val="24"/>
          <w:highlight w:val="none"/>
          <w:lang w:eastAsia="zh-CN"/>
        </w:rPr>
        <w:t>等</w:t>
      </w:r>
      <w:r>
        <w:rPr>
          <w:rFonts w:ascii="Times New Roman" w:hAnsi="Times New Roman"/>
          <w:color w:val="auto"/>
          <w:sz w:val="24"/>
          <w:szCs w:val="24"/>
          <w:highlight w:val="none"/>
        </w:rPr>
        <w:t>。</w:t>
      </w:r>
    </w:p>
    <w:p>
      <w:pPr>
        <w:keepNext w:val="0"/>
        <w:keepLines w:val="0"/>
        <w:pageBreakBefore w:val="0"/>
        <w:widowControl/>
        <w:wordWrap/>
        <w:topLinePunct w:val="0"/>
        <w:autoSpaceDE/>
        <w:autoSpaceDN/>
        <w:bidi w:val="0"/>
        <w:adjustRightInd/>
        <w:snapToGrid/>
        <w:spacing w:line="360" w:lineRule="auto"/>
        <w:ind w:firstLine="480" w:firstLineChars="200"/>
        <w:textAlignment w:val="auto"/>
        <w:rPr>
          <w:rFonts w:ascii="Times New Roman" w:hAnsi="Times New Roman"/>
          <w:bCs/>
          <w:color w:val="auto"/>
          <w:sz w:val="24"/>
          <w:szCs w:val="24"/>
          <w:highlight w:val="none"/>
        </w:rPr>
      </w:pPr>
      <w:r>
        <w:rPr>
          <w:rFonts w:hint="eastAsia" w:ascii="Times New Roman" w:hAnsi="Times New Roman"/>
          <w:bCs/>
          <w:color w:val="auto"/>
          <w:sz w:val="24"/>
          <w:szCs w:val="24"/>
          <w:highlight w:val="none"/>
          <w:lang w:val="en-US" w:eastAsia="zh-CN"/>
        </w:rPr>
        <w:t>2、</w:t>
      </w:r>
      <w:r>
        <w:rPr>
          <w:rFonts w:ascii="Times New Roman" w:hAnsi="Times New Roman"/>
          <w:bCs/>
          <w:color w:val="auto"/>
          <w:sz w:val="24"/>
          <w:szCs w:val="24"/>
          <w:highlight w:val="none"/>
        </w:rPr>
        <w:t>项目运行过程中产生的污染因素以废水、恶臭气体、固体废物和设备噪声为主。项目以</w:t>
      </w:r>
      <w:r>
        <w:rPr>
          <w:rFonts w:hint="eastAsia" w:asciiTheme="minorEastAsia" w:hAnsiTheme="minorEastAsia" w:eastAsiaTheme="minorEastAsia" w:cstheme="minorEastAsia"/>
          <w:bCs/>
          <w:color w:val="auto"/>
          <w:sz w:val="24"/>
          <w:szCs w:val="24"/>
          <w:highlight w:val="none"/>
        </w:rPr>
        <w:t>“预防为主、防治结合”</w:t>
      </w:r>
      <w:r>
        <w:rPr>
          <w:rFonts w:ascii="Times New Roman" w:hAnsi="Times New Roman"/>
          <w:bCs/>
          <w:color w:val="auto"/>
          <w:sz w:val="24"/>
          <w:szCs w:val="24"/>
          <w:highlight w:val="none"/>
        </w:rPr>
        <w:t>的技术方针，采用较为成熟的治理措施，可以将其对外环境的影响降至最低。</w:t>
      </w:r>
    </w:p>
    <w:p>
      <w:pPr>
        <w:keepNext w:val="0"/>
        <w:keepLines w:val="0"/>
        <w:pageBreakBefore w:val="0"/>
        <w:widowControl/>
        <w:wordWrap/>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hint="eastAsia" w:ascii="Times New Roman" w:hAnsi="Times New Roman"/>
          <w:bCs/>
          <w:color w:val="auto"/>
          <w:sz w:val="24"/>
          <w:szCs w:val="24"/>
          <w:highlight w:val="none"/>
          <w:lang w:val="en-US" w:eastAsia="zh-CN"/>
        </w:rPr>
        <w:t>3、</w:t>
      </w:r>
      <w:r>
        <w:rPr>
          <w:rFonts w:ascii="Times New Roman" w:hAnsi="Times New Roman"/>
          <w:bCs/>
          <w:color w:val="auto"/>
          <w:sz w:val="24"/>
          <w:szCs w:val="24"/>
          <w:highlight w:val="none"/>
        </w:rPr>
        <w:t>项目为规模化养殖，养殖区</w:t>
      </w:r>
      <w:r>
        <w:rPr>
          <w:rFonts w:ascii="Times New Roman" w:hAnsi="Times New Roman"/>
          <w:color w:val="auto"/>
          <w:sz w:val="24"/>
          <w:highlight w:val="none"/>
        </w:rPr>
        <w:t>采用环保部认定的干清粪</w:t>
      </w:r>
      <w:r>
        <w:rPr>
          <w:rFonts w:ascii="Times New Roman" w:hAnsi="Times New Roman"/>
          <w:bCs/>
          <w:color w:val="auto"/>
          <w:sz w:val="24"/>
          <w:szCs w:val="24"/>
          <w:highlight w:val="none"/>
        </w:rPr>
        <w:t>工艺，减少养殖过程中冲洗废水产生量、降低废水中污染物的浓度；项目产生的猪粪以及本项目污水处理装置产生的粪渣运至场区固粪处理区，</w:t>
      </w:r>
      <w:r>
        <w:rPr>
          <w:rFonts w:ascii="Times New Roman" w:hAnsi="Times New Roman"/>
          <w:color w:val="auto"/>
          <w:sz w:val="24"/>
          <w:szCs w:val="21"/>
          <w:highlight w:val="none"/>
        </w:rPr>
        <w:t>进行发酵作为</w:t>
      </w:r>
      <w:r>
        <w:rPr>
          <w:rFonts w:ascii="Times New Roman" w:hAnsi="Times New Roman"/>
          <w:bCs/>
          <w:color w:val="auto"/>
          <w:sz w:val="24"/>
          <w:szCs w:val="24"/>
          <w:highlight w:val="none"/>
        </w:rPr>
        <w:t>有机肥原料外售；病死猪</w:t>
      </w:r>
      <w:r>
        <w:rPr>
          <w:rFonts w:hint="eastAsia" w:ascii="Times New Roman" w:hAnsi="Times New Roman"/>
          <w:color w:val="auto"/>
          <w:sz w:val="24"/>
          <w:highlight w:val="none"/>
        </w:rPr>
        <w:t>运往场区内自建</w:t>
      </w:r>
      <w:r>
        <w:rPr>
          <w:rFonts w:hint="eastAsia"/>
          <w:color w:val="auto"/>
          <w:sz w:val="24"/>
          <w:highlight w:val="none"/>
          <w:lang w:eastAsia="zh-CN"/>
        </w:rPr>
        <w:t>无害化处理车间</w:t>
      </w:r>
      <w:r>
        <w:rPr>
          <w:rFonts w:hint="eastAsia" w:ascii="Times New Roman" w:hAnsi="Times New Roman"/>
          <w:color w:val="auto"/>
          <w:sz w:val="24"/>
          <w:highlight w:val="none"/>
        </w:rPr>
        <w:t>处理</w:t>
      </w:r>
      <w:r>
        <w:rPr>
          <w:rFonts w:ascii="Times New Roman" w:hAnsi="Times New Roman"/>
          <w:bCs/>
          <w:color w:val="auto"/>
          <w:sz w:val="24"/>
          <w:szCs w:val="24"/>
          <w:highlight w:val="none"/>
        </w:rPr>
        <w:t>。</w:t>
      </w:r>
    </w:p>
    <w:p>
      <w:pPr>
        <w:keepNext w:val="0"/>
        <w:keepLines w:val="0"/>
        <w:pageBreakBefore w:val="0"/>
        <w:widowControl/>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sz w:val="24"/>
          <w:szCs w:val="24"/>
          <w:highlight w:val="none"/>
        </w:rPr>
      </w:pPr>
      <w:r>
        <w:rPr>
          <w:rFonts w:hint="eastAsia" w:ascii="Times New Roman" w:hAnsi="Times New Roman"/>
          <w:bCs/>
          <w:color w:val="auto"/>
          <w:sz w:val="24"/>
          <w:szCs w:val="24"/>
          <w:highlight w:val="none"/>
          <w:lang w:val="en-US" w:eastAsia="zh-CN"/>
        </w:rPr>
        <w:t>4、</w:t>
      </w:r>
      <w:r>
        <w:rPr>
          <w:rFonts w:ascii="Times New Roman" w:hAnsi="Times New Roman"/>
          <w:bCs/>
          <w:color w:val="auto"/>
          <w:sz w:val="24"/>
          <w:szCs w:val="24"/>
          <w:highlight w:val="none"/>
        </w:rPr>
        <w:t>项目产生的废水采用</w:t>
      </w:r>
      <w:r>
        <w:rPr>
          <w:rFonts w:hint="eastAsia" w:asciiTheme="minorEastAsia" w:hAnsiTheme="minorEastAsia" w:eastAsiaTheme="minorEastAsia" w:cstheme="minorEastAsia"/>
          <w:bCs/>
          <w:color w:val="auto"/>
          <w:sz w:val="24"/>
          <w:szCs w:val="24"/>
          <w:highlight w:val="none"/>
        </w:rPr>
        <w:t>“污水厌氧处理+农田综合利用”的处理方式，实现废水资源化利用。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szCs w:val="24"/>
          <w:highlight w:val="none"/>
        </w:rPr>
      </w:pPr>
      <w:r>
        <w:rPr>
          <w:rFonts w:hint="eastAsia" w:ascii="Times New Roman" w:hAnsi="Times New Roman"/>
          <w:bCs/>
          <w:color w:val="auto"/>
          <w:sz w:val="24"/>
          <w:szCs w:val="24"/>
          <w:highlight w:val="none"/>
          <w:lang w:val="en-US" w:eastAsia="zh-CN"/>
        </w:rPr>
        <w:t>5、</w:t>
      </w:r>
      <w:r>
        <w:rPr>
          <w:rFonts w:ascii="Times New Roman" w:hAnsi="Times New Roman"/>
          <w:bCs/>
          <w:color w:val="auto"/>
          <w:sz w:val="24"/>
          <w:szCs w:val="24"/>
          <w:highlight w:val="none"/>
        </w:rPr>
        <w:t>项目养殖区产生的恶臭气体通过控制饲养密度、加强舍内通风、采用节水型饮水器及时清粪、绿化等措施抑制或减少臭气的产生。</w:t>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Times New Roman"/>
          <w:bCs/>
          <w:color w:val="auto"/>
          <w:sz w:val="24"/>
          <w:szCs w:val="24"/>
          <w:highlight w:val="none"/>
          <w:lang w:eastAsia="zh-CN"/>
        </w:rPr>
      </w:pP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lang w:val="en-US" w:eastAsia="zh-CN"/>
        </w:rPr>
        <w:t>2</w:t>
      </w:r>
      <w:r>
        <w:rPr>
          <w:rFonts w:hint="eastAsia" w:ascii="Times New Roman" w:hAnsi="Times New Roman"/>
          <w:bCs/>
          <w:color w:val="auto"/>
          <w:sz w:val="24"/>
          <w:szCs w:val="24"/>
          <w:highlight w:val="none"/>
          <w:lang w:eastAsia="zh-CN"/>
        </w:rPr>
        <w:t>）环境特点</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hint="eastAsia" w:ascii="Times New Roman" w:hAnsi="Times New Roman"/>
          <w:bCs/>
          <w:color w:val="auto"/>
          <w:sz w:val="24"/>
          <w:szCs w:val="24"/>
          <w:highlight w:val="none"/>
          <w:lang w:val="en-US" w:eastAsia="zh-CN"/>
        </w:rPr>
        <w:t>1、</w:t>
      </w:r>
      <w:r>
        <w:rPr>
          <w:rFonts w:ascii="Times New Roman" w:hAnsi="Times New Roman"/>
          <w:color w:val="auto"/>
          <w:sz w:val="24"/>
          <w:szCs w:val="24"/>
          <w:highlight w:val="none"/>
        </w:rPr>
        <w:t>距离最近的水体为</w:t>
      </w:r>
      <w:r>
        <w:rPr>
          <w:rFonts w:hint="eastAsia" w:ascii="Times New Roman" w:hAnsi="Times New Roman"/>
          <w:color w:val="auto"/>
          <w:sz w:val="24"/>
          <w:szCs w:val="24"/>
          <w:highlight w:val="none"/>
        </w:rPr>
        <w:t>项目</w:t>
      </w:r>
      <w:r>
        <w:rPr>
          <w:rFonts w:hint="eastAsia"/>
          <w:color w:val="auto"/>
          <w:sz w:val="24"/>
          <w:szCs w:val="24"/>
          <w:highlight w:val="none"/>
          <w:lang w:eastAsia="zh-CN"/>
        </w:rPr>
        <w:t>南</w:t>
      </w:r>
      <w:r>
        <w:rPr>
          <w:rFonts w:hint="eastAsia" w:ascii="Times New Roman" w:hAnsi="Times New Roman"/>
          <w:color w:val="auto"/>
          <w:sz w:val="24"/>
          <w:szCs w:val="24"/>
          <w:highlight w:val="none"/>
        </w:rPr>
        <w:t>侧</w:t>
      </w:r>
      <w:r>
        <w:rPr>
          <w:rFonts w:hint="eastAsia"/>
          <w:color w:val="auto"/>
          <w:sz w:val="24"/>
          <w:szCs w:val="24"/>
          <w:highlight w:val="none"/>
          <w:lang w:val="en-US" w:eastAsia="zh-CN"/>
        </w:rPr>
        <w:t>33</w:t>
      </w:r>
      <w:r>
        <w:rPr>
          <w:rFonts w:hint="eastAsia" w:ascii="Times New Roman" w:hAnsi="Times New Roman"/>
          <w:color w:val="auto"/>
          <w:sz w:val="24"/>
          <w:szCs w:val="24"/>
          <w:highlight w:val="none"/>
        </w:rPr>
        <w:t>0m处的</w:t>
      </w:r>
      <w:r>
        <w:rPr>
          <w:rFonts w:hint="eastAsia"/>
          <w:color w:val="auto"/>
          <w:sz w:val="24"/>
          <w:szCs w:val="24"/>
          <w:highlight w:val="none"/>
          <w:lang w:eastAsia="zh-CN"/>
        </w:rPr>
        <w:t>洪</w:t>
      </w:r>
      <w:r>
        <w:rPr>
          <w:rFonts w:hint="eastAsia" w:ascii="Times New Roman" w:hAnsi="Times New Roman"/>
          <w:color w:val="auto"/>
          <w:sz w:val="24"/>
          <w:szCs w:val="24"/>
          <w:highlight w:val="none"/>
        </w:rPr>
        <w:t>河</w:t>
      </w:r>
      <w:r>
        <w:rPr>
          <w:rFonts w:ascii="Times New Roman" w:hAnsi="Times New Roman"/>
          <w:color w:val="auto"/>
          <w:sz w:val="24"/>
          <w:szCs w:val="24"/>
          <w:highlight w:val="none"/>
        </w:rPr>
        <w:t>，属Ⅲ类地表水体，</w:t>
      </w:r>
      <w:r>
        <w:rPr>
          <w:rFonts w:ascii="Times New Roman" w:hAnsi="Times New Roman"/>
          <w:bCs/>
          <w:color w:val="auto"/>
          <w:sz w:val="24"/>
          <w:szCs w:val="24"/>
          <w:highlight w:val="none"/>
        </w:rPr>
        <w:t>水</w:t>
      </w:r>
      <w:r>
        <w:rPr>
          <w:rFonts w:ascii="Times New Roman" w:hAnsi="Times New Roman"/>
          <w:color w:val="auto"/>
          <w:sz w:val="24"/>
          <w:szCs w:val="24"/>
          <w:highlight w:val="none"/>
        </w:rPr>
        <w:t>质功能区划为Ⅲ类，</w:t>
      </w:r>
      <w:r>
        <w:rPr>
          <w:rFonts w:ascii="Times New Roman" w:hAnsi="Times New Roman"/>
          <w:color w:val="auto"/>
          <w:sz w:val="24"/>
          <w:szCs w:val="24"/>
          <w:highlight w:val="none"/>
          <w:lang w:val="zh-CN"/>
        </w:rPr>
        <w:t>用</w:t>
      </w:r>
      <w:r>
        <w:rPr>
          <w:rFonts w:ascii="Times New Roman" w:hAnsi="Times New Roman"/>
          <w:color w:val="auto"/>
          <w:sz w:val="24"/>
          <w:highlight w:val="none"/>
          <w:lang w:val="zh-CN"/>
        </w:rPr>
        <w:t>于农田灌溉，防洪排涝</w:t>
      </w:r>
      <w:r>
        <w:rPr>
          <w:rFonts w:ascii="Times New Roman" w:hAnsi="Times New Roman"/>
          <w:color w:val="auto"/>
          <w:sz w:val="24"/>
          <w:szCs w:val="24"/>
          <w:highlight w:val="none"/>
        </w:rPr>
        <w:t>；项目所在地环境空气为二类功能区；声环境功能区为2类。</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hint="eastAsia" w:ascii="Times New Roman" w:hAnsi="Times New Roman"/>
          <w:color w:val="auto"/>
          <w:sz w:val="24"/>
          <w:szCs w:val="24"/>
          <w:highlight w:val="none"/>
          <w:lang w:val="en-US" w:eastAsia="zh-CN"/>
        </w:rPr>
        <w:t>2、</w:t>
      </w:r>
      <w:r>
        <w:rPr>
          <w:rFonts w:ascii="Times New Roman" w:hAnsi="Times New Roman"/>
          <w:color w:val="auto"/>
          <w:sz w:val="24"/>
          <w:highlight w:val="none"/>
          <w:lang w:val="zh-CN"/>
        </w:rPr>
        <w:t>该项目位于</w:t>
      </w:r>
      <w:r>
        <w:rPr>
          <w:rFonts w:hint="eastAsia"/>
          <w:color w:val="auto"/>
          <w:sz w:val="24"/>
          <w:highlight w:val="none"/>
          <w:lang w:eastAsia="zh-CN"/>
        </w:rPr>
        <w:t>平舆</w:t>
      </w:r>
      <w:r>
        <w:rPr>
          <w:rFonts w:ascii="Times New Roman" w:hAnsi="Times New Roman"/>
          <w:color w:val="auto"/>
          <w:sz w:val="24"/>
          <w:highlight w:val="none"/>
        </w:rPr>
        <w:t>县</w:t>
      </w:r>
      <w:r>
        <w:rPr>
          <w:rFonts w:hint="eastAsia"/>
          <w:color w:val="auto"/>
          <w:sz w:val="24"/>
          <w:highlight w:val="none"/>
          <w:lang w:eastAsia="zh-CN"/>
        </w:rPr>
        <w:t>庙湾乡赵庄村</w:t>
      </w:r>
      <w:r>
        <w:rPr>
          <w:rFonts w:ascii="Times New Roman" w:hAnsi="Times New Roman"/>
          <w:color w:val="auto"/>
          <w:sz w:val="24"/>
          <w:highlight w:val="none"/>
          <w:lang w:val="zh-CN"/>
        </w:rPr>
        <w:t>，场区四周农田围绕，地形相对平坦。种植作物有玉米、小麦等；场址周围敏感点有：</w:t>
      </w:r>
      <w:r>
        <w:rPr>
          <w:rFonts w:hint="eastAsia"/>
          <w:color w:val="auto"/>
          <w:sz w:val="24"/>
          <w:highlight w:val="none"/>
          <w:lang w:val="zh-CN"/>
        </w:rPr>
        <w:t>东</w:t>
      </w:r>
      <w:r>
        <w:rPr>
          <w:rFonts w:hint="eastAsia" w:ascii="Times New Roman" w:hAnsi="Times New Roman"/>
          <w:bCs/>
          <w:color w:val="auto"/>
          <w:sz w:val="24"/>
          <w:highlight w:val="none"/>
          <w:lang w:eastAsia="zh-CN"/>
        </w:rPr>
        <w:t>北</w:t>
      </w:r>
      <w:r>
        <w:rPr>
          <w:rFonts w:ascii="Times New Roman" w:hAnsi="Times New Roman"/>
          <w:bCs/>
          <w:color w:val="auto"/>
          <w:sz w:val="24"/>
          <w:highlight w:val="none"/>
          <w:lang w:val="zh-CN"/>
        </w:rPr>
        <w:t>侧</w:t>
      </w:r>
      <w:r>
        <w:rPr>
          <w:rFonts w:hint="eastAsia"/>
          <w:bCs/>
          <w:color w:val="auto"/>
          <w:sz w:val="24"/>
          <w:highlight w:val="none"/>
          <w:lang w:val="en-US" w:eastAsia="zh-CN"/>
        </w:rPr>
        <w:t>420</w:t>
      </w:r>
      <w:r>
        <w:rPr>
          <w:rFonts w:ascii="Times New Roman" w:hAnsi="Times New Roman"/>
          <w:bCs/>
          <w:color w:val="auto"/>
          <w:sz w:val="24"/>
          <w:highlight w:val="none"/>
        </w:rPr>
        <w:t>m</w:t>
      </w:r>
      <w:r>
        <w:rPr>
          <w:rFonts w:ascii="Times New Roman" w:hAnsi="Times New Roman"/>
          <w:bCs/>
          <w:color w:val="auto"/>
          <w:sz w:val="24"/>
          <w:highlight w:val="none"/>
          <w:lang w:val="zh-CN"/>
        </w:rPr>
        <w:t>处</w:t>
      </w:r>
      <w:r>
        <w:rPr>
          <w:rFonts w:hint="eastAsia"/>
          <w:bCs/>
          <w:color w:val="auto"/>
          <w:sz w:val="24"/>
          <w:highlight w:val="none"/>
          <w:lang w:val="zh-CN"/>
        </w:rPr>
        <w:t>的吴自岐</w:t>
      </w:r>
      <w:r>
        <w:rPr>
          <w:rFonts w:hint="eastAsia"/>
          <w:bCs/>
          <w:color w:val="auto"/>
          <w:sz w:val="24"/>
          <w:highlight w:val="none"/>
          <w:lang w:eastAsia="zh-CN"/>
        </w:rPr>
        <w:t>庄</w:t>
      </w:r>
      <w:r>
        <w:rPr>
          <w:rFonts w:ascii="Times New Roman" w:hAnsi="Times New Roman"/>
          <w:bCs/>
          <w:color w:val="auto"/>
          <w:sz w:val="24"/>
          <w:highlight w:val="none"/>
          <w:lang w:val="zh-CN"/>
        </w:rPr>
        <w:t>，</w:t>
      </w:r>
      <w:r>
        <w:rPr>
          <w:rFonts w:hint="eastAsia"/>
          <w:bCs/>
          <w:color w:val="auto"/>
          <w:sz w:val="24"/>
          <w:highlight w:val="none"/>
          <w:lang w:val="zh-CN"/>
        </w:rPr>
        <w:t>东</w:t>
      </w:r>
      <w:r>
        <w:rPr>
          <w:rFonts w:ascii="Times New Roman" w:hAnsi="Times New Roman"/>
          <w:bCs/>
          <w:color w:val="auto"/>
          <w:sz w:val="24"/>
          <w:highlight w:val="none"/>
          <w:lang w:val="zh-CN"/>
        </w:rPr>
        <w:t>侧</w:t>
      </w:r>
      <w:r>
        <w:rPr>
          <w:rFonts w:hint="eastAsia"/>
          <w:bCs/>
          <w:color w:val="auto"/>
          <w:sz w:val="24"/>
          <w:highlight w:val="none"/>
          <w:lang w:val="en-US" w:eastAsia="zh-CN"/>
        </w:rPr>
        <w:t>670</w:t>
      </w:r>
      <w:r>
        <w:rPr>
          <w:rFonts w:ascii="Times New Roman" w:hAnsi="Times New Roman"/>
          <w:bCs/>
          <w:color w:val="auto"/>
          <w:sz w:val="24"/>
          <w:highlight w:val="none"/>
          <w:lang w:val="zh-CN"/>
        </w:rPr>
        <w:t>m处</w:t>
      </w:r>
      <w:r>
        <w:rPr>
          <w:rFonts w:hint="eastAsia"/>
          <w:bCs/>
          <w:color w:val="auto"/>
          <w:sz w:val="24"/>
          <w:highlight w:val="none"/>
          <w:lang w:val="zh-CN"/>
        </w:rPr>
        <w:t>的小吴庄</w:t>
      </w:r>
      <w:r>
        <w:rPr>
          <w:rFonts w:ascii="Times New Roman" w:hAnsi="Times New Roman"/>
          <w:bCs/>
          <w:color w:val="auto"/>
          <w:sz w:val="24"/>
          <w:highlight w:val="none"/>
          <w:lang w:val="zh-CN"/>
        </w:rPr>
        <w:t>，</w:t>
      </w:r>
      <w:r>
        <w:rPr>
          <w:rFonts w:hint="eastAsia"/>
          <w:bCs/>
          <w:color w:val="auto"/>
          <w:sz w:val="24"/>
          <w:highlight w:val="none"/>
          <w:lang w:val="zh-CN"/>
        </w:rPr>
        <w:t>西南</w:t>
      </w:r>
      <w:r>
        <w:rPr>
          <w:rFonts w:ascii="Times New Roman" w:hAnsi="Times New Roman"/>
          <w:bCs/>
          <w:color w:val="auto"/>
          <w:sz w:val="24"/>
          <w:highlight w:val="none"/>
          <w:lang w:val="zh-CN"/>
        </w:rPr>
        <w:t>侧</w:t>
      </w:r>
      <w:r>
        <w:rPr>
          <w:rFonts w:hint="eastAsia"/>
          <w:bCs/>
          <w:color w:val="auto"/>
          <w:sz w:val="24"/>
          <w:highlight w:val="none"/>
          <w:lang w:val="en-US" w:eastAsia="zh-CN"/>
        </w:rPr>
        <w:t>582</w:t>
      </w:r>
      <w:r>
        <w:rPr>
          <w:rFonts w:ascii="Times New Roman" w:hAnsi="Times New Roman"/>
          <w:bCs/>
          <w:color w:val="auto"/>
          <w:sz w:val="24"/>
          <w:highlight w:val="none"/>
        </w:rPr>
        <w:t>m</w:t>
      </w:r>
      <w:r>
        <w:rPr>
          <w:rFonts w:ascii="Times New Roman" w:hAnsi="Times New Roman"/>
          <w:bCs/>
          <w:color w:val="auto"/>
          <w:sz w:val="24"/>
          <w:highlight w:val="none"/>
          <w:lang w:val="zh-CN"/>
        </w:rPr>
        <w:t>处</w:t>
      </w:r>
      <w:r>
        <w:rPr>
          <w:rFonts w:hint="eastAsia"/>
          <w:bCs/>
          <w:color w:val="auto"/>
          <w:sz w:val="24"/>
          <w:highlight w:val="none"/>
          <w:lang w:val="zh-CN"/>
        </w:rPr>
        <w:t>的下王湾</w:t>
      </w:r>
      <w:r>
        <w:rPr>
          <w:rFonts w:ascii="Times New Roman" w:hAnsi="Times New Roman"/>
          <w:bCs/>
          <w:color w:val="auto"/>
          <w:sz w:val="24"/>
          <w:highlight w:val="none"/>
          <w:lang w:val="zh-CN"/>
        </w:rPr>
        <w:t>，</w:t>
      </w:r>
      <w:r>
        <w:rPr>
          <w:rFonts w:hint="eastAsia"/>
          <w:bCs/>
          <w:color w:val="auto"/>
          <w:sz w:val="24"/>
          <w:highlight w:val="none"/>
          <w:lang w:val="zh-CN"/>
        </w:rPr>
        <w:t>东</w:t>
      </w:r>
      <w:r>
        <w:rPr>
          <w:rFonts w:ascii="Times New Roman" w:hAnsi="Times New Roman"/>
          <w:bCs/>
          <w:color w:val="auto"/>
          <w:sz w:val="24"/>
          <w:highlight w:val="none"/>
          <w:lang w:val="zh-CN"/>
        </w:rPr>
        <w:t>侧</w:t>
      </w:r>
      <w:r>
        <w:rPr>
          <w:rFonts w:hint="eastAsia"/>
          <w:bCs/>
          <w:color w:val="auto"/>
          <w:sz w:val="24"/>
          <w:highlight w:val="none"/>
          <w:lang w:val="en-US" w:eastAsia="zh-CN"/>
        </w:rPr>
        <w:t>1063</w:t>
      </w:r>
      <w:r>
        <w:rPr>
          <w:rFonts w:ascii="Times New Roman" w:hAnsi="Times New Roman"/>
          <w:bCs/>
          <w:color w:val="auto"/>
          <w:sz w:val="24"/>
          <w:highlight w:val="none"/>
          <w:lang w:val="zh-CN"/>
        </w:rPr>
        <w:t>m处</w:t>
      </w:r>
      <w:r>
        <w:rPr>
          <w:rFonts w:hint="eastAsia"/>
          <w:bCs/>
          <w:color w:val="auto"/>
          <w:sz w:val="24"/>
          <w:highlight w:val="none"/>
          <w:lang w:val="zh-CN"/>
        </w:rPr>
        <w:t>的大吴庄</w:t>
      </w:r>
      <w:r>
        <w:rPr>
          <w:rFonts w:hint="eastAsia" w:ascii="Times New Roman" w:hAnsi="Times New Roman"/>
          <w:bCs/>
          <w:color w:val="auto"/>
          <w:sz w:val="24"/>
          <w:highlight w:val="none"/>
          <w:lang w:eastAsia="zh-CN"/>
        </w:rPr>
        <w:t>，</w:t>
      </w:r>
      <w:r>
        <w:rPr>
          <w:rFonts w:hint="eastAsia"/>
          <w:bCs/>
          <w:color w:val="auto"/>
          <w:sz w:val="24"/>
          <w:highlight w:val="none"/>
          <w:lang w:val="zh-CN"/>
        </w:rPr>
        <w:t>东北</w:t>
      </w:r>
      <w:r>
        <w:rPr>
          <w:rFonts w:ascii="Times New Roman" w:hAnsi="Times New Roman"/>
          <w:bCs/>
          <w:color w:val="auto"/>
          <w:sz w:val="24"/>
          <w:highlight w:val="none"/>
          <w:lang w:val="zh-CN"/>
        </w:rPr>
        <w:t>侧</w:t>
      </w:r>
      <w:r>
        <w:rPr>
          <w:rFonts w:hint="eastAsia"/>
          <w:bCs/>
          <w:color w:val="auto"/>
          <w:sz w:val="24"/>
          <w:highlight w:val="none"/>
          <w:lang w:val="en-US" w:eastAsia="zh-CN"/>
        </w:rPr>
        <w:t>102</w:t>
      </w:r>
      <w:r>
        <w:rPr>
          <w:rFonts w:hint="eastAsia" w:ascii="Times New Roman" w:hAnsi="Times New Roman"/>
          <w:bCs/>
          <w:color w:val="auto"/>
          <w:sz w:val="24"/>
          <w:highlight w:val="none"/>
          <w:lang w:val="en-US" w:eastAsia="zh-CN"/>
        </w:rPr>
        <w:t>0</w:t>
      </w:r>
      <w:r>
        <w:rPr>
          <w:rFonts w:ascii="Times New Roman" w:hAnsi="Times New Roman"/>
          <w:bCs/>
          <w:color w:val="auto"/>
          <w:sz w:val="24"/>
          <w:highlight w:val="none"/>
          <w:lang w:val="zh-CN"/>
        </w:rPr>
        <w:t>m处</w:t>
      </w:r>
      <w:r>
        <w:rPr>
          <w:rFonts w:hint="eastAsia"/>
          <w:bCs/>
          <w:color w:val="auto"/>
          <w:sz w:val="24"/>
          <w:highlight w:val="none"/>
          <w:lang w:val="zh-CN"/>
        </w:rPr>
        <w:t>的赵</w:t>
      </w:r>
      <w:r>
        <w:rPr>
          <w:rFonts w:ascii="Times New Roman" w:hAnsi="Times New Roman"/>
          <w:bCs/>
          <w:color w:val="auto"/>
          <w:sz w:val="24"/>
          <w:highlight w:val="none"/>
        </w:rPr>
        <w:t>庄</w:t>
      </w:r>
      <w:r>
        <w:rPr>
          <w:rFonts w:ascii="Times New Roman" w:hAnsi="Times New Roman"/>
          <w:color w:val="auto"/>
          <w:sz w:val="24"/>
          <w:highlight w:val="none"/>
        </w:rPr>
        <w:t>。</w:t>
      </w:r>
    </w:p>
    <w:p>
      <w:pPr>
        <w:pStyle w:val="41"/>
        <w:numPr>
          <w:ilvl w:val="0"/>
          <w:numId w:val="1"/>
        </w:numPr>
        <w:rPr>
          <w:rFonts w:cs="Times New Roman"/>
          <w:color w:val="auto"/>
          <w:highlight w:val="none"/>
        </w:rPr>
      </w:pPr>
      <w:r>
        <w:rPr>
          <w:rFonts w:hint="eastAsia" w:cs="Times New Roman"/>
          <w:color w:val="auto"/>
          <w:highlight w:val="none"/>
          <w:lang w:eastAsia="zh-CN"/>
        </w:rPr>
        <w:t>分析判定情况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kern w:val="0"/>
          <w:sz w:val="24"/>
          <w:highlight w:val="none"/>
        </w:rPr>
      </w:pPr>
      <w:r>
        <w:rPr>
          <w:rFonts w:ascii="Times New Roman" w:hAnsi="Times New Roman"/>
          <w:color w:val="auto"/>
          <w:kern w:val="0"/>
          <w:sz w:val="24"/>
          <w:highlight w:val="none"/>
        </w:rPr>
        <w:t>（1）产业政策相符性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kern w:val="0"/>
          <w:sz w:val="24"/>
          <w:highlight w:val="none"/>
        </w:rPr>
      </w:pPr>
      <w:r>
        <w:rPr>
          <w:rFonts w:ascii="Times New Roman" w:hAnsi="Times New Roman"/>
          <w:color w:val="auto"/>
          <w:sz w:val="24"/>
          <w:highlight w:val="none"/>
        </w:rPr>
        <w:t>本项目为生猪规模化养殖建设项目。根据国家发展和改革委员会第21号令《产业结构调整指导目录（2019年本）》，本项目属于第一类鼓励类中</w:t>
      </w:r>
      <w:r>
        <w:rPr>
          <w:rFonts w:hint="eastAsia" w:asciiTheme="minorEastAsia" w:hAnsiTheme="minorEastAsia" w:eastAsiaTheme="minorEastAsia" w:cstheme="minorEastAsia"/>
          <w:color w:val="auto"/>
          <w:sz w:val="24"/>
          <w:highlight w:val="none"/>
        </w:rPr>
        <w:t>“一、农林业第</w:t>
      </w:r>
      <w:r>
        <w:rPr>
          <w:rFonts w:hint="default" w:ascii="Times New Roman" w:hAnsi="Times New Roman" w:cs="Times New Roman" w:eastAsiaTheme="minorEastAsia"/>
          <w:color w:val="auto"/>
          <w:sz w:val="24"/>
          <w:highlight w:val="none"/>
        </w:rPr>
        <w:t>4</w:t>
      </w:r>
      <w:r>
        <w:rPr>
          <w:rFonts w:hint="eastAsia" w:asciiTheme="minorEastAsia" w:hAnsiTheme="minorEastAsia" w:eastAsiaTheme="minorEastAsia" w:cstheme="minorEastAsia"/>
          <w:color w:val="auto"/>
          <w:sz w:val="24"/>
          <w:highlight w:val="none"/>
        </w:rPr>
        <w:t>条畜禽标准化规模养殖技术开发与应用”</w:t>
      </w:r>
      <w:r>
        <w:rPr>
          <w:rFonts w:ascii="Times New Roman" w:hAnsi="Times New Roman"/>
          <w:color w:val="auto"/>
          <w:sz w:val="24"/>
          <w:highlight w:val="none"/>
        </w:rPr>
        <w:t>，符合国家现行的有关产业政策。</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（2）规划相符性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fldChar w:fldCharType="begin"/>
      </w:r>
      <w:r>
        <w:rPr>
          <w:rFonts w:ascii="Times New Roman" w:hAnsi="Times New Roman"/>
          <w:color w:val="auto"/>
          <w:sz w:val="24"/>
          <w:szCs w:val="24"/>
          <w:highlight w:val="none"/>
        </w:rPr>
        <w:instrText xml:space="preserve"> = 1 \* GB3 \* MERGEFORMAT </w:instrText>
      </w:r>
      <w:r>
        <w:rPr>
          <w:rFonts w:ascii="Times New Roman" w:hAnsi="Times New Roman"/>
          <w:color w:val="auto"/>
          <w:sz w:val="24"/>
          <w:szCs w:val="24"/>
          <w:highlight w:val="none"/>
        </w:rPr>
        <w:fldChar w:fldCharType="separate"/>
      </w:r>
      <w:r>
        <w:rPr>
          <w:rFonts w:ascii="Times New Roman" w:hAnsi="Times New Roman"/>
          <w:color w:val="auto"/>
          <w:sz w:val="24"/>
          <w:szCs w:val="24"/>
          <w:highlight w:val="none"/>
        </w:rPr>
        <w:t>①</w:t>
      </w:r>
      <w:r>
        <w:rPr>
          <w:rFonts w:ascii="Times New Roman" w:hAnsi="Times New Roman"/>
          <w:color w:val="auto"/>
          <w:sz w:val="24"/>
          <w:szCs w:val="24"/>
          <w:highlight w:val="none"/>
        </w:rPr>
        <w:fldChar w:fldCharType="end"/>
      </w:r>
      <w:r>
        <w:rPr>
          <w:rFonts w:hint="eastAsia"/>
          <w:color w:val="auto"/>
          <w:sz w:val="24"/>
          <w:szCs w:val="24"/>
          <w:highlight w:val="none"/>
          <w:lang w:eastAsia="zh-CN"/>
        </w:rPr>
        <w:t>平舆</w:t>
      </w:r>
      <w:r>
        <w:rPr>
          <w:rFonts w:ascii="Times New Roman" w:hAnsi="Times New Roman"/>
          <w:color w:val="auto"/>
          <w:sz w:val="24"/>
          <w:szCs w:val="24"/>
          <w:highlight w:val="none"/>
        </w:rPr>
        <w:t>县城</w:t>
      </w:r>
      <w:r>
        <w:rPr>
          <w:rFonts w:hint="eastAsia"/>
          <w:color w:val="auto"/>
          <w:sz w:val="24"/>
          <w:szCs w:val="24"/>
          <w:highlight w:val="none"/>
          <w:lang w:eastAsia="zh-CN"/>
        </w:rPr>
        <w:t>乡</w:t>
      </w:r>
      <w:r>
        <w:rPr>
          <w:rFonts w:ascii="Times New Roman" w:hAnsi="Times New Roman"/>
          <w:color w:val="auto"/>
          <w:sz w:val="24"/>
          <w:szCs w:val="24"/>
          <w:highlight w:val="none"/>
        </w:rPr>
        <w:t>总体规划（2011-2030）</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本项目位于</w:t>
      </w:r>
      <w:r>
        <w:rPr>
          <w:rFonts w:hint="eastAsia"/>
          <w:color w:val="auto"/>
          <w:sz w:val="24"/>
          <w:szCs w:val="24"/>
          <w:highlight w:val="none"/>
          <w:lang w:eastAsia="zh-CN"/>
        </w:rPr>
        <w:t>平舆</w:t>
      </w:r>
      <w:r>
        <w:rPr>
          <w:rFonts w:ascii="Times New Roman" w:hAnsi="Times New Roman"/>
          <w:color w:val="auto"/>
          <w:sz w:val="24"/>
          <w:szCs w:val="24"/>
          <w:highlight w:val="none"/>
        </w:rPr>
        <w:t>县</w:t>
      </w:r>
      <w:r>
        <w:rPr>
          <w:rFonts w:hint="eastAsia"/>
          <w:color w:val="auto"/>
          <w:sz w:val="24"/>
          <w:szCs w:val="24"/>
          <w:highlight w:val="none"/>
          <w:lang w:eastAsia="zh-CN"/>
        </w:rPr>
        <w:t>庙湾乡赵庄村</w:t>
      </w:r>
      <w:r>
        <w:rPr>
          <w:rFonts w:ascii="Times New Roman" w:hAnsi="Times New Roman"/>
          <w:color w:val="auto"/>
          <w:sz w:val="24"/>
          <w:szCs w:val="24"/>
          <w:highlight w:val="none"/>
        </w:rPr>
        <w:t>，不在</w:t>
      </w:r>
      <w:r>
        <w:rPr>
          <w:rFonts w:hint="eastAsia"/>
          <w:color w:val="auto"/>
          <w:sz w:val="24"/>
          <w:szCs w:val="24"/>
          <w:highlight w:val="none"/>
          <w:lang w:eastAsia="zh-CN"/>
        </w:rPr>
        <w:t>平舆</w:t>
      </w:r>
      <w:r>
        <w:rPr>
          <w:rFonts w:ascii="Times New Roman" w:hAnsi="Times New Roman"/>
          <w:color w:val="auto"/>
          <w:sz w:val="24"/>
          <w:szCs w:val="24"/>
          <w:highlight w:val="none"/>
        </w:rPr>
        <w:t>县城</w:t>
      </w:r>
      <w:r>
        <w:rPr>
          <w:rFonts w:hint="eastAsia"/>
          <w:color w:val="auto"/>
          <w:sz w:val="24"/>
          <w:szCs w:val="24"/>
          <w:highlight w:val="none"/>
          <w:lang w:eastAsia="zh-CN"/>
        </w:rPr>
        <w:t>乡</w:t>
      </w:r>
      <w:r>
        <w:rPr>
          <w:rFonts w:ascii="Times New Roman" w:hAnsi="Times New Roman"/>
          <w:color w:val="auto"/>
          <w:sz w:val="24"/>
          <w:szCs w:val="24"/>
          <w:highlight w:val="none"/>
        </w:rPr>
        <w:t>总体规划（2011-2030）范围内，故本次项目的建设不违背</w:t>
      </w:r>
      <w:r>
        <w:rPr>
          <w:rFonts w:hint="eastAsia"/>
          <w:color w:val="auto"/>
          <w:sz w:val="24"/>
          <w:szCs w:val="24"/>
          <w:highlight w:val="none"/>
          <w:lang w:eastAsia="zh-CN"/>
        </w:rPr>
        <w:t>平舆</w:t>
      </w:r>
      <w:r>
        <w:rPr>
          <w:rFonts w:ascii="Times New Roman" w:hAnsi="Times New Roman"/>
          <w:color w:val="auto"/>
          <w:sz w:val="24"/>
          <w:szCs w:val="24"/>
          <w:highlight w:val="none"/>
        </w:rPr>
        <w:t>县城市总体发展规划（2011-2030）。</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fldChar w:fldCharType="begin"/>
      </w:r>
      <w:r>
        <w:rPr>
          <w:rFonts w:ascii="Times New Roman" w:hAnsi="Times New Roman"/>
          <w:color w:val="auto"/>
          <w:sz w:val="24"/>
          <w:szCs w:val="24"/>
          <w:highlight w:val="none"/>
        </w:rPr>
        <w:instrText xml:space="preserve"> = 2 \* GB3 \* MERGEFORMAT </w:instrText>
      </w:r>
      <w:r>
        <w:rPr>
          <w:rFonts w:ascii="Times New Roman" w:hAnsi="Times New Roman"/>
          <w:color w:val="auto"/>
          <w:sz w:val="24"/>
          <w:szCs w:val="24"/>
          <w:highlight w:val="none"/>
        </w:rPr>
        <w:fldChar w:fldCharType="separate"/>
      </w:r>
      <w:r>
        <w:rPr>
          <w:rFonts w:ascii="Times New Roman" w:hAnsi="Times New Roman"/>
          <w:color w:val="auto"/>
          <w:sz w:val="24"/>
          <w:szCs w:val="24"/>
          <w:highlight w:val="none"/>
        </w:rPr>
        <w:t>②</w:t>
      </w:r>
      <w:r>
        <w:rPr>
          <w:rFonts w:ascii="Times New Roman" w:hAnsi="Times New Roman"/>
          <w:color w:val="auto"/>
          <w:sz w:val="24"/>
          <w:szCs w:val="24"/>
          <w:highlight w:val="none"/>
        </w:rPr>
        <w:fldChar w:fldCharType="end"/>
      </w:r>
      <w:r>
        <w:rPr>
          <w:rFonts w:ascii="Times New Roman" w:hAnsi="Times New Roman"/>
          <w:color w:val="auto"/>
          <w:sz w:val="24"/>
          <w:szCs w:val="24"/>
          <w:highlight w:val="none"/>
        </w:rPr>
        <w:t>土地利用规划</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本项目拟建场址位于</w:t>
      </w:r>
      <w:r>
        <w:rPr>
          <w:rFonts w:hint="eastAsia"/>
          <w:color w:val="auto"/>
          <w:sz w:val="24"/>
          <w:szCs w:val="24"/>
          <w:highlight w:val="none"/>
          <w:lang w:eastAsia="zh-CN"/>
        </w:rPr>
        <w:t>平舆</w:t>
      </w:r>
      <w:r>
        <w:rPr>
          <w:rFonts w:ascii="Times New Roman" w:hAnsi="Times New Roman"/>
          <w:color w:val="auto"/>
          <w:sz w:val="24"/>
          <w:szCs w:val="24"/>
          <w:highlight w:val="none"/>
        </w:rPr>
        <w:t>县</w:t>
      </w:r>
      <w:r>
        <w:rPr>
          <w:rFonts w:hint="eastAsia"/>
          <w:color w:val="auto"/>
          <w:sz w:val="24"/>
          <w:szCs w:val="24"/>
          <w:highlight w:val="none"/>
          <w:lang w:eastAsia="zh-CN"/>
        </w:rPr>
        <w:t>庙湾乡赵庄村</w:t>
      </w:r>
      <w:r>
        <w:rPr>
          <w:rFonts w:ascii="Times New Roman" w:hAnsi="Times New Roman"/>
          <w:color w:val="auto"/>
          <w:sz w:val="24"/>
          <w:szCs w:val="24"/>
          <w:highlight w:val="none"/>
        </w:rPr>
        <w:t>，本项目占地为一般农</w:t>
      </w:r>
      <w:r>
        <w:rPr>
          <w:rFonts w:hint="eastAsia"/>
          <w:color w:val="auto"/>
          <w:sz w:val="24"/>
          <w:szCs w:val="24"/>
          <w:highlight w:val="none"/>
          <w:lang w:eastAsia="zh-CN"/>
        </w:rPr>
        <w:t>田</w:t>
      </w:r>
      <w:r>
        <w:rPr>
          <w:rFonts w:ascii="Times New Roman" w:hAnsi="Times New Roman"/>
          <w:color w:val="auto"/>
          <w:sz w:val="24"/>
          <w:szCs w:val="24"/>
          <w:highlight w:val="none"/>
        </w:rPr>
        <w:t>，项目用地符合</w:t>
      </w:r>
      <w:r>
        <w:rPr>
          <w:rFonts w:hint="eastAsia"/>
          <w:color w:val="auto"/>
          <w:sz w:val="24"/>
          <w:szCs w:val="24"/>
          <w:highlight w:val="none"/>
          <w:lang w:eastAsia="zh-CN"/>
        </w:rPr>
        <w:t>庙湾镇</w:t>
      </w:r>
      <w:r>
        <w:rPr>
          <w:rFonts w:ascii="Times New Roman" w:hAnsi="Times New Roman"/>
          <w:color w:val="auto"/>
          <w:sz w:val="24"/>
          <w:szCs w:val="24"/>
          <w:highlight w:val="none"/>
        </w:rPr>
        <w:t>建设总体规划要求。</w:t>
      </w:r>
      <w:r>
        <w:rPr>
          <w:rFonts w:hint="eastAsia"/>
          <w:color w:val="auto"/>
          <w:sz w:val="24"/>
          <w:szCs w:val="24"/>
          <w:highlight w:val="none"/>
          <w:lang w:eastAsia="zh-CN"/>
        </w:rPr>
        <w:t>平舆</w:t>
      </w:r>
      <w:r>
        <w:rPr>
          <w:rFonts w:ascii="Times New Roman" w:hAnsi="Times New Roman"/>
          <w:color w:val="auto"/>
          <w:sz w:val="24"/>
          <w:szCs w:val="24"/>
          <w:highlight w:val="none"/>
        </w:rPr>
        <w:t>县国土局及规划证明见附件</w:t>
      </w:r>
      <w:r>
        <w:rPr>
          <w:rFonts w:hint="eastAsia"/>
          <w:color w:val="auto"/>
          <w:sz w:val="24"/>
          <w:szCs w:val="24"/>
          <w:highlight w:val="none"/>
          <w:lang w:eastAsia="zh-CN"/>
        </w:rPr>
        <w:t>六</w:t>
      </w:r>
      <w:r>
        <w:rPr>
          <w:rFonts w:ascii="Times New Roman" w:hAnsi="Times New Roman"/>
          <w:color w:val="auto"/>
          <w:sz w:val="24"/>
          <w:szCs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fldChar w:fldCharType="begin"/>
      </w:r>
      <w:r>
        <w:rPr>
          <w:rFonts w:ascii="Times New Roman" w:hAnsi="Times New Roman"/>
          <w:color w:val="auto"/>
          <w:sz w:val="24"/>
          <w:szCs w:val="24"/>
          <w:highlight w:val="none"/>
        </w:rPr>
        <w:instrText xml:space="preserve"> = 3 \* GB3 \* MERGEFORMAT </w:instrText>
      </w:r>
      <w:r>
        <w:rPr>
          <w:rFonts w:ascii="Times New Roman" w:hAnsi="Times New Roman"/>
          <w:color w:val="auto"/>
          <w:sz w:val="24"/>
          <w:szCs w:val="24"/>
          <w:highlight w:val="none"/>
        </w:rPr>
        <w:fldChar w:fldCharType="separate"/>
      </w:r>
      <w:r>
        <w:rPr>
          <w:rFonts w:ascii="Times New Roman" w:hAnsi="Times New Roman"/>
          <w:color w:val="auto"/>
          <w:sz w:val="24"/>
          <w:szCs w:val="24"/>
          <w:highlight w:val="none"/>
        </w:rPr>
        <w:t>③</w:t>
      </w:r>
      <w:r>
        <w:rPr>
          <w:rFonts w:ascii="Times New Roman" w:hAnsi="Times New Roman"/>
          <w:color w:val="auto"/>
          <w:sz w:val="24"/>
          <w:szCs w:val="24"/>
          <w:highlight w:val="none"/>
        </w:rPr>
        <w:fldChar w:fldCharType="end"/>
      </w:r>
      <w:r>
        <w:rPr>
          <w:rFonts w:ascii="Times New Roman" w:hAnsi="Times New Roman"/>
          <w:color w:val="auto"/>
          <w:sz w:val="24"/>
          <w:szCs w:val="24"/>
          <w:highlight w:val="none"/>
        </w:rPr>
        <w:t>饮用水源地保护区划</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根据《河南省县级集中式饮用水水源保护区划》（豫政办〔2013〕107号）划分的结果可知，本项目距</w:t>
      </w:r>
      <w:r>
        <w:rPr>
          <w:rFonts w:hint="eastAsia"/>
          <w:color w:val="auto"/>
          <w:sz w:val="24"/>
          <w:szCs w:val="24"/>
          <w:highlight w:val="none"/>
          <w:lang w:eastAsia="zh-CN"/>
        </w:rPr>
        <w:t>平舆</w:t>
      </w:r>
      <w:r>
        <w:rPr>
          <w:rFonts w:ascii="Times New Roman" w:hAnsi="Times New Roman"/>
          <w:color w:val="auto"/>
          <w:sz w:val="24"/>
          <w:szCs w:val="24"/>
          <w:highlight w:val="none"/>
        </w:rPr>
        <w:t>县城市饮用水水源地一级保护区最近距离约为</w:t>
      </w:r>
      <w:r>
        <w:rPr>
          <w:rFonts w:hint="eastAsia"/>
          <w:color w:val="auto"/>
          <w:sz w:val="24"/>
          <w:szCs w:val="24"/>
          <w:highlight w:val="none"/>
          <w:lang w:val="en-US" w:eastAsia="zh-CN"/>
        </w:rPr>
        <w:t>12.8</w:t>
      </w:r>
      <w:r>
        <w:rPr>
          <w:rFonts w:ascii="Times New Roman" w:hAnsi="Times New Roman"/>
          <w:color w:val="auto"/>
          <w:sz w:val="24"/>
          <w:szCs w:val="24"/>
          <w:highlight w:val="none"/>
        </w:rPr>
        <w:t>km，不在</w:t>
      </w:r>
      <w:r>
        <w:rPr>
          <w:rFonts w:hint="eastAsia"/>
          <w:color w:val="auto"/>
          <w:sz w:val="24"/>
          <w:szCs w:val="24"/>
          <w:highlight w:val="none"/>
          <w:lang w:eastAsia="zh-CN"/>
        </w:rPr>
        <w:t>平舆</w:t>
      </w:r>
      <w:r>
        <w:rPr>
          <w:rFonts w:ascii="Times New Roman" w:hAnsi="Times New Roman"/>
          <w:color w:val="auto"/>
          <w:sz w:val="24"/>
          <w:szCs w:val="24"/>
          <w:highlight w:val="none"/>
        </w:rPr>
        <w:t>县饮用水水源保护区范围内，故项目的建设与</w:t>
      </w:r>
      <w:r>
        <w:rPr>
          <w:rFonts w:hint="eastAsia"/>
          <w:color w:val="auto"/>
          <w:sz w:val="24"/>
          <w:szCs w:val="24"/>
          <w:highlight w:val="none"/>
          <w:lang w:eastAsia="zh-CN"/>
        </w:rPr>
        <w:t>平舆</w:t>
      </w:r>
      <w:r>
        <w:rPr>
          <w:rFonts w:ascii="Times New Roman" w:hAnsi="Times New Roman"/>
          <w:color w:val="auto"/>
          <w:sz w:val="24"/>
          <w:szCs w:val="24"/>
          <w:highlight w:val="none"/>
        </w:rPr>
        <w:t>县饮用水水源地保护区划是不冲突的。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根据《河南省乡镇集中式饮用水水源保护区划》（豫政办〔2016〕23号）划分的结果可知，本项目距</w:t>
      </w:r>
      <w:r>
        <w:rPr>
          <w:rFonts w:hint="eastAsia"/>
          <w:color w:val="auto"/>
          <w:sz w:val="24"/>
          <w:szCs w:val="24"/>
          <w:highlight w:val="none"/>
          <w:lang w:eastAsia="zh-CN"/>
        </w:rPr>
        <w:t>庙湾</w:t>
      </w:r>
      <w:r>
        <w:rPr>
          <w:rFonts w:hint="eastAsia" w:ascii="Times New Roman" w:hAnsi="Times New Roman"/>
          <w:color w:val="auto"/>
          <w:sz w:val="24"/>
          <w:szCs w:val="24"/>
          <w:highlight w:val="none"/>
          <w:lang w:eastAsia="zh-CN"/>
        </w:rPr>
        <w:t>镇</w:t>
      </w:r>
      <w:r>
        <w:rPr>
          <w:rFonts w:ascii="Times New Roman" w:hAnsi="Times New Roman"/>
          <w:color w:val="auto"/>
          <w:sz w:val="24"/>
          <w:szCs w:val="24"/>
          <w:highlight w:val="none"/>
        </w:rPr>
        <w:t>饮用水水源地一级保护区最近距离约为</w:t>
      </w:r>
      <w:r>
        <w:rPr>
          <w:rFonts w:hint="eastAsia"/>
          <w:color w:val="auto"/>
          <w:sz w:val="24"/>
          <w:szCs w:val="24"/>
          <w:highlight w:val="none"/>
          <w:lang w:val="en-US" w:eastAsia="zh-CN"/>
        </w:rPr>
        <w:t>2.4</w:t>
      </w:r>
      <w:r>
        <w:rPr>
          <w:rFonts w:ascii="Times New Roman" w:hAnsi="Times New Roman"/>
          <w:color w:val="auto"/>
          <w:sz w:val="24"/>
          <w:szCs w:val="24"/>
          <w:highlight w:val="none"/>
        </w:rPr>
        <w:t>km，不在</w:t>
      </w:r>
      <w:r>
        <w:rPr>
          <w:rFonts w:hint="eastAsia"/>
          <w:color w:val="auto"/>
          <w:sz w:val="24"/>
          <w:szCs w:val="24"/>
          <w:highlight w:val="none"/>
          <w:lang w:eastAsia="zh-CN"/>
        </w:rPr>
        <w:t>庙湾</w:t>
      </w:r>
      <w:r>
        <w:rPr>
          <w:rFonts w:hint="eastAsia" w:ascii="Times New Roman" w:hAnsi="Times New Roman"/>
          <w:color w:val="auto"/>
          <w:sz w:val="24"/>
          <w:szCs w:val="24"/>
          <w:highlight w:val="none"/>
          <w:lang w:eastAsia="zh-CN"/>
        </w:rPr>
        <w:t>镇</w:t>
      </w:r>
      <w:r>
        <w:rPr>
          <w:rFonts w:ascii="Times New Roman" w:hAnsi="Times New Roman"/>
          <w:color w:val="auto"/>
          <w:sz w:val="24"/>
          <w:szCs w:val="24"/>
          <w:highlight w:val="none"/>
        </w:rPr>
        <w:t>饮用水水源保护区范围内，故项目的建设与</w:t>
      </w:r>
      <w:r>
        <w:rPr>
          <w:rFonts w:hint="eastAsia"/>
          <w:color w:val="auto"/>
          <w:sz w:val="24"/>
          <w:szCs w:val="24"/>
          <w:highlight w:val="none"/>
          <w:lang w:eastAsia="zh-CN"/>
        </w:rPr>
        <w:t>庙湾镇</w:t>
      </w:r>
      <w:r>
        <w:rPr>
          <w:rFonts w:ascii="Times New Roman" w:hAnsi="Times New Roman"/>
          <w:color w:val="auto"/>
          <w:sz w:val="24"/>
          <w:szCs w:val="24"/>
          <w:highlight w:val="none"/>
        </w:rPr>
        <w:t>饮用水水源地保护区划是不冲突的。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（3）</w:t>
      </w:r>
      <w:r>
        <w:rPr>
          <w:rFonts w:hint="eastAsia"/>
          <w:color w:val="auto"/>
          <w:sz w:val="24"/>
          <w:szCs w:val="24"/>
          <w:highlight w:val="none"/>
          <w:lang w:eastAsia="zh-CN"/>
        </w:rPr>
        <w:t>《平舆县人民政府办公室关于印发平舆县畜禽养殖禁养区划分方案的通知》（平政办〔2020〕6号）</w:t>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color w:val="auto"/>
          <w:highlight w:val="none"/>
        </w:rPr>
      </w:pPr>
      <w:r>
        <w:rPr>
          <w:rFonts w:ascii="Times New Roman" w:hAnsi="Times New Roman"/>
          <w:color w:val="auto"/>
          <w:sz w:val="24"/>
          <w:szCs w:val="24"/>
          <w:highlight w:val="none"/>
        </w:rPr>
        <w:t>对照</w:t>
      </w:r>
      <w:r>
        <w:rPr>
          <w:rFonts w:hint="eastAsia"/>
          <w:color w:val="auto"/>
          <w:sz w:val="24"/>
          <w:szCs w:val="24"/>
          <w:highlight w:val="none"/>
          <w:lang w:eastAsia="zh-CN"/>
        </w:rPr>
        <w:t>《平舆县畜禽养殖禁养区划分方案</w:t>
      </w:r>
      <w:r>
        <w:rPr>
          <w:rFonts w:hint="eastAsia" w:ascii="Times New Roman" w:hAnsi="Times New Roman"/>
          <w:color w:val="auto"/>
          <w:sz w:val="24"/>
          <w:szCs w:val="24"/>
          <w:highlight w:val="none"/>
        </w:rPr>
        <w:t>》</w:t>
      </w:r>
      <w:r>
        <w:rPr>
          <w:rFonts w:hint="eastAsia"/>
          <w:color w:val="auto"/>
          <w:sz w:val="24"/>
          <w:szCs w:val="24"/>
          <w:highlight w:val="none"/>
          <w:lang w:eastAsia="zh-CN"/>
        </w:rPr>
        <w:t>，</w:t>
      </w:r>
      <w:r>
        <w:rPr>
          <w:rFonts w:ascii="Times New Roman" w:hAnsi="Times New Roman"/>
          <w:color w:val="auto"/>
          <w:sz w:val="24"/>
          <w:szCs w:val="24"/>
          <w:highlight w:val="none"/>
        </w:rPr>
        <w:t>本项目不在本项目不在禁养区、限养区范围内，</w:t>
      </w:r>
      <w:r>
        <w:rPr>
          <w:rFonts w:hint="eastAsia"/>
          <w:color w:val="auto"/>
          <w:sz w:val="24"/>
          <w:szCs w:val="24"/>
          <w:highlight w:val="none"/>
          <w:lang w:eastAsia="zh-CN"/>
        </w:rPr>
        <w:t>平舆</w:t>
      </w:r>
      <w:r>
        <w:rPr>
          <w:rFonts w:ascii="Times New Roman" w:hAnsi="Times New Roman"/>
          <w:color w:val="auto"/>
          <w:sz w:val="24"/>
          <w:szCs w:val="24"/>
          <w:highlight w:val="none"/>
        </w:rPr>
        <w:t>县</w:t>
      </w:r>
      <w:r>
        <w:rPr>
          <w:rFonts w:hint="eastAsia"/>
          <w:color w:val="auto"/>
          <w:sz w:val="24"/>
          <w:szCs w:val="24"/>
          <w:highlight w:val="none"/>
          <w:lang w:eastAsia="zh-CN"/>
        </w:rPr>
        <w:t>农业农村</w:t>
      </w:r>
      <w:r>
        <w:rPr>
          <w:rFonts w:ascii="Times New Roman" w:hAnsi="Times New Roman"/>
          <w:color w:val="auto"/>
          <w:sz w:val="24"/>
          <w:szCs w:val="24"/>
          <w:highlight w:val="none"/>
        </w:rPr>
        <w:t>局关于本项目不在禁养区、限养区的证明见附件</w:t>
      </w:r>
      <w:r>
        <w:rPr>
          <w:rFonts w:hint="eastAsia"/>
          <w:color w:val="auto"/>
          <w:sz w:val="24"/>
          <w:szCs w:val="24"/>
          <w:highlight w:val="none"/>
          <w:lang w:eastAsia="zh-CN"/>
        </w:rPr>
        <w:t>五</w:t>
      </w:r>
      <w:r>
        <w:rPr>
          <w:rFonts w:ascii="Times New Roman" w:hAnsi="Times New Roman"/>
          <w:color w:val="auto"/>
          <w:sz w:val="24"/>
          <w:szCs w:val="24"/>
          <w:highlight w:val="none"/>
        </w:rPr>
        <w:t>。</w:t>
      </w:r>
    </w:p>
    <w:p>
      <w:pPr>
        <w:pStyle w:val="41"/>
        <w:numPr>
          <w:ilvl w:val="0"/>
          <w:numId w:val="1"/>
        </w:numPr>
        <w:rPr>
          <w:rFonts w:cs="Times New Roman"/>
          <w:color w:val="auto"/>
          <w:highlight w:val="none"/>
        </w:rPr>
      </w:pPr>
      <w:r>
        <w:rPr>
          <w:rFonts w:cs="Times New Roman"/>
          <w:color w:val="auto"/>
          <w:highlight w:val="none"/>
        </w:rPr>
        <w:t>关注的主要环境问题</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hint="eastAsia" w:cs="Times New Roman"/>
          <w:color w:val="auto"/>
          <w:highlight w:val="none"/>
        </w:rPr>
        <w:t>1、</w:t>
      </w:r>
      <w:r>
        <w:rPr>
          <w:rFonts w:ascii="Times New Roman" w:hAnsi="Times New Roman"/>
          <w:color w:val="auto"/>
          <w:sz w:val="24"/>
          <w:highlight w:val="none"/>
        </w:rPr>
        <w:t>环境空气：重点关注项目建设产生的恶臭对区域环境空气质量以及敏感点的影响；</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hint="eastAsia" w:ascii="Times New Roman" w:hAnsi="Times New Roman"/>
          <w:color w:val="auto"/>
          <w:sz w:val="24"/>
          <w:highlight w:val="none"/>
          <w:lang w:val="en-US" w:eastAsia="zh-CN"/>
        </w:rPr>
        <w:t>2、</w:t>
      </w:r>
      <w:r>
        <w:rPr>
          <w:rFonts w:ascii="Times New Roman" w:hAnsi="Times New Roman"/>
          <w:color w:val="auto"/>
          <w:sz w:val="24"/>
          <w:highlight w:val="none"/>
        </w:rPr>
        <w:t>水环境：重点关注项目废水收集、处理措施以及完全综合利用的可行性；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hint="eastAsia" w:ascii="Times New Roman" w:hAnsi="Times New Roman"/>
          <w:color w:val="auto"/>
          <w:sz w:val="24"/>
          <w:highlight w:val="none"/>
          <w:lang w:val="en-US" w:eastAsia="zh-CN"/>
        </w:rPr>
        <w:t>3、</w:t>
      </w:r>
      <w:r>
        <w:rPr>
          <w:rFonts w:ascii="Times New Roman" w:hAnsi="Times New Roman"/>
          <w:color w:val="auto"/>
          <w:sz w:val="24"/>
          <w:highlight w:val="none"/>
        </w:rPr>
        <w:t>声环境：重点关注项目实施后高噪声设备对区域声环境的影响；</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hint="eastAsia" w:ascii="Times New Roman" w:hAnsi="Times New Roman"/>
          <w:color w:val="auto"/>
          <w:sz w:val="24"/>
          <w:highlight w:val="none"/>
          <w:lang w:val="en-US" w:eastAsia="zh-CN"/>
        </w:rPr>
        <w:t>4、</w:t>
      </w:r>
      <w:r>
        <w:rPr>
          <w:rFonts w:ascii="Times New Roman" w:hAnsi="Times New Roman"/>
          <w:color w:val="auto"/>
          <w:sz w:val="24"/>
          <w:highlight w:val="none"/>
        </w:rPr>
        <w:t>固体废物：重点关注病死猪、医疗垃圾的收集、暂存、处置措施的合理性，防止二次污染。</w:t>
      </w:r>
    </w:p>
    <w:p>
      <w:pPr>
        <w:pStyle w:val="41"/>
        <w:numPr>
          <w:ilvl w:val="0"/>
          <w:numId w:val="1"/>
        </w:numPr>
        <w:rPr>
          <w:rFonts w:cs="Times New Roman"/>
          <w:color w:val="auto"/>
          <w:highlight w:val="none"/>
        </w:rPr>
      </w:pPr>
      <w:r>
        <w:rPr>
          <w:rFonts w:cs="Times New Roman"/>
          <w:color w:val="auto"/>
          <w:highlight w:val="none"/>
        </w:rPr>
        <w:t>环境影响评价结论</w:t>
      </w:r>
    </w:p>
    <w:p>
      <w:pPr>
        <w:ind w:firstLine="480"/>
        <w:rPr>
          <w:rFonts w:hint="eastAsia"/>
          <w:color w:val="auto"/>
          <w:highlight w:val="none"/>
        </w:rPr>
      </w:pPr>
      <w:r>
        <w:rPr>
          <w:rFonts w:hint="eastAsia"/>
          <w:color w:val="auto"/>
          <w:highlight w:val="none"/>
        </w:rPr>
        <w:t>本项目符合国家产业政策，选址符合</w:t>
      </w:r>
      <w:r>
        <w:rPr>
          <w:rFonts w:hint="eastAsia"/>
          <w:color w:val="auto"/>
          <w:highlight w:val="none"/>
          <w:lang w:eastAsia="zh-CN"/>
        </w:rPr>
        <w:t>平舆</w:t>
      </w:r>
      <w:r>
        <w:rPr>
          <w:rFonts w:hint="eastAsia"/>
          <w:color w:val="auto"/>
          <w:highlight w:val="none"/>
        </w:rPr>
        <w:t>县城市总体发展规划（2011-2030），符合</w:t>
      </w:r>
      <w:r>
        <w:rPr>
          <w:rFonts w:hint="eastAsia"/>
          <w:color w:val="auto"/>
          <w:highlight w:val="none"/>
          <w:lang w:eastAsia="zh-CN"/>
        </w:rPr>
        <w:t>平舆</w:t>
      </w:r>
      <w:r>
        <w:rPr>
          <w:rFonts w:hint="eastAsia"/>
          <w:color w:val="auto"/>
          <w:highlight w:val="none"/>
        </w:rPr>
        <w:t>县畜禽养殖禁养区限养区划定方案，不在</w:t>
      </w:r>
      <w:r>
        <w:rPr>
          <w:rFonts w:hint="eastAsia"/>
          <w:color w:val="auto"/>
          <w:highlight w:val="none"/>
          <w:lang w:eastAsia="zh-CN"/>
        </w:rPr>
        <w:t>平舆</w:t>
      </w:r>
      <w:r>
        <w:rPr>
          <w:rFonts w:hint="eastAsia"/>
          <w:color w:val="auto"/>
          <w:highlight w:val="none"/>
        </w:rPr>
        <w:t>县城市、乡镇集中式饮用水源地保护区范围内，符合环境功能区划。该项目废气、废水、噪声、固体废物处理措施合理，污染物排放可实现最大程度的削减，产生的各类污染物能够达标排放，可满足总量控制要求。经预测，废气、废水、固废的排放对周围环境及敏感点不会产生明显影响。</w:t>
      </w:r>
    </w:p>
    <w:p>
      <w:pPr>
        <w:ind w:firstLine="480"/>
        <w:rPr>
          <w:rFonts w:hint="eastAsia"/>
          <w:color w:val="auto"/>
          <w:highlight w:val="none"/>
        </w:rPr>
      </w:pPr>
      <w:r>
        <w:rPr>
          <w:rFonts w:hint="eastAsia"/>
          <w:color w:val="auto"/>
          <w:highlight w:val="none"/>
        </w:rPr>
        <w:t>综上所述，拟建工程的建设是评价区域整体环境可以承纳的，具备环境可行性，从环保角度，该项目的建设可行。</w:t>
      </w:r>
    </w:p>
    <w:p>
      <w:pPr>
        <w:pStyle w:val="3"/>
        <w:spacing w:before="0" w:beforeLines="0" w:after="0" w:afterLines="0"/>
        <w:jc w:val="both"/>
        <w:rPr>
          <w:rFonts w:cs="Times New Roman"/>
          <w:color w:val="auto"/>
          <w:highlight w:val="none"/>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3"/>
        <w:spacing w:before="0" w:beforeLines="0" w:after="0" w:afterLines="0"/>
        <w:rPr>
          <w:rFonts w:cs="Times New Roman"/>
          <w:color w:val="auto"/>
          <w:highlight w:val="none"/>
        </w:rPr>
      </w:pPr>
      <w:bookmarkStart w:id="1" w:name="_Toc15300"/>
      <w:r>
        <w:rPr>
          <w:rFonts w:cs="Times New Roman"/>
          <w:color w:val="auto"/>
          <w:highlight w:val="none"/>
        </w:rPr>
        <w:t>1总则</w:t>
      </w:r>
      <w:bookmarkEnd w:id="1"/>
    </w:p>
    <w:p>
      <w:pPr>
        <w:pStyle w:val="4"/>
        <w:spacing w:beforeLines="0"/>
        <w:rPr>
          <w:rFonts w:cs="Times New Roman"/>
          <w:color w:val="auto"/>
          <w:highlight w:val="none"/>
        </w:rPr>
      </w:pPr>
      <w:bookmarkStart w:id="2" w:name="_Toc1750"/>
      <w:r>
        <w:rPr>
          <w:rFonts w:cs="Times New Roman"/>
          <w:color w:val="auto"/>
          <w:highlight w:val="none"/>
        </w:rPr>
        <w:t>1.1评价目的及评价原则</w:t>
      </w:r>
      <w:bookmarkEnd w:id="2"/>
    </w:p>
    <w:p>
      <w:pPr>
        <w:pStyle w:val="5"/>
        <w:spacing w:before="66"/>
        <w:ind w:firstLine="482"/>
        <w:rPr>
          <w:rFonts w:cs="Times New Roman"/>
          <w:color w:val="auto"/>
          <w:highlight w:val="none"/>
        </w:rPr>
      </w:pPr>
      <w:r>
        <w:rPr>
          <w:rFonts w:cs="Times New Roman"/>
          <w:color w:val="auto"/>
          <w:highlight w:val="none"/>
        </w:rPr>
        <w:t>1.1.1评价目的</w:t>
      </w:r>
    </w:p>
    <w:p>
      <w:pPr>
        <w:ind w:firstLine="480"/>
        <w:rPr>
          <w:rFonts w:cs="Times New Roman"/>
          <w:color w:val="auto"/>
          <w:highlight w:val="none"/>
        </w:rPr>
      </w:pPr>
      <w:r>
        <w:rPr>
          <w:rFonts w:cs="Times New Roman"/>
          <w:color w:val="auto"/>
          <w:highlight w:val="none"/>
        </w:rPr>
        <w:t>通过工程分析，了解、掌握工程实施及运行过程中排污环节、对环境产生破坏、影响的方式，以及对环境影响程度，制定针对性的环境污染防治对策措施，从环保角度，明确项目建设的合理性及可行性，为决策部门、下阶段设计生产提供科学依据。</w:t>
      </w:r>
    </w:p>
    <w:p>
      <w:pPr>
        <w:pStyle w:val="5"/>
        <w:spacing w:before="66"/>
        <w:ind w:firstLine="482"/>
        <w:rPr>
          <w:rFonts w:cs="Times New Roman"/>
          <w:color w:val="auto"/>
          <w:highlight w:val="none"/>
        </w:rPr>
      </w:pPr>
      <w:r>
        <w:rPr>
          <w:rFonts w:cs="Times New Roman"/>
          <w:color w:val="auto"/>
          <w:highlight w:val="none"/>
        </w:rPr>
        <w:t>1.1.2评价原则</w:t>
      </w:r>
    </w:p>
    <w:p>
      <w:pPr>
        <w:ind w:firstLine="480"/>
        <w:rPr>
          <w:color w:val="auto"/>
          <w:highlight w:val="none"/>
        </w:rPr>
      </w:pPr>
      <w:r>
        <w:rPr>
          <w:color w:val="auto"/>
          <w:highlight w:val="none"/>
        </w:rPr>
        <w:t>（1）以各项环境保护法规、技术规范、环境保护标准和项目所在区域的环境功能区划为依据，指导评价工作。</w:t>
      </w:r>
    </w:p>
    <w:p>
      <w:pPr>
        <w:ind w:firstLine="480"/>
        <w:rPr>
          <w:color w:val="auto"/>
          <w:highlight w:val="none"/>
        </w:rPr>
      </w:pPr>
      <w:r>
        <w:rPr>
          <w:color w:val="auto"/>
          <w:highlight w:val="none"/>
        </w:rPr>
        <w:t>（2）根据项目对环境污染的特点，以工程分析为基础，弄清排污特征、排放点、排放量。对环保措施进行分析、评价，并根据分析情况，按照环境保护的要求，提出环保建议。</w:t>
      </w:r>
    </w:p>
    <w:p>
      <w:pPr>
        <w:ind w:firstLine="480"/>
        <w:rPr>
          <w:color w:val="auto"/>
          <w:highlight w:val="none"/>
        </w:rPr>
      </w:pPr>
      <w:r>
        <w:rPr>
          <w:color w:val="auto"/>
          <w:highlight w:val="none"/>
        </w:rPr>
        <w:t>（3）根据当地自然和社会经济环境特征，结合本项目的污染现状和环境质量状况，本着</w:t>
      </w:r>
      <w:r>
        <w:rPr>
          <w:rFonts w:hint="eastAsia"/>
          <w:color w:val="auto"/>
          <w:highlight w:val="none"/>
        </w:rPr>
        <w:t>“</w:t>
      </w:r>
      <w:r>
        <w:rPr>
          <w:color w:val="auto"/>
          <w:highlight w:val="none"/>
        </w:rPr>
        <w:t>科学、客观、公正</w:t>
      </w:r>
      <w:r>
        <w:rPr>
          <w:rFonts w:hint="eastAsia"/>
          <w:color w:val="auto"/>
          <w:highlight w:val="none"/>
        </w:rPr>
        <w:t>”</w:t>
      </w:r>
      <w:r>
        <w:rPr>
          <w:color w:val="auto"/>
          <w:highlight w:val="none"/>
        </w:rPr>
        <w:t>的原则，论述项目建设的可行性。</w:t>
      </w:r>
    </w:p>
    <w:p>
      <w:pPr>
        <w:ind w:firstLine="480"/>
        <w:rPr>
          <w:color w:val="auto"/>
          <w:highlight w:val="none"/>
        </w:rPr>
      </w:pPr>
      <w:r>
        <w:rPr>
          <w:color w:val="auto"/>
          <w:highlight w:val="none"/>
        </w:rPr>
        <w:t>（4）评价遵循</w:t>
      </w:r>
      <w:r>
        <w:rPr>
          <w:rFonts w:hint="eastAsia"/>
          <w:color w:val="auto"/>
          <w:highlight w:val="none"/>
        </w:rPr>
        <w:t>“</w:t>
      </w:r>
      <w:r>
        <w:rPr>
          <w:color w:val="auto"/>
          <w:highlight w:val="none"/>
        </w:rPr>
        <w:t>简便、经济、实用、可靠</w:t>
      </w:r>
      <w:r>
        <w:rPr>
          <w:rFonts w:hint="eastAsia"/>
          <w:color w:val="auto"/>
          <w:highlight w:val="none"/>
        </w:rPr>
        <w:t>”</w:t>
      </w:r>
      <w:r>
        <w:rPr>
          <w:color w:val="auto"/>
          <w:highlight w:val="none"/>
        </w:rPr>
        <w:t>的原则，评价内容中强调实用性。</w:t>
      </w:r>
    </w:p>
    <w:p>
      <w:pPr>
        <w:ind w:firstLine="480"/>
        <w:rPr>
          <w:color w:val="auto"/>
          <w:highlight w:val="none"/>
        </w:rPr>
      </w:pPr>
      <w:r>
        <w:rPr>
          <w:color w:val="auto"/>
          <w:highlight w:val="none"/>
        </w:rPr>
        <w:t>（5）贯彻社会效益、经济效益、环境效益统一的原则，从经济发展和保护环境的目的出发，提出可行的污染防治对策和建议，指导项目设计，使本项目做到社会效益、经济效益和环境效益的统一。促使企业实现可持续发展，使周围环境得到保护。</w:t>
      </w:r>
    </w:p>
    <w:p>
      <w:pPr>
        <w:pStyle w:val="4"/>
        <w:spacing w:beforeLines="0"/>
        <w:rPr>
          <w:rFonts w:cs="Times New Roman"/>
          <w:color w:val="auto"/>
          <w:highlight w:val="none"/>
        </w:rPr>
      </w:pPr>
      <w:bookmarkStart w:id="3" w:name="_Toc12174"/>
      <w:r>
        <w:rPr>
          <w:rFonts w:cs="Times New Roman"/>
          <w:color w:val="auto"/>
          <w:highlight w:val="none"/>
        </w:rPr>
        <w:t>1.2编制依据</w:t>
      </w:r>
      <w:bookmarkEnd w:id="3"/>
    </w:p>
    <w:p>
      <w:pPr>
        <w:pStyle w:val="5"/>
        <w:spacing w:before="66"/>
        <w:ind w:firstLine="482"/>
        <w:rPr>
          <w:rFonts w:hint="eastAsia" w:eastAsia="宋体" w:cs="Times New Roman"/>
          <w:color w:val="auto"/>
          <w:highlight w:val="none"/>
          <w:lang w:eastAsia="zh-CN"/>
        </w:rPr>
      </w:pPr>
      <w:r>
        <w:rPr>
          <w:rFonts w:cs="Times New Roman"/>
          <w:color w:val="auto"/>
          <w:highlight w:val="none"/>
        </w:rPr>
        <w:t>1.2.1</w:t>
      </w:r>
      <w:r>
        <w:rPr>
          <w:rFonts w:hint="eastAsia" w:cs="Times New Roman"/>
          <w:color w:val="auto"/>
          <w:highlight w:val="none"/>
        </w:rPr>
        <w:t>环境保护法律</w:t>
      </w:r>
      <w:r>
        <w:rPr>
          <w:rFonts w:hint="eastAsia" w:cs="Times New Roman"/>
          <w:color w:val="auto"/>
          <w:highlight w:val="none"/>
          <w:lang w:eastAsia="zh-CN"/>
        </w:rPr>
        <w:t>法规</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（1）《中华人民共和国环境保护法》，2015年1月1日；</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（2）《中华人民共和国环境影响评价法》（2016年修订，2016年9月1日施行日）；</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（3）《建设项目环境保护管理条例》682号国务院令，2017年10月1日；</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（4）《中华人民共和国水污染防治法》（2017年修订，2018年1月1日起实施）；</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（5）《中华人民共和国水土保持法》，2011年3月1日；</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（6）《中华人民共和国大气污染防治法》（2016年1月1日施行）；</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（7）《中华人民共和国环境噪声污染防治法》，2018年12月29日修正；</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（8）《中华人民共和国固体废物污染环境防治法》，</w:t>
      </w:r>
      <w:r>
        <w:rPr>
          <w:rFonts w:hint="eastAsia" w:ascii="Times New Roman" w:hAnsi="Times New Roman"/>
          <w:bCs/>
          <w:color w:val="auto"/>
          <w:sz w:val="24"/>
          <w:szCs w:val="24"/>
          <w:highlight w:val="none"/>
        </w:rPr>
        <w:t>2020年9月1日起施行</w:t>
      </w:r>
      <w:r>
        <w:rPr>
          <w:rFonts w:ascii="Times New Roman" w:hAnsi="Times New Roman"/>
          <w:bCs/>
          <w:color w:val="auto"/>
          <w:sz w:val="24"/>
          <w:szCs w:val="24"/>
          <w:highlight w:val="none"/>
        </w:rPr>
        <w:t>；</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（9）</w:t>
      </w:r>
      <w:r>
        <w:rPr>
          <w:rFonts w:hint="eastAsia" w:ascii="Times New Roman" w:hAnsi="Times New Roman"/>
          <w:bCs/>
          <w:color w:val="auto"/>
          <w:sz w:val="24"/>
          <w:szCs w:val="24"/>
          <w:highlight w:val="none"/>
        </w:rPr>
        <w:t>《中华人民共和国土地管理法》（2019年修正）</w:t>
      </w:r>
      <w:r>
        <w:rPr>
          <w:rFonts w:ascii="Times New Roman" w:hAnsi="Times New Roman"/>
          <w:bCs/>
          <w:color w:val="auto"/>
          <w:sz w:val="24"/>
          <w:szCs w:val="24"/>
          <w:highlight w:val="none"/>
        </w:rPr>
        <w:t>；</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（10）《基本农田保护条例》（2018最新版）；</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（11）《国家危险废物名录》（2016年6月14日）；</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（12）《国家环境保护</w:t>
      </w:r>
      <w:r>
        <w:rPr>
          <w:rFonts w:hint="eastAsia" w:asciiTheme="minorEastAsia" w:hAnsiTheme="minorEastAsia" w:eastAsiaTheme="minorEastAsia" w:cstheme="minorEastAsia"/>
          <w:bCs/>
          <w:color w:val="auto"/>
          <w:sz w:val="24"/>
          <w:szCs w:val="24"/>
          <w:highlight w:val="none"/>
        </w:rPr>
        <w:t>“十三五”</w:t>
      </w:r>
      <w:r>
        <w:rPr>
          <w:rFonts w:ascii="Times New Roman" w:hAnsi="Times New Roman"/>
          <w:bCs/>
          <w:color w:val="auto"/>
          <w:sz w:val="24"/>
          <w:szCs w:val="24"/>
          <w:highlight w:val="none"/>
        </w:rPr>
        <w:t>规划》（国发[2017]42号）；</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bCs/>
          <w:color w:val="auto"/>
          <w:sz w:val="24"/>
          <w:szCs w:val="24"/>
          <w:highlight w:val="none"/>
        </w:rPr>
        <w:t>（13）《国务院关于环境保护若干问题的决定》（1996年</w:t>
      </w:r>
      <w:r>
        <w:rPr>
          <w:rFonts w:ascii="Times New Roman" w:hAnsi="Times New Roman"/>
          <w:color w:val="auto"/>
          <w:sz w:val="24"/>
          <w:szCs w:val="24"/>
          <w:highlight w:val="none"/>
        </w:rPr>
        <w:t>8月3日）；</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bCs/>
          <w:color w:val="auto"/>
          <w:sz w:val="24"/>
          <w:szCs w:val="24"/>
          <w:highlight w:val="none"/>
        </w:rPr>
        <w:t>（14）《关于落实科学发展观加</w:t>
      </w:r>
      <w:r>
        <w:rPr>
          <w:rFonts w:ascii="Times New Roman" w:hAnsi="Times New Roman"/>
          <w:color w:val="auto"/>
          <w:sz w:val="24"/>
          <w:szCs w:val="24"/>
          <w:highlight w:val="none"/>
        </w:rPr>
        <w:t>强环境保护的决定》（国发[2005]39号，2005年12月3日）；</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（15）《关于进一步加强建设项目环境保护管理工作的通知》（国家环保总局，环发[2001]19号）；</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（16）《关于进一步加强环境影响评价管理防范环境风险的通知》（环发[2012]77号）；</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（17）《关于切实加强风险防范严格环境影响评价管理的通知》（环发[2012]98号）；</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（18）《环境影响评价公众参与办法》（生态环境部令 第4号）；</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（19）《农业部关于加快推进畜禽标准化规模养殖的意见》（农牧发[2010]6号）；</w:t>
      </w:r>
    </w:p>
    <w:p>
      <w:pPr>
        <w:keepNext w:val="0"/>
        <w:keepLines w:val="0"/>
        <w:pageBreakBefore w:val="0"/>
        <w:widowControl/>
        <w:tabs>
          <w:tab w:val="left" w:pos="1080"/>
        </w:tabs>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（2</w:t>
      </w:r>
      <w:r>
        <w:rPr>
          <w:rFonts w:hint="eastAsia"/>
          <w:color w:val="auto"/>
          <w:sz w:val="24"/>
          <w:szCs w:val="24"/>
          <w:highlight w:val="none"/>
          <w:lang w:val="en-US" w:eastAsia="zh-CN"/>
        </w:rPr>
        <w:t>0</w:t>
      </w:r>
      <w:r>
        <w:rPr>
          <w:rFonts w:ascii="Times New Roman" w:hAnsi="Times New Roman"/>
          <w:color w:val="auto"/>
          <w:sz w:val="24"/>
          <w:szCs w:val="24"/>
          <w:highlight w:val="none"/>
        </w:rPr>
        <w:t>）《畜禽养殖业污染防治技术政策》（环发[2010]151号）；</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（2</w:t>
      </w:r>
      <w:r>
        <w:rPr>
          <w:rFonts w:hint="eastAsia"/>
          <w:color w:val="auto"/>
          <w:sz w:val="24"/>
          <w:szCs w:val="24"/>
          <w:highlight w:val="none"/>
          <w:lang w:val="en-US" w:eastAsia="zh-CN"/>
        </w:rPr>
        <w:t>1</w:t>
      </w:r>
      <w:r>
        <w:rPr>
          <w:rFonts w:ascii="Times New Roman" w:hAnsi="Times New Roman"/>
          <w:color w:val="auto"/>
          <w:sz w:val="24"/>
          <w:szCs w:val="24"/>
          <w:highlight w:val="none"/>
        </w:rPr>
        <w:t>）《</w:t>
      </w:r>
      <w:r>
        <w:rPr>
          <w:rFonts w:ascii="Times New Roman" w:hAnsi="Times New Roman"/>
          <w:bCs/>
          <w:color w:val="auto"/>
          <w:sz w:val="24"/>
          <w:szCs w:val="24"/>
          <w:highlight w:val="none"/>
        </w:rPr>
        <w:t>畜禽规模养殖污染防治条例</w:t>
      </w:r>
      <w:r>
        <w:rPr>
          <w:rFonts w:ascii="Times New Roman" w:hAnsi="Times New Roman"/>
          <w:color w:val="auto"/>
          <w:sz w:val="24"/>
          <w:szCs w:val="24"/>
          <w:highlight w:val="none"/>
        </w:rPr>
        <w:t>》（国务院令第643号，2014年1月1日）；</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w:t>
      </w:r>
      <w:r>
        <w:rPr>
          <w:rFonts w:hint="default" w:ascii="Times New Roman" w:hAnsi="Times New Roman" w:cs="Times New Roman"/>
          <w:bCs/>
          <w:color w:val="auto"/>
          <w:sz w:val="24"/>
          <w:szCs w:val="24"/>
          <w:highlight w:val="none"/>
        </w:rPr>
        <w:t>《河南省减少污染物排放条例》</w:t>
      </w:r>
      <w:r>
        <w:rPr>
          <w:rFonts w:hint="default" w:ascii="Times New Roman" w:hAnsi="Times New Roman" w:cs="Times New Roman"/>
          <w:color w:val="auto"/>
          <w:sz w:val="24"/>
          <w:szCs w:val="24"/>
          <w:highlight w:val="none"/>
        </w:rPr>
        <w:t>（2003.9）；</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color w:val="auto"/>
          <w:sz w:val="24"/>
          <w:szCs w:val="24"/>
          <w:highlight w:val="none"/>
        </w:rPr>
        <w:t>（2</w:t>
      </w:r>
      <w:r>
        <w:rPr>
          <w:rFonts w:hint="eastAsia" w:cs="Times New Roman"/>
          <w:color w:val="auto"/>
          <w:sz w:val="24"/>
          <w:szCs w:val="24"/>
          <w:highlight w:val="none"/>
          <w:lang w:val="en-US" w:eastAsia="zh-CN"/>
        </w:rPr>
        <w:t>3</w:t>
      </w:r>
      <w:r>
        <w:rPr>
          <w:rFonts w:hint="default" w:ascii="Times New Roman" w:hAnsi="Times New Roman" w:cs="Times New Roman" w:eastAsiaTheme="minorEastAsia"/>
          <w:color w:val="auto"/>
          <w:sz w:val="24"/>
          <w:szCs w:val="24"/>
          <w:highlight w:val="none"/>
        </w:rPr>
        <w:t>）《河南省建设项目环境管理条例》（2006.12.1）；</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（2</w:t>
      </w:r>
      <w:r>
        <w:rPr>
          <w:rFonts w:hint="eastAsia" w:cs="Times New Roman" w:eastAsiaTheme="minorEastAsia"/>
          <w:color w:val="auto"/>
          <w:sz w:val="24"/>
          <w:szCs w:val="24"/>
          <w:highlight w:val="none"/>
          <w:lang w:val="en-US" w:eastAsia="zh-CN"/>
        </w:rPr>
        <w:t>4</w:t>
      </w:r>
      <w:r>
        <w:rPr>
          <w:rFonts w:hint="default" w:ascii="Times New Roman" w:hAnsi="Times New Roman" w:cs="Times New Roman" w:eastAsiaTheme="minorEastAsia"/>
          <w:color w:val="auto"/>
          <w:sz w:val="24"/>
          <w:szCs w:val="24"/>
          <w:highlight w:val="none"/>
        </w:rPr>
        <w:t>）《河南省水污染防治条例》（河南省人民政府，2019年10月1日起施行）；</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（2</w:t>
      </w:r>
      <w:r>
        <w:rPr>
          <w:rFonts w:hint="eastAsia" w:cs="Times New Roman" w:eastAsiaTheme="minorEastAsia"/>
          <w:color w:val="auto"/>
          <w:sz w:val="24"/>
          <w:szCs w:val="24"/>
          <w:highlight w:val="none"/>
          <w:lang w:val="en-US" w:eastAsia="zh-CN"/>
        </w:rPr>
        <w:t>5</w:t>
      </w:r>
      <w:r>
        <w:rPr>
          <w:rFonts w:hint="default" w:ascii="Times New Roman" w:hAnsi="Times New Roman" w:cs="Times New Roman" w:eastAsiaTheme="minorEastAsia"/>
          <w:color w:val="auto"/>
          <w:sz w:val="24"/>
          <w:szCs w:val="24"/>
          <w:highlight w:val="none"/>
        </w:rPr>
        <w:t>）《国家环境保护</w:t>
      </w:r>
      <w:r>
        <w:rPr>
          <w:rFonts w:hint="eastAsia" w:asciiTheme="minorEastAsia" w:hAnsiTheme="minorEastAsia" w:eastAsiaTheme="minorEastAsia" w:cstheme="minorEastAsia"/>
          <w:color w:val="auto"/>
          <w:sz w:val="24"/>
          <w:szCs w:val="24"/>
          <w:highlight w:val="none"/>
        </w:rPr>
        <w:t>“十三五”规划</w:t>
      </w:r>
      <w:r>
        <w:rPr>
          <w:rFonts w:hint="default" w:ascii="Times New Roman" w:hAnsi="Times New Roman" w:cs="Times New Roman" w:eastAsiaTheme="minorEastAsia"/>
          <w:color w:val="auto"/>
          <w:sz w:val="24"/>
          <w:szCs w:val="24"/>
          <w:highlight w:val="none"/>
        </w:rPr>
        <w:t>》（环科技[2017]49号）；</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（2</w:t>
      </w:r>
      <w:r>
        <w:rPr>
          <w:rFonts w:hint="eastAsia" w:cs="Times New Roman" w:eastAsiaTheme="minorEastAsia"/>
          <w:color w:val="auto"/>
          <w:sz w:val="24"/>
          <w:szCs w:val="24"/>
          <w:highlight w:val="none"/>
          <w:lang w:val="en-US" w:eastAsia="zh-CN"/>
        </w:rPr>
        <w:t>6</w:t>
      </w:r>
      <w:r>
        <w:rPr>
          <w:rFonts w:hint="default" w:ascii="Times New Roman" w:hAnsi="Times New Roman" w:cs="Times New Roman" w:eastAsiaTheme="minorEastAsia"/>
          <w:color w:val="auto"/>
          <w:sz w:val="24"/>
          <w:szCs w:val="24"/>
          <w:highlight w:val="none"/>
        </w:rPr>
        <w:t>）《河南省现代畜牧产业发展规划》（豫政[2010]20号）；</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（2</w:t>
      </w:r>
      <w:r>
        <w:rPr>
          <w:rFonts w:hint="eastAsia" w:cs="Times New Roman" w:eastAsiaTheme="minorEastAsia"/>
          <w:color w:val="auto"/>
          <w:sz w:val="24"/>
          <w:szCs w:val="24"/>
          <w:highlight w:val="none"/>
          <w:lang w:val="en-US" w:eastAsia="zh-CN"/>
        </w:rPr>
        <w:t>7</w:t>
      </w:r>
      <w:r>
        <w:rPr>
          <w:rFonts w:hint="default" w:ascii="Times New Roman" w:hAnsi="Times New Roman" w:cs="Times New Roman" w:eastAsiaTheme="minorEastAsia"/>
          <w:color w:val="auto"/>
          <w:sz w:val="24"/>
          <w:szCs w:val="24"/>
          <w:highlight w:val="none"/>
        </w:rPr>
        <w:t>）《河南省畜牧业</w:t>
      </w:r>
      <w:r>
        <w:rPr>
          <w:rFonts w:hint="eastAsia" w:asciiTheme="minorEastAsia" w:hAnsiTheme="minorEastAsia" w:eastAsiaTheme="minorEastAsia" w:cstheme="minorEastAsia"/>
          <w:color w:val="auto"/>
          <w:sz w:val="24"/>
          <w:szCs w:val="24"/>
          <w:highlight w:val="none"/>
        </w:rPr>
        <w:t>“十三五”发展</w:t>
      </w:r>
      <w:r>
        <w:rPr>
          <w:rFonts w:hint="default" w:ascii="Times New Roman" w:hAnsi="Times New Roman" w:cs="Times New Roman" w:eastAsiaTheme="minorEastAsia"/>
          <w:color w:val="auto"/>
          <w:sz w:val="24"/>
          <w:szCs w:val="24"/>
          <w:highlight w:val="none"/>
        </w:rPr>
        <w:t>规划》（豫牧[2016]105号）；</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auto"/>
          <w:sz w:val="24"/>
          <w:szCs w:val="24"/>
          <w:highlight w:val="none"/>
        </w:rPr>
      </w:pPr>
      <w:r>
        <w:rPr>
          <w:rFonts w:hint="default" w:ascii="Times New Roman" w:hAnsi="Times New Roman" w:cs="Times New Roman" w:eastAsiaTheme="minorEastAsia"/>
          <w:color w:val="auto"/>
          <w:sz w:val="24"/>
          <w:szCs w:val="24"/>
          <w:highlight w:val="none"/>
        </w:rPr>
        <w:t>（2</w:t>
      </w:r>
      <w:r>
        <w:rPr>
          <w:rFonts w:hint="eastAsia" w:cs="Times New Roman" w:eastAsiaTheme="minorEastAsia"/>
          <w:color w:val="auto"/>
          <w:sz w:val="24"/>
          <w:szCs w:val="24"/>
          <w:highlight w:val="none"/>
          <w:lang w:val="en-US" w:eastAsia="zh-CN"/>
        </w:rPr>
        <w:t>8</w:t>
      </w:r>
      <w:r>
        <w:rPr>
          <w:rFonts w:hint="default" w:ascii="Times New Roman" w:hAnsi="Times New Roman" w:cs="Times New Roman" w:eastAsia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rPr>
        <w:t>《关于加强环评管理防范环境风险的通知》（豫</w:t>
      </w:r>
      <w:r>
        <w:rPr>
          <w:rFonts w:hint="eastAsia" w:asciiTheme="minorEastAsia" w:hAnsiTheme="minorEastAsia" w:eastAsiaTheme="minorEastAsia" w:cstheme="minorEastAsia"/>
          <w:bCs/>
          <w:color w:val="auto"/>
          <w:sz w:val="24"/>
          <w:highlight w:val="none"/>
        </w:rPr>
        <w:t>环文</w:t>
      </w:r>
      <w:r>
        <w:rPr>
          <w:rFonts w:hint="default" w:ascii="Times New Roman" w:hAnsi="Times New Roman" w:cs="Times New Roman" w:eastAsiaTheme="minorEastAsia"/>
          <w:color w:val="auto"/>
          <w:sz w:val="24"/>
          <w:szCs w:val="24"/>
          <w:highlight w:val="none"/>
        </w:rPr>
        <w:t>[2012]159</w:t>
      </w:r>
      <w:r>
        <w:rPr>
          <w:rFonts w:hint="eastAsia" w:asciiTheme="minorEastAsia" w:hAnsiTheme="minorEastAsia" w:eastAsiaTheme="minorEastAsia" w:cstheme="minorEastAsia"/>
          <w:color w:val="auto"/>
          <w:sz w:val="24"/>
          <w:szCs w:val="24"/>
          <w:highlight w:val="none"/>
        </w:rPr>
        <w:t>号）；</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Cs/>
          <w:color w:val="auto"/>
          <w:sz w:val="24"/>
          <w:highlight w:val="none"/>
        </w:rPr>
      </w:pPr>
      <w:r>
        <w:rPr>
          <w:rFonts w:hint="default" w:ascii="Times New Roman" w:hAnsi="Times New Roman" w:cs="Times New Roman" w:eastAsiaTheme="minorEastAsia"/>
          <w:color w:val="auto"/>
          <w:sz w:val="24"/>
          <w:szCs w:val="24"/>
          <w:highlight w:val="none"/>
        </w:rPr>
        <w:t>（</w:t>
      </w:r>
      <w:r>
        <w:rPr>
          <w:rFonts w:hint="eastAsia" w:cs="Times New Roman" w:eastAsiaTheme="minorEastAsia"/>
          <w:color w:val="auto"/>
          <w:sz w:val="24"/>
          <w:szCs w:val="24"/>
          <w:highlight w:val="none"/>
          <w:lang w:val="en-US" w:eastAsia="zh-CN"/>
        </w:rPr>
        <w:t>29</w:t>
      </w:r>
      <w:r>
        <w:rPr>
          <w:rFonts w:hint="default" w:ascii="Times New Roman" w:hAnsi="Times New Roman" w:cs="Times New Roman" w:eastAsiaTheme="minorEastAsia"/>
          <w:color w:val="auto"/>
          <w:sz w:val="24"/>
          <w:szCs w:val="24"/>
          <w:highlight w:val="none"/>
        </w:rPr>
        <w:t>）</w:t>
      </w:r>
      <w:r>
        <w:rPr>
          <w:rFonts w:hint="default" w:ascii="Times New Roman" w:hAnsi="Times New Roman" w:cs="Times New Roman" w:eastAsiaTheme="minorEastAsia"/>
          <w:bCs/>
          <w:color w:val="auto"/>
          <w:sz w:val="24"/>
          <w:highlight w:val="none"/>
        </w:rPr>
        <w:t>《关于印发2014年河南省畜禽养殖总量减排实施方案的通知》（豫环文</w:t>
      </w:r>
      <w:r>
        <w:rPr>
          <w:rFonts w:hint="default" w:ascii="Times New Roman" w:hAnsi="Times New Roman" w:cs="Times New Roman" w:eastAsiaTheme="minorEastAsia"/>
          <w:color w:val="auto"/>
          <w:sz w:val="24"/>
          <w:szCs w:val="24"/>
          <w:highlight w:val="none"/>
        </w:rPr>
        <w:t>[2014]</w:t>
      </w:r>
      <w:r>
        <w:rPr>
          <w:rFonts w:hint="default" w:ascii="Times New Roman" w:hAnsi="Times New Roman" w:cs="Times New Roman" w:eastAsiaTheme="minorEastAsia"/>
          <w:bCs/>
          <w:color w:val="auto"/>
          <w:sz w:val="24"/>
          <w:highlight w:val="none"/>
        </w:rPr>
        <w:t>111号）；</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（3</w:t>
      </w:r>
      <w:r>
        <w:rPr>
          <w:rFonts w:hint="eastAsia"/>
          <w:color w:val="auto"/>
          <w:sz w:val="24"/>
          <w:szCs w:val="24"/>
          <w:highlight w:val="none"/>
          <w:lang w:val="en-US" w:eastAsia="zh-CN"/>
        </w:rPr>
        <w:t>0</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《关于印发河南省2020年大气、水、土壤污染防治攻坚战实施方案的通知》，豫环攻坚办【2020】7号</w:t>
      </w:r>
      <w:r>
        <w:rPr>
          <w:rFonts w:ascii="Times New Roman" w:hAnsi="Times New Roman"/>
          <w:color w:val="auto"/>
          <w:sz w:val="24"/>
          <w:szCs w:val="24"/>
          <w:highlight w:val="none"/>
        </w:rPr>
        <w:t>；</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（3</w:t>
      </w:r>
      <w:r>
        <w:rPr>
          <w:rFonts w:hint="eastAsia"/>
          <w:color w:val="auto"/>
          <w:sz w:val="24"/>
          <w:szCs w:val="24"/>
          <w:highlight w:val="none"/>
          <w:lang w:val="en-US" w:eastAsia="zh-CN"/>
        </w:rPr>
        <w:t>1</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《驻马店市人民政府办公室关于印发驻马市2019年大气污染防治攻坚战实施方案的通知》（驻政办〔2019〕39号）</w:t>
      </w:r>
      <w:r>
        <w:rPr>
          <w:rFonts w:ascii="Times New Roman" w:hAnsi="Times New Roman"/>
          <w:color w:val="auto"/>
          <w:sz w:val="24"/>
          <w:szCs w:val="24"/>
          <w:highlight w:val="none"/>
        </w:rPr>
        <w:t>；</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Cs/>
          <w:color w:val="auto"/>
          <w:sz w:val="24"/>
          <w:highlight w:val="none"/>
        </w:rPr>
      </w:pPr>
      <w:r>
        <w:rPr>
          <w:rFonts w:hint="default" w:ascii="Times New Roman" w:hAnsi="Times New Roman" w:cs="Times New Roman" w:eastAsiaTheme="minorEastAsia"/>
          <w:bCs/>
          <w:color w:val="auto"/>
          <w:sz w:val="24"/>
          <w:highlight w:val="none"/>
        </w:rPr>
        <w:t>（3</w:t>
      </w:r>
      <w:r>
        <w:rPr>
          <w:rFonts w:hint="eastAsia" w:cs="Times New Roman" w:eastAsiaTheme="minorEastAsia"/>
          <w:bCs/>
          <w:color w:val="auto"/>
          <w:sz w:val="24"/>
          <w:highlight w:val="none"/>
          <w:lang w:val="en-US" w:eastAsia="zh-CN"/>
        </w:rPr>
        <w:t>2</w:t>
      </w:r>
      <w:r>
        <w:rPr>
          <w:rFonts w:hint="default" w:ascii="Times New Roman" w:hAnsi="Times New Roman" w:cs="Times New Roman" w:eastAsiaTheme="minorEastAsia"/>
          <w:bCs/>
          <w:color w:val="auto"/>
          <w:sz w:val="24"/>
          <w:highlight w:val="none"/>
        </w:rPr>
        <w:t>）《</w:t>
      </w:r>
      <w:r>
        <w:rPr>
          <w:rFonts w:hint="eastAsia" w:ascii="Times New Roman" w:hAnsi="Times New Roman" w:cs="Times New Roman" w:eastAsiaTheme="minorEastAsia"/>
          <w:bCs/>
          <w:color w:val="auto"/>
          <w:sz w:val="24"/>
          <w:highlight w:val="none"/>
          <w:lang w:eastAsia="zh-CN"/>
        </w:rPr>
        <w:t>平舆</w:t>
      </w:r>
      <w:r>
        <w:rPr>
          <w:rFonts w:hint="default" w:ascii="Times New Roman" w:hAnsi="Times New Roman" w:cs="Times New Roman" w:eastAsiaTheme="minorEastAsia"/>
          <w:bCs/>
          <w:color w:val="auto"/>
          <w:sz w:val="24"/>
          <w:highlight w:val="none"/>
        </w:rPr>
        <w:t>县城</w:t>
      </w:r>
      <w:r>
        <w:rPr>
          <w:rFonts w:hint="eastAsia" w:ascii="Times New Roman" w:hAnsi="Times New Roman" w:cs="Times New Roman" w:eastAsiaTheme="minorEastAsia"/>
          <w:bCs/>
          <w:color w:val="auto"/>
          <w:sz w:val="24"/>
          <w:highlight w:val="none"/>
          <w:lang w:eastAsia="zh-CN"/>
        </w:rPr>
        <w:t>乡</w:t>
      </w:r>
      <w:r>
        <w:rPr>
          <w:rFonts w:hint="default" w:ascii="Times New Roman" w:hAnsi="Times New Roman" w:cs="Times New Roman" w:eastAsiaTheme="minorEastAsia"/>
          <w:bCs/>
          <w:color w:val="auto"/>
          <w:sz w:val="24"/>
          <w:highlight w:val="none"/>
        </w:rPr>
        <w:t>总体规划》（2011-2030）；</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Cs/>
          <w:color w:val="auto"/>
          <w:sz w:val="24"/>
          <w:highlight w:val="none"/>
        </w:rPr>
      </w:pPr>
      <w:r>
        <w:rPr>
          <w:rFonts w:hint="default" w:ascii="Times New Roman" w:hAnsi="Times New Roman" w:cs="Times New Roman" w:eastAsiaTheme="minorEastAsia"/>
          <w:bCs/>
          <w:color w:val="auto"/>
          <w:sz w:val="24"/>
          <w:highlight w:val="none"/>
        </w:rPr>
        <w:t>（3</w:t>
      </w:r>
      <w:r>
        <w:rPr>
          <w:rFonts w:hint="eastAsia" w:cs="Times New Roman" w:eastAsiaTheme="minorEastAsia"/>
          <w:bCs/>
          <w:color w:val="auto"/>
          <w:sz w:val="24"/>
          <w:highlight w:val="none"/>
          <w:lang w:val="en-US" w:eastAsia="zh-CN"/>
        </w:rPr>
        <w:t>3</w:t>
      </w:r>
      <w:r>
        <w:rPr>
          <w:rFonts w:hint="default" w:ascii="Times New Roman" w:hAnsi="Times New Roman" w:cs="Times New Roman" w:eastAsiaTheme="minorEastAsia"/>
          <w:bCs/>
          <w:color w:val="auto"/>
          <w:sz w:val="24"/>
          <w:highlight w:val="none"/>
        </w:rPr>
        <w:t>）《</w:t>
      </w:r>
      <w:r>
        <w:rPr>
          <w:rFonts w:hint="eastAsia" w:ascii="Times New Roman" w:hAnsi="Times New Roman" w:cs="Times New Roman" w:eastAsiaTheme="minorEastAsia"/>
          <w:bCs/>
          <w:color w:val="auto"/>
          <w:sz w:val="24"/>
          <w:highlight w:val="none"/>
          <w:lang w:eastAsia="zh-CN"/>
        </w:rPr>
        <w:t>驻马店市“十三五”生态环境保护规划(2016—2020年)</w:t>
      </w:r>
      <w:r>
        <w:rPr>
          <w:rFonts w:hint="default" w:ascii="Times New Roman" w:hAnsi="Times New Roman" w:cs="Times New Roman" w:eastAsiaTheme="minorEastAsia"/>
          <w:bCs/>
          <w:color w:val="auto"/>
          <w:sz w:val="24"/>
          <w:highlight w:val="none"/>
        </w:rPr>
        <w:t>》；</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bCs/>
          <w:color w:val="auto"/>
          <w:sz w:val="24"/>
          <w:highlight w:val="none"/>
        </w:rPr>
      </w:pPr>
      <w:r>
        <w:rPr>
          <w:rFonts w:hint="default" w:ascii="Times New Roman" w:hAnsi="Times New Roman" w:cs="Times New Roman" w:eastAsiaTheme="minorEastAsia"/>
          <w:bCs/>
          <w:color w:val="auto"/>
          <w:sz w:val="24"/>
          <w:highlight w:val="none"/>
        </w:rPr>
        <w:t>（3</w:t>
      </w:r>
      <w:r>
        <w:rPr>
          <w:rFonts w:hint="eastAsia" w:cs="Times New Roman" w:eastAsiaTheme="minorEastAsia"/>
          <w:bCs/>
          <w:color w:val="auto"/>
          <w:sz w:val="24"/>
          <w:highlight w:val="none"/>
          <w:lang w:val="en-US" w:eastAsia="zh-CN"/>
        </w:rPr>
        <w:t>4</w:t>
      </w:r>
      <w:r>
        <w:rPr>
          <w:rFonts w:hint="default" w:ascii="Times New Roman" w:hAnsi="Times New Roman" w:cs="Times New Roman" w:eastAsiaTheme="minorEastAsia"/>
          <w:bCs/>
          <w:color w:val="auto"/>
          <w:sz w:val="24"/>
          <w:highlight w:val="none"/>
        </w:rPr>
        <w:t>）《</w:t>
      </w:r>
      <w:r>
        <w:rPr>
          <w:rFonts w:hint="eastAsia" w:ascii="Times New Roman" w:hAnsi="Times New Roman" w:cs="Times New Roman" w:eastAsiaTheme="minorEastAsia"/>
          <w:bCs/>
          <w:color w:val="auto"/>
          <w:sz w:val="24"/>
          <w:highlight w:val="none"/>
        </w:rPr>
        <w:t>河南省县级集中式饮用水水源保护区划</w:t>
      </w:r>
      <w:r>
        <w:rPr>
          <w:rFonts w:hint="default" w:ascii="Times New Roman" w:hAnsi="Times New Roman" w:cs="Times New Roman" w:eastAsiaTheme="minorEastAsia"/>
          <w:bCs/>
          <w:color w:val="auto"/>
          <w:sz w:val="24"/>
          <w:highlight w:val="none"/>
        </w:rPr>
        <w:t>》</w:t>
      </w:r>
      <w:r>
        <w:rPr>
          <w:rFonts w:hint="eastAsia" w:ascii="Times New Roman" w:hAnsi="Times New Roman" w:cs="Times New Roman" w:eastAsiaTheme="minorEastAsia"/>
          <w:bCs/>
          <w:color w:val="auto"/>
          <w:sz w:val="24"/>
          <w:highlight w:val="none"/>
        </w:rPr>
        <w:t>（豫政办〔2013〕107号）</w:t>
      </w:r>
      <w:r>
        <w:rPr>
          <w:rFonts w:hint="default" w:ascii="Times New Roman" w:hAnsi="Times New Roman" w:cs="Times New Roman" w:eastAsiaTheme="minorEastAsia"/>
          <w:bCs/>
          <w:color w:val="auto"/>
          <w:sz w:val="24"/>
          <w:highlight w:val="none"/>
        </w:rPr>
        <w:t>；</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eastAsia" w:ascii="Times New Roman" w:hAnsi="Times New Roman" w:cs="Times New Roman" w:eastAsiaTheme="minorEastAsia"/>
          <w:bCs/>
          <w:color w:val="auto"/>
          <w:sz w:val="24"/>
          <w:highlight w:val="none"/>
          <w:lang w:eastAsia="zh-CN"/>
        </w:rPr>
      </w:pPr>
      <w:r>
        <w:rPr>
          <w:rFonts w:hint="default" w:ascii="Times New Roman" w:hAnsi="Times New Roman" w:cs="Times New Roman" w:eastAsiaTheme="minorEastAsia"/>
          <w:bCs/>
          <w:color w:val="auto"/>
          <w:sz w:val="24"/>
          <w:highlight w:val="none"/>
        </w:rPr>
        <w:t>（3</w:t>
      </w:r>
      <w:r>
        <w:rPr>
          <w:rFonts w:hint="eastAsia" w:cs="Times New Roman" w:eastAsiaTheme="minorEastAsia"/>
          <w:bCs/>
          <w:color w:val="auto"/>
          <w:sz w:val="24"/>
          <w:highlight w:val="none"/>
          <w:lang w:val="en-US" w:eastAsia="zh-CN"/>
        </w:rPr>
        <w:t>5</w:t>
      </w:r>
      <w:r>
        <w:rPr>
          <w:rFonts w:hint="default" w:ascii="Times New Roman" w:hAnsi="Times New Roman" w:cs="Times New Roman" w:eastAsiaTheme="minorEastAsia"/>
          <w:bCs/>
          <w:color w:val="auto"/>
          <w:sz w:val="24"/>
          <w:highlight w:val="none"/>
        </w:rPr>
        <w:t>）</w:t>
      </w:r>
      <w:r>
        <w:rPr>
          <w:rFonts w:hint="eastAsia" w:ascii="Times New Roman" w:hAnsi="Times New Roman" w:cs="Times New Roman" w:eastAsiaTheme="minorEastAsia"/>
          <w:bCs/>
          <w:color w:val="auto"/>
          <w:sz w:val="24"/>
          <w:highlight w:val="none"/>
          <w:lang w:eastAsia="zh-CN"/>
        </w:rPr>
        <w:t>平舆县人民政府办公室关于印发平舆县畜禽养殖禁养区划分方案的通知</w:t>
      </w:r>
      <w:r>
        <w:rPr>
          <w:rFonts w:hint="eastAsia" w:cs="Times New Roman" w:eastAsiaTheme="minorEastAsia"/>
          <w:bCs/>
          <w:color w:val="auto"/>
          <w:sz w:val="24"/>
          <w:highlight w:val="none"/>
          <w:lang w:eastAsia="zh-CN"/>
        </w:rPr>
        <w:t>（平政办〔2020〕6号）</w:t>
      </w:r>
      <w:r>
        <w:rPr>
          <w:rFonts w:hint="eastAsia" w:ascii="Times New Roman" w:hAnsi="Times New Roman" w:cs="Times New Roman" w:eastAsiaTheme="minorEastAsia"/>
          <w:bCs/>
          <w:color w:val="auto"/>
          <w:sz w:val="24"/>
          <w:highlight w:val="none"/>
          <w:lang w:eastAsia="zh-CN"/>
        </w:rPr>
        <w:t>；</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eastAsia" w:ascii="Times New Roman" w:hAnsi="Times New Roman" w:cs="Times New Roman" w:eastAsiaTheme="minorEastAsia"/>
          <w:bCs/>
          <w:color w:val="auto"/>
          <w:sz w:val="24"/>
          <w:highlight w:val="none"/>
          <w:lang w:eastAsia="zh-CN"/>
        </w:rPr>
      </w:pPr>
      <w:r>
        <w:rPr>
          <w:rFonts w:hint="eastAsia" w:ascii="Times New Roman" w:hAnsi="Times New Roman" w:cs="Times New Roman" w:eastAsiaTheme="minorEastAsia"/>
          <w:bCs/>
          <w:color w:val="auto"/>
          <w:sz w:val="24"/>
          <w:highlight w:val="none"/>
          <w:lang w:eastAsia="zh-CN"/>
        </w:rPr>
        <w:t>（3</w:t>
      </w:r>
      <w:r>
        <w:rPr>
          <w:rFonts w:hint="eastAsia" w:cs="Times New Roman" w:eastAsiaTheme="minorEastAsia"/>
          <w:bCs/>
          <w:color w:val="auto"/>
          <w:sz w:val="24"/>
          <w:highlight w:val="none"/>
          <w:lang w:val="en-US" w:eastAsia="zh-CN"/>
        </w:rPr>
        <w:t>6</w:t>
      </w:r>
      <w:r>
        <w:rPr>
          <w:rFonts w:hint="eastAsia" w:ascii="Times New Roman" w:hAnsi="Times New Roman" w:cs="Times New Roman" w:eastAsiaTheme="minorEastAsia"/>
          <w:bCs/>
          <w:color w:val="auto"/>
          <w:sz w:val="24"/>
          <w:highlight w:val="none"/>
          <w:lang w:eastAsia="zh-CN"/>
        </w:rPr>
        <w:t>）《关于做好畜禽规模养殖项目环境影响评价管理工作的通知》（环办环评〔2018〕31号，2018年10月15日）。</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eastAsia" w:ascii="Times New Roman" w:hAnsi="Times New Roman" w:cs="Times New Roman" w:eastAsiaTheme="minorEastAsia"/>
          <w:bCs/>
          <w:color w:val="auto"/>
          <w:sz w:val="24"/>
          <w:highlight w:val="none"/>
          <w:lang w:eastAsia="zh-CN"/>
        </w:rPr>
      </w:pPr>
      <w:r>
        <w:rPr>
          <w:rFonts w:hint="eastAsia" w:ascii="Times New Roman" w:hAnsi="Times New Roman" w:cs="Times New Roman" w:eastAsiaTheme="minorEastAsia"/>
          <w:bCs/>
          <w:color w:val="auto"/>
          <w:sz w:val="24"/>
          <w:highlight w:val="none"/>
          <w:lang w:eastAsia="zh-CN"/>
        </w:rPr>
        <w:t>（</w:t>
      </w:r>
      <w:r>
        <w:rPr>
          <w:rFonts w:hint="eastAsia" w:ascii="Times New Roman" w:hAnsi="Times New Roman" w:cs="Times New Roman" w:eastAsiaTheme="minorEastAsia"/>
          <w:bCs/>
          <w:color w:val="auto"/>
          <w:sz w:val="24"/>
          <w:highlight w:val="none"/>
          <w:lang w:val="en-US" w:eastAsia="zh-CN"/>
        </w:rPr>
        <w:t>3</w:t>
      </w:r>
      <w:r>
        <w:rPr>
          <w:rFonts w:hint="eastAsia" w:cs="Times New Roman" w:eastAsiaTheme="minorEastAsia"/>
          <w:bCs/>
          <w:color w:val="auto"/>
          <w:sz w:val="24"/>
          <w:highlight w:val="none"/>
          <w:lang w:val="en-US" w:eastAsia="zh-CN"/>
        </w:rPr>
        <w:t>7</w:t>
      </w:r>
      <w:r>
        <w:rPr>
          <w:rFonts w:hint="eastAsia" w:ascii="Times New Roman" w:hAnsi="Times New Roman" w:cs="Times New Roman" w:eastAsiaTheme="minorEastAsia"/>
          <w:bCs/>
          <w:color w:val="auto"/>
          <w:sz w:val="24"/>
          <w:highlight w:val="none"/>
          <w:lang w:eastAsia="zh-CN"/>
        </w:rPr>
        <w:t>）《关于统筹做好疫情防控和经济社会发展生态环保工作的指导意见》（环综合〔2020〕13号，2020年3月3日）。</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eastAsia" w:ascii="Times New Roman" w:hAnsi="Times New Roman" w:cs="Times New Roman" w:eastAsiaTheme="minorEastAsia"/>
          <w:bCs/>
          <w:color w:val="auto"/>
          <w:sz w:val="24"/>
          <w:highlight w:val="none"/>
          <w:lang w:eastAsia="zh-CN"/>
        </w:rPr>
      </w:pPr>
      <w:r>
        <w:rPr>
          <w:rFonts w:hint="eastAsia" w:ascii="Times New Roman" w:hAnsi="Times New Roman" w:cs="Times New Roman" w:eastAsiaTheme="minorEastAsia"/>
          <w:bCs/>
          <w:color w:val="auto"/>
          <w:sz w:val="24"/>
          <w:highlight w:val="none"/>
          <w:lang w:eastAsia="zh-CN"/>
        </w:rPr>
        <w:t>（</w:t>
      </w:r>
      <w:r>
        <w:rPr>
          <w:rFonts w:hint="eastAsia" w:cs="Times New Roman" w:eastAsiaTheme="minorEastAsia"/>
          <w:bCs/>
          <w:color w:val="auto"/>
          <w:sz w:val="24"/>
          <w:highlight w:val="none"/>
          <w:lang w:val="en-US" w:eastAsia="zh-CN"/>
        </w:rPr>
        <w:t>38</w:t>
      </w:r>
      <w:r>
        <w:rPr>
          <w:rFonts w:hint="eastAsia" w:ascii="Times New Roman" w:hAnsi="Times New Roman" w:cs="Times New Roman" w:eastAsiaTheme="minorEastAsia"/>
          <w:bCs/>
          <w:color w:val="auto"/>
          <w:sz w:val="24"/>
          <w:highlight w:val="none"/>
          <w:lang w:eastAsia="zh-CN"/>
        </w:rPr>
        <w:t>）《《关于进一步做好当前生猪规模养殖环评管理相关工作的通知》》（环办环评函【2019】872号，2019年11月29日）。</w:t>
      </w:r>
    </w:p>
    <w:p>
      <w:pPr>
        <w:keepNext w:val="0"/>
        <w:keepLines w:val="0"/>
        <w:pageBreakBefore w:val="0"/>
        <w:widowControl/>
        <w:kinsoku/>
        <w:wordWrap/>
        <w:overflowPunct/>
        <w:autoSpaceDE/>
        <w:autoSpaceDN/>
        <w:bidi w:val="0"/>
        <w:adjustRightInd/>
        <w:snapToGrid/>
        <w:spacing w:line="360" w:lineRule="auto"/>
        <w:ind w:left="0" w:leftChars="0" w:firstLine="480" w:firstLineChars="200"/>
        <w:textAlignment w:val="auto"/>
        <w:rPr>
          <w:rFonts w:hint="eastAsia" w:ascii="Times New Roman" w:hAnsi="Times New Roman" w:cs="Times New Roman" w:eastAsiaTheme="minorEastAsia"/>
          <w:bCs/>
          <w:color w:val="auto"/>
          <w:sz w:val="24"/>
          <w:highlight w:val="none"/>
          <w:lang w:eastAsia="zh-CN"/>
        </w:rPr>
      </w:pPr>
      <w:r>
        <w:rPr>
          <w:rFonts w:hint="eastAsia" w:ascii="Times New Roman" w:hAnsi="Times New Roman" w:cs="Times New Roman" w:eastAsiaTheme="minorEastAsia"/>
          <w:bCs/>
          <w:color w:val="auto"/>
          <w:sz w:val="24"/>
          <w:highlight w:val="none"/>
          <w:lang w:eastAsia="zh-CN"/>
        </w:rPr>
        <w:t>（</w:t>
      </w:r>
      <w:r>
        <w:rPr>
          <w:rFonts w:hint="eastAsia" w:cs="Times New Roman" w:eastAsiaTheme="minorEastAsia"/>
          <w:bCs/>
          <w:color w:val="auto"/>
          <w:sz w:val="24"/>
          <w:highlight w:val="none"/>
          <w:lang w:val="en-US" w:eastAsia="zh-CN"/>
        </w:rPr>
        <w:t>39</w:t>
      </w:r>
      <w:r>
        <w:rPr>
          <w:rFonts w:hint="eastAsia" w:ascii="Times New Roman" w:hAnsi="Times New Roman" w:cs="Times New Roman" w:eastAsiaTheme="minorEastAsia"/>
          <w:bCs/>
          <w:color w:val="auto"/>
          <w:sz w:val="24"/>
          <w:highlight w:val="none"/>
          <w:lang w:eastAsia="zh-CN"/>
        </w:rPr>
        <w:t>）《河南省生态环境厅办公室关于深化环评“放管服”改革及实施环评审批正面清单的通知》（豫环办〔2020〕22号，2020年4月10日）。</w:t>
      </w:r>
    </w:p>
    <w:p>
      <w:pPr>
        <w:pStyle w:val="5"/>
        <w:tabs>
          <w:tab w:val="left" w:pos="5327"/>
          <w:tab w:val="left" w:pos="6326"/>
          <w:tab w:val="left" w:pos="7230"/>
          <w:tab w:val="left" w:pos="9301"/>
        </w:tabs>
        <w:spacing w:before="66"/>
        <w:ind w:firstLine="482"/>
        <w:rPr>
          <w:rFonts w:cs="Times New Roman"/>
          <w:color w:val="auto"/>
          <w:highlight w:val="none"/>
        </w:rPr>
      </w:pPr>
      <w:r>
        <w:rPr>
          <w:rFonts w:cs="Times New Roman"/>
          <w:color w:val="auto"/>
          <w:highlight w:val="none"/>
        </w:rPr>
        <w:t>1.2.</w:t>
      </w:r>
      <w:r>
        <w:rPr>
          <w:rFonts w:hint="eastAsia" w:cs="Times New Roman"/>
          <w:color w:val="auto"/>
          <w:highlight w:val="none"/>
          <w:lang w:val="en-US" w:eastAsia="zh-CN"/>
        </w:rPr>
        <w:t>2行业标准与</w:t>
      </w:r>
      <w:r>
        <w:rPr>
          <w:rFonts w:cs="Times New Roman"/>
          <w:color w:val="auto"/>
          <w:highlight w:val="none"/>
        </w:rPr>
        <w:t>技术规范</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（1）《环境影响评价技术导则—总纲》（HJ2.1-2016）；</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（2）《环境影响评价技术导则—大气环境》（HJ2.2-2018）；</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（3）《环境影响评价技术导则—地表水环境》（HJ2.3-2018）；</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（4）《环境影响评价技术导则—声环境》（HJ2.4-2009）；</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（5）《环境影响评价技术导则—地下水环境》（HJ610-2016）；</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（6）《环境影响评价技术导则—生态影响》（HJ19-2011）；</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（7）《地下水环境监测技术规范》（HJ/T164-2004）；</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（8）《地表水和污水监测技术规范》（HJ/T91-2002）；</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（9）《建设项目环境影响评价分类管理名录》（2018年修正版)</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（10）《建设项目环境风险评价技术导则》（HJ169-2018）；</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（11）《畜禽养殖业污染防治技术规范》（HJ/T81-2001）；</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（12）《畜禽养殖业污染治理工程技术规范》（HJ497-2009）；</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（13）《畜禽粪便无害化处理技术规范》（NY/T1168-2006）；</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（14）《畜禽场环境污染控制技术规范》（NY/T1169-2006）；</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（15）《规模化畜禽养殖场沼气工程设计规范》（NY/T1222-2006）；</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（16）《畜禽养殖场污染防治最佳可行技术指南（试行）》（HJ-BAT-10）；</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（17）《畜禽粪便还田技术规范》（GB/T25246-2010）。</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（18）《畜禽养殖产地环境评价规范》（HJ 568—2010）。</w:t>
      </w:r>
    </w:p>
    <w:p>
      <w:pPr>
        <w:keepNext/>
        <w:keepLines/>
        <w:pageBreakBefore w:val="0"/>
        <w:widowControl/>
        <w:kinsoku/>
        <w:wordWrap/>
        <w:overflowPunct/>
        <w:topLinePunct w:val="0"/>
        <w:autoSpaceDE/>
        <w:autoSpaceDN/>
        <w:bidi w:val="0"/>
        <w:adjustRightInd/>
        <w:snapToGrid/>
        <w:textAlignment w:val="auto"/>
        <w:outlineLvl w:val="9"/>
        <w:rPr>
          <w:color w:val="auto"/>
          <w:highlight w:val="none"/>
        </w:rPr>
      </w:pPr>
      <w:r>
        <w:rPr>
          <w:rFonts w:hint="eastAsia"/>
          <w:color w:val="auto"/>
          <w:highlight w:val="none"/>
        </w:rPr>
        <w:t>（19）《排污许可证申请与核发技术规范 畜禽养殖行业》（HJ1029-2019）。</w:t>
      </w:r>
    </w:p>
    <w:p>
      <w:pPr>
        <w:pStyle w:val="5"/>
        <w:tabs>
          <w:tab w:val="left" w:pos="5327"/>
          <w:tab w:val="left" w:pos="6326"/>
          <w:tab w:val="left" w:pos="7230"/>
          <w:tab w:val="left" w:pos="9301"/>
        </w:tabs>
        <w:spacing w:before="66"/>
        <w:ind w:firstLine="482"/>
        <w:rPr>
          <w:rFonts w:cs="Times New Roman"/>
          <w:color w:val="auto"/>
          <w:highlight w:val="none"/>
        </w:rPr>
      </w:pPr>
      <w:r>
        <w:rPr>
          <w:rFonts w:cs="Times New Roman"/>
          <w:color w:val="auto"/>
          <w:highlight w:val="none"/>
        </w:rPr>
        <w:t>1.2.</w:t>
      </w:r>
      <w:r>
        <w:rPr>
          <w:rFonts w:hint="eastAsia" w:cs="Times New Roman"/>
          <w:color w:val="auto"/>
          <w:highlight w:val="none"/>
          <w:lang w:val="en-US" w:eastAsia="zh-CN"/>
        </w:rPr>
        <w:t>3</w:t>
      </w:r>
      <w:r>
        <w:rPr>
          <w:rFonts w:cs="Times New Roman"/>
          <w:color w:val="auto"/>
          <w:highlight w:val="none"/>
        </w:rPr>
        <w:t>相关文件及资料</w:t>
      </w:r>
    </w:p>
    <w:p>
      <w:pPr>
        <w:keepNext w:val="0"/>
        <w:keepLines w:val="0"/>
        <w:pageBreakBefore w:val="0"/>
        <w:widowControl/>
        <w:kinsoku/>
        <w:wordWrap/>
        <w:overflowPunct/>
        <w:topLinePunct/>
        <w:autoSpaceDE/>
        <w:autoSpaceDN/>
        <w:bidi w:val="0"/>
        <w:adjustRightInd/>
        <w:snapToGrid/>
        <w:spacing w:line="360" w:lineRule="auto"/>
        <w:ind w:firstLine="480" w:firstLineChars="200"/>
        <w:jc w:val="both"/>
        <w:textAlignment w:val="auto"/>
        <w:rPr>
          <w:rFonts w:ascii="Times New Roman" w:hAnsi="Times New Roman"/>
          <w:color w:val="auto"/>
          <w:sz w:val="24"/>
          <w:szCs w:val="24"/>
          <w:highlight w:val="none"/>
        </w:rPr>
      </w:pPr>
      <w:r>
        <w:rPr>
          <w:rFonts w:ascii="Times New Roman" w:hAnsi="Times New Roman"/>
          <w:color w:val="auto"/>
          <w:sz w:val="24"/>
          <w:szCs w:val="24"/>
          <w:highlight w:val="none"/>
        </w:rPr>
        <w:t>（1）本项目环评工作委托书；</w:t>
      </w:r>
    </w:p>
    <w:p>
      <w:pPr>
        <w:keepNext w:val="0"/>
        <w:keepLines w:val="0"/>
        <w:pageBreakBefore w:val="0"/>
        <w:widowControl/>
        <w:kinsoku/>
        <w:wordWrap/>
        <w:overflowPunct/>
        <w:topLinePunct/>
        <w:autoSpaceDE/>
        <w:autoSpaceDN/>
        <w:bidi w:val="0"/>
        <w:adjustRightInd/>
        <w:snapToGrid/>
        <w:spacing w:line="360" w:lineRule="auto"/>
        <w:ind w:firstLine="480" w:firstLineChars="200"/>
        <w:jc w:val="both"/>
        <w:textAlignment w:val="auto"/>
        <w:rPr>
          <w:rFonts w:hint="eastAsia"/>
          <w:color w:val="auto"/>
          <w:highlight w:val="none"/>
        </w:rPr>
      </w:pPr>
      <w:r>
        <w:rPr>
          <w:rFonts w:ascii="Times New Roman" w:hAnsi="Times New Roman"/>
          <w:color w:val="auto"/>
          <w:sz w:val="24"/>
          <w:szCs w:val="24"/>
          <w:highlight w:val="none"/>
        </w:rPr>
        <w:t>（</w:t>
      </w:r>
      <w:r>
        <w:rPr>
          <w:rFonts w:hint="eastAsia"/>
          <w:color w:val="auto"/>
          <w:sz w:val="24"/>
          <w:szCs w:val="24"/>
          <w:highlight w:val="none"/>
          <w:lang w:val="en-US" w:eastAsia="zh-CN"/>
        </w:rPr>
        <w:t>2</w:t>
      </w:r>
      <w:r>
        <w:rPr>
          <w:rFonts w:ascii="Times New Roman" w:hAnsi="Times New Roman"/>
          <w:color w:val="auto"/>
          <w:sz w:val="24"/>
          <w:szCs w:val="24"/>
          <w:highlight w:val="none"/>
        </w:rPr>
        <w:t>）与项目有关的其他资料和文件</w:t>
      </w:r>
      <w:r>
        <w:rPr>
          <w:rFonts w:hint="eastAsia"/>
          <w:color w:val="auto"/>
          <w:highlight w:val="none"/>
        </w:rPr>
        <w:t>。</w:t>
      </w:r>
    </w:p>
    <w:p>
      <w:pPr>
        <w:pStyle w:val="4"/>
        <w:spacing w:before="132"/>
        <w:rPr>
          <w:rFonts w:cs="Times New Roman"/>
          <w:color w:val="auto"/>
          <w:highlight w:val="none"/>
        </w:rPr>
      </w:pPr>
      <w:bookmarkStart w:id="4" w:name="_Toc29713"/>
      <w:r>
        <w:rPr>
          <w:rFonts w:cs="Times New Roman"/>
          <w:color w:val="auto"/>
          <w:highlight w:val="none"/>
        </w:rPr>
        <w:t>1.3评价时段</w:t>
      </w:r>
      <w:bookmarkEnd w:id="4"/>
    </w:p>
    <w:p>
      <w:pPr>
        <w:ind w:firstLine="480"/>
        <w:rPr>
          <w:rFonts w:cs="Times New Roman"/>
          <w:color w:val="auto"/>
          <w:highlight w:val="none"/>
        </w:rPr>
      </w:pPr>
      <w:r>
        <w:rPr>
          <w:rFonts w:cs="Times New Roman"/>
          <w:color w:val="auto"/>
          <w:highlight w:val="none"/>
        </w:rPr>
        <w:t>根据项目工程特点，确定本项目评价时段分为</w:t>
      </w:r>
      <w:r>
        <w:rPr>
          <w:rFonts w:hint="eastAsia" w:cs="Times New Roman"/>
          <w:color w:val="auto"/>
          <w:highlight w:val="none"/>
        </w:rPr>
        <w:t>施工期、</w:t>
      </w:r>
      <w:r>
        <w:rPr>
          <w:rFonts w:cs="Times New Roman"/>
          <w:color w:val="auto"/>
          <w:highlight w:val="none"/>
        </w:rPr>
        <w:t>营运期</w:t>
      </w:r>
      <w:r>
        <w:rPr>
          <w:rFonts w:hint="eastAsia" w:cs="Times New Roman"/>
          <w:color w:val="auto"/>
          <w:highlight w:val="none"/>
          <w:lang w:eastAsia="zh-CN"/>
        </w:rPr>
        <w:t>两</w:t>
      </w:r>
      <w:r>
        <w:rPr>
          <w:rFonts w:cs="Times New Roman"/>
          <w:color w:val="auto"/>
          <w:highlight w:val="none"/>
        </w:rPr>
        <w:t>个时段。</w:t>
      </w:r>
    </w:p>
    <w:p>
      <w:pPr>
        <w:pStyle w:val="4"/>
        <w:spacing w:before="132"/>
        <w:rPr>
          <w:color w:val="auto"/>
          <w:highlight w:val="none"/>
        </w:rPr>
      </w:pPr>
      <w:bookmarkStart w:id="5" w:name="_Toc5431"/>
      <w:r>
        <w:rPr>
          <w:color w:val="auto"/>
          <w:highlight w:val="none"/>
        </w:rPr>
        <w:t>1.4评价因子及识别</w:t>
      </w:r>
      <w:bookmarkEnd w:id="5"/>
    </w:p>
    <w:p>
      <w:pPr>
        <w:pStyle w:val="5"/>
        <w:spacing w:before="66"/>
        <w:ind w:firstLine="482"/>
        <w:rPr>
          <w:rFonts w:cs="Times New Roman"/>
          <w:color w:val="auto"/>
          <w:highlight w:val="none"/>
        </w:rPr>
      </w:pPr>
      <w:r>
        <w:rPr>
          <w:rFonts w:cs="Times New Roman"/>
          <w:color w:val="auto"/>
          <w:highlight w:val="none"/>
        </w:rPr>
        <w:t>1.4.1环境影响要素识别</w:t>
      </w:r>
    </w:p>
    <w:p>
      <w:pPr>
        <w:ind w:firstLine="480"/>
        <w:rPr>
          <w:rFonts w:cs="Times New Roman"/>
          <w:color w:val="auto"/>
          <w:highlight w:val="none"/>
        </w:rPr>
      </w:pPr>
      <w:r>
        <w:rPr>
          <w:rFonts w:cs="Times New Roman"/>
          <w:color w:val="auto"/>
          <w:highlight w:val="none"/>
        </w:rPr>
        <w:t>根据工程特点、环境特征以及工程对环境影响的性质与程度，对工程的环境影响要素进行识别，识别过程见表1.4-1。</w:t>
      </w:r>
    </w:p>
    <w:p>
      <w:pPr>
        <w:pStyle w:val="40"/>
        <w:rPr>
          <w:color w:val="auto"/>
          <w:highlight w:val="none"/>
        </w:rPr>
      </w:pPr>
      <w:r>
        <w:rPr>
          <w:color w:val="auto"/>
          <w:highlight w:val="none"/>
        </w:rPr>
        <w:t>表1.4-1工程环境要素识别</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434"/>
        <w:gridCol w:w="1245"/>
        <w:gridCol w:w="686"/>
        <w:gridCol w:w="822"/>
        <w:gridCol w:w="918"/>
        <w:gridCol w:w="661"/>
        <w:gridCol w:w="667"/>
        <w:gridCol w:w="1098"/>
        <w:gridCol w:w="11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restart"/>
            <w:noWrap w:val="0"/>
            <w:vAlign w:val="center"/>
          </w:tcPr>
          <w:p>
            <w:pPr>
              <w:spacing w:line="240" w:lineRule="exact"/>
              <w:ind w:left="0" w:leftChars="0" w:firstLine="0" w:firstLineChars="0"/>
              <w:jc w:val="center"/>
              <w:rPr>
                <w:rFonts w:ascii="Times New Roman" w:hAnsi="Times New Roman"/>
                <w:b/>
                <w:color w:val="auto"/>
                <w:sz w:val="21"/>
                <w:szCs w:val="21"/>
                <w:highlight w:val="none"/>
              </w:rPr>
            </w:pPr>
            <w:r>
              <w:rPr>
                <w:rFonts w:ascii="Times New Roman" w:hAnsi="Times New Roman"/>
                <w:b/>
                <w:color w:val="auto"/>
                <w:sz w:val="21"/>
                <w:szCs w:val="21"/>
                <w:highlight w:val="none"/>
              </w:rPr>
              <w:t>阶段</w:t>
            </w:r>
          </w:p>
        </w:tc>
        <w:tc>
          <w:tcPr>
            <w:tcW w:w="986" w:type="pct"/>
            <w:gridSpan w:val="2"/>
            <w:vMerge w:val="restart"/>
            <w:noWrap w:val="0"/>
            <w:vAlign w:val="center"/>
          </w:tcPr>
          <w:p>
            <w:pPr>
              <w:spacing w:line="240" w:lineRule="exact"/>
              <w:ind w:left="0" w:leftChars="0" w:firstLine="0" w:firstLineChars="0"/>
              <w:jc w:val="center"/>
              <w:rPr>
                <w:rFonts w:ascii="Times New Roman" w:hAnsi="Times New Roman"/>
                <w:b/>
                <w:color w:val="auto"/>
                <w:sz w:val="21"/>
                <w:szCs w:val="21"/>
                <w:highlight w:val="none"/>
              </w:rPr>
            </w:pPr>
            <w:r>
              <w:rPr>
                <w:rFonts w:ascii="Times New Roman" w:hAnsi="Times New Roman"/>
                <w:b/>
                <w:color w:val="auto"/>
                <w:sz w:val="21"/>
                <w:szCs w:val="21"/>
                <w:highlight w:val="none"/>
              </w:rPr>
              <w:t>污染因素</w:t>
            </w:r>
          </w:p>
        </w:tc>
        <w:tc>
          <w:tcPr>
            <w:tcW w:w="3531" w:type="pct"/>
            <w:gridSpan w:val="7"/>
            <w:noWrap w:val="0"/>
            <w:vAlign w:val="center"/>
          </w:tcPr>
          <w:p>
            <w:pPr>
              <w:spacing w:line="240" w:lineRule="exact"/>
              <w:ind w:left="0" w:leftChars="0" w:firstLine="0" w:firstLineChars="0"/>
              <w:jc w:val="center"/>
              <w:rPr>
                <w:rFonts w:ascii="Times New Roman" w:hAnsi="Times New Roman"/>
                <w:b/>
                <w:color w:val="auto"/>
                <w:sz w:val="21"/>
                <w:szCs w:val="21"/>
                <w:highlight w:val="none"/>
              </w:rPr>
            </w:pPr>
            <w:r>
              <w:rPr>
                <w:rFonts w:ascii="Times New Roman" w:hAnsi="Times New Roman"/>
                <w:b/>
                <w:color w:val="auto"/>
                <w:sz w:val="21"/>
                <w:szCs w:val="21"/>
                <w:highlight w:val="none"/>
              </w:rPr>
              <w:t>环境要素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jc w:val="center"/>
              <w:rPr>
                <w:rFonts w:ascii="Times New Roman" w:hAnsi="Times New Roman"/>
                <w:b/>
                <w:color w:val="auto"/>
                <w:sz w:val="21"/>
                <w:szCs w:val="21"/>
                <w:highlight w:val="none"/>
              </w:rPr>
            </w:pPr>
          </w:p>
        </w:tc>
        <w:tc>
          <w:tcPr>
            <w:tcW w:w="986" w:type="pct"/>
            <w:gridSpan w:val="2"/>
            <w:vMerge w:val="continue"/>
            <w:noWrap w:val="0"/>
            <w:vAlign w:val="center"/>
          </w:tcPr>
          <w:p>
            <w:pPr>
              <w:spacing w:line="240" w:lineRule="exact"/>
              <w:ind w:left="0" w:leftChars="0" w:firstLine="0" w:firstLineChars="0"/>
              <w:jc w:val="center"/>
              <w:rPr>
                <w:rFonts w:ascii="Times New Roman" w:hAnsi="Times New Roman"/>
                <w:b/>
                <w:color w:val="auto"/>
                <w:sz w:val="21"/>
                <w:szCs w:val="21"/>
                <w:highlight w:val="none"/>
              </w:rPr>
            </w:pPr>
          </w:p>
        </w:tc>
        <w:tc>
          <w:tcPr>
            <w:tcW w:w="403" w:type="pct"/>
            <w:noWrap w:val="0"/>
            <w:vAlign w:val="center"/>
          </w:tcPr>
          <w:p>
            <w:pPr>
              <w:spacing w:line="240" w:lineRule="exact"/>
              <w:ind w:left="0" w:leftChars="0" w:firstLine="0" w:firstLineChars="0"/>
              <w:jc w:val="center"/>
              <w:rPr>
                <w:rFonts w:ascii="Times New Roman" w:hAnsi="Times New Roman"/>
                <w:b/>
                <w:color w:val="auto"/>
                <w:sz w:val="21"/>
                <w:szCs w:val="21"/>
                <w:highlight w:val="none"/>
              </w:rPr>
            </w:pPr>
            <w:r>
              <w:rPr>
                <w:rFonts w:ascii="Times New Roman" w:hAnsi="Times New Roman"/>
                <w:b/>
                <w:color w:val="auto"/>
                <w:sz w:val="21"/>
                <w:szCs w:val="21"/>
                <w:highlight w:val="none"/>
              </w:rPr>
              <w:t>大气</w:t>
            </w:r>
          </w:p>
        </w:tc>
        <w:tc>
          <w:tcPr>
            <w:tcW w:w="483" w:type="pct"/>
            <w:noWrap w:val="0"/>
            <w:vAlign w:val="center"/>
          </w:tcPr>
          <w:p>
            <w:pPr>
              <w:spacing w:line="240" w:lineRule="exact"/>
              <w:ind w:left="0" w:leftChars="0" w:firstLine="0" w:firstLineChars="0"/>
              <w:jc w:val="center"/>
              <w:rPr>
                <w:rFonts w:ascii="Times New Roman" w:hAnsi="Times New Roman"/>
                <w:b/>
                <w:color w:val="auto"/>
                <w:sz w:val="21"/>
                <w:szCs w:val="21"/>
                <w:highlight w:val="none"/>
              </w:rPr>
            </w:pPr>
            <w:r>
              <w:rPr>
                <w:rFonts w:ascii="Times New Roman" w:hAnsi="Times New Roman"/>
                <w:b/>
                <w:color w:val="auto"/>
                <w:sz w:val="21"/>
                <w:szCs w:val="21"/>
                <w:highlight w:val="none"/>
              </w:rPr>
              <w:t>地表水</w:t>
            </w:r>
          </w:p>
        </w:tc>
        <w:tc>
          <w:tcPr>
            <w:tcW w:w="539" w:type="pct"/>
            <w:noWrap w:val="0"/>
            <w:vAlign w:val="center"/>
          </w:tcPr>
          <w:p>
            <w:pPr>
              <w:spacing w:line="240" w:lineRule="exact"/>
              <w:ind w:left="0" w:leftChars="0" w:firstLine="0" w:firstLineChars="0"/>
              <w:jc w:val="center"/>
              <w:rPr>
                <w:rFonts w:ascii="Times New Roman" w:hAnsi="Times New Roman"/>
                <w:b/>
                <w:color w:val="auto"/>
                <w:sz w:val="21"/>
                <w:szCs w:val="21"/>
                <w:highlight w:val="none"/>
              </w:rPr>
            </w:pPr>
            <w:r>
              <w:rPr>
                <w:rFonts w:ascii="Times New Roman" w:hAnsi="Times New Roman"/>
                <w:b/>
                <w:color w:val="auto"/>
                <w:sz w:val="21"/>
                <w:szCs w:val="21"/>
                <w:highlight w:val="none"/>
              </w:rPr>
              <w:t>地下水</w:t>
            </w:r>
          </w:p>
        </w:tc>
        <w:tc>
          <w:tcPr>
            <w:tcW w:w="388" w:type="pct"/>
            <w:noWrap w:val="0"/>
            <w:vAlign w:val="center"/>
          </w:tcPr>
          <w:p>
            <w:pPr>
              <w:spacing w:line="240" w:lineRule="exact"/>
              <w:ind w:left="0" w:leftChars="0" w:firstLine="0" w:firstLineChars="0"/>
              <w:jc w:val="center"/>
              <w:rPr>
                <w:rFonts w:ascii="Times New Roman" w:hAnsi="Times New Roman"/>
                <w:b/>
                <w:color w:val="auto"/>
                <w:sz w:val="21"/>
                <w:szCs w:val="21"/>
                <w:highlight w:val="none"/>
              </w:rPr>
            </w:pPr>
            <w:r>
              <w:rPr>
                <w:rFonts w:ascii="Times New Roman" w:hAnsi="Times New Roman"/>
                <w:b/>
                <w:color w:val="auto"/>
                <w:sz w:val="21"/>
                <w:szCs w:val="21"/>
                <w:highlight w:val="none"/>
              </w:rPr>
              <w:t>声</w:t>
            </w:r>
          </w:p>
        </w:tc>
        <w:tc>
          <w:tcPr>
            <w:tcW w:w="392" w:type="pct"/>
            <w:noWrap w:val="0"/>
            <w:vAlign w:val="center"/>
          </w:tcPr>
          <w:p>
            <w:pPr>
              <w:spacing w:line="240" w:lineRule="exact"/>
              <w:ind w:left="0" w:leftChars="0" w:firstLine="0" w:firstLineChars="0"/>
              <w:jc w:val="center"/>
              <w:rPr>
                <w:rFonts w:ascii="Times New Roman" w:hAnsi="Times New Roman"/>
                <w:b/>
                <w:color w:val="auto"/>
                <w:sz w:val="21"/>
                <w:szCs w:val="21"/>
                <w:highlight w:val="none"/>
              </w:rPr>
            </w:pPr>
            <w:r>
              <w:rPr>
                <w:rFonts w:ascii="Times New Roman" w:hAnsi="Times New Roman"/>
                <w:b/>
                <w:color w:val="auto"/>
                <w:sz w:val="21"/>
                <w:szCs w:val="21"/>
                <w:highlight w:val="none"/>
              </w:rPr>
              <w:t>生态</w:t>
            </w:r>
          </w:p>
        </w:tc>
        <w:tc>
          <w:tcPr>
            <w:tcW w:w="645" w:type="pct"/>
            <w:noWrap w:val="0"/>
            <w:vAlign w:val="center"/>
          </w:tcPr>
          <w:p>
            <w:pPr>
              <w:spacing w:line="240" w:lineRule="exact"/>
              <w:ind w:left="0" w:leftChars="0" w:firstLine="0" w:firstLineChars="0"/>
              <w:jc w:val="center"/>
              <w:rPr>
                <w:rFonts w:ascii="Times New Roman" w:hAnsi="Times New Roman"/>
                <w:b/>
                <w:color w:val="auto"/>
                <w:sz w:val="21"/>
                <w:szCs w:val="21"/>
                <w:highlight w:val="none"/>
              </w:rPr>
            </w:pPr>
            <w:r>
              <w:rPr>
                <w:rFonts w:ascii="Times New Roman" w:hAnsi="Times New Roman"/>
                <w:b/>
                <w:color w:val="auto"/>
                <w:sz w:val="21"/>
                <w:szCs w:val="21"/>
                <w:highlight w:val="none"/>
              </w:rPr>
              <w:t>水土流失</w:t>
            </w:r>
          </w:p>
        </w:tc>
        <w:tc>
          <w:tcPr>
            <w:tcW w:w="677" w:type="pct"/>
            <w:noWrap w:val="0"/>
            <w:vAlign w:val="center"/>
          </w:tcPr>
          <w:p>
            <w:pPr>
              <w:spacing w:line="240" w:lineRule="exact"/>
              <w:ind w:left="0" w:leftChars="0" w:firstLine="0" w:firstLineChars="0"/>
              <w:jc w:val="center"/>
              <w:rPr>
                <w:rFonts w:ascii="Times New Roman" w:hAnsi="Times New Roman"/>
                <w:b/>
                <w:color w:val="auto"/>
                <w:sz w:val="21"/>
                <w:szCs w:val="21"/>
                <w:highlight w:val="none"/>
              </w:rPr>
            </w:pPr>
            <w:r>
              <w:rPr>
                <w:rFonts w:ascii="Times New Roman" w:hAnsi="Times New Roman"/>
                <w:b/>
                <w:color w:val="auto"/>
                <w:sz w:val="21"/>
                <w:szCs w:val="21"/>
                <w:highlight w:val="none"/>
              </w:rPr>
              <w:t>居民生活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restar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施工期</w:t>
            </w:r>
          </w:p>
        </w:tc>
        <w:tc>
          <w:tcPr>
            <w:tcW w:w="255" w:type="pct"/>
            <w:vMerge w:val="restar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场区</w:t>
            </w:r>
          </w:p>
        </w:tc>
        <w:tc>
          <w:tcPr>
            <w:tcW w:w="731"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施工噪声</w:t>
            </w:r>
          </w:p>
        </w:tc>
        <w:tc>
          <w:tcPr>
            <w:tcW w:w="403"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483"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388"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◆S</w:t>
            </w:r>
          </w:p>
        </w:tc>
        <w:tc>
          <w:tcPr>
            <w:tcW w:w="392"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△S</w:t>
            </w:r>
          </w:p>
        </w:tc>
        <w:tc>
          <w:tcPr>
            <w:tcW w:w="645"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677"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p>
        </w:tc>
        <w:tc>
          <w:tcPr>
            <w:tcW w:w="255" w:type="pct"/>
            <w:vMerge w:val="continue"/>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p>
        </w:tc>
        <w:tc>
          <w:tcPr>
            <w:tcW w:w="731"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扬尘</w:t>
            </w:r>
          </w:p>
        </w:tc>
        <w:tc>
          <w:tcPr>
            <w:tcW w:w="403"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◆S</w:t>
            </w:r>
          </w:p>
        </w:tc>
        <w:tc>
          <w:tcPr>
            <w:tcW w:w="483"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388"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392"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645"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△S</w:t>
            </w:r>
          </w:p>
        </w:tc>
        <w:tc>
          <w:tcPr>
            <w:tcW w:w="677"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p>
        </w:tc>
        <w:tc>
          <w:tcPr>
            <w:tcW w:w="255" w:type="pct"/>
            <w:vMerge w:val="continue"/>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p>
        </w:tc>
        <w:tc>
          <w:tcPr>
            <w:tcW w:w="731"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施工废水</w:t>
            </w:r>
          </w:p>
        </w:tc>
        <w:tc>
          <w:tcPr>
            <w:tcW w:w="403"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483"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▲S</w:t>
            </w:r>
          </w:p>
        </w:tc>
        <w:tc>
          <w:tcPr>
            <w:tcW w:w="388"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392"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△S</w:t>
            </w:r>
          </w:p>
        </w:tc>
        <w:tc>
          <w:tcPr>
            <w:tcW w:w="645"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△S</w:t>
            </w:r>
          </w:p>
        </w:tc>
        <w:tc>
          <w:tcPr>
            <w:tcW w:w="677"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p>
        </w:tc>
        <w:tc>
          <w:tcPr>
            <w:tcW w:w="986" w:type="pct"/>
            <w:gridSpan w:val="2"/>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车辆运输</w:t>
            </w:r>
          </w:p>
        </w:tc>
        <w:tc>
          <w:tcPr>
            <w:tcW w:w="403"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▲S</w:t>
            </w:r>
          </w:p>
        </w:tc>
        <w:tc>
          <w:tcPr>
            <w:tcW w:w="483"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388"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▲S</w:t>
            </w:r>
          </w:p>
        </w:tc>
        <w:tc>
          <w:tcPr>
            <w:tcW w:w="392"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645"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677"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p>
        </w:tc>
        <w:tc>
          <w:tcPr>
            <w:tcW w:w="986" w:type="pct"/>
            <w:gridSpan w:val="2"/>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路管工程</w:t>
            </w:r>
          </w:p>
        </w:tc>
        <w:tc>
          <w:tcPr>
            <w:tcW w:w="403"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483"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388"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▲S</w:t>
            </w:r>
          </w:p>
        </w:tc>
        <w:tc>
          <w:tcPr>
            <w:tcW w:w="392"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▲S</w:t>
            </w:r>
          </w:p>
        </w:tc>
        <w:tc>
          <w:tcPr>
            <w:tcW w:w="645"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▲S</w:t>
            </w:r>
          </w:p>
        </w:tc>
        <w:tc>
          <w:tcPr>
            <w:tcW w:w="677"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restar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运营期</w:t>
            </w:r>
          </w:p>
        </w:tc>
        <w:tc>
          <w:tcPr>
            <w:tcW w:w="255" w:type="pct"/>
            <w:vMerge w:val="restar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场区</w:t>
            </w:r>
          </w:p>
        </w:tc>
        <w:tc>
          <w:tcPr>
            <w:tcW w:w="731"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工程废水</w:t>
            </w:r>
          </w:p>
        </w:tc>
        <w:tc>
          <w:tcPr>
            <w:tcW w:w="403"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◆L</w:t>
            </w:r>
          </w:p>
        </w:tc>
        <w:tc>
          <w:tcPr>
            <w:tcW w:w="483"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△L</w:t>
            </w:r>
          </w:p>
        </w:tc>
        <w:tc>
          <w:tcPr>
            <w:tcW w:w="388"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392"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△L</w:t>
            </w:r>
          </w:p>
        </w:tc>
        <w:tc>
          <w:tcPr>
            <w:tcW w:w="645"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△L</w:t>
            </w:r>
          </w:p>
        </w:tc>
        <w:tc>
          <w:tcPr>
            <w:tcW w:w="677"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p>
        </w:tc>
        <w:tc>
          <w:tcPr>
            <w:tcW w:w="255" w:type="pct"/>
            <w:vMerge w:val="continue"/>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p>
        </w:tc>
        <w:tc>
          <w:tcPr>
            <w:tcW w:w="731"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生产恶臭</w:t>
            </w:r>
          </w:p>
        </w:tc>
        <w:tc>
          <w:tcPr>
            <w:tcW w:w="403"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▲L</w:t>
            </w:r>
          </w:p>
        </w:tc>
        <w:tc>
          <w:tcPr>
            <w:tcW w:w="483"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388"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392"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645"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677"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p>
        </w:tc>
        <w:tc>
          <w:tcPr>
            <w:tcW w:w="255" w:type="pct"/>
            <w:vMerge w:val="continue"/>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p>
        </w:tc>
        <w:tc>
          <w:tcPr>
            <w:tcW w:w="731"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生产噪声</w:t>
            </w:r>
          </w:p>
        </w:tc>
        <w:tc>
          <w:tcPr>
            <w:tcW w:w="403"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483"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388"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◆L</w:t>
            </w:r>
          </w:p>
        </w:tc>
        <w:tc>
          <w:tcPr>
            <w:tcW w:w="392"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645"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677"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p>
        </w:tc>
        <w:tc>
          <w:tcPr>
            <w:tcW w:w="986" w:type="pct"/>
            <w:gridSpan w:val="2"/>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固废综合利用</w:t>
            </w:r>
          </w:p>
        </w:tc>
        <w:tc>
          <w:tcPr>
            <w:tcW w:w="403"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◆L</w:t>
            </w:r>
          </w:p>
        </w:tc>
        <w:tc>
          <w:tcPr>
            <w:tcW w:w="483"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△L</w:t>
            </w:r>
          </w:p>
        </w:tc>
        <w:tc>
          <w:tcPr>
            <w:tcW w:w="539"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△L</w:t>
            </w:r>
          </w:p>
        </w:tc>
        <w:tc>
          <w:tcPr>
            <w:tcW w:w="388"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392"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645"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677"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p>
        </w:tc>
        <w:tc>
          <w:tcPr>
            <w:tcW w:w="986" w:type="pct"/>
            <w:gridSpan w:val="2"/>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车辆运输</w:t>
            </w:r>
          </w:p>
        </w:tc>
        <w:tc>
          <w:tcPr>
            <w:tcW w:w="403"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▲L</w:t>
            </w:r>
          </w:p>
        </w:tc>
        <w:tc>
          <w:tcPr>
            <w:tcW w:w="483"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539"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388"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▲L</w:t>
            </w:r>
          </w:p>
        </w:tc>
        <w:tc>
          <w:tcPr>
            <w:tcW w:w="392"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645"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677"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p>
        </w:tc>
        <w:tc>
          <w:tcPr>
            <w:tcW w:w="986" w:type="pct"/>
            <w:gridSpan w:val="2"/>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施肥管网</w:t>
            </w:r>
          </w:p>
        </w:tc>
        <w:tc>
          <w:tcPr>
            <w:tcW w:w="403"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483"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△L</w:t>
            </w:r>
          </w:p>
        </w:tc>
        <w:tc>
          <w:tcPr>
            <w:tcW w:w="539"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△L</w:t>
            </w:r>
          </w:p>
        </w:tc>
        <w:tc>
          <w:tcPr>
            <w:tcW w:w="388"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392"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645"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677"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82" w:type="pct"/>
            <w:vMerge w:val="continue"/>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p>
        </w:tc>
        <w:tc>
          <w:tcPr>
            <w:tcW w:w="986" w:type="pct"/>
            <w:gridSpan w:val="2"/>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土壤</w:t>
            </w:r>
          </w:p>
        </w:tc>
        <w:tc>
          <w:tcPr>
            <w:tcW w:w="403"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483"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△L</w:t>
            </w:r>
          </w:p>
        </w:tc>
        <w:tc>
          <w:tcPr>
            <w:tcW w:w="539"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△L</w:t>
            </w:r>
          </w:p>
        </w:tc>
        <w:tc>
          <w:tcPr>
            <w:tcW w:w="388"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392"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645"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w:t>
            </w:r>
          </w:p>
        </w:tc>
        <w:tc>
          <w:tcPr>
            <w:tcW w:w="677" w:type="pct"/>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000" w:type="pct"/>
            <w:gridSpan w:val="10"/>
            <w:noWrap w:val="0"/>
            <w:vAlign w:val="center"/>
          </w:tcPr>
          <w:p>
            <w:pPr>
              <w:spacing w:line="240" w:lineRule="exact"/>
              <w:ind w:left="0" w:leftChars="0" w:firstLine="0" w:firstLineChars="0"/>
              <w:jc w:val="center"/>
              <w:rPr>
                <w:rFonts w:ascii="Times New Roman" w:hAnsi="Times New Roman"/>
                <w:b w:val="0"/>
                <w:bCs/>
                <w:color w:val="auto"/>
                <w:sz w:val="21"/>
                <w:szCs w:val="21"/>
                <w:highlight w:val="none"/>
              </w:rPr>
            </w:pPr>
            <w:r>
              <w:rPr>
                <w:rFonts w:ascii="Times New Roman" w:hAnsi="Times New Roman"/>
                <w:b w:val="0"/>
                <w:bCs/>
                <w:color w:val="auto"/>
                <w:sz w:val="21"/>
                <w:szCs w:val="21"/>
                <w:highlight w:val="none"/>
              </w:rPr>
              <w:t>◆有影响，▲有轻微影响，△可能有影响，○没有影响，S短期影响，L长期影响</w:t>
            </w:r>
          </w:p>
        </w:tc>
      </w:tr>
    </w:tbl>
    <w:p>
      <w:pPr>
        <w:pStyle w:val="5"/>
        <w:spacing w:before="66"/>
        <w:ind w:firstLine="482"/>
        <w:rPr>
          <w:rFonts w:cs="Times New Roman"/>
          <w:color w:val="auto"/>
          <w:highlight w:val="none"/>
        </w:rPr>
      </w:pPr>
      <w:r>
        <w:rPr>
          <w:rFonts w:cs="Times New Roman"/>
          <w:color w:val="auto"/>
          <w:highlight w:val="none"/>
        </w:rPr>
        <w:t>1.4.2评价因子的筛选</w:t>
      </w:r>
    </w:p>
    <w:p>
      <w:pPr>
        <w:ind w:firstLine="480"/>
        <w:rPr>
          <w:rFonts w:cs="Times New Roman"/>
          <w:color w:val="auto"/>
          <w:highlight w:val="none"/>
        </w:rPr>
      </w:pPr>
      <w:r>
        <w:rPr>
          <w:rFonts w:cs="Times New Roman"/>
          <w:color w:val="auto"/>
          <w:highlight w:val="none"/>
        </w:rPr>
        <w:t>根据当地环境特征和工程排污性质确定本项目评价因子见表1.</w:t>
      </w:r>
      <w:r>
        <w:rPr>
          <w:rFonts w:hint="eastAsia" w:cs="Times New Roman"/>
          <w:color w:val="auto"/>
          <w:highlight w:val="none"/>
        </w:rPr>
        <w:t>4</w:t>
      </w:r>
      <w:r>
        <w:rPr>
          <w:rFonts w:cs="Times New Roman"/>
          <w:color w:val="auto"/>
          <w:highlight w:val="none"/>
        </w:rPr>
        <w:t>-2：</w:t>
      </w:r>
    </w:p>
    <w:p>
      <w:pPr>
        <w:pStyle w:val="40"/>
        <w:rPr>
          <w:rFonts w:cs="Times New Roman"/>
          <w:color w:val="auto"/>
          <w:highlight w:val="none"/>
        </w:rPr>
      </w:pPr>
      <w:r>
        <w:rPr>
          <w:rFonts w:cs="Times New Roman"/>
          <w:color w:val="auto"/>
          <w:highlight w:val="none"/>
        </w:rPr>
        <w:t>表1.4-2评价因子的确定</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1155"/>
        <w:gridCol w:w="4857"/>
        <w:gridCol w:w="18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tblHeader/>
          <w:jc w:val="center"/>
        </w:trPr>
        <w:tc>
          <w:tcPr>
            <w:tcW w:w="409" w:type="pct"/>
            <w:vAlign w:val="center"/>
          </w:tcPr>
          <w:p>
            <w:pPr>
              <w:pStyle w:val="42"/>
              <w:spacing w:line="240" w:lineRule="auto"/>
              <w:ind w:firstLine="0" w:firstLineChars="0"/>
              <w:jc w:val="center"/>
              <w:rPr>
                <w:color w:val="auto"/>
                <w:kern w:val="2"/>
                <w:highlight w:val="none"/>
              </w:rPr>
            </w:pPr>
            <w:r>
              <w:rPr>
                <w:color w:val="auto"/>
                <w:kern w:val="2"/>
                <w:highlight w:val="none"/>
              </w:rPr>
              <w:t>序号</w:t>
            </w:r>
          </w:p>
        </w:tc>
        <w:tc>
          <w:tcPr>
            <w:tcW w:w="678" w:type="pct"/>
            <w:vAlign w:val="center"/>
          </w:tcPr>
          <w:p>
            <w:pPr>
              <w:pStyle w:val="42"/>
              <w:spacing w:line="240" w:lineRule="auto"/>
              <w:ind w:firstLine="0" w:firstLineChars="0"/>
              <w:jc w:val="center"/>
              <w:rPr>
                <w:rFonts w:hint="eastAsia"/>
                <w:color w:val="auto"/>
                <w:kern w:val="2"/>
                <w:highlight w:val="none"/>
              </w:rPr>
            </w:pPr>
            <w:r>
              <w:rPr>
                <w:rFonts w:hint="eastAsia"/>
                <w:color w:val="auto"/>
                <w:kern w:val="2"/>
                <w:highlight w:val="none"/>
              </w:rPr>
              <w:t>项目</w:t>
            </w:r>
          </w:p>
        </w:tc>
        <w:tc>
          <w:tcPr>
            <w:tcW w:w="2852" w:type="pct"/>
            <w:vAlign w:val="center"/>
          </w:tcPr>
          <w:p>
            <w:pPr>
              <w:pStyle w:val="42"/>
              <w:spacing w:line="240" w:lineRule="auto"/>
              <w:ind w:firstLine="420"/>
              <w:jc w:val="center"/>
              <w:rPr>
                <w:color w:val="auto"/>
                <w:kern w:val="2"/>
                <w:highlight w:val="none"/>
              </w:rPr>
            </w:pPr>
            <w:r>
              <w:rPr>
                <w:color w:val="auto"/>
                <w:kern w:val="2"/>
                <w:highlight w:val="none"/>
              </w:rPr>
              <w:t>现状评价因子</w:t>
            </w:r>
          </w:p>
        </w:tc>
        <w:tc>
          <w:tcPr>
            <w:tcW w:w="1060" w:type="pct"/>
            <w:vAlign w:val="center"/>
          </w:tcPr>
          <w:p>
            <w:pPr>
              <w:pStyle w:val="42"/>
              <w:spacing w:line="240" w:lineRule="auto"/>
              <w:ind w:firstLine="0" w:firstLineChars="0"/>
              <w:jc w:val="center"/>
              <w:rPr>
                <w:color w:val="auto"/>
                <w:kern w:val="2"/>
                <w:highlight w:val="none"/>
              </w:rPr>
            </w:pPr>
            <w:r>
              <w:rPr>
                <w:color w:val="auto"/>
                <w:kern w:val="2"/>
                <w:highlight w:val="none"/>
              </w:rPr>
              <w:t>预测评价因子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09" w:type="pct"/>
            <w:vAlign w:val="center"/>
          </w:tcPr>
          <w:p>
            <w:pPr>
              <w:pStyle w:val="42"/>
              <w:spacing w:line="240" w:lineRule="auto"/>
              <w:ind w:firstLine="0" w:firstLineChars="0"/>
              <w:jc w:val="center"/>
              <w:rPr>
                <w:color w:val="auto"/>
                <w:kern w:val="2"/>
                <w:highlight w:val="none"/>
              </w:rPr>
            </w:pPr>
            <w:r>
              <w:rPr>
                <w:color w:val="auto"/>
                <w:kern w:val="2"/>
                <w:highlight w:val="none"/>
              </w:rPr>
              <w:t>1</w:t>
            </w:r>
          </w:p>
        </w:tc>
        <w:tc>
          <w:tcPr>
            <w:tcW w:w="678" w:type="pct"/>
            <w:vAlign w:val="center"/>
          </w:tcPr>
          <w:p>
            <w:pPr>
              <w:pStyle w:val="42"/>
              <w:spacing w:line="240" w:lineRule="auto"/>
              <w:ind w:firstLine="0" w:firstLineChars="0"/>
              <w:jc w:val="center"/>
              <w:rPr>
                <w:rFonts w:hint="eastAsia"/>
                <w:color w:val="auto"/>
                <w:kern w:val="2"/>
                <w:highlight w:val="none"/>
              </w:rPr>
            </w:pPr>
            <w:r>
              <w:rPr>
                <w:rFonts w:hint="eastAsia"/>
                <w:color w:val="auto"/>
                <w:kern w:val="2"/>
                <w:highlight w:val="none"/>
              </w:rPr>
              <w:t>大气环境</w:t>
            </w:r>
          </w:p>
        </w:tc>
        <w:tc>
          <w:tcPr>
            <w:tcW w:w="2852" w:type="pct"/>
            <w:vAlign w:val="center"/>
          </w:tcPr>
          <w:p>
            <w:pPr>
              <w:pStyle w:val="42"/>
              <w:spacing w:line="240" w:lineRule="auto"/>
              <w:ind w:firstLine="420"/>
              <w:jc w:val="center"/>
              <w:rPr>
                <w:rFonts w:hint="default" w:eastAsia="宋体"/>
                <w:color w:val="auto"/>
                <w:kern w:val="2"/>
                <w:highlight w:val="none"/>
                <w:lang w:val="en-US" w:eastAsia="zh-CN"/>
              </w:rPr>
            </w:pPr>
            <w:r>
              <w:rPr>
                <w:rFonts w:ascii="Times New Roman" w:hAnsi="Times New Roman"/>
                <w:color w:val="auto"/>
                <w:sz w:val="21"/>
                <w:highlight w:val="none"/>
              </w:rPr>
              <w:t>H</w:t>
            </w:r>
            <w:r>
              <w:rPr>
                <w:rFonts w:ascii="Times New Roman" w:hAnsi="Times New Roman"/>
                <w:color w:val="auto"/>
                <w:sz w:val="21"/>
                <w:highlight w:val="none"/>
                <w:vertAlign w:val="subscript"/>
              </w:rPr>
              <w:t>2</w:t>
            </w:r>
            <w:r>
              <w:rPr>
                <w:rFonts w:ascii="Times New Roman" w:hAnsi="Times New Roman"/>
                <w:color w:val="auto"/>
                <w:sz w:val="21"/>
                <w:highlight w:val="none"/>
              </w:rPr>
              <w:t>S、NH</w:t>
            </w:r>
            <w:r>
              <w:rPr>
                <w:rFonts w:ascii="Times New Roman" w:hAnsi="Times New Roman"/>
                <w:color w:val="auto"/>
                <w:sz w:val="21"/>
                <w:highlight w:val="none"/>
                <w:vertAlign w:val="subscript"/>
              </w:rPr>
              <w:t>3</w:t>
            </w:r>
            <w:r>
              <w:rPr>
                <w:rFonts w:ascii="Times New Roman" w:hAnsi="Times New Roman" w:eastAsia="黑体"/>
                <w:color w:val="auto"/>
                <w:sz w:val="21"/>
                <w:highlight w:val="none"/>
              </w:rPr>
              <w:t>、</w:t>
            </w:r>
            <w:r>
              <w:rPr>
                <w:rFonts w:ascii="Times New Roman" w:hAnsi="Times New Roman"/>
                <w:color w:val="auto"/>
                <w:sz w:val="21"/>
                <w:highlight w:val="none"/>
              </w:rPr>
              <w:t>SO</w:t>
            </w:r>
            <w:r>
              <w:rPr>
                <w:rFonts w:ascii="Times New Roman" w:hAnsi="Times New Roman"/>
                <w:color w:val="auto"/>
                <w:sz w:val="21"/>
                <w:highlight w:val="none"/>
                <w:vertAlign w:val="subscript"/>
              </w:rPr>
              <w:t>2</w:t>
            </w:r>
            <w:r>
              <w:rPr>
                <w:rFonts w:ascii="Times New Roman" w:hAnsi="Times New Roman"/>
                <w:color w:val="auto"/>
                <w:sz w:val="21"/>
                <w:highlight w:val="none"/>
              </w:rPr>
              <w:t>、NO</w:t>
            </w:r>
            <w:r>
              <w:rPr>
                <w:rFonts w:ascii="Times New Roman" w:hAnsi="Times New Roman"/>
                <w:color w:val="auto"/>
                <w:sz w:val="21"/>
                <w:highlight w:val="none"/>
                <w:vertAlign w:val="subscript"/>
              </w:rPr>
              <w:t>2</w:t>
            </w:r>
            <w:r>
              <w:rPr>
                <w:rFonts w:ascii="Times New Roman" w:hAnsi="Times New Roman"/>
                <w:color w:val="auto"/>
                <w:sz w:val="21"/>
                <w:highlight w:val="none"/>
              </w:rPr>
              <w:t>、</w:t>
            </w:r>
            <w:r>
              <w:rPr>
                <w:rFonts w:ascii="Times New Roman" w:hAnsi="Times New Roman"/>
                <w:color w:val="auto"/>
                <w:sz w:val="21"/>
                <w:szCs w:val="24"/>
                <w:highlight w:val="none"/>
              </w:rPr>
              <w:t>PM</w:t>
            </w:r>
            <w:r>
              <w:rPr>
                <w:rFonts w:ascii="Times New Roman" w:hAnsi="Times New Roman"/>
                <w:color w:val="auto"/>
                <w:sz w:val="21"/>
                <w:szCs w:val="24"/>
                <w:highlight w:val="none"/>
                <w:vertAlign w:val="subscript"/>
              </w:rPr>
              <w:t>10</w:t>
            </w:r>
            <w:r>
              <w:rPr>
                <w:rFonts w:hint="eastAsia"/>
                <w:color w:val="auto"/>
                <w:sz w:val="21"/>
                <w:szCs w:val="24"/>
                <w:highlight w:val="none"/>
                <w:vertAlign w:val="baseline"/>
                <w:lang w:eastAsia="zh-CN"/>
              </w:rPr>
              <w:t>、</w:t>
            </w:r>
            <w:r>
              <w:rPr>
                <w:rFonts w:ascii="Times New Roman" w:hAnsi="Times New Roman"/>
                <w:color w:val="auto"/>
                <w:sz w:val="21"/>
                <w:szCs w:val="24"/>
                <w:highlight w:val="none"/>
              </w:rPr>
              <w:t>PM</w:t>
            </w:r>
            <w:r>
              <w:rPr>
                <w:rFonts w:hint="eastAsia"/>
                <w:color w:val="auto"/>
                <w:sz w:val="21"/>
                <w:szCs w:val="24"/>
                <w:highlight w:val="none"/>
                <w:vertAlign w:val="subscript"/>
                <w:lang w:val="en-US" w:eastAsia="zh-CN"/>
              </w:rPr>
              <w:t>2.5</w:t>
            </w:r>
            <w:r>
              <w:rPr>
                <w:rFonts w:hint="eastAsia"/>
                <w:color w:val="auto"/>
                <w:sz w:val="21"/>
                <w:szCs w:val="24"/>
                <w:highlight w:val="none"/>
                <w:vertAlign w:val="baseline"/>
                <w:lang w:eastAsia="zh-CN"/>
              </w:rPr>
              <w:t>、</w:t>
            </w:r>
            <w:r>
              <w:rPr>
                <w:rFonts w:hint="eastAsia"/>
                <w:color w:val="auto"/>
                <w:sz w:val="21"/>
                <w:szCs w:val="24"/>
                <w:highlight w:val="none"/>
                <w:vertAlign w:val="baseline"/>
                <w:lang w:val="en-US" w:eastAsia="zh-CN"/>
              </w:rPr>
              <w:t>CO、O</w:t>
            </w:r>
            <w:r>
              <w:rPr>
                <w:rFonts w:hint="eastAsia"/>
                <w:color w:val="auto"/>
                <w:sz w:val="21"/>
                <w:szCs w:val="24"/>
                <w:highlight w:val="none"/>
                <w:vertAlign w:val="subscript"/>
                <w:lang w:val="en-US" w:eastAsia="zh-CN"/>
              </w:rPr>
              <w:t>3</w:t>
            </w:r>
          </w:p>
        </w:tc>
        <w:tc>
          <w:tcPr>
            <w:tcW w:w="1060" w:type="pct"/>
            <w:vAlign w:val="center"/>
          </w:tcPr>
          <w:p>
            <w:pPr>
              <w:pStyle w:val="42"/>
              <w:spacing w:line="240" w:lineRule="auto"/>
              <w:ind w:firstLine="0" w:firstLineChars="0"/>
              <w:jc w:val="center"/>
              <w:rPr>
                <w:rFonts w:hint="eastAsia" w:eastAsia="宋体"/>
                <w:color w:val="auto"/>
                <w:kern w:val="2"/>
                <w:highlight w:val="none"/>
                <w:lang w:eastAsia="zh-CN"/>
              </w:rPr>
            </w:pPr>
            <w:r>
              <w:rPr>
                <w:rFonts w:ascii="Times New Roman" w:hAnsi="Times New Roman"/>
                <w:color w:val="auto"/>
                <w:sz w:val="21"/>
                <w:highlight w:val="none"/>
              </w:rPr>
              <w:t>H</w:t>
            </w:r>
            <w:r>
              <w:rPr>
                <w:rFonts w:ascii="Times New Roman" w:hAnsi="Times New Roman"/>
                <w:color w:val="auto"/>
                <w:sz w:val="21"/>
                <w:highlight w:val="none"/>
                <w:vertAlign w:val="subscript"/>
              </w:rPr>
              <w:t>2</w:t>
            </w:r>
            <w:r>
              <w:rPr>
                <w:rFonts w:ascii="Times New Roman" w:hAnsi="Times New Roman"/>
                <w:color w:val="auto"/>
                <w:sz w:val="21"/>
                <w:highlight w:val="none"/>
              </w:rPr>
              <w:t>S、NH</w:t>
            </w:r>
            <w:r>
              <w:rPr>
                <w:rFonts w:ascii="Times New Roman" w:hAnsi="Times New Roman"/>
                <w:color w:val="auto"/>
                <w:sz w:val="21"/>
                <w:highlight w:val="none"/>
                <w:vertAlign w:val="subscript"/>
              </w:rPr>
              <w:t>3</w:t>
            </w:r>
            <w:r>
              <w:rPr>
                <w:rFonts w:hint="eastAsia"/>
                <w:color w:val="auto"/>
                <w:sz w:val="21"/>
                <w:highlight w:val="none"/>
                <w:vertAlign w:val="baseline"/>
                <w:lang w:eastAsia="zh-CN"/>
              </w:rPr>
              <w:t>、</w:t>
            </w:r>
            <w:r>
              <w:rPr>
                <w:rFonts w:ascii="Times New Roman" w:hAnsi="Times New Roman" w:eastAsia="宋体" w:cs="Times New Roman"/>
                <w:color w:val="auto"/>
                <w:szCs w:val="21"/>
                <w:highlight w:val="none"/>
              </w:rPr>
              <w:t>SO</w:t>
            </w:r>
            <w:r>
              <w:rPr>
                <w:rFonts w:ascii="Times New Roman" w:hAnsi="Times New Roman" w:eastAsia="宋体" w:cs="Times New Roman"/>
                <w:color w:val="auto"/>
                <w:szCs w:val="21"/>
                <w:highlight w:val="none"/>
                <w:vertAlign w:val="subscript"/>
              </w:rPr>
              <w:t>2</w:t>
            </w:r>
            <w:r>
              <w:rPr>
                <w:rFonts w:ascii="Times New Roman" w:hAnsi="Times New Roman" w:eastAsia="宋体" w:cs="Times New Roman"/>
                <w:color w:val="auto"/>
                <w:szCs w:val="21"/>
                <w:highlight w:val="none"/>
              </w:rPr>
              <w:t>、NO</w:t>
            </w:r>
            <w:r>
              <w:rPr>
                <w:rFonts w:ascii="Times New Roman" w:hAnsi="Times New Roman" w:eastAsia="宋体" w:cs="Times New Roman"/>
                <w:color w:val="auto"/>
                <w:szCs w:val="21"/>
                <w:highlight w:val="none"/>
                <w:vertAlign w:val="subscript"/>
              </w:rPr>
              <w:t>X</w:t>
            </w:r>
            <w:r>
              <w:rPr>
                <w:rFonts w:ascii="Times New Roman" w:hAnsi="Times New Roman" w:eastAsia="宋体" w:cs="Times New Roman"/>
                <w:color w:val="auto"/>
                <w:szCs w:val="21"/>
                <w:highlight w:val="none"/>
              </w:rPr>
              <w:t>、PM</w:t>
            </w:r>
            <w:r>
              <w:rPr>
                <w:rFonts w:ascii="Times New Roman" w:hAnsi="Times New Roman" w:eastAsia="宋体" w:cs="Times New Roman"/>
                <w:color w:val="auto"/>
                <w:szCs w:val="21"/>
                <w:highlight w:val="none"/>
                <w:vertAlign w:val="subscript"/>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blHeader/>
          <w:jc w:val="center"/>
        </w:trPr>
        <w:tc>
          <w:tcPr>
            <w:tcW w:w="409" w:type="pct"/>
            <w:vAlign w:val="center"/>
          </w:tcPr>
          <w:p>
            <w:pPr>
              <w:pStyle w:val="42"/>
              <w:spacing w:line="240" w:lineRule="auto"/>
              <w:ind w:firstLine="0" w:firstLineChars="0"/>
              <w:jc w:val="center"/>
              <w:rPr>
                <w:color w:val="auto"/>
                <w:kern w:val="2"/>
                <w:highlight w:val="none"/>
              </w:rPr>
            </w:pPr>
            <w:r>
              <w:rPr>
                <w:color w:val="auto"/>
                <w:kern w:val="2"/>
                <w:highlight w:val="none"/>
              </w:rPr>
              <w:t>2</w:t>
            </w:r>
          </w:p>
        </w:tc>
        <w:tc>
          <w:tcPr>
            <w:tcW w:w="678" w:type="pct"/>
            <w:vAlign w:val="center"/>
          </w:tcPr>
          <w:p>
            <w:pPr>
              <w:pStyle w:val="42"/>
              <w:spacing w:line="240" w:lineRule="auto"/>
              <w:ind w:firstLine="0" w:firstLineChars="0"/>
              <w:jc w:val="center"/>
              <w:rPr>
                <w:rFonts w:hint="eastAsia"/>
                <w:color w:val="auto"/>
                <w:kern w:val="2"/>
                <w:highlight w:val="none"/>
              </w:rPr>
            </w:pPr>
            <w:r>
              <w:rPr>
                <w:rFonts w:hint="eastAsia"/>
                <w:color w:val="auto"/>
                <w:kern w:val="2"/>
                <w:highlight w:val="none"/>
              </w:rPr>
              <w:t>地表水环境</w:t>
            </w:r>
          </w:p>
        </w:tc>
        <w:tc>
          <w:tcPr>
            <w:tcW w:w="2852" w:type="pct"/>
            <w:vAlign w:val="center"/>
          </w:tcPr>
          <w:p>
            <w:pPr>
              <w:pStyle w:val="42"/>
              <w:spacing w:line="240" w:lineRule="auto"/>
              <w:ind w:firstLine="420"/>
              <w:jc w:val="center"/>
              <w:rPr>
                <w:rFonts w:hint="eastAsia" w:eastAsia="宋体"/>
                <w:color w:val="auto"/>
                <w:kern w:val="2"/>
                <w:highlight w:val="none"/>
                <w:lang w:eastAsia="zh-CN"/>
              </w:rPr>
            </w:pPr>
            <w:r>
              <w:rPr>
                <w:rFonts w:ascii="Times New Roman" w:hAnsi="Times New Roman"/>
                <w:color w:val="auto"/>
                <w:sz w:val="21"/>
                <w:szCs w:val="21"/>
                <w:highlight w:val="none"/>
              </w:rPr>
              <w:t>PH、COD、BOD</w:t>
            </w:r>
            <w:r>
              <w:rPr>
                <w:rFonts w:ascii="Times New Roman" w:hAnsi="Times New Roman"/>
                <w:color w:val="auto"/>
                <w:sz w:val="21"/>
                <w:szCs w:val="21"/>
                <w:highlight w:val="none"/>
                <w:vertAlign w:val="subscript"/>
              </w:rPr>
              <w:t>5</w:t>
            </w:r>
            <w:r>
              <w:rPr>
                <w:rFonts w:ascii="Times New Roman" w:hAnsi="Times New Roman"/>
                <w:color w:val="auto"/>
                <w:sz w:val="21"/>
                <w:szCs w:val="21"/>
                <w:highlight w:val="none"/>
              </w:rPr>
              <w:t>、NH</w:t>
            </w:r>
            <w:r>
              <w:rPr>
                <w:rFonts w:ascii="Times New Roman" w:hAnsi="Times New Roman"/>
                <w:color w:val="auto"/>
                <w:sz w:val="21"/>
                <w:szCs w:val="21"/>
                <w:highlight w:val="none"/>
                <w:vertAlign w:val="subscript"/>
              </w:rPr>
              <w:t>3</w:t>
            </w:r>
            <w:r>
              <w:rPr>
                <w:rFonts w:ascii="Times New Roman" w:hAnsi="Times New Roman"/>
                <w:color w:val="auto"/>
                <w:sz w:val="21"/>
                <w:szCs w:val="21"/>
                <w:highlight w:val="none"/>
              </w:rPr>
              <w:t>-N、总磷、粪大肠菌群</w:t>
            </w:r>
            <w:r>
              <w:rPr>
                <w:rFonts w:hint="eastAsia"/>
                <w:color w:val="auto"/>
                <w:sz w:val="21"/>
                <w:szCs w:val="21"/>
                <w:highlight w:val="none"/>
                <w:lang w:eastAsia="zh-CN"/>
              </w:rPr>
              <w:t>、总氮</w:t>
            </w:r>
          </w:p>
        </w:tc>
        <w:tc>
          <w:tcPr>
            <w:tcW w:w="1060" w:type="pct"/>
            <w:vAlign w:val="center"/>
          </w:tcPr>
          <w:p>
            <w:pPr>
              <w:pStyle w:val="42"/>
              <w:spacing w:line="240" w:lineRule="auto"/>
              <w:ind w:firstLine="0" w:firstLineChars="0"/>
              <w:jc w:val="center"/>
              <w:rPr>
                <w:color w:val="auto"/>
                <w:kern w:val="2"/>
                <w:highlight w:val="none"/>
              </w:rPr>
            </w:pPr>
            <w:r>
              <w:rPr>
                <w:rFonts w:hint="eastAsia"/>
                <w:color w:val="auto"/>
                <w:kern w:val="2"/>
                <w:highlight w:val="none"/>
              </w:rPr>
              <w:t>COD、SS、氨氮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09" w:type="pct"/>
            <w:vAlign w:val="center"/>
          </w:tcPr>
          <w:p>
            <w:pPr>
              <w:pStyle w:val="42"/>
              <w:spacing w:line="240" w:lineRule="auto"/>
              <w:ind w:firstLine="0" w:firstLineChars="0"/>
              <w:jc w:val="center"/>
              <w:rPr>
                <w:color w:val="auto"/>
                <w:kern w:val="2"/>
                <w:highlight w:val="none"/>
              </w:rPr>
            </w:pPr>
            <w:r>
              <w:rPr>
                <w:color w:val="auto"/>
                <w:kern w:val="2"/>
                <w:highlight w:val="none"/>
              </w:rPr>
              <w:t>3</w:t>
            </w:r>
          </w:p>
        </w:tc>
        <w:tc>
          <w:tcPr>
            <w:tcW w:w="678" w:type="pct"/>
            <w:vAlign w:val="center"/>
          </w:tcPr>
          <w:p>
            <w:pPr>
              <w:pStyle w:val="42"/>
              <w:spacing w:line="240" w:lineRule="auto"/>
              <w:ind w:firstLine="0" w:firstLineChars="0"/>
              <w:jc w:val="center"/>
              <w:rPr>
                <w:rFonts w:hint="eastAsia"/>
                <w:color w:val="auto"/>
                <w:kern w:val="2"/>
                <w:highlight w:val="none"/>
              </w:rPr>
            </w:pPr>
            <w:r>
              <w:rPr>
                <w:rFonts w:hint="eastAsia"/>
                <w:color w:val="auto"/>
                <w:kern w:val="2"/>
                <w:highlight w:val="none"/>
              </w:rPr>
              <w:t>地下水环境</w:t>
            </w:r>
          </w:p>
        </w:tc>
        <w:tc>
          <w:tcPr>
            <w:tcW w:w="2852" w:type="pct"/>
            <w:vAlign w:val="center"/>
          </w:tcPr>
          <w:p>
            <w:pPr>
              <w:pStyle w:val="42"/>
              <w:spacing w:line="240" w:lineRule="auto"/>
              <w:ind w:left="0" w:leftChars="0" w:firstLine="0" w:firstLineChars="0"/>
              <w:jc w:val="center"/>
              <w:rPr>
                <w:rFonts w:hint="eastAsia" w:eastAsia="宋体"/>
                <w:color w:val="auto"/>
                <w:kern w:val="2"/>
                <w:highlight w:val="none"/>
                <w:vertAlign w:val="superscript"/>
                <w:lang w:eastAsia="zh-CN"/>
              </w:rPr>
            </w:pPr>
            <w:r>
              <w:rPr>
                <w:rFonts w:ascii="Times New Roman" w:hAnsi="Times New Roman"/>
                <w:color w:val="auto"/>
                <w:sz w:val="21"/>
                <w:szCs w:val="21"/>
                <w:highlight w:val="none"/>
              </w:rPr>
              <w:t>K</w:t>
            </w:r>
            <w:r>
              <w:rPr>
                <w:rFonts w:ascii="Times New Roman" w:hAnsi="Times New Roman"/>
                <w:color w:val="auto"/>
                <w:sz w:val="21"/>
                <w:szCs w:val="21"/>
                <w:highlight w:val="none"/>
                <w:vertAlign w:val="superscript"/>
              </w:rPr>
              <w:t>+</w:t>
            </w:r>
            <w:r>
              <w:rPr>
                <w:rFonts w:ascii="Times New Roman" w:hAnsi="Times New Roman"/>
                <w:color w:val="auto"/>
                <w:sz w:val="21"/>
                <w:szCs w:val="21"/>
                <w:highlight w:val="none"/>
              </w:rPr>
              <w:t>、Na</w:t>
            </w:r>
            <w:r>
              <w:rPr>
                <w:rFonts w:ascii="Times New Roman" w:hAnsi="Times New Roman"/>
                <w:color w:val="auto"/>
                <w:sz w:val="21"/>
                <w:szCs w:val="21"/>
                <w:highlight w:val="none"/>
                <w:vertAlign w:val="superscript"/>
              </w:rPr>
              <w:t>+</w:t>
            </w:r>
            <w:r>
              <w:rPr>
                <w:rFonts w:ascii="Times New Roman" w:hAnsi="Times New Roman"/>
                <w:color w:val="auto"/>
                <w:sz w:val="21"/>
                <w:szCs w:val="21"/>
                <w:highlight w:val="none"/>
              </w:rPr>
              <w:t>、Ca</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、Mg</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、CO</w:t>
            </w:r>
            <w:r>
              <w:rPr>
                <w:rFonts w:ascii="Times New Roman" w:hAnsi="Times New Roman"/>
                <w:color w:val="auto"/>
                <w:sz w:val="21"/>
                <w:szCs w:val="21"/>
                <w:highlight w:val="none"/>
                <w:vertAlign w:val="subscript"/>
              </w:rPr>
              <w:t>3</w:t>
            </w:r>
            <w:r>
              <w:rPr>
                <w:rFonts w:ascii="Times New Roman" w:hAnsi="Times New Roman"/>
                <w:color w:val="auto"/>
                <w:sz w:val="21"/>
                <w:szCs w:val="21"/>
                <w:highlight w:val="none"/>
                <w:vertAlign w:val="superscript"/>
              </w:rPr>
              <w:t>2</w:t>
            </w:r>
            <w:r>
              <w:rPr>
                <w:rFonts w:hint="eastAsia"/>
                <w:color w:val="auto"/>
                <w:sz w:val="21"/>
                <w:szCs w:val="21"/>
                <w:highlight w:val="none"/>
                <w:vertAlign w:val="superscript"/>
                <w:lang w:val="en-US" w:eastAsia="zh-CN"/>
              </w:rPr>
              <w:t>-</w:t>
            </w:r>
            <w:r>
              <w:rPr>
                <w:rFonts w:ascii="Times New Roman" w:hAnsi="Times New Roman"/>
                <w:color w:val="auto"/>
                <w:sz w:val="21"/>
                <w:szCs w:val="21"/>
                <w:highlight w:val="none"/>
              </w:rPr>
              <w:t>、HCO</w:t>
            </w:r>
            <w:r>
              <w:rPr>
                <w:rFonts w:ascii="Times New Roman" w:hAnsi="Times New Roman"/>
                <w:color w:val="auto"/>
                <w:sz w:val="21"/>
                <w:szCs w:val="21"/>
                <w:highlight w:val="none"/>
                <w:vertAlign w:val="subscript"/>
              </w:rPr>
              <w:t>3</w:t>
            </w:r>
            <w:r>
              <w:rPr>
                <w:rFonts w:hint="eastAsia"/>
                <w:color w:val="auto"/>
                <w:sz w:val="21"/>
                <w:szCs w:val="21"/>
                <w:highlight w:val="none"/>
                <w:vertAlign w:val="superscript"/>
                <w:lang w:val="en-US" w:eastAsia="zh-CN"/>
              </w:rPr>
              <w:t>-</w:t>
            </w:r>
            <w:r>
              <w:rPr>
                <w:rFonts w:ascii="Times New Roman" w:hAnsi="Times New Roman"/>
                <w:color w:val="auto"/>
                <w:sz w:val="21"/>
                <w:szCs w:val="21"/>
                <w:highlight w:val="none"/>
              </w:rPr>
              <w:t>、Cl</w:t>
            </w:r>
            <w:r>
              <w:rPr>
                <w:rFonts w:hint="eastAsia"/>
                <w:color w:val="auto"/>
                <w:sz w:val="21"/>
                <w:szCs w:val="21"/>
                <w:highlight w:val="none"/>
                <w:vertAlign w:val="superscript"/>
                <w:lang w:val="en-US" w:eastAsia="zh-CN"/>
              </w:rPr>
              <w:t>-</w:t>
            </w:r>
            <w:r>
              <w:rPr>
                <w:rFonts w:ascii="Times New Roman" w:hAnsi="Times New Roman"/>
                <w:color w:val="auto"/>
                <w:sz w:val="21"/>
                <w:szCs w:val="21"/>
                <w:highlight w:val="none"/>
              </w:rPr>
              <w:t>、SO</w:t>
            </w:r>
            <w:r>
              <w:rPr>
                <w:rFonts w:ascii="Times New Roman" w:hAnsi="Times New Roman"/>
                <w:color w:val="auto"/>
                <w:sz w:val="21"/>
                <w:szCs w:val="21"/>
                <w:highlight w:val="none"/>
                <w:vertAlign w:val="subscript"/>
              </w:rPr>
              <w:t>4</w:t>
            </w:r>
            <w:r>
              <w:rPr>
                <w:rFonts w:ascii="Times New Roman" w:hAnsi="Times New Roman"/>
                <w:color w:val="auto"/>
                <w:sz w:val="21"/>
                <w:szCs w:val="21"/>
                <w:highlight w:val="none"/>
                <w:vertAlign w:val="superscript"/>
              </w:rPr>
              <w:t>2</w:t>
            </w:r>
            <w:r>
              <w:rPr>
                <w:rFonts w:hint="eastAsia"/>
                <w:color w:val="auto"/>
                <w:sz w:val="21"/>
                <w:szCs w:val="21"/>
                <w:highlight w:val="none"/>
                <w:vertAlign w:val="superscript"/>
                <w:lang w:val="en-US" w:eastAsia="zh-CN"/>
              </w:rPr>
              <w:t>-</w:t>
            </w:r>
            <w:r>
              <w:rPr>
                <w:rFonts w:ascii="Times New Roman" w:hAnsi="Times New Roman"/>
                <w:color w:val="auto"/>
                <w:sz w:val="21"/>
                <w:szCs w:val="21"/>
                <w:highlight w:val="none"/>
              </w:rPr>
              <w:t>、pH、氨氮、硝酸盐、亚硝酸盐、挥发性酚类、氰化物、砷、汞、六价铬、总硬度、铅、氟化物、镉、铁、铜、溶解性总固体、耗氧量、总大肠菌群以及菌落总数</w:t>
            </w:r>
          </w:p>
        </w:tc>
        <w:tc>
          <w:tcPr>
            <w:tcW w:w="1060" w:type="pct"/>
            <w:vAlign w:val="center"/>
          </w:tcPr>
          <w:p>
            <w:pPr>
              <w:pStyle w:val="42"/>
              <w:spacing w:line="240" w:lineRule="auto"/>
              <w:ind w:firstLine="0" w:firstLineChars="0"/>
              <w:jc w:val="center"/>
              <w:rPr>
                <w:color w:val="auto"/>
                <w:kern w:val="2"/>
                <w:highlight w:val="none"/>
              </w:rPr>
            </w:pPr>
            <w:r>
              <w:rPr>
                <w:rFonts w:hint="eastAsia"/>
                <w:color w:val="auto"/>
                <w:kern w:val="2"/>
                <w:highlight w:val="none"/>
                <w:lang w:val="en-US" w:eastAsia="zh-CN"/>
              </w:rPr>
              <w:t>COD</w:t>
            </w:r>
            <w:r>
              <w:rPr>
                <w:rFonts w:hint="eastAsia"/>
                <w:color w:val="auto"/>
                <w:kern w:val="2"/>
                <w:highlight w:val="none"/>
              </w:rPr>
              <w:t>、氨氮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09" w:type="pct"/>
            <w:vAlign w:val="center"/>
          </w:tcPr>
          <w:p>
            <w:pPr>
              <w:pStyle w:val="42"/>
              <w:spacing w:line="240" w:lineRule="auto"/>
              <w:ind w:firstLine="0" w:firstLineChars="0"/>
              <w:jc w:val="center"/>
              <w:rPr>
                <w:color w:val="auto"/>
                <w:kern w:val="2"/>
                <w:highlight w:val="none"/>
              </w:rPr>
            </w:pPr>
            <w:r>
              <w:rPr>
                <w:color w:val="auto"/>
                <w:kern w:val="2"/>
                <w:highlight w:val="none"/>
              </w:rPr>
              <w:t>4</w:t>
            </w:r>
          </w:p>
        </w:tc>
        <w:tc>
          <w:tcPr>
            <w:tcW w:w="678" w:type="pct"/>
            <w:vAlign w:val="center"/>
          </w:tcPr>
          <w:p>
            <w:pPr>
              <w:pStyle w:val="42"/>
              <w:spacing w:line="240" w:lineRule="auto"/>
              <w:ind w:firstLine="0" w:firstLineChars="0"/>
              <w:jc w:val="center"/>
              <w:rPr>
                <w:rFonts w:hint="eastAsia"/>
                <w:color w:val="auto"/>
                <w:kern w:val="2"/>
                <w:highlight w:val="none"/>
              </w:rPr>
            </w:pPr>
            <w:r>
              <w:rPr>
                <w:rFonts w:hint="eastAsia"/>
                <w:color w:val="auto"/>
                <w:kern w:val="2"/>
                <w:highlight w:val="none"/>
              </w:rPr>
              <w:t>声环境</w:t>
            </w:r>
          </w:p>
        </w:tc>
        <w:tc>
          <w:tcPr>
            <w:tcW w:w="2852" w:type="pct"/>
            <w:vAlign w:val="center"/>
          </w:tcPr>
          <w:p>
            <w:pPr>
              <w:pStyle w:val="42"/>
              <w:spacing w:line="240" w:lineRule="auto"/>
              <w:ind w:firstLine="420"/>
              <w:jc w:val="center"/>
              <w:rPr>
                <w:color w:val="auto"/>
                <w:kern w:val="2"/>
                <w:highlight w:val="none"/>
              </w:rPr>
            </w:pPr>
            <w:r>
              <w:rPr>
                <w:color w:val="auto"/>
                <w:kern w:val="2"/>
                <w:highlight w:val="none"/>
              </w:rPr>
              <w:t>连续等效</w:t>
            </w:r>
            <w:r>
              <w:rPr>
                <w:rFonts w:hint="eastAsia"/>
                <w:color w:val="auto"/>
                <w:kern w:val="2"/>
                <w:highlight w:val="none"/>
              </w:rPr>
              <w:t>A</w:t>
            </w:r>
            <w:r>
              <w:rPr>
                <w:color w:val="auto"/>
                <w:kern w:val="2"/>
                <w:highlight w:val="none"/>
              </w:rPr>
              <w:t>声级</w:t>
            </w:r>
          </w:p>
        </w:tc>
        <w:tc>
          <w:tcPr>
            <w:tcW w:w="1060" w:type="pct"/>
            <w:vAlign w:val="center"/>
          </w:tcPr>
          <w:p>
            <w:pPr>
              <w:pStyle w:val="42"/>
              <w:spacing w:line="240" w:lineRule="auto"/>
              <w:ind w:firstLine="0" w:firstLineChars="0"/>
              <w:jc w:val="center"/>
              <w:rPr>
                <w:color w:val="auto"/>
                <w:kern w:val="2"/>
                <w:highlight w:val="none"/>
              </w:rPr>
            </w:pPr>
            <w:r>
              <w:rPr>
                <w:color w:val="auto"/>
                <w:kern w:val="2"/>
                <w:highlight w:val="none"/>
              </w:rPr>
              <w:t>连续等效</w:t>
            </w:r>
            <w:r>
              <w:rPr>
                <w:rFonts w:hint="eastAsia"/>
                <w:color w:val="auto"/>
                <w:kern w:val="2"/>
                <w:highlight w:val="none"/>
              </w:rPr>
              <w:t>A</w:t>
            </w:r>
            <w:r>
              <w:rPr>
                <w:color w:val="auto"/>
                <w:kern w:val="2"/>
                <w:highlight w:val="none"/>
              </w:rPr>
              <w:t>声级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blHeader/>
          <w:jc w:val="center"/>
        </w:trPr>
        <w:tc>
          <w:tcPr>
            <w:tcW w:w="409" w:type="pct"/>
            <w:vAlign w:val="center"/>
          </w:tcPr>
          <w:p>
            <w:pPr>
              <w:pStyle w:val="42"/>
              <w:spacing w:line="240" w:lineRule="auto"/>
              <w:ind w:firstLine="0" w:firstLineChars="0"/>
              <w:jc w:val="center"/>
              <w:rPr>
                <w:color w:val="auto"/>
                <w:kern w:val="2"/>
                <w:highlight w:val="none"/>
              </w:rPr>
            </w:pPr>
            <w:r>
              <w:rPr>
                <w:rFonts w:hint="eastAsia"/>
                <w:color w:val="auto"/>
                <w:kern w:val="2"/>
                <w:highlight w:val="none"/>
              </w:rPr>
              <w:t>5</w:t>
            </w:r>
          </w:p>
        </w:tc>
        <w:tc>
          <w:tcPr>
            <w:tcW w:w="678" w:type="pct"/>
            <w:vAlign w:val="center"/>
          </w:tcPr>
          <w:p>
            <w:pPr>
              <w:pStyle w:val="42"/>
              <w:spacing w:line="240" w:lineRule="auto"/>
              <w:ind w:firstLine="0" w:firstLineChars="0"/>
              <w:jc w:val="center"/>
              <w:rPr>
                <w:rFonts w:hint="eastAsia"/>
                <w:color w:val="auto"/>
                <w:kern w:val="2"/>
                <w:highlight w:val="none"/>
              </w:rPr>
            </w:pPr>
            <w:r>
              <w:rPr>
                <w:rFonts w:hint="eastAsia"/>
                <w:color w:val="auto"/>
                <w:kern w:val="2"/>
                <w:highlight w:val="none"/>
              </w:rPr>
              <w:t>土壤</w:t>
            </w:r>
          </w:p>
        </w:tc>
        <w:tc>
          <w:tcPr>
            <w:tcW w:w="2852" w:type="pct"/>
            <w:vAlign w:val="center"/>
          </w:tcPr>
          <w:p>
            <w:pPr>
              <w:pStyle w:val="42"/>
              <w:spacing w:line="240" w:lineRule="auto"/>
              <w:ind w:firstLine="420"/>
              <w:jc w:val="center"/>
              <w:rPr>
                <w:color w:val="auto"/>
                <w:kern w:val="2"/>
                <w:highlight w:val="none"/>
              </w:rPr>
            </w:pPr>
            <w:r>
              <w:rPr>
                <w:rFonts w:ascii="Times New Roman" w:hAnsi="Times New Roman"/>
                <w:color w:val="auto"/>
                <w:sz w:val="21"/>
                <w:szCs w:val="21"/>
                <w:highlight w:val="none"/>
              </w:rPr>
              <w:t>PH、铜、砷、锌、铅、汞、铬</w:t>
            </w:r>
          </w:p>
        </w:tc>
        <w:tc>
          <w:tcPr>
            <w:tcW w:w="1060" w:type="pct"/>
            <w:vAlign w:val="center"/>
          </w:tcPr>
          <w:p>
            <w:pPr>
              <w:pStyle w:val="42"/>
              <w:spacing w:line="240" w:lineRule="auto"/>
              <w:ind w:firstLine="0" w:firstLineChars="0"/>
              <w:jc w:val="center"/>
              <w:rPr>
                <w:rFonts w:hint="eastAsia" w:eastAsia="宋体"/>
                <w:color w:val="auto"/>
                <w:kern w:val="2"/>
                <w:highlight w:val="none"/>
                <w:lang w:eastAsia="zh-CN"/>
              </w:rPr>
            </w:pPr>
            <w:r>
              <w:rPr>
                <w:rFonts w:hint="eastAsia"/>
                <w:color w:val="auto"/>
                <w:kern w:val="2"/>
                <w:highlight w:val="none"/>
                <w:lang w:val="en-US" w:eastAsia="zh-CN"/>
              </w:rPr>
              <w:t>/</w:t>
            </w:r>
          </w:p>
        </w:tc>
      </w:tr>
    </w:tbl>
    <w:p>
      <w:pPr>
        <w:pStyle w:val="4"/>
        <w:spacing w:before="132"/>
        <w:rPr>
          <w:rFonts w:cs="Times New Roman"/>
          <w:color w:val="auto"/>
          <w:highlight w:val="none"/>
        </w:rPr>
      </w:pPr>
      <w:bookmarkStart w:id="6" w:name="_Toc9639"/>
      <w:r>
        <w:rPr>
          <w:rFonts w:cs="Times New Roman"/>
          <w:color w:val="auto"/>
          <w:highlight w:val="none"/>
        </w:rPr>
        <w:t>1.5评价重点</w:t>
      </w:r>
      <w:bookmarkEnd w:id="6"/>
    </w:p>
    <w:p>
      <w:pPr>
        <w:ind w:firstLine="480"/>
        <w:rPr>
          <w:rFonts w:cs="Times New Roman"/>
          <w:color w:val="auto"/>
          <w:highlight w:val="none"/>
        </w:rPr>
      </w:pPr>
      <w:r>
        <w:rPr>
          <w:rFonts w:cs="Times New Roman"/>
          <w:color w:val="auto"/>
          <w:highlight w:val="none"/>
        </w:rPr>
        <w:t>本评价以工程分析、环境质量现状、环境影响预测评价、污染防治措施分析、风险分析为工作重点。</w:t>
      </w:r>
    </w:p>
    <w:p>
      <w:pPr>
        <w:pStyle w:val="4"/>
        <w:spacing w:beforeLines="0"/>
        <w:rPr>
          <w:rFonts w:cs="Times New Roman"/>
          <w:color w:val="auto"/>
          <w:highlight w:val="none"/>
        </w:rPr>
      </w:pPr>
      <w:bookmarkStart w:id="7" w:name="_Toc6368"/>
      <w:r>
        <w:rPr>
          <w:rFonts w:cs="Times New Roman"/>
          <w:color w:val="auto"/>
          <w:highlight w:val="none"/>
        </w:rPr>
        <w:t>1.6评价标准</w:t>
      </w:r>
      <w:bookmarkEnd w:id="7"/>
    </w:p>
    <w:p>
      <w:pPr>
        <w:ind w:firstLine="480"/>
        <w:rPr>
          <w:rFonts w:cs="Times New Roman"/>
          <w:color w:val="auto"/>
          <w:highlight w:val="none"/>
        </w:rPr>
      </w:pPr>
      <w:r>
        <w:rPr>
          <w:rFonts w:cs="Times New Roman"/>
          <w:color w:val="auto"/>
          <w:highlight w:val="none"/>
        </w:rPr>
        <w:t>经</w:t>
      </w:r>
      <w:r>
        <w:rPr>
          <w:rFonts w:hint="eastAsia" w:cs="Times New Roman"/>
          <w:color w:val="auto"/>
          <w:highlight w:val="none"/>
          <w:lang w:eastAsia="zh-CN"/>
        </w:rPr>
        <w:t>平舆县环境保护局</w:t>
      </w:r>
      <w:r>
        <w:rPr>
          <w:rFonts w:cs="Times New Roman"/>
          <w:color w:val="auto"/>
          <w:highlight w:val="none"/>
        </w:rPr>
        <w:t>确认，本次评价执行以下标准：</w:t>
      </w:r>
    </w:p>
    <w:p>
      <w:pPr>
        <w:pStyle w:val="5"/>
        <w:spacing w:before="66"/>
        <w:ind w:firstLine="482"/>
        <w:rPr>
          <w:rFonts w:cs="Times New Roman"/>
          <w:color w:val="auto"/>
          <w:highlight w:val="none"/>
        </w:rPr>
      </w:pPr>
      <w:r>
        <w:rPr>
          <w:rFonts w:cs="Times New Roman"/>
          <w:color w:val="auto"/>
          <w:highlight w:val="none"/>
        </w:rPr>
        <w:t>1.</w:t>
      </w:r>
      <w:r>
        <w:rPr>
          <w:rFonts w:hint="eastAsia" w:cs="Times New Roman"/>
          <w:color w:val="auto"/>
          <w:highlight w:val="none"/>
        </w:rPr>
        <w:t>6.</w:t>
      </w:r>
      <w:r>
        <w:rPr>
          <w:rFonts w:cs="Times New Roman"/>
          <w:color w:val="auto"/>
          <w:highlight w:val="none"/>
        </w:rPr>
        <w:t>1环境质量标准</w:t>
      </w:r>
    </w:p>
    <w:p>
      <w:pPr>
        <w:numPr>
          <w:ilvl w:val="0"/>
          <w:numId w:val="3"/>
        </w:numPr>
        <w:ind w:firstLine="480"/>
        <w:rPr>
          <w:rFonts w:cs="Times New Roman"/>
          <w:color w:val="auto"/>
          <w:highlight w:val="none"/>
        </w:rPr>
      </w:pPr>
      <w:r>
        <w:rPr>
          <w:rFonts w:cs="Times New Roman"/>
          <w:color w:val="auto"/>
          <w:highlight w:val="none"/>
        </w:rPr>
        <w:t>环境空气</w:t>
      </w:r>
    </w:p>
    <w:p>
      <w:pPr>
        <w:ind w:firstLine="480"/>
        <w:rPr>
          <w:rFonts w:cs="Times New Roman"/>
          <w:color w:val="auto"/>
          <w:highlight w:val="none"/>
        </w:rPr>
      </w:pPr>
      <w:r>
        <w:rPr>
          <w:rFonts w:hint="eastAsia"/>
          <w:color w:val="auto"/>
          <w:highlight w:val="none"/>
        </w:rPr>
        <w:t>环境空气执行《环境空气质量标准》（GB3095-2012）二级标准；其中恶臭气体（H</w:t>
      </w:r>
      <w:r>
        <w:rPr>
          <w:rFonts w:hint="eastAsia"/>
          <w:color w:val="auto"/>
          <w:highlight w:val="none"/>
          <w:vertAlign w:val="subscript"/>
        </w:rPr>
        <w:t>2</w:t>
      </w:r>
      <w:r>
        <w:rPr>
          <w:rFonts w:hint="eastAsia"/>
          <w:color w:val="auto"/>
          <w:highlight w:val="none"/>
        </w:rPr>
        <w:t>S、NH</w:t>
      </w:r>
      <w:r>
        <w:rPr>
          <w:rFonts w:hint="eastAsia"/>
          <w:color w:val="auto"/>
          <w:highlight w:val="none"/>
          <w:vertAlign w:val="subscript"/>
        </w:rPr>
        <w:t>3</w:t>
      </w:r>
      <w:r>
        <w:rPr>
          <w:rFonts w:hint="eastAsia"/>
          <w:color w:val="auto"/>
          <w:highlight w:val="none"/>
        </w:rPr>
        <w:t>）执行《环境影响评价技术导则 大气环境（HJ2.2-2018）》中附录D中有害物质的最高允许浓度</w:t>
      </w:r>
      <w:r>
        <w:rPr>
          <w:rFonts w:cs="Times New Roman"/>
          <w:color w:val="auto"/>
          <w:highlight w:val="none"/>
        </w:rPr>
        <w:t>。标准值见表1.</w:t>
      </w:r>
      <w:r>
        <w:rPr>
          <w:rFonts w:hint="eastAsia" w:cs="Times New Roman"/>
          <w:color w:val="auto"/>
          <w:highlight w:val="none"/>
        </w:rPr>
        <w:t>6</w:t>
      </w:r>
      <w:r>
        <w:rPr>
          <w:rFonts w:cs="Times New Roman"/>
          <w:color w:val="auto"/>
          <w:highlight w:val="none"/>
        </w:rPr>
        <w:t>-1。</w:t>
      </w:r>
    </w:p>
    <w:p>
      <w:pPr>
        <w:pStyle w:val="40"/>
        <w:rPr>
          <w:rFonts w:cs="Times New Roman"/>
          <w:color w:val="auto"/>
          <w:highlight w:val="none"/>
        </w:rPr>
      </w:pPr>
      <w:r>
        <w:rPr>
          <w:rFonts w:cs="Times New Roman"/>
          <w:color w:val="auto"/>
          <w:highlight w:val="none"/>
        </w:rPr>
        <w:t>表1.</w:t>
      </w:r>
      <w:r>
        <w:rPr>
          <w:rFonts w:hint="eastAsia" w:cs="Times New Roman"/>
          <w:color w:val="auto"/>
          <w:highlight w:val="none"/>
        </w:rPr>
        <w:t>6</w:t>
      </w:r>
      <w:r>
        <w:rPr>
          <w:rFonts w:cs="Times New Roman"/>
          <w:color w:val="auto"/>
          <w:highlight w:val="none"/>
        </w:rPr>
        <w:t>-1环境空气质量执行标准</w:t>
      </w:r>
    </w:p>
    <w:tbl>
      <w:tblPr>
        <w:tblStyle w:val="24"/>
        <w:tblW w:w="8516"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102"/>
        <w:gridCol w:w="991"/>
        <w:gridCol w:w="991"/>
        <w:gridCol w:w="993"/>
        <w:gridCol w:w="443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vMerge w:val="restart"/>
            <w:tcBorders>
              <w:left w:val="single" w:color="000000" w:sz="12" w:space="0"/>
            </w:tcBorders>
            <w:shd w:val="clear" w:color="auto" w:fill="auto"/>
            <w:vAlign w:val="center"/>
          </w:tcPr>
          <w:p>
            <w:pPr>
              <w:spacing w:line="240" w:lineRule="auto"/>
              <w:ind w:firstLine="0" w:firstLineChars="0"/>
              <w:jc w:val="center"/>
              <w:rPr>
                <w:rFonts w:cs="Times New Roman"/>
                <w:b/>
                <w:color w:val="auto"/>
                <w:sz w:val="21"/>
                <w:szCs w:val="21"/>
                <w:highlight w:val="none"/>
              </w:rPr>
            </w:pPr>
            <w:r>
              <w:rPr>
                <w:rFonts w:cs="Times New Roman"/>
                <w:b/>
                <w:color w:val="auto"/>
                <w:sz w:val="21"/>
                <w:szCs w:val="21"/>
                <w:highlight w:val="none"/>
              </w:rPr>
              <w:t>物质名称</w:t>
            </w:r>
          </w:p>
        </w:tc>
        <w:tc>
          <w:tcPr>
            <w:tcW w:w="2975" w:type="dxa"/>
            <w:gridSpan w:val="3"/>
            <w:shd w:val="clear" w:color="auto" w:fill="auto"/>
            <w:vAlign w:val="center"/>
          </w:tcPr>
          <w:p>
            <w:pPr>
              <w:spacing w:line="240" w:lineRule="auto"/>
              <w:ind w:firstLine="482" w:firstLineChars="0"/>
              <w:jc w:val="center"/>
              <w:rPr>
                <w:rFonts w:cs="Times New Roman"/>
                <w:b/>
                <w:color w:val="auto"/>
                <w:sz w:val="21"/>
                <w:szCs w:val="21"/>
                <w:highlight w:val="none"/>
              </w:rPr>
            </w:pPr>
            <w:r>
              <w:rPr>
                <w:rFonts w:cs="Times New Roman"/>
                <w:b/>
                <w:color w:val="auto"/>
                <w:sz w:val="21"/>
                <w:szCs w:val="21"/>
                <w:highlight w:val="none"/>
              </w:rPr>
              <w:t xml:space="preserve">浓度限值 </w:t>
            </w:r>
            <w:r>
              <w:rPr>
                <w:b/>
                <w:color w:val="auto"/>
                <w:sz w:val="21"/>
                <w:szCs w:val="21"/>
                <w:highlight w:val="none"/>
              </w:rPr>
              <w:t>µ</w:t>
            </w:r>
            <w:r>
              <w:rPr>
                <w:rFonts w:cs="Times New Roman"/>
                <w:b/>
                <w:color w:val="auto"/>
                <w:sz w:val="21"/>
                <w:szCs w:val="21"/>
                <w:highlight w:val="none"/>
              </w:rPr>
              <w:t>g/m</w:t>
            </w:r>
            <w:r>
              <w:rPr>
                <w:rFonts w:cs="Times New Roman"/>
                <w:b/>
                <w:color w:val="auto"/>
                <w:sz w:val="21"/>
                <w:szCs w:val="21"/>
                <w:highlight w:val="none"/>
                <w:vertAlign w:val="superscript"/>
              </w:rPr>
              <w:t>3</w:t>
            </w:r>
          </w:p>
        </w:tc>
        <w:tc>
          <w:tcPr>
            <w:tcW w:w="4439" w:type="dxa"/>
            <w:vMerge w:val="restart"/>
            <w:tcBorders>
              <w:right w:val="single" w:color="000000" w:sz="12" w:space="0"/>
            </w:tcBorders>
            <w:shd w:val="clear" w:color="auto" w:fill="auto"/>
            <w:vAlign w:val="center"/>
          </w:tcPr>
          <w:p>
            <w:pPr>
              <w:spacing w:line="240" w:lineRule="auto"/>
              <w:ind w:firstLine="482" w:firstLineChars="0"/>
              <w:jc w:val="center"/>
              <w:rPr>
                <w:rFonts w:cs="Times New Roman"/>
                <w:b/>
                <w:color w:val="auto"/>
                <w:sz w:val="21"/>
                <w:szCs w:val="21"/>
                <w:highlight w:val="none"/>
              </w:rPr>
            </w:pPr>
            <w:r>
              <w:rPr>
                <w:rFonts w:cs="Times New Roman"/>
                <w:b/>
                <w:color w:val="auto"/>
                <w:sz w:val="21"/>
                <w:szCs w:val="21"/>
                <w:highlight w:val="none"/>
              </w:rPr>
              <w:t>标准来源</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vMerge w:val="continue"/>
            <w:tcBorders>
              <w:left w:val="single" w:color="000000" w:sz="12" w:space="0"/>
            </w:tcBorders>
            <w:shd w:val="clear" w:color="auto" w:fill="auto"/>
            <w:vAlign w:val="center"/>
          </w:tcPr>
          <w:p>
            <w:pPr>
              <w:spacing w:line="240" w:lineRule="auto"/>
              <w:ind w:firstLine="482" w:firstLineChars="0"/>
              <w:jc w:val="center"/>
              <w:rPr>
                <w:rFonts w:cs="Times New Roman"/>
                <w:b/>
                <w:color w:val="auto"/>
                <w:sz w:val="21"/>
                <w:szCs w:val="21"/>
                <w:highlight w:val="none"/>
              </w:rPr>
            </w:pPr>
          </w:p>
        </w:tc>
        <w:tc>
          <w:tcPr>
            <w:tcW w:w="991" w:type="dxa"/>
            <w:shd w:val="clear" w:color="auto" w:fill="auto"/>
            <w:vAlign w:val="center"/>
          </w:tcPr>
          <w:p>
            <w:pPr>
              <w:spacing w:line="240" w:lineRule="auto"/>
              <w:ind w:firstLine="0" w:firstLineChars="0"/>
              <w:jc w:val="center"/>
              <w:rPr>
                <w:rFonts w:cs="Times New Roman"/>
                <w:b/>
                <w:color w:val="auto"/>
                <w:sz w:val="21"/>
                <w:szCs w:val="21"/>
                <w:highlight w:val="none"/>
              </w:rPr>
            </w:pPr>
            <w:r>
              <w:rPr>
                <w:rFonts w:cs="Times New Roman"/>
                <w:b/>
                <w:color w:val="auto"/>
                <w:sz w:val="21"/>
                <w:szCs w:val="21"/>
                <w:highlight w:val="none"/>
              </w:rPr>
              <w:t>小时</w:t>
            </w:r>
          </w:p>
        </w:tc>
        <w:tc>
          <w:tcPr>
            <w:tcW w:w="991" w:type="dxa"/>
            <w:shd w:val="clear" w:color="auto" w:fill="auto"/>
            <w:vAlign w:val="center"/>
          </w:tcPr>
          <w:p>
            <w:pPr>
              <w:spacing w:line="240" w:lineRule="auto"/>
              <w:ind w:firstLine="0" w:firstLineChars="0"/>
              <w:jc w:val="center"/>
              <w:rPr>
                <w:rFonts w:cs="Times New Roman"/>
                <w:b/>
                <w:color w:val="auto"/>
                <w:sz w:val="21"/>
                <w:szCs w:val="21"/>
                <w:highlight w:val="none"/>
              </w:rPr>
            </w:pPr>
            <w:r>
              <w:rPr>
                <w:rFonts w:cs="Times New Roman"/>
                <w:b/>
                <w:color w:val="auto"/>
                <w:sz w:val="21"/>
                <w:szCs w:val="21"/>
                <w:highlight w:val="none"/>
              </w:rPr>
              <w:t>日平均</w:t>
            </w:r>
          </w:p>
        </w:tc>
        <w:tc>
          <w:tcPr>
            <w:tcW w:w="993" w:type="dxa"/>
            <w:shd w:val="clear" w:color="auto" w:fill="auto"/>
            <w:vAlign w:val="center"/>
          </w:tcPr>
          <w:p>
            <w:pPr>
              <w:spacing w:line="240" w:lineRule="auto"/>
              <w:ind w:firstLine="0" w:firstLineChars="0"/>
              <w:jc w:val="center"/>
              <w:rPr>
                <w:rFonts w:cs="Times New Roman"/>
                <w:b/>
                <w:color w:val="auto"/>
                <w:sz w:val="21"/>
                <w:szCs w:val="21"/>
                <w:highlight w:val="none"/>
              </w:rPr>
            </w:pPr>
            <w:r>
              <w:rPr>
                <w:rFonts w:cs="Times New Roman"/>
                <w:b/>
                <w:color w:val="auto"/>
                <w:sz w:val="21"/>
                <w:szCs w:val="21"/>
                <w:highlight w:val="none"/>
              </w:rPr>
              <w:t>年平均</w:t>
            </w:r>
          </w:p>
        </w:tc>
        <w:tc>
          <w:tcPr>
            <w:tcW w:w="4439" w:type="dxa"/>
            <w:vMerge w:val="continue"/>
            <w:tcBorders>
              <w:right w:val="single" w:color="000000" w:sz="12" w:space="0"/>
            </w:tcBorders>
            <w:shd w:val="clear" w:color="auto" w:fill="auto"/>
            <w:vAlign w:val="center"/>
          </w:tcPr>
          <w:p>
            <w:pPr>
              <w:spacing w:line="240" w:lineRule="auto"/>
              <w:ind w:firstLine="480" w:firstLineChars="0"/>
              <w:jc w:val="center"/>
              <w:rPr>
                <w:rFonts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PM</w:t>
            </w:r>
            <w:r>
              <w:rPr>
                <w:rFonts w:cs="Times New Roman"/>
                <w:color w:val="auto"/>
                <w:sz w:val="21"/>
                <w:szCs w:val="21"/>
                <w:highlight w:val="none"/>
                <w:vertAlign w:val="subscript"/>
              </w:rPr>
              <w:t>10</w:t>
            </w:r>
          </w:p>
        </w:tc>
        <w:tc>
          <w:tcPr>
            <w:tcW w:w="991" w:type="dxa"/>
            <w:shd w:val="clear" w:color="auto" w:fill="auto"/>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w:t>
            </w:r>
          </w:p>
        </w:tc>
        <w:tc>
          <w:tcPr>
            <w:tcW w:w="991" w:type="dxa"/>
            <w:shd w:val="clear" w:color="auto" w:fill="auto"/>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15</w:t>
            </w:r>
            <w:r>
              <w:rPr>
                <w:rFonts w:hint="eastAsia" w:cs="Times New Roman"/>
                <w:color w:val="auto"/>
                <w:sz w:val="21"/>
                <w:szCs w:val="21"/>
                <w:highlight w:val="none"/>
              </w:rPr>
              <w:t>0</w:t>
            </w:r>
          </w:p>
        </w:tc>
        <w:tc>
          <w:tcPr>
            <w:tcW w:w="993" w:type="dxa"/>
            <w:shd w:val="clear" w:color="auto" w:fill="auto"/>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w:t>
            </w:r>
            <w:r>
              <w:rPr>
                <w:rFonts w:hint="eastAsia" w:cs="Times New Roman"/>
                <w:color w:val="auto"/>
                <w:sz w:val="21"/>
                <w:szCs w:val="21"/>
                <w:highlight w:val="none"/>
              </w:rPr>
              <w:t>0</w:t>
            </w:r>
          </w:p>
        </w:tc>
        <w:tc>
          <w:tcPr>
            <w:tcW w:w="4439" w:type="dxa"/>
            <w:vMerge w:val="restart"/>
            <w:tcBorders>
              <w:right w:val="single" w:color="000000" w:sz="12" w:space="0"/>
            </w:tcBorders>
            <w:shd w:val="clear" w:color="auto" w:fill="auto"/>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《环境空气质量标准(GB3095-2012)（二级）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PM</w:t>
            </w:r>
            <w:r>
              <w:rPr>
                <w:rFonts w:hint="eastAsia" w:cs="Times New Roman"/>
                <w:color w:val="auto"/>
                <w:sz w:val="21"/>
                <w:szCs w:val="21"/>
                <w:highlight w:val="none"/>
                <w:vertAlign w:val="subscript"/>
              </w:rPr>
              <w:t>2.5</w:t>
            </w:r>
          </w:p>
        </w:tc>
        <w:tc>
          <w:tcPr>
            <w:tcW w:w="991" w:type="dxa"/>
            <w:shd w:val="clear" w:color="auto" w:fill="auto"/>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w:t>
            </w:r>
          </w:p>
        </w:tc>
        <w:tc>
          <w:tcPr>
            <w:tcW w:w="991" w:type="dxa"/>
            <w:shd w:val="clear" w:color="auto" w:fill="auto"/>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75</w:t>
            </w:r>
          </w:p>
        </w:tc>
        <w:tc>
          <w:tcPr>
            <w:tcW w:w="993" w:type="dxa"/>
            <w:shd w:val="clear" w:color="auto" w:fill="auto"/>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35</w:t>
            </w:r>
          </w:p>
        </w:tc>
        <w:tc>
          <w:tcPr>
            <w:tcW w:w="4439" w:type="dxa"/>
            <w:vMerge w:val="continue"/>
            <w:tcBorders>
              <w:right w:val="single" w:color="000000" w:sz="12" w:space="0"/>
            </w:tcBorders>
            <w:shd w:val="clear" w:color="auto" w:fill="auto"/>
            <w:vAlign w:val="center"/>
          </w:tcPr>
          <w:p>
            <w:pPr>
              <w:spacing w:line="240" w:lineRule="auto"/>
              <w:ind w:firstLine="0" w:firstLineChars="0"/>
              <w:jc w:val="center"/>
              <w:rPr>
                <w:rFonts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SO</w:t>
            </w:r>
            <w:r>
              <w:rPr>
                <w:rFonts w:cs="Times New Roman"/>
                <w:color w:val="auto"/>
                <w:sz w:val="21"/>
                <w:szCs w:val="21"/>
                <w:highlight w:val="none"/>
                <w:vertAlign w:val="subscript"/>
              </w:rPr>
              <w:t>2</w:t>
            </w:r>
          </w:p>
        </w:tc>
        <w:tc>
          <w:tcPr>
            <w:tcW w:w="991" w:type="dxa"/>
            <w:shd w:val="clear" w:color="auto" w:fill="auto"/>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5</w:t>
            </w:r>
            <w:r>
              <w:rPr>
                <w:rFonts w:hint="eastAsia" w:cs="Times New Roman"/>
                <w:color w:val="auto"/>
                <w:sz w:val="21"/>
                <w:szCs w:val="21"/>
                <w:highlight w:val="none"/>
              </w:rPr>
              <w:t>00</w:t>
            </w:r>
          </w:p>
        </w:tc>
        <w:tc>
          <w:tcPr>
            <w:tcW w:w="991" w:type="dxa"/>
            <w:shd w:val="clear" w:color="auto" w:fill="auto"/>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15</w:t>
            </w:r>
            <w:r>
              <w:rPr>
                <w:rFonts w:hint="eastAsia" w:cs="Times New Roman"/>
                <w:color w:val="auto"/>
                <w:sz w:val="21"/>
                <w:szCs w:val="21"/>
                <w:highlight w:val="none"/>
              </w:rPr>
              <w:t>0</w:t>
            </w:r>
          </w:p>
        </w:tc>
        <w:tc>
          <w:tcPr>
            <w:tcW w:w="993" w:type="dxa"/>
            <w:shd w:val="clear" w:color="auto" w:fill="auto"/>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w:t>
            </w:r>
            <w:r>
              <w:rPr>
                <w:rFonts w:hint="eastAsia" w:cs="Times New Roman"/>
                <w:color w:val="auto"/>
                <w:sz w:val="21"/>
                <w:szCs w:val="21"/>
                <w:highlight w:val="none"/>
              </w:rPr>
              <w:t>0</w:t>
            </w:r>
          </w:p>
        </w:tc>
        <w:tc>
          <w:tcPr>
            <w:tcW w:w="4439" w:type="dxa"/>
            <w:vMerge w:val="continue"/>
            <w:tcBorders>
              <w:right w:val="single" w:color="000000" w:sz="12" w:space="0"/>
            </w:tcBorders>
            <w:shd w:val="clear" w:color="auto" w:fill="auto"/>
            <w:vAlign w:val="center"/>
          </w:tcPr>
          <w:p>
            <w:pPr>
              <w:spacing w:line="240" w:lineRule="auto"/>
              <w:ind w:firstLine="480" w:firstLineChars="0"/>
              <w:jc w:val="center"/>
              <w:rPr>
                <w:rFonts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NO</w:t>
            </w:r>
            <w:r>
              <w:rPr>
                <w:rFonts w:cs="Times New Roman"/>
                <w:color w:val="auto"/>
                <w:sz w:val="21"/>
                <w:szCs w:val="21"/>
                <w:highlight w:val="none"/>
                <w:vertAlign w:val="subscript"/>
              </w:rPr>
              <w:t>2</w:t>
            </w:r>
          </w:p>
        </w:tc>
        <w:tc>
          <w:tcPr>
            <w:tcW w:w="991" w:type="dxa"/>
            <w:shd w:val="clear" w:color="auto" w:fill="auto"/>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2</w:t>
            </w:r>
            <w:r>
              <w:rPr>
                <w:rFonts w:hint="eastAsia" w:cs="Times New Roman"/>
                <w:color w:val="auto"/>
                <w:sz w:val="21"/>
                <w:szCs w:val="21"/>
                <w:highlight w:val="none"/>
              </w:rPr>
              <w:t>00</w:t>
            </w:r>
          </w:p>
        </w:tc>
        <w:tc>
          <w:tcPr>
            <w:tcW w:w="991" w:type="dxa"/>
            <w:shd w:val="clear" w:color="auto" w:fill="auto"/>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8</w:t>
            </w:r>
            <w:r>
              <w:rPr>
                <w:rFonts w:hint="eastAsia" w:cs="Times New Roman"/>
                <w:color w:val="auto"/>
                <w:sz w:val="21"/>
                <w:szCs w:val="21"/>
                <w:highlight w:val="none"/>
              </w:rPr>
              <w:t>0</w:t>
            </w:r>
          </w:p>
        </w:tc>
        <w:tc>
          <w:tcPr>
            <w:tcW w:w="993" w:type="dxa"/>
            <w:shd w:val="clear" w:color="auto" w:fill="auto"/>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4</w:t>
            </w:r>
            <w:r>
              <w:rPr>
                <w:rFonts w:hint="eastAsia" w:cs="Times New Roman"/>
                <w:color w:val="auto"/>
                <w:sz w:val="21"/>
                <w:szCs w:val="21"/>
                <w:highlight w:val="none"/>
              </w:rPr>
              <w:t>0</w:t>
            </w:r>
          </w:p>
        </w:tc>
        <w:tc>
          <w:tcPr>
            <w:tcW w:w="4439" w:type="dxa"/>
            <w:vMerge w:val="continue"/>
            <w:tcBorders>
              <w:right w:val="single" w:color="000000" w:sz="12" w:space="0"/>
            </w:tcBorders>
            <w:shd w:val="clear" w:color="auto" w:fill="auto"/>
            <w:vAlign w:val="center"/>
          </w:tcPr>
          <w:p>
            <w:pPr>
              <w:spacing w:line="240" w:lineRule="auto"/>
              <w:ind w:firstLine="480" w:firstLineChars="0"/>
              <w:jc w:val="center"/>
              <w:rPr>
                <w:rFonts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CO</w:t>
            </w:r>
          </w:p>
        </w:tc>
        <w:tc>
          <w:tcPr>
            <w:tcW w:w="991" w:type="dxa"/>
            <w:shd w:val="clear" w:color="auto" w:fill="auto"/>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10000</w:t>
            </w:r>
          </w:p>
        </w:tc>
        <w:tc>
          <w:tcPr>
            <w:tcW w:w="991" w:type="dxa"/>
            <w:shd w:val="clear" w:color="auto" w:fill="auto"/>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4000</w:t>
            </w:r>
          </w:p>
        </w:tc>
        <w:tc>
          <w:tcPr>
            <w:tcW w:w="993" w:type="dxa"/>
            <w:shd w:val="clear" w:color="auto" w:fill="auto"/>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w:t>
            </w:r>
          </w:p>
        </w:tc>
        <w:tc>
          <w:tcPr>
            <w:tcW w:w="4439" w:type="dxa"/>
            <w:vMerge w:val="continue"/>
            <w:tcBorders>
              <w:right w:val="single" w:color="000000" w:sz="12" w:space="0"/>
            </w:tcBorders>
            <w:shd w:val="clear" w:color="auto" w:fill="auto"/>
            <w:vAlign w:val="center"/>
          </w:tcPr>
          <w:p>
            <w:pPr>
              <w:spacing w:line="240" w:lineRule="auto"/>
              <w:ind w:firstLine="480" w:firstLineChars="0"/>
              <w:jc w:val="center"/>
              <w:rPr>
                <w:rFonts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O</w:t>
            </w:r>
            <w:r>
              <w:rPr>
                <w:rFonts w:hint="eastAsia" w:cs="Times New Roman"/>
                <w:color w:val="auto"/>
                <w:sz w:val="21"/>
                <w:szCs w:val="21"/>
                <w:highlight w:val="none"/>
                <w:vertAlign w:val="subscript"/>
              </w:rPr>
              <w:t>3</w:t>
            </w:r>
          </w:p>
        </w:tc>
        <w:tc>
          <w:tcPr>
            <w:tcW w:w="991" w:type="dxa"/>
            <w:shd w:val="clear" w:color="auto" w:fill="auto"/>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200</w:t>
            </w:r>
          </w:p>
        </w:tc>
        <w:tc>
          <w:tcPr>
            <w:tcW w:w="991" w:type="dxa"/>
            <w:shd w:val="clear" w:color="auto" w:fill="auto"/>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160(8小时）</w:t>
            </w:r>
          </w:p>
        </w:tc>
        <w:tc>
          <w:tcPr>
            <w:tcW w:w="993" w:type="dxa"/>
            <w:shd w:val="clear" w:color="auto" w:fill="auto"/>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w:t>
            </w:r>
          </w:p>
        </w:tc>
        <w:tc>
          <w:tcPr>
            <w:tcW w:w="4439" w:type="dxa"/>
            <w:vMerge w:val="continue"/>
            <w:tcBorders>
              <w:right w:val="single" w:color="000000" w:sz="12" w:space="0"/>
            </w:tcBorders>
            <w:shd w:val="clear" w:color="auto" w:fill="auto"/>
            <w:vAlign w:val="center"/>
          </w:tcPr>
          <w:p>
            <w:pPr>
              <w:spacing w:line="240" w:lineRule="auto"/>
              <w:ind w:firstLine="480" w:firstLineChars="0"/>
              <w:jc w:val="center"/>
              <w:rPr>
                <w:rFonts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TSP</w:t>
            </w:r>
          </w:p>
        </w:tc>
        <w:tc>
          <w:tcPr>
            <w:tcW w:w="991" w:type="dxa"/>
            <w:shd w:val="clear" w:color="auto" w:fill="auto"/>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w:t>
            </w:r>
          </w:p>
        </w:tc>
        <w:tc>
          <w:tcPr>
            <w:tcW w:w="991" w:type="dxa"/>
            <w:shd w:val="clear" w:color="auto" w:fill="auto"/>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300</w:t>
            </w:r>
          </w:p>
        </w:tc>
        <w:tc>
          <w:tcPr>
            <w:tcW w:w="993" w:type="dxa"/>
            <w:shd w:val="clear" w:color="auto" w:fill="auto"/>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120</w:t>
            </w:r>
          </w:p>
        </w:tc>
        <w:tc>
          <w:tcPr>
            <w:tcW w:w="4439" w:type="dxa"/>
            <w:vMerge w:val="continue"/>
            <w:tcBorders>
              <w:right w:val="single" w:color="000000" w:sz="12" w:space="0"/>
            </w:tcBorders>
            <w:shd w:val="clear" w:color="auto" w:fill="auto"/>
            <w:vAlign w:val="center"/>
          </w:tcPr>
          <w:p>
            <w:pPr>
              <w:spacing w:line="240" w:lineRule="auto"/>
              <w:ind w:firstLine="480" w:firstLineChars="0"/>
              <w:jc w:val="center"/>
              <w:rPr>
                <w:rFonts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NO</w:t>
            </w:r>
            <w:r>
              <w:rPr>
                <w:rFonts w:hint="eastAsia" w:cs="Times New Roman"/>
                <w:color w:val="auto"/>
                <w:sz w:val="21"/>
                <w:szCs w:val="21"/>
                <w:highlight w:val="none"/>
                <w:vertAlign w:val="subscript"/>
                <w:lang w:val="en-US" w:eastAsia="zh-CN"/>
              </w:rPr>
              <w:t>X</w:t>
            </w:r>
          </w:p>
        </w:tc>
        <w:tc>
          <w:tcPr>
            <w:tcW w:w="991" w:type="dxa"/>
            <w:shd w:val="clear" w:color="auto" w:fill="auto"/>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250</w:t>
            </w:r>
          </w:p>
        </w:tc>
        <w:tc>
          <w:tcPr>
            <w:tcW w:w="991" w:type="dxa"/>
            <w:shd w:val="clear" w:color="auto" w:fill="auto"/>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993" w:type="dxa"/>
            <w:shd w:val="clear" w:color="auto" w:fill="auto"/>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4439" w:type="dxa"/>
            <w:vMerge w:val="continue"/>
            <w:tcBorders>
              <w:right w:val="single" w:color="000000" w:sz="12" w:space="0"/>
            </w:tcBorders>
            <w:shd w:val="clear" w:color="auto" w:fill="auto"/>
            <w:vAlign w:val="center"/>
          </w:tcPr>
          <w:p>
            <w:pPr>
              <w:spacing w:line="240" w:lineRule="auto"/>
              <w:ind w:firstLine="480" w:firstLineChars="0"/>
              <w:jc w:val="center"/>
              <w:rPr>
                <w:rFonts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H</w:t>
            </w:r>
            <w:r>
              <w:rPr>
                <w:rFonts w:hint="eastAsia" w:cs="Times New Roman"/>
                <w:color w:val="auto"/>
                <w:sz w:val="21"/>
                <w:szCs w:val="21"/>
                <w:highlight w:val="none"/>
                <w:vertAlign w:val="subscript"/>
              </w:rPr>
              <w:t>2</w:t>
            </w:r>
            <w:r>
              <w:rPr>
                <w:rFonts w:hint="eastAsia" w:cs="Times New Roman"/>
                <w:color w:val="auto"/>
                <w:sz w:val="21"/>
                <w:szCs w:val="21"/>
                <w:highlight w:val="none"/>
              </w:rPr>
              <w:t>S</w:t>
            </w:r>
          </w:p>
        </w:tc>
        <w:tc>
          <w:tcPr>
            <w:tcW w:w="991" w:type="dxa"/>
            <w:shd w:val="clear" w:color="auto" w:fill="auto"/>
            <w:vAlign w:val="center"/>
          </w:tcPr>
          <w:p>
            <w:pPr>
              <w:spacing w:line="240" w:lineRule="auto"/>
              <w:ind w:firstLine="0" w:firstLineChars="0"/>
              <w:jc w:val="center"/>
              <w:rPr>
                <w:rFonts w:cs="Times New Roman"/>
                <w:color w:val="auto"/>
                <w:sz w:val="21"/>
                <w:szCs w:val="21"/>
                <w:highlight w:val="none"/>
                <w:u w:val="none"/>
              </w:rPr>
            </w:pPr>
            <w:r>
              <w:rPr>
                <w:rFonts w:hint="eastAsia" w:cs="Times New Roman"/>
                <w:color w:val="auto"/>
                <w:sz w:val="21"/>
                <w:szCs w:val="21"/>
                <w:highlight w:val="none"/>
                <w:u w:val="none"/>
                <w:lang w:val="en-US" w:eastAsia="zh-CN"/>
              </w:rPr>
              <w:t>10</w:t>
            </w:r>
          </w:p>
        </w:tc>
        <w:tc>
          <w:tcPr>
            <w:tcW w:w="991" w:type="dxa"/>
            <w:shd w:val="clear" w:color="auto" w:fill="auto"/>
            <w:vAlign w:val="center"/>
          </w:tcPr>
          <w:p>
            <w:pPr>
              <w:spacing w:line="240" w:lineRule="auto"/>
              <w:ind w:firstLine="0" w:firstLineChars="0"/>
              <w:jc w:val="center"/>
              <w:rPr>
                <w:rFonts w:cs="Times New Roman"/>
                <w:color w:val="auto"/>
                <w:sz w:val="21"/>
                <w:szCs w:val="21"/>
                <w:highlight w:val="none"/>
                <w:u w:val="none"/>
              </w:rPr>
            </w:pPr>
            <w:r>
              <w:rPr>
                <w:rFonts w:hint="eastAsia" w:cs="Times New Roman"/>
                <w:color w:val="auto"/>
                <w:sz w:val="21"/>
                <w:szCs w:val="21"/>
                <w:highlight w:val="none"/>
                <w:u w:val="none"/>
              </w:rPr>
              <w:t>/</w:t>
            </w:r>
          </w:p>
        </w:tc>
        <w:tc>
          <w:tcPr>
            <w:tcW w:w="993" w:type="dxa"/>
            <w:shd w:val="clear" w:color="auto" w:fill="auto"/>
            <w:vAlign w:val="center"/>
          </w:tcPr>
          <w:p>
            <w:pPr>
              <w:spacing w:line="240" w:lineRule="auto"/>
              <w:ind w:firstLine="0" w:firstLineChars="0"/>
              <w:jc w:val="center"/>
              <w:rPr>
                <w:rFonts w:cs="Times New Roman"/>
                <w:color w:val="auto"/>
                <w:sz w:val="21"/>
                <w:szCs w:val="21"/>
                <w:highlight w:val="none"/>
                <w:u w:val="none"/>
              </w:rPr>
            </w:pPr>
            <w:r>
              <w:rPr>
                <w:rFonts w:hint="eastAsia" w:cs="Times New Roman"/>
                <w:color w:val="auto"/>
                <w:sz w:val="21"/>
                <w:szCs w:val="21"/>
                <w:highlight w:val="none"/>
                <w:u w:val="none"/>
              </w:rPr>
              <w:t>/</w:t>
            </w:r>
          </w:p>
        </w:tc>
        <w:tc>
          <w:tcPr>
            <w:tcW w:w="4439" w:type="dxa"/>
            <w:vMerge w:val="restart"/>
            <w:tcBorders>
              <w:right w:val="single" w:color="000000" w:sz="12" w:space="0"/>
            </w:tcBorders>
            <w:shd w:val="clear" w:color="auto" w:fill="auto"/>
            <w:vAlign w:val="center"/>
          </w:tcPr>
          <w:p>
            <w:pPr>
              <w:spacing w:line="240" w:lineRule="auto"/>
              <w:ind w:firstLine="0" w:firstLineChars="0"/>
              <w:jc w:val="center"/>
              <w:rPr>
                <w:rFonts w:cs="Times New Roman"/>
                <w:color w:val="auto"/>
                <w:sz w:val="21"/>
                <w:szCs w:val="21"/>
                <w:highlight w:val="none"/>
                <w:u w:val="none"/>
              </w:rPr>
            </w:pPr>
            <w:r>
              <w:rPr>
                <w:rFonts w:hint="eastAsia" w:cs="Times New Roman"/>
                <w:color w:val="auto"/>
                <w:sz w:val="21"/>
                <w:szCs w:val="21"/>
                <w:highlight w:val="none"/>
                <w:u w:val="none"/>
              </w:rPr>
              <w:t>《环境影响评级技术导则大气环境》（HJ 2.2-2018）附录D中空气质量浓度限值</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2" w:type="dxa"/>
            <w:tcBorders>
              <w:left w:val="single" w:color="000000" w:sz="12" w:space="0"/>
            </w:tcBorders>
            <w:shd w:val="clear" w:color="auto" w:fill="auto"/>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NH</w:t>
            </w:r>
            <w:r>
              <w:rPr>
                <w:rFonts w:hint="eastAsia" w:cs="Times New Roman"/>
                <w:color w:val="auto"/>
                <w:sz w:val="21"/>
                <w:szCs w:val="21"/>
                <w:highlight w:val="none"/>
                <w:vertAlign w:val="subscript"/>
              </w:rPr>
              <w:t>3</w:t>
            </w:r>
          </w:p>
        </w:tc>
        <w:tc>
          <w:tcPr>
            <w:tcW w:w="991" w:type="dxa"/>
            <w:shd w:val="clear" w:color="auto" w:fill="auto"/>
            <w:vAlign w:val="center"/>
          </w:tcPr>
          <w:p>
            <w:pPr>
              <w:spacing w:line="240" w:lineRule="auto"/>
              <w:ind w:firstLine="0" w:firstLineChars="0"/>
              <w:jc w:val="center"/>
              <w:rPr>
                <w:rFonts w:hint="eastAsia" w:eastAsia="宋体" w:cs="Times New Roman"/>
                <w:color w:val="auto"/>
                <w:sz w:val="21"/>
                <w:szCs w:val="21"/>
                <w:highlight w:val="none"/>
                <w:u w:val="none"/>
                <w:lang w:eastAsia="zh-CN"/>
              </w:rPr>
            </w:pPr>
            <w:r>
              <w:rPr>
                <w:rFonts w:hint="eastAsia" w:cs="Times New Roman"/>
                <w:color w:val="auto"/>
                <w:sz w:val="21"/>
                <w:szCs w:val="21"/>
                <w:highlight w:val="none"/>
                <w:u w:val="none"/>
              </w:rPr>
              <w:t>200</w:t>
            </w:r>
          </w:p>
        </w:tc>
        <w:tc>
          <w:tcPr>
            <w:tcW w:w="991" w:type="dxa"/>
            <w:shd w:val="clear" w:color="auto" w:fill="auto"/>
            <w:vAlign w:val="center"/>
          </w:tcPr>
          <w:p>
            <w:pPr>
              <w:spacing w:line="240" w:lineRule="auto"/>
              <w:ind w:firstLine="0" w:firstLineChars="0"/>
              <w:jc w:val="center"/>
              <w:rPr>
                <w:rFonts w:cs="Times New Roman"/>
                <w:color w:val="auto"/>
                <w:sz w:val="21"/>
                <w:szCs w:val="21"/>
                <w:highlight w:val="none"/>
                <w:u w:val="none"/>
              </w:rPr>
            </w:pPr>
            <w:r>
              <w:rPr>
                <w:rFonts w:hint="eastAsia" w:cs="Times New Roman"/>
                <w:color w:val="auto"/>
                <w:sz w:val="21"/>
                <w:szCs w:val="21"/>
                <w:highlight w:val="none"/>
                <w:u w:val="none"/>
              </w:rPr>
              <w:t>/</w:t>
            </w:r>
          </w:p>
        </w:tc>
        <w:tc>
          <w:tcPr>
            <w:tcW w:w="993" w:type="dxa"/>
            <w:shd w:val="clear" w:color="auto" w:fill="auto"/>
            <w:vAlign w:val="center"/>
          </w:tcPr>
          <w:p>
            <w:pPr>
              <w:spacing w:line="240" w:lineRule="auto"/>
              <w:ind w:firstLine="0" w:firstLineChars="0"/>
              <w:jc w:val="center"/>
              <w:rPr>
                <w:rFonts w:cs="Times New Roman"/>
                <w:color w:val="auto"/>
                <w:sz w:val="21"/>
                <w:szCs w:val="21"/>
                <w:highlight w:val="none"/>
                <w:u w:val="none"/>
              </w:rPr>
            </w:pPr>
            <w:r>
              <w:rPr>
                <w:rFonts w:hint="eastAsia" w:cs="Times New Roman"/>
                <w:color w:val="auto"/>
                <w:sz w:val="21"/>
                <w:szCs w:val="21"/>
                <w:highlight w:val="none"/>
                <w:u w:val="none"/>
              </w:rPr>
              <w:t>/</w:t>
            </w:r>
          </w:p>
        </w:tc>
        <w:tc>
          <w:tcPr>
            <w:tcW w:w="4439" w:type="dxa"/>
            <w:vMerge w:val="continue"/>
            <w:tcBorders>
              <w:right w:val="single" w:color="000000" w:sz="12" w:space="0"/>
            </w:tcBorders>
            <w:shd w:val="clear" w:color="auto" w:fill="auto"/>
            <w:vAlign w:val="center"/>
          </w:tcPr>
          <w:p>
            <w:pPr>
              <w:spacing w:line="240" w:lineRule="auto"/>
              <w:ind w:firstLine="0" w:firstLineChars="0"/>
              <w:jc w:val="center"/>
              <w:rPr>
                <w:rFonts w:cs="Times New Roman"/>
                <w:color w:val="auto"/>
                <w:sz w:val="21"/>
                <w:szCs w:val="21"/>
                <w:highlight w:val="none"/>
                <w:u w:val="none"/>
              </w:rPr>
            </w:pPr>
          </w:p>
        </w:tc>
      </w:tr>
    </w:tbl>
    <w:p>
      <w:pPr>
        <w:numPr>
          <w:ilvl w:val="0"/>
          <w:numId w:val="3"/>
        </w:numPr>
        <w:ind w:firstLine="464"/>
        <w:rPr>
          <w:rFonts w:cs="Times New Roman"/>
          <w:color w:val="auto"/>
          <w:spacing w:val="-4"/>
          <w:highlight w:val="none"/>
        </w:rPr>
      </w:pPr>
      <w:r>
        <w:rPr>
          <w:rFonts w:cs="Times New Roman"/>
          <w:color w:val="auto"/>
          <w:spacing w:val="-4"/>
          <w:highlight w:val="none"/>
        </w:rPr>
        <w:t>地表水</w:t>
      </w:r>
    </w:p>
    <w:p>
      <w:pPr>
        <w:pStyle w:val="2"/>
        <w:rPr>
          <w:rFonts w:cs="Times New Roman"/>
          <w:color w:val="auto"/>
          <w:highlight w:val="none"/>
        </w:rPr>
      </w:pPr>
      <w:r>
        <w:rPr>
          <w:rFonts w:hint="eastAsia"/>
          <w:color w:val="auto"/>
          <w:highlight w:val="none"/>
        </w:rPr>
        <w:t>地表水环境执行《地表水环境质量标准》（GB3838-2002）Ⅲ类标准</w:t>
      </w:r>
      <w:r>
        <w:rPr>
          <w:rFonts w:cs="Times New Roman"/>
          <w:color w:val="auto"/>
          <w:highlight w:val="none"/>
        </w:rPr>
        <w:t>。标准值见表1.</w:t>
      </w:r>
      <w:r>
        <w:rPr>
          <w:rFonts w:hint="eastAsia" w:cs="Times New Roman"/>
          <w:color w:val="auto"/>
          <w:highlight w:val="none"/>
        </w:rPr>
        <w:t>6</w:t>
      </w:r>
      <w:r>
        <w:rPr>
          <w:rFonts w:cs="Times New Roman"/>
          <w:color w:val="auto"/>
          <w:highlight w:val="none"/>
        </w:rPr>
        <w:t>-2。</w:t>
      </w:r>
    </w:p>
    <w:p>
      <w:pPr>
        <w:pStyle w:val="40"/>
        <w:rPr>
          <w:rFonts w:cs="Times New Roman"/>
          <w:color w:val="auto"/>
          <w:highlight w:val="none"/>
        </w:rPr>
      </w:pPr>
      <w:r>
        <w:rPr>
          <w:rFonts w:cs="Times New Roman"/>
          <w:color w:val="auto"/>
          <w:highlight w:val="none"/>
        </w:rPr>
        <w:t>表1.</w:t>
      </w:r>
      <w:r>
        <w:rPr>
          <w:rFonts w:hint="eastAsia" w:cs="Times New Roman"/>
          <w:color w:val="auto"/>
          <w:highlight w:val="none"/>
        </w:rPr>
        <w:t>6</w:t>
      </w:r>
      <w:r>
        <w:rPr>
          <w:rFonts w:cs="Times New Roman"/>
          <w:color w:val="auto"/>
          <w:highlight w:val="none"/>
        </w:rPr>
        <w:t>-2地表水环境质量执行标准单位：mg/L</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050"/>
        <w:gridCol w:w="44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vAlign w:val="center"/>
          </w:tcPr>
          <w:p>
            <w:pPr>
              <w:snapToGrid w:val="0"/>
              <w:spacing w:line="240" w:lineRule="auto"/>
              <w:ind w:left="102" w:right="153" w:firstLine="422"/>
              <w:jc w:val="center"/>
              <w:rPr>
                <w:b/>
                <w:bCs/>
                <w:color w:val="auto"/>
                <w:sz w:val="21"/>
                <w:szCs w:val="21"/>
                <w:highlight w:val="none"/>
              </w:rPr>
            </w:pPr>
            <w:r>
              <w:rPr>
                <w:b/>
                <w:bCs/>
                <w:color w:val="auto"/>
                <w:sz w:val="21"/>
                <w:szCs w:val="21"/>
                <w:highlight w:val="none"/>
              </w:rPr>
              <w:t>分析项目</w:t>
            </w:r>
          </w:p>
        </w:tc>
        <w:tc>
          <w:tcPr>
            <w:tcW w:w="2621" w:type="pct"/>
            <w:vAlign w:val="center"/>
          </w:tcPr>
          <w:p>
            <w:pPr>
              <w:snapToGrid w:val="0"/>
              <w:spacing w:line="240" w:lineRule="auto"/>
              <w:ind w:left="102" w:right="153" w:firstLine="422"/>
              <w:jc w:val="center"/>
              <w:rPr>
                <w:b/>
                <w:bCs/>
                <w:color w:val="auto"/>
                <w:sz w:val="21"/>
                <w:szCs w:val="21"/>
                <w:highlight w:val="none"/>
              </w:rPr>
            </w:pPr>
            <w:r>
              <w:rPr>
                <w:b/>
                <w:bCs/>
                <w:color w:val="auto"/>
                <w:sz w:val="21"/>
                <w:szCs w:val="21"/>
                <w:highlight w:val="none"/>
              </w:rPr>
              <w:t>国家标准（GB3838-2002）Ⅲ类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vAlign w:val="center"/>
          </w:tcPr>
          <w:p>
            <w:pPr>
              <w:snapToGrid w:val="0"/>
              <w:spacing w:line="240" w:lineRule="auto"/>
              <w:ind w:left="102" w:right="153" w:firstLine="420"/>
              <w:jc w:val="center"/>
              <w:rPr>
                <w:color w:val="auto"/>
                <w:sz w:val="21"/>
                <w:szCs w:val="21"/>
                <w:highlight w:val="none"/>
              </w:rPr>
            </w:pPr>
            <w:r>
              <w:rPr>
                <w:color w:val="auto"/>
                <w:sz w:val="21"/>
                <w:szCs w:val="21"/>
                <w:highlight w:val="none"/>
              </w:rPr>
              <w:t>PH</w:t>
            </w:r>
          </w:p>
        </w:tc>
        <w:tc>
          <w:tcPr>
            <w:tcW w:w="2621" w:type="pct"/>
            <w:vAlign w:val="center"/>
          </w:tcPr>
          <w:p>
            <w:pPr>
              <w:snapToGrid w:val="0"/>
              <w:spacing w:line="240" w:lineRule="auto"/>
              <w:ind w:left="102" w:right="153" w:firstLine="420"/>
              <w:jc w:val="center"/>
              <w:rPr>
                <w:color w:val="auto"/>
                <w:sz w:val="21"/>
                <w:szCs w:val="21"/>
                <w:highlight w:val="none"/>
              </w:rPr>
            </w:pPr>
            <w:r>
              <w:rPr>
                <w:color w:val="auto"/>
                <w:sz w:val="21"/>
                <w:szCs w:val="21"/>
                <w:highlight w:val="none"/>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vAlign w:val="center"/>
          </w:tcPr>
          <w:p>
            <w:pPr>
              <w:snapToGrid w:val="0"/>
              <w:spacing w:line="240" w:lineRule="auto"/>
              <w:ind w:left="102" w:right="153" w:firstLine="420"/>
              <w:jc w:val="center"/>
              <w:rPr>
                <w:color w:val="auto"/>
                <w:sz w:val="21"/>
                <w:szCs w:val="21"/>
                <w:highlight w:val="none"/>
              </w:rPr>
            </w:pPr>
            <w:r>
              <w:rPr>
                <w:color w:val="auto"/>
                <w:kern w:val="13"/>
                <w:sz w:val="21"/>
                <w:szCs w:val="21"/>
                <w:highlight w:val="none"/>
              </w:rPr>
              <w:t>NH</w:t>
            </w:r>
            <w:r>
              <w:rPr>
                <w:color w:val="auto"/>
                <w:kern w:val="13"/>
                <w:sz w:val="21"/>
                <w:szCs w:val="21"/>
                <w:highlight w:val="none"/>
                <w:vertAlign w:val="subscript"/>
              </w:rPr>
              <w:t>3</w:t>
            </w:r>
            <w:r>
              <w:rPr>
                <w:color w:val="auto"/>
                <w:kern w:val="13"/>
                <w:sz w:val="21"/>
                <w:szCs w:val="21"/>
                <w:highlight w:val="none"/>
              </w:rPr>
              <w:t>-N</w:t>
            </w:r>
          </w:p>
        </w:tc>
        <w:tc>
          <w:tcPr>
            <w:tcW w:w="2621" w:type="pct"/>
            <w:vAlign w:val="center"/>
          </w:tcPr>
          <w:p>
            <w:pPr>
              <w:snapToGrid w:val="0"/>
              <w:spacing w:line="240" w:lineRule="auto"/>
              <w:ind w:left="102" w:right="153" w:firstLine="420"/>
              <w:jc w:val="center"/>
              <w:rPr>
                <w:color w:val="auto"/>
                <w:sz w:val="21"/>
                <w:szCs w:val="21"/>
                <w:highlight w:val="none"/>
              </w:rPr>
            </w:pPr>
            <w:r>
              <w:rPr>
                <w:color w:val="auto"/>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vAlign w:val="center"/>
          </w:tcPr>
          <w:p>
            <w:pPr>
              <w:snapToGrid w:val="0"/>
              <w:spacing w:line="240" w:lineRule="auto"/>
              <w:ind w:left="102" w:right="153" w:firstLine="420"/>
              <w:jc w:val="center"/>
              <w:rPr>
                <w:color w:val="auto"/>
                <w:sz w:val="21"/>
                <w:szCs w:val="21"/>
                <w:highlight w:val="none"/>
              </w:rPr>
            </w:pPr>
            <w:r>
              <w:rPr>
                <w:color w:val="auto"/>
                <w:sz w:val="21"/>
                <w:szCs w:val="21"/>
                <w:highlight w:val="none"/>
              </w:rPr>
              <w:t>BOD</w:t>
            </w:r>
            <w:r>
              <w:rPr>
                <w:color w:val="auto"/>
                <w:sz w:val="21"/>
                <w:szCs w:val="21"/>
                <w:highlight w:val="none"/>
                <w:vertAlign w:val="subscript"/>
              </w:rPr>
              <w:t>5</w:t>
            </w:r>
          </w:p>
        </w:tc>
        <w:tc>
          <w:tcPr>
            <w:tcW w:w="2621" w:type="pct"/>
            <w:vAlign w:val="center"/>
          </w:tcPr>
          <w:p>
            <w:pPr>
              <w:snapToGrid w:val="0"/>
              <w:spacing w:line="240" w:lineRule="auto"/>
              <w:ind w:left="102" w:right="153" w:firstLine="420"/>
              <w:jc w:val="center"/>
              <w:rPr>
                <w:color w:val="auto"/>
                <w:sz w:val="21"/>
                <w:szCs w:val="21"/>
                <w:highlight w:val="none"/>
              </w:rPr>
            </w:pPr>
            <w:r>
              <w:rPr>
                <w:color w:val="auto"/>
                <w:sz w:val="21"/>
                <w:szCs w:val="21"/>
                <w:highlight w:val="none"/>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vAlign w:val="center"/>
          </w:tcPr>
          <w:p>
            <w:pPr>
              <w:snapToGrid w:val="0"/>
              <w:spacing w:line="240" w:lineRule="auto"/>
              <w:ind w:left="102" w:right="153" w:firstLine="420"/>
              <w:jc w:val="center"/>
              <w:rPr>
                <w:color w:val="auto"/>
                <w:sz w:val="21"/>
                <w:szCs w:val="21"/>
                <w:highlight w:val="none"/>
              </w:rPr>
            </w:pPr>
            <w:r>
              <w:rPr>
                <w:color w:val="auto"/>
                <w:kern w:val="13"/>
                <w:sz w:val="21"/>
                <w:szCs w:val="21"/>
                <w:highlight w:val="none"/>
              </w:rPr>
              <w:t>COD</w:t>
            </w:r>
          </w:p>
        </w:tc>
        <w:tc>
          <w:tcPr>
            <w:tcW w:w="2621" w:type="pct"/>
            <w:vAlign w:val="center"/>
          </w:tcPr>
          <w:p>
            <w:pPr>
              <w:snapToGrid w:val="0"/>
              <w:spacing w:line="240" w:lineRule="auto"/>
              <w:ind w:left="102" w:right="153" w:firstLine="420"/>
              <w:jc w:val="center"/>
              <w:rPr>
                <w:color w:val="auto"/>
                <w:sz w:val="21"/>
                <w:szCs w:val="21"/>
                <w:highlight w:val="none"/>
              </w:rPr>
            </w:pPr>
            <w:r>
              <w:rPr>
                <w:color w:val="auto"/>
                <w:sz w:val="21"/>
                <w:szCs w:val="21"/>
                <w:highlight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vAlign w:val="center"/>
          </w:tcPr>
          <w:p>
            <w:pPr>
              <w:snapToGrid w:val="0"/>
              <w:spacing w:line="240" w:lineRule="auto"/>
              <w:ind w:left="102" w:right="153" w:firstLine="420"/>
              <w:jc w:val="center"/>
              <w:rPr>
                <w:color w:val="auto"/>
                <w:sz w:val="21"/>
                <w:szCs w:val="21"/>
                <w:highlight w:val="none"/>
              </w:rPr>
            </w:pPr>
            <w:r>
              <w:rPr>
                <w:rFonts w:hint="eastAsia"/>
                <w:color w:val="auto"/>
                <w:sz w:val="21"/>
                <w:szCs w:val="21"/>
                <w:highlight w:val="none"/>
              </w:rPr>
              <w:t>总氮</w:t>
            </w:r>
          </w:p>
        </w:tc>
        <w:tc>
          <w:tcPr>
            <w:tcW w:w="2621" w:type="pct"/>
            <w:vAlign w:val="center"/>
          </w:tcPr>
          <w:p>
            <w:pPr>
              <w:snapToGrid w:val="0"/>
              <w:spacing w:line="240" w:lineRule="auto"/>
              <w:ind w:left="102" w:right="153" w:firstLine="420"/>
              <w:jc w:val="center"/>
              <w:rPr>
                <w:color w:val="auto"/>
                <w:sz w:val="21"/>
                <w:szCs w:val="21"/>
                <w:highlight w:val="none"/>
              </w:rPr>
            </w:pPr>
            <w:r>
              <w:rPr>
                <w:color w:val="auto"/>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vAlign w:val="center"/>
          </w:tcPr>
          <w:p>
            <w:pPr>
              <w:snapToGrid w:val="0"/>
              <w:spacing w:line="240" w:lineRule="auto"/>
              <w:ind w:left="102" w:right="153" w:firstLine="420"/>
              <w:jc w:val="center"/>
              <w:rPr>
                <w:color w:val="auto"/>
                <w:sz w:val="21"/>
                <w:szCs w:val="21"/>
                <w:highlight w:val="none"/>
              </w:rPr>
            </w:pPr>
            <w:r>
              <w:rPr>
                <w:rFonts w:hint="eastAsia"/>
                <w:color w:val="auto"/>
                <w:sz w:val="21"/>
                <w:szCs w:val="21"/>
                <w:highlight w:val="none"/>
              </w:rPr>
              <w:t>总磷</w:t>
            </w:r>
          </w:p>
        </w:tc>
        <w:tc>
          <w:tcPr>
            <w:tcW w:w="2621" w:type="pct"/>
            <w:vAlign w:val="center"/>
          </w:tcPr>
          <w:p>
            <w:pPr>
              <w:snapToGrid w:val="0"/>
              <w:spacing w:line="240" w:lineRule="auto"/>
              <w:ind w:left="102" w:right="153" w:firstLine="420"/>
              <w:jc w:val="center"/>
              <w:rPr>
                <w:color w:val="auto"/>
                <w:sz w:val="21"/>
                <w:szCs w:val="21"/>
                <w:highlight w:val="none"/>
              </w:rPr>
            </w:pPr>
            <w:r>
              <w:rPr>
                <w:color w:val="auto"/>
                <w:sz w:val="21"/>
                <w:szCs w:val="21"/>
                <w:highlight w:val="none"/>
              </w:rPr>
              <w:t>≤</w:t>
            </w:r>
            <w:r>
              <w:rPr>
                <w:rFonts w:hint="eastAsia"/>
                <w:color w:val="auto"/>
                <w:kern w:val="0"/>
                <w:sz w:val="21"/>
                <w:szCs w:val="21"/>
                <w:highlight w:val="none"/>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78" w:type="pct"/>
            <w:vAlign w:val="center"/>
          </w:tcPr>
          <w:p>
            <w:pPr>
              <w:spacing w:line="320" w:lineRule="exact"/>
              <w:ind w:firstLine="420" w:firstLineChars="200"/>
              <w:jc w:val="center"/>
              <w:rPr>
                <w:color w:val="auto"/>
                <w:sz w:val="21"/>
                <w:szCs w:val="21"/>
                <w:highlight w:val="none"/>
              </w:rPr>
            </w:pPr>
            <w:r>
              <w:rPr>
                <w:rFonts w:ascii="Times New Roman" w:hAnsi="Times New Roman"/>
                <w:color w:val="auto"/>
                <w:sz w:val="21"/>
                <w:highlight w:val="none"/>
              </w:rPr>
              <w:t>粪大肠菌群</w:t>
            </w:r>
          </w:p>
        </w:tc>
        <w:tc>
          <w:tcPr>
            <w:tcW w:w="2621" w:type="pct"/>
            <w:vAlign w:val="center"/>
          </w:tcPr>
          <w:p>
            <w:pPr>
              <w:spacing w:line="320" w:lineRule="exact"/>
              <w:ind w:firstLine="420" w:firstLineChars="200"/>
              <w:jc w:val="center"/>
              <w:rPr>
                <w:color w:val="auto"/>
                <w:sz w:val="21"/>
                <w:szCs w:val="21"/>
                <w:highlight w:val="none"/>
              </w:rPr>
            </w:pPr>
            <w:r>
              <w:rPr>
                <w:rFonts w:hint="eastAsia" w:ascii="Times New Roman" w:hAnsi="Times New Roman"/>
                <w:color w:val="auto"/>
                <w:sz w:val="21"/>
                <w:highlight w:val="none"/>
              </w:rPr>
              <w:t>10000</w:t>
            </w:r>
            <w:r>
              <w:rPr>
                <w:rFonts w:ascii="Times New Roman" w:hAnsi="Times New Roman"/>
                <w:color w:val="auto"/>
                <w:sz w:val="21"/>
                <w:highlight w:val="none"/>
              </w:rPr>
              <w:t>个/L</w:t>
            </w:r>
          </w:p>
        </w:tc>
      </w:tr>
    </w:tbl>
    <w:p>
      <w:pPr>
        <w:numPr>
          <w:ilvl w:val="0"/>
          <w:numId w:val="3"/>
        </w:numPr>
        <w:ind w:firstLine="480"/>
        <w:rPr>
          <w:rFonts w:cs="Times New Roman"/>
          <w:color w:val="auto"/>
          <w:highlight w:val="none"/>
        </w:rPr>
      </w:pPr>
      <w:r>
        <w:rPr>
          <w:rFonts w:cs="Times New Roman"/>
          <w:color w:val="auto"/>
          <w:highlight w:val="none"/>
        </w:rPr>
        <w:t>地下水</w:t>
      </w:r>
    </w:p>
    <w:p>
      <w:pPr>
        <w:tabs>
          <w:tab w:val="left" w:pos="7440"/>
        </w:tabs>
        <w:ind w:firstLine="480"/>
        <w:rPr>
          <w:rFonts w:cs="Times New Roman"/>
          <w:color w:val="auto"/>
          <w:highlight w:val="none"/>
        </w:rPr>
      </w:pPr>
      <w:r>
        <w:rPr>
          <w:rFonts w:cs="Times New Roman"/>
          <w:color w:val="auto"/>
          <w:highlight w:val="none"/>
        </w:rPr>
        <w:t>执行《地下水质量标准》</w:t>
      </w:r>
      <w:r>
        <w:rPr>
          <w:rFonts w:hint="eastAsia"/>
          <w:color w:val="auto"/>
          <w:highlight w:val="none"/>
        </w:rPr>
        <w:t>（GB/T 14848-2017）</w:t>
      </w:r>
      <w:r>
        <w:rPr>
          <w:rFonts w:cs="Times New Roman"/>
          <w:color w:val="auto"/>
          <w:highlight w:val="none"/>
        </w:rPr>
        <w:t>Ⅲ类标准。标准值见表1.</w:t>
      </w:r>
      <w:r>
        <w:rPr>
          <w:rFonts w:hint="eastAsia" w:cs="Times New Roman"/>
          <w:color w:val="auto"/>
          <w:highlight w:val="none"/>
        </w:rPr>
        <w:t>6</w:t>
      </w:r>
      <w:r>
        <w:rPr>
          <w:rFonts w:cs="Times New Roman"/>
          <w:color w:val="auto"/>
          <w:highlight w:val="none"/>
        </w:rPr>
        <w:t>-3。</w:t>
      </w:r>
    </w:p>
    <w:p>
      <w:pPr>
        <w:pStyle w:val="40"/>
        <w:rPr>
          <w:rFonts w:cs="Times New Roman"/>
          <w:color w:val="auto"/>
          <w:highlight w:val="none"/>
        </w:rPr>
      </w:pPr>
      <w:r>
        <w:rPr>
          <w:rFonts w:cs="Times New Roman"/>
          <w:color w:val="auto"/>
          <w:highlight w:val="none"/>
        </w:rPr>
        <w:t>表1.</w:t>
      </w:r>
      <w:r>
        <w:rPr>
          <w:rFonts w:hint="eastAsia" w:cs="Times New Roman"/>
          <w:color w:val="auto"/>
          <w:highlight w:val="none"/>
        </w:rPr>
        <w:t>6</w:t>
      </w:r>
      <w:r>
        <w:rPr>
          <w:rFonts w:cs="Times New Roman"/>
          <w:color w:val="auto"/>
          <w:highlight w:val="none"/>
        </w:rPr>
        <w:t>-3</w:t>
      </w:r>
      <w:r>
        <w:rPr>
          <w:rFonts w:hint="eastAsia" w:cs="Times New Roman"/>
          <w:color w:val="auto"/>
          <w:highlight w:val="none"/>
        </w:rPr>
        <w:t>地下水</w:t>
      </w:r>
      <w:r>
        <w:rPr>
          <w:rFonts w:cs="Times New Roman"/>
          <w:color w:val="auto"/>
          <w:highlight w:val="none"/>
        </w:rPr>
        <w:t>质量执行标准单位：mg/</w:t>
      </w:r>
      <w:r>
        <w:rPr>
          <w:rFonts w:hint="eastAsia" w:cs="Times New Roman"/>
          <w:color w:val="auto"/>
          <w:highlight w:val="none"/>
          <w:lang w:val="en-US" w:eastAsia="zh-CN"/>
        </w:rPr>
        <w:t>L</w:t>
      </w:r>
      <w:r>
        <w:rPr>
          <w:rFonts w:hint="eastAsia" w:cs="Times New Roman"/>
          <w:color w:val="auto"/>
          <w:highlight w:val="none"/>
        </w:rPr>
        <w:t>，</w:t>
      </w:r>
      <w:r>
        <w:rPr>
          <w:rFonts w:hint="eastAsia"/>
          <w:color w:val="auto"/>
          <w:szCs w:val="21"/>
          <w:highlight w:val="none"/>
        </w:rPr>
        <w:t>p</w:t>
      </w:r>
      <w:r>
        <w:rPr>
          <w:color w:val="auto"/>
          <w:szCs w:val="21"/>
          <w:highlight w:val="none"/>
        </w:rPr>
        <w:t>H</w:t>
      </w:r>
      <w:r>
        <w:rPr>
          <w:rFonts w:hint="eastAsia"/>
          <w:color w:val="auto"/>
          <w:szCs w:val="21"/>
          <w:highlight w:val="none"/>
        </w:rPr>
        <w:t>无量纲</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5" w:type="dxa"/>
          <w:bottom w:w="0" w:type="dxa"/>
          <w:right w:w="15" w:type="dxa"/>
        </w:tblCellMar>
      </w:tblPr>
      <w:tblGrid>
        <w:gridCol w:w="1637"/>
        <w:gridCol w:w="3903"/>
        <w:gridCol w:w="2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top w:val="single" w:color="000000" w:sz="12" w:space="0"/>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序号</w:t>
            </w:r>
          </w:p>
        </w:tc>
        <w:tc>
          <w:tcPr>
            <w:tcW w:w="2343" w:type="pct"/>
            <w:tcBorders>
              <w:top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项目</w:t>
            </w:r>
          </w:p>
        </w:tc>
        <w:tc>
          <w:tcPr>
            <w:tcW w:w="1673" w:type="pct"/>
            <w:tcBorders>
              <w:top w:val="single" w:color="000000" w:sz="12" w:space="0"/>
              <w:righ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1</w:t>
            </w:r>
          </w:p>
        </w:tc>
        <w:tc>
          <w:tcPr>
            <w:tcW w:w="2343" w:type="pct"/>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lang w:val="en-US" w:eastAsia="zh-CN"/>
              </w:rPr>
              <w:t>挥发性酚类</w:t>
            </w:r>
          </w:p>
        </w:tc>
        <w:tc>
          <w:tcPr>
            <w:tcW w:w="1673" w:type="pct"/>
            <w:tcBorders>
              <w:righ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2</w:t>
            </w:r>
          </w:p>
        </w:tc>
        <w:tc>
          <w:tcPr>
            <w:tcW w:w="2343" w:type="pct"/>
            <w:vAlign w:val="center"/>
          </w:tcPr>
          <w:p>
            <w:pPr>
              <w:autoSpaceDN w:val="0"/>
              <w:spacing w:line="120" w:lineRule="atLeast"/>
              <w:ind w:firstLine="0" w:firstLineChars="0"/>
              <w:jc w:val="center"/>
              <w:textAlignment w:val="center"/>
              <w:rPr>
                <w:color w:val="auto"/>
                <w:sz w:val="21"/>
                <w:highlight w:val="none"/>
              </w:rPr>
            </w:pPr>
            <w:r>
              <w:rPr>
                <w:rFonts w:hint="eastAsia" w:ascii="Times New Roman" w:hAnsi="Times New Roman" w:eastAsia="宋体" w:cs="Times New Roman"/>
                <w:color w:val="auto"/>
                <w:sz w:val="21"/>
                <w:szCs w:val="21"/>
                <w:highlight w:val="none"/>
              </w:rPr>
              <w:t>硝酸盐</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3</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rPr>
              <w:t>亚硝酸盐</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4</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镉</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5</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铁</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eastAsia" w:eastAsia="宋体"/>
                <w:color w:val="auto"/>
                <w:sz w:val="21"/>
                <w:highlight w:val="none"/>
                <w:lang w:eastAsia="zh-CN"/>
              </w:rPr>
            </w:pPr>
            <w:r>
              <w:rPr>
                <w:rFonts w:hint="eastAsia"/>
                <w:color w:val="auto"/>
                <w:sz w:val="21"/>
                <w:highlight w:val="none"/>
              </w:rPr>
              <w:t>0.</w:t>
            </w:r>
            <w:r>
              <w:rPr>
                <w:rFonts w:hint="eastAsia"/>
                <w:color w:val="auto"/>
                <w:sz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6</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总硬度</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7</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耗氧量</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rFonts w:hint="eastAsia"/>
                <w:color w:val="auto"/>
                <w:sz w:val="21"/>
                <w:highlight w:val="none"/>
              </w:rPr>
              <w:t>8</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溶解性总固体</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color w:val="auto"/>
                <w:sz w:val="21"/>
                <w:highlight w:val="none"/>
              </w:rPr>
              <w:t>9</w:t>
            </w:r>
          </w:p>
        </w:tc>
        <w:tc>
          <w:tcPr>
            <w:tcW w:w="2343" w:type="pct"/>
            <w:vAlign w:val="center"/>
          </w:tcPr>
          <w:p>
            <w:pPr>
              <w:spacing w:line="240" w:lineRule="auto"/>
              <w:ind w:firstLine="0" w:firstLineChars="0"/>
              <w:jc w:val="center"/>
              <w:rPr>
                <w:color w:val="auto"/>
                <w:sz w:val="21"/>
                <w:highlight w:val="none"/>
              </w:rPr>
            </w:pPr>
            <w:r>
              <w:rPr>
                <w:rFonts w:hint="eastAsia" w:cs="Times New Roman"/>
                <w:color w:val="auto"/>
                <w:sz w:val="21"/>
                <w:szCs w:val="21"/>
                <w:highlight w:val="none"/>
              </w:rPr>
              <w:t>铅</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eastAsia" w:eastAsia="宋体"/>
                <w:color w:val="auto"/>
                <w:sz w:val="21"/>
                <w:highlight w:val="none"/>
                <w:lang w:eastAsia="zh-CN"/>
              </w:rPr>
            </w:pPr>
            <w:r>
              <w:rPr>
                <w:rFonts w:hint="eastAsia"/>
                <w:color w:val="auto"/>
                <w:sz w:val="21"/>
                <w:highlight w:val="none"/>
              </w:rPr>
              <w:t>0.0</w:t>
            </w:r>
            <w:r>
              <w:rPr>
                <w:rFonts w:hint="eastAsia"/>
                <w:color w:val="auto"/>
                <w:sz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color w:val="auto"/>
                <w:sz w:val="21"/>
                <w:highlight w:val="none"/>
              </w:rPr>
            </w:pPr>
            <w:r>
              <w:rPr>
                <w:color w:val="auto"/>
                <w:sz w:val="21"/>
                <w:highlight w:val="none"/>
              </w:rPr>
              <w:t>10</w:t>
            </w:r>
          </w:p>
        </w:tc>
        <w:tc>
          <w:tcPr>
            <w:tcW w:w="2343" w:type="pct"/>
            <w:vAlign w:val="center"/>
          </w:tcPr>
          <w:p>
            <w:pPr>
              <w:spacing w:line="240" w:lineRule="auto"/>
              <w:ind w:firstLine="0" w:firstLineChars="0"/>
              <w:jc w:val="center"/>
              <w:rPr>
                <w:color w:val="auto"/>
                <w:sz w:val="21"/>
                <w:highlight w:val="none"/>
              </w:rPr>
            </w:pPr>
            <w:r>
              <w:rPr>
                <w:rFonts w:hint="eastAsia" w:cs="Times New Roman"/>
                <w:color w:val="auto"/>
                <w:sz w:val="21"/>
                <w:szCs w:val="21"/>
                <w:highlight w:val="none"/>
              </w:rPr>
              <w:t>铜</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11</w:t>
            </w:r>
          </w:p>
        </w:tc>
        <w:tc>
          <w:tcPr>
            <w:tcW w:w="2343" w:type="pct"/>
            <w:vAlign w:val="center"/>
          </w:tcPr>
          <w:p>
            <w:pPr>
              <w:spacing w:line="240" w:lineRule="auto"/>
              <w:ind w:firstLine="0" w:firstLineChars="0"/>
              <w:jc w:val="center"/>
              <w:rPr>
                <w:rFonts w:hint="default" w:eastAsia="宋体"/>
                <w:color w:val="auto"/>
                <w:sz w:val="21"/>
                <w:highlight w:val="none"/>
                <w:lang w:val="en-US" w:eastAsia="zh-CN"/>
              </w:rPr>
            </w:pPr>
            <w:r>
              <w:rPr>
                <w:rFonts w:hint="eastAsia" w:cs="Times New Roman"/>
                <w:color w:val="auto"/>
                <w:sz w:val="21"/>
                <w:szCs w:val="21"/>
                <w:highlight w:val="none"/>
              </w:rPr>
              <w:t>菌落总数</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eastAsia="宋体"/>
                <w:color w:val="auto"/>
                <w:sz w:val="21"/>
                <w:highlight w:val="none"/>
                <w:lang w:val="en-US" w:eastAsia="zh-CN"/>
              </w:rPr>
            </w:pPr>
            <w:r>
              <w:rPr>
                <w:rFonts w:hint="eastAsia"/>
                <w:color w:val="auto"/>
                <w:sz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12</w:t>
            </w:r>
          </w:p>
        </w:tc>
        <w:tc>
          <w:tcPr>
            <w:tcW w:w="2343" w:type="pct"/>
            <w:vAlign w:val="center"/>
          </w:tcPr>
          <w:p>
            <w:pPr>
              <w:spacing w:line="240" w:lineRule="auto"/>
              <w:ind w:firstLine="0" w:firstLineChars="0"/>
              <w:jc w:val="center"/>
              <w:rPr>
                <w:rFonts w:hint="eastAsia"/>
                <w:color w:val="auto"/>
                <w:sz w:val="21"/>
                <w:highlight w:val="none"/>
                <w:lang w:val="en-US" w:eastAsia="zh-CN"/>
              </w:rPr>
            </w:pPr>
            <w:r>
              <w:rPr>
                <w:rFonts w:hint="eastAsia" w:cs="Times New Roman"/>
                <w:color w:val="auto"/>
                <w:sz w:val="21"/>
                <w:szCs w:val="21"/>
                <w:highlight w:val="none"/>
              </w:rPr>
              <w:t>氨氮</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13</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六价铬</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14</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p</w:t>
            </w:r>
            <w:r>
              <w:rPr>
                <w:rFonts w:hint="eastAsia" w:cs="Times New Roman"/>
                <w:color w:val="auto"/>
                <w:sz w:val="21"/>
                <w:szCs w:val="21"/>
                <w:highlight w:val="none"/>
              </w:rPr>
              <w:t>H</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15</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氰化物</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16</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总大肠菌群（CFU/100mL）</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17</w:t>
            </w:r>
          </w:p>
        </w:tc>
        <w:tc>
          <w:tcPr>
            <w:tcW w:w="2343"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砷</w:t>
            </w:r>
          </w:p>
        </w:tc>
        <w:tc>
          <w:tcPr>
            <w:tcW w:w="1673" w:type="pct"/>
            <w:tcBorders>
              <w:righ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3" w:hRule="atLeast"/>
          <w:jc w:val="center"/>
        </w:trPr>
        <w:tc>
          <w:tcPr>
            <w:tcW w:w="983" w:type="pct"/>
            <w:tcBorders>
              <w:left w:val="single" w:color="000000" w:sz="12" w:space="0"/>
              <w:bottom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18</w:t>
            </w:r>
          </w:p>
        </w:tc>
        <w:tc>
          <w:tcPr>
            <w:tcW w:w="2343" w:type="pct"/>
            <w:tcBorders>
              <w:bottom w:val="single" w:color="000000" w:sz="12" w:space="0"/>
            </w:tcBorders>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汞</w:t>
            </w:r>
          </w:p>
        </w:tc>
        <w:tc>
          <w:tcPr>
            <w:tcW w:w="1673" w:type="pct"/>
            <w:tcBorders>
              <w:bottom w:val="single" w:color="000000" w:sz="12" w:space="0"/>
              <w:right w:val="single" w:color="000000" w:sz="12" w:space="0"/>
            </w:tcBorders>
            <w:vAlign w:val="center"/>
          </w:tcPr>
          <w:p>
            <w:pPr>
              <w:autoSpaceDN w:val="0"/>
              <w:spacing w:line="120" w:lineRule="atLeast"/>
              <w:ind w:firstLine="0" w:firstLineChars="0"/>
              <w:jc w:val="center"/>
              <w:textAlignment w:val="center"/>
              <w:rPr>
                <w:rFonts w:hint="default"/>
                <w:color w:val="auto"/>
                <w:sz w:val="21"/>
                <w:highlight w:val="none"/>
                <w:lang w:val="en-US" w:eastAsia="zh-CN"/>
              </w:rPr>
            </w:pPr>
            <w:r>
              <w:rPr>
                <w:rFonts w:hint="eastAsia"/>
                <w:color w:val="auto"/>
                <w:sz w:val="21"/>
                <w:highlight w:val="none"/>
                <w:lang w:val="en-US" w:eastAsia="zh-CN"/>
              </w:rPr>
              <w:t>0.001</w:t>
            </w:r>
          </w:p>
        </w:tc>
      </w:tr>
    </w:tbl>
    <w:p>
      <w:pPr>
        <w:numPr>
          <w:ilvl w:val="0"/>
          <w:numId w:val="3"/>
        </w:numPr>
        <w:ind w:firstLine="480"/>
        <w:rPr>
          <w:rFonts w:cs="Times New Roman"/>
          <w:color w:val="auto"/>
          <w:highlight w:val="none"/>
        </w:rPr>
      </w:pPr>
      <w:r>
        <w:rPr>
          <w:rFonts w:cs="Times New Roman"/>
          <w:color w:val="auto"/>
          <w:highlight w:val="none"/>
        </w:rPr>
        <w:t>声环境</w:t>
      </w:r>
    </w:p>
    <w:p>
      <w:pPr>
        <w:ind w:firstLine="480"/>
        <w:rPr>
          <w:rFonts w:cs="Times New Roman"/>
          <w:color w:val="auto"/>
          <w:highlight w:val="none"/>
        </w:rPr>
      </w:pPr>
      <w:r>
        <w:rPr>
          <w:rFonts w:cs="Times New Roman"/>
          <w:color w:val="auto"/>
          <w:highlight w:val="none"/>
        </w:rPr>
        <w:t>执行《声环境质量标准》（GB3096-2008）中</w:t>
      </w:r>
      <w:r>
        <w:rPr>
          <w:rFonts w:hint="eastAsia" w:cs="Times New Roman"/>
          <w:color w:val="auto"/>
          <w:highlight w:val="none"/>
          <w:lang w:val="en-US" w:eastAsia="zh-CN"/>
        </w:rPr>
        <w:t>2</w:t>
      </w:r>
      <w:r>
        <w:rPr>
          <w:rFonts w:cs="Times New Roman"/>
          <w:color w:val="auto"/>
          <w:highlight w:val="none"/>
        </w:rPr>
        <w:t>类标准。标准值见表1.</w:t>
      </w:r>
      <w:r>
        <w:rPr>
          <w:rFonts w:hint="eastAsia" w:cs="Times New Roman"/>
          <w:color w:val="auto"/>
          <w:highlight w:val="none"/>
        </w:rPr>
        <w:t>6</w:t>
      </w:r>
      <w:r>
        <w:rPr>
          <w:rFonts w:cs="Times New Roman"/>
          <w:color w:val="auto"/>
          <w:highlight w:val="none"/>
        </w:rPr>
        <w:t>-4。</w:t>
      </w:r>
    </w:p>
    <w:p>
      <w:pPr>
        <w:pStyle w:val="40"/>
        <w:rPr>
          <w:rFonts w:cs="Times New Roman"/>
          <w:color w:val="auto"/>
          <w:highlight w:val="none"/>
        </w:rPr>
      </w:pPr>
      <w:r>
        <w:rPr>
          <w:rFonts w:cs="Times New Roman"/>
          <w:color w:val="auto"/>
          <w:highlight w:val="none"/>
        </w:rPr>
        <w:t>表1.</w:t>
      </w:r>
      <w:r>
        <w:rPr>
          <w:rFonts w:hint="eastAsia" w:cs="Times New Roman"/>
          <w:color w:val="auto"/>
          <w:highlight w:val="none"/>
        </w:rPr>
        <w:t>6</w:t>
      </w:r>
      <w:r>
        <w:rPr>
          <w:rFonts w:cs="Times New Roman"/>
          <w:color w:val="auto"/>
          <w:highlight w:val="none"/>
        </w:rPr>
        <w:t>-4声环境质量执行标准</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332"/>
        <w:gridCol w:w="930"/>
        <w:gridCol w:w="2122"/>
        <w:gridCol w:w="21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trPr>
        <w:tc>
          <w:tcPr>
            <w:tcW w:w="1957" w:type="pct"/>
            <w:vMerge w:val="restart"/>
            <w:vAlign w:val="center"/>
          </w:tcPr>
          <w:p>
            <w:pPr>
              <w:autoSpaceDN w:val="0"/>
              <w:spacing w:line="120" w:lineRule="atLeast"/>
              <w:ind w:firstLine="0" w:firstLineChars="0"/>
              <w:jc w:val="center"/>
              <w:textAlignment w:val="center"/>
              <w:rPr>
                <w:rFonts w:hint="eastAsia"/>
                <w:color w:val="auto"/>
                <w:sz w:val="21"/>
                <w:highlight w:val="none"/>
              </w:rPr>
            </w:pPr>
            <w:r>
              <w:rPr>
                <w:rFonts w:hint="eastAsia"/>
                <w:color w:val="auto"/>
                <w:sz w:val="21"/>
                <w:highlight w:val="none"/>
              </w:rPr>
              <w:t>执行标准</w:t>
            </w:r>
          </w:p>
        </w:tc>
        <w:tc>
          <w:tcPr>
            <w:tcW w:w="546" w:type="pct"/>
            <w:vMerge w:val="restart"/>
            <w:vAlign w:val="center"/>
          </w:tcPr>
          <w:p>
            <w:pPr>
              <w:autoSpaceDN w:val="0"/>
              <w:spacing w:line="120" w:lineRule="atLeast"/>
              <w:ind w:firstLine="0" w:firstLineChars="0"/>
              <w:jc w:val="center"/>
              <w:textAlignment w:val="center"/>
              <w:rPr>
                <w:rFonts w:hint="eastAsia"/>
                <w:color w:val="auto"/>
                <w:sz w:val="21"/>
                <w:highlight w:val="none"/>
              </w:rPr>
            </w:pPr>
            <w:r>
              <w:rPr>
                <w:rFonts w:hint="eastAsia"/>
                <w:color w:val="auto"/>
                <w:sz w:val="21"/>
                <w:highlight w:val="none"/>
              </w:rPr>
              <w:t>类别</w:t>
            </w:r>
          </w:p>
        </w:tc>
        <w:tc>
          <w:tcPr>
            <w:tcW w:w="2496" w:type="pct"/>
            <w:gridSpan w:val="2"/>
            <w:vAlign w:val="center"/>
          </w:tcPr>
          <w:p>
            <w:pPr>
              <w:autoSpaceDN w:val="0"/>
              <w:spacing w:line="120" w:lineRule="atLeast"/>
              <w:ind w:firstLine="0" w:firstLineChars="0"/>
              <w:jc w:val="center"/>
              <w:textAlignment w:val="center"/>
              <w:rPr>
                <w:rFonts w:hint="eastAsia"/>
                <w:color w:val="auto"/>
                <w:sz w:val="21"/>
                <w:highlight w:val="none"/>
              </w:rPr>
            </w:pPr>
            <w:r>
              <w:rPr>
                <w:rFonts w:hint="eastAsia"/>
                <w:color w:val="auto"/>
                <w:sz w:val="21"/>
                <w:highlight w:val="none"/>
              </w:rPr>
              <w:t>标准限值（dB(A)）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957" w:type="pct"/>
            <w:vMerge w:val="continue"/>
            <w:vAlign w:val="center"/>
          </w:tcPr>
          <w:p>
            <w:pPr>
              <w:autoSpaceDN w:val="0"/>
              <w:spacing w:line="120" w:lineRule="atLeast"/>
              <w:ind w:firstLine="0" w:firstLineChars="0"/>
              <w:jc w:val="center"/>
              <w:textAlignment w:val="center"/>
              <w:rPr>
                <w:rFonts w:hint="eastAsia"/>
                <w:color w:val="auto"/>
                <w:sz w:val="21"/>
                <w:highlight w:val="none"/>
              </w:rPr>
            </w:pPr>
          </w:p>
        </w:tc>
        <w:tc>
          <w:tcPr>
            <w:tcW w:w="546" w:type="pct"/>
            <w:vMerge w:val="continue"/>
            <w:vAlign w:val="center"/>
          </w:tcPr>
          <w:p>
            <w:pPr>
              <w:autoSpaceDN w:val="0"/>
              <w:spacing w:line="120" w:lineRule="atLeast"/>
              <w:ind w:firstLine="0" w:firstLineChars="0"/>
              <w:jc w:val="center"/>
              <w:textAlignment w:val="center"/>
              <w:rPr>
                <w:rFonts w:hint="eastAsia"/>
                <w:color w:val="auto"/>
                <w:sz w:val="21"/>
                <w:highlight w:val="none"/>
              </w:rPr>
            </w:pPr>
          </w:p>
        </w:tc>
        <w:tc>
          <w:tcPr>
            <w:tcW w:w="1246" w:type="pct"/>
            <w:vAlign w:val="center"/>
          </w:tcPr>
          <w:p>
            <w:pPr>
              <w:autoSpaceDN w:val="0"/>
              <w:spacing w:line="120" w:lineRule="atLeast"/>
              <w:ind w:firstLine="0" w:firstLineChars="0"/>
              <w:jc w:val="center"/>
              <w:textAlignment w:val="center"/>
              <w:rPr>
                <w:rFonts w:hint="eastAsia"/>
                <w:color w:val="auto"/>
                <w:sz w:val="21"/>
                <w:highlight w:val="none"/>
              </w:rPr>
            </w:pPr>
            <w:r>
              <w:rPr>
                <w:rFonts w:hint="eastAsia"/>
                <w:color w:val="auto"/>
                <w:sz w:val="21"/>
                <w:highlight w:val="none"/>
              </w:rPr>
              <w:t>昼间</w:t>
            </w:r>
          </w:p>
        </w:tc>
        <w:tc>
          <w:tcPr>
            <w:tcW w:w="1250" w:type="pct"/>
            <w:vAlign w:val="center"/>
          </w:tcPr>
          <w:p>
            <w:pPr>
              <w:autoSpaceDN w:val="0"/>
              <w:spacing w:line="120" w:lineRule="atLeast"/>
              <w:ind w:firstLine="0" w:firstLineChars="0"/>
              <w:jc w:val="center"/>
              <w:textAlignment w:val="center"/>
              <w:rPr>
                <w:rFonts w:hint="eastAsia"/>
                <w:color w:val="auto"/>
                <w:sz w:val="21"/>
                <w:highlight w:val="none"/>
              </w:rPr>
            </w:pPr>
            <w:r>
              <w:rPr>
                <w:rFonts w:hint="eastAsia"/>
                <w:color w:val="auto"/>
                <w:sz w:val="21"/>
                <w:highlight w:val="none"/>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957" w:type="pct"/>
            <w:vAlign w:val="center"/>
          </w:tcPr>
          <w:p>
            <w:pPr>
              <w:autoSpaceDN w:val="0"/>
              <w:spacing w:line="120" w:lineRule="atLeast"/>
              <w:ind w:firstLine="0" w:firstLineChars="0"/>
              <w:jc w:val="center"/>
              <w:textAlignment w:val="center"/>
              <w:rPr>
                <w:rFonts w:hint="eastAsia"/>
                <w:color w:val="auto"/>
                <w:sz w:val="21"/>
                <w:highlight w:val="none"/>
              </w:rPr>
            </w:pPr>
            <w:r>
              <w:rPr>
                <w:rFonts w:hint="eastAsia"/>
                <w:color w:val="auto"/>
                <w:sz w:val="21"/>
                <w:highlight w:val="none"/>
              </w:rPr>
              <w:t>《声环境质量标准》GB3096-2008）</w:t>
            </w:r>
          </w:p>
        </w:tc>
        <w:tc>
          <w:tcPr>
            <w:tcW w:w="546" w:type="pct"/>
            <w:vAlign w:val="center"/>
          </w:tcPr>
          <w:p>
            <w:pPr>
              <w:autoSpaceDN w:val="0"/>
              <w:spacing w:line="120" w:lineRule="atLeast"/>
              <w:ind w:firstLine="0" w:firstLineChars="0"/>
              <w:jc w:val="center"/>
              <w:textAlignment w:val="center"/>
              <w:rPr>
                <w:rFonts w:hint="eastAsia"/>
                <w:color w:val="auto"/>
                <w:sz w:val="21"/>
                <w:highlight w:val="none"/>
              </w:rPr>
            </w:pPr>
            <w:r>
              <w:rPr>
                <w:rFonts w:hint="eastAsia"/>
                <w:color w:val="auto"/>
                <w:sz w:val="21"/>
                <w:highlight w:val="none"/>
                <w:lang w:val="en-US" w:eastAsia="zh-CN"/>
              </w:rPr>
              <w:t>2</w:t>
            </w:r>
            <w:r>
              <w:rPr>
                <w:rFonts w:hint="eastAsia"/>
                <w:color w:val="auto"/>
                <w:sz w:val="21"/>
                <w:highlight w:val="none"/>
              </w:rPr>
              <w:t>类</w:t>
            </w:r>
          </w:p>
        </w:tc>
        <w:tc>
          <w:tcPr>
            <w:tcW w:w="1246" w:type="pct"/>
            <w:vAlign w:val="center"/>
          </w:tcPr>
          <w:p>
            <w:pPr>
              <w:autoSpaceDN w:val="0"/>
              <w:spacing w:line="120" w:lineRule="atLeast"/>
              <w:ind w:firstLine="0" w:firstLineChars="0"/>
              <w:jc w:val="center"/>
              <w:textAlignment w:val="center"/>
              <w:rPr>
                <w:rFonts w:hint="eastAsia"/>
                <w:color w:val="auto"/>
                <w:sz w:val="21"/>
                <w:highlight w:val="none"/>
                <w:lang w:eastAsia="zh-CN"/>
              </w:rPr>
            </w:pPr>
            <w:r>
              <w:rPr>
                <w:rFonts w:hint="eastAsia"/>
                <w:color w:val="auto"/>
                <w:sz w:val="21"/>
                <w:highlight w:val="none"/>
              </w:rPr>
              <w:t>6</w:t>
            </w:r>
            <w:r>
              <w:rPr>
                <w:rFonts w:hint="eastAsia"/>
                <w:color w:val="auto"/>
                <w:sz w:val="21"/>
                <w:highlight w:val="none"/>
                <w:lang w:val="en-US" w:eastAsia="zh-CN"/>
              </w:rPr>
              <w:t>0</w:t>
            </w:r>
          </w:p>
        </w:tc>
        <w:tc>
          <w:tcPr>
            <w:tcW w:w="1250" w:type="pct"/>
            <w:vAlign w:val="center"/>
          </w:tcPr>
          <w:p>
            <w:pPr>
              <w:autoSpaceDN w:val="0"/>
              <w:spacing w:line="120" w:lineRule="atLeast"/>
              <w:ind w:firstLine="0" w:firstLineChars="0"/>
              <w:jc w:val="center"/>
              <w:textAlignment w:val="center"/>
              <w:rPr>
                <w:rFonts w:hint="eastAsia"/>
                <w:color w:val="auto"/>
                <w:sz w:val="21"/>
                <w:highlight w:val="none"/>
                <w:lang w:eastAsia="zh-CN"/>
              </w:rPr>
            </w:pPr>
            <w:r>
              <w:rPr>
                <w:rFonts w:hint="eastAsia"/>
                <w:color w:val="auto"/>
                <w:sz w:val="21"/>
                <w:highlight w:val="none"/>
              </w:rPr>
              <w:t>5</w:t>
            </w:r>
            <w:r>
              <w:rPr>
                <w:rFonts w:hint="eastAsia"/>
                <w:color w:val="auto"/>
                <w:sz w:val="21"/>
                <w:highlight w:val="none"/>
                <w:lang w:val="en-US" w:eastAsia="zh-CN"/>
              </w:rPr>
              <w:t>0</w:t>
            </w:r>
          </w:p>
        </w:tc>
      </w:tr>
    </w:tbl>
    <w:p>
      <w:pPr>
        <w:numPr>
          <w:ilvl w:val="0"/>
          <w:numId w:val="3"/>
        </w:numPr>
        <w:ind w:firstLine="480" w:firstLineChars="0"/>
        <w:rPr>
          <w:rFonts w:cs="Times New Roman"/>
          <w:color w:val="auto"/>
          <w:highlight w:val="none"/>
        </w:rPr>
      </w:pPr>
      <w:r>
        <w:rPr>
          <w:rFonts w:hint="eastAsia" w:cs="Times New Roman"/>
          <w:color w:val="auto"/>
          <w:highlight w:val="none"/>
        </w:rPr>
        <w:t>土壤</w:t>
      </w:r>
    </w:p>
    <w:p>
      <w:pPr>
        <w:pStyle w:val="2"/>
        <w:rPr>
          <w:rFonts w:cs="Times New Roman"/>
          <w:color w:val="auto"/>
          <w:highlight w:val="none"/>
        </w:rPr>
      </w:pPr>
      <w:r>
        <w:rPr>
          <w:rFonts w:hint="eastAsia"/>
          <w:color w:val="auto"/>
          <w:highlight w:val="none"/>
        </w:rPr>
        <w:t>土壤环境执行《土壤环境质量农用地土壤污染风险管控标准》</w:t>
      </w:r>
      <w:r>
        <w:rPr>
          <w:rFonts w:hint="eastAsia"/>
          <w:color w:val="auto"/>
          <w:highlight w:val="none"/>
          <w:lang w:eastAsia="zh-CN"/>
        </w:rPr>
        <w:t>（试行）</w:t>
      </w:r>
      <w:r>
        <w:rPr>
          <w:rFonts w:hint="eastAsia"/>
          <w:color w:val="auto"/>
          <w:highlight w:val="none"/>
        </w:rPr>
        <w:t>（GB15618-2018）</w:t>
      </w:r>
      <w:r>
        <w:rPr>
          <w:rFonts w:hint="eastAsia"/>
          <w:color w:val="auto"/>
          <w:highlight w:val="none"/>
          <w:lang w:eastAsia="zh-CN"/>
        </w:rPr>
        <w:t>中表</w:t>
      </w:r>
      <w:r>
        <w:rPr>
          <w:rFonts w:hint="eastAsia"/>
          <w:color w:val="auto"/>
          <w:highlight w:val="none"/>
          <w:lang w:val="en-US" w:eastAsia="zh-CN"/>
        </w:rPr>
        <w:t>1</w:t>
      </w:r>
      <w:r>
        <w:rPr>
          <w:rFonts w:hint="eastAsia"/>
          <w:color w:val="auto"/>
          <w:highlight w:val="none"/>
        </w:rPr>
        <w:t>标准</w:t>
      </w:r>
      <w:r>
        <w:rPr>
          <w:rFonts w:hint="eastAsia"/>
          <w:color w:val="auto"/>
          <w:highlight w:val="none"/>
          <w:lang w:eastAsia="zh-CN"/>
        </w:rPr>
        <w:t>要求。</w:t>
      </w:r>
      <w:r>
        <w:rPr>
          <w:rFonts w:cs="Times New Roman"/>
          <w:color w:val="auto"/>
          <w:highlight w:val="none"/>
        </w:rPr>
        <w:t>标准值见表1.</w:t>
      </w:r>
      <w:r>
        <w:rPr>
          <w:rFonts w:hint="eastAsia" w:cs="Times New Roman"/>
          <w:color w:val="auto"/>
          <w:highlight w:val="none"/>
        </w:rPr>
        <w:t>6</w:t>
      </w:r>
      <w:r>
        <w:rPr>
          <w:rFonts w:cs="Times New Roman"/>
          <w:color w:val="auto"/>
          <w:highlight w:val="none"/>
        </w:rPr>
        <w:t>-</w:t>
      </w:r>
      <w:r>
        <w:rPr>
          <w:rFonts w:hint="eastAsia" w:cs="Times New Roman"/>
          <w:color w:val="auto"/>
          <w:highlight w:val="none"/>
        </w:rPr>
        <w:t>5</w:t>
      </w:r>
      <w:r>
        <w:rPr>
          <w:rFonts w:cs="Times New Roman"/>
          <w:color w:val="auto"/>
          <w:highlight w:val="none"/>
        </w:rPr>
        <w:t>。</w:t>
      </w:r>
    </w:p>
    <w:p>
      <w:pPr>
        <w:pStyle w:val="40"/>
        <w:rPr>
          <w:color w:val="auto"/>
          <w:highlight w:val="none"/>
        </w:rPr>
      </w:pPr>
      <w:r>
        <w:rPr>
          <w:rFonts w:hint="eastAsia"/>
          <w:color w:val="auto"/>
          <w:highlight w:val="none"/>
        </w:rPr>
        <w:t>表1.6-5土壤评价标准（单位：mg/kg）</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3183"/>
        <w:gridCol w:w="542"/>
        <w:gridCol w:w="748"/>
        <w:gridCol w:w="531"/>
        <w:gridCol w:w="531"/>
        <w:gridCol w:w="531"/>
        <w:gridCol w:w="479"/>
        <w:gridCol w:w="427"/>
        <w:gridCol w:w="532"/>
        <w:gridCol w:w="532"/>
        <w:gridCol w:w="480"/>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7" w:type="pct"/>
            <w:gridSpan w:val="2"/>
            <w:vAlign w:val="center"/>
          </w:tcPr>
          <w:p>
            <w:pPr>
              <w:spacing w:line="240" w:lineRule="auto"/>
              <w:ind w:firstLine="0" w:firstLineChars="0"/>
              <w:jc w:val="center"/>
              <w:rPr>
                <w:rFonts w:cs="Times New Roman"/>
                <w:color w:val="auto"/>
                <w:sz w:val="21"/>
                <w:szCs w:val="21"/>
                <w:highlight w:val="none"/>
              </w:rPr>
            </w:pPr>
            <w:r>
              <w:rPr>
                <w:rFonts w:hint="eastAsia" w:cs="Times New Roman"/>
                <w:b/>
                <w:color w:val="auto"/>
                <w:sz w:val="21"/>
                <w:szCs w:val="21"/>
                <w:highlight w:val="none"/>
              </w:rPr>
              <w:t>评价因子</w:t>
            </w:r>
          </w:p>
        </w:tc>
        <w:tc>
          <w:tcPr>
            <w:tcW w:w="440" w:type="pct"/>
            <w:vAlign w:val="center"/>
          </w:tcPr>
          <w:p>
            <w:pPr>
              <w:spacing w:line="120" w:lineRule="atLeast"/>
              <w:ind w:firstLine="0" w:firstLineChars="0"/>
              <w:jc w:val="center"/>
              <w:rPr>
                <w:rFonts w:cs="Times New Roman"/>
                <w:color w:val="auto"/>
                <w:sz w:val="21"/>
                <w:szCs w:val="21"/>
                <w:highlight w:val="none"/>
              </w:rPr>
            </w:pPr>
            <w:r>
              <w:rPr>
                <w:rFonts w:cs="Times New Roman"/>
                <w:color w:val="auto"/>
                <w:sz w:val="21"/>
                <w:szCs w:val="21"/>
                <w:highlight w:val="none"/>
              </w:rPr>
              <w:t>pH 值</w:t>
            </w:r>
          </w:p>
        </w:tc>
        <w:tc>
          <w:tcPr>
            <w:tcW w:w="311" w:type="pct"/>
            <w:vAlign w:val="center"/>
          </w:tcPr>
          <w:p>
            <w:pPr>
              <w:spacing w:line="120" w:lineRule="atLeast"/>
              <w:ind w:firstLine="0" w:firstLineChars="0"/>
              <w:jc w:val="center"/>
              <w:rPr>
                <w:rFonts w:cs="Times New Roman"/>
                <w:color w:val="auto"/>
                <w:sz w:val="21"/>
                <w:szCs w:val="21"/>
                <w:highlight w:val="none"/>
              </w:rPr>
            </w:pPr>
            <w:r>
              <w:rPr>
                <w:rFonts w:cs="Times New Roman"/>
                <w:color w:val="auto"/>
                <w:sz w:val="21"/>
                <w:szCs w:val="21"/>
                <w:highlight w:val="none"/>
              </w:rPr>
              <w:t>铜</w:t>
            </w:r>
          </w:p>
        </w:tc>
        <w:tc>
          <w:tcPr>
            <w:tcW w:w="311" w:type="pct"/>
            <w:vAlign w:val="center"/>
          </w:tcPr>
          <w:p>
            <w:pPr>
              <w:spacing w:line="120" w:lineRule="atLeast"/>
              <w:ind w:firstLine="0" w:firstLineChars="0"/>
              <w:jc w:val="center"/>
              <w:rPr>
                <w:rFonts w:cs="Times New Roman"/>
                <w:color w:val="auto"/>
                <w:sz w:val="21"/>
                <w:szCs w:val="21"/>
                <w:highlight w:val="none"/>
              </w:rPr>
            </w:pPr>
            <w:r>
              <w:rPr>
                <w:rFonts w:cs="Times New Roman"/>
                <w:color w:val="auto"/>
                <w:sz w:val="21"/>
                <w:szCs w:val="21"/>
                <w:highlight w:val="none"/>
              </w:rPr>
              <w:t>锌</w:t>
            </w:r>
          </w:p>
        </w:tc>
        <w:tc>
          <w:tcPr>
            <w:tcW w:w="311" w:type="pct"/>
            <w:vAlign w:val="center"/>
          </w:tcPr>
          <w:p>
            <w:pPr>
              <w:spacing w:line="120" w:lineRule="atLeast"/>
              <w:ind w:firstLine="0" w:firstLineChars="0"/>
              <w:jc w:val="center"/>
              <w:rPr>
                <w:rFonts w:cs="Times New Roman"/>
                <w:color w:val="auto"/>
                <w:sz w:val="21"/>
                <w:szCs w:val="21"/>
                <w:highlight w:val="none"/>
              </w:rPr>
            </w:pPr>
            <w:r>
              <w:rPr>
                <w:rFonts w:cs="Times New Roman"/>
                <w:color w:val="auto"/>
                <w:sz w:val="21"/>
                <w:szCs w:val="21"/>
                <w:highlight w:val="none"/>
              </w:rPr>
              <w:t>铅</w:t>
            </w:r>
          </w:p>
        </w:tc>
        <w:tc>
          <w:tcPr>
            <w:tcW w:w="281" w:type="pct"/>
            <w:vAlign w:val="center"/>
          </w:tcPr>
          <w:p>
            <w:pPr>
              <w:spacing w:line="120" w:lineRule="atLeast"/>
              <w:ind w:firstLine="0" w:firstLineChars="0"/>
              <w:jc w:val="center"/>
              <w:rPr>
                <w:rFonts w:cs="Times New Roman"/>
                <w:color w:val="auto"/>
                <w:sz w:val="21"/>
                <w:szCs w:val="21"/>
                <w:highlight w:val="none"/>
              </w:rPr>
            </w:pPr>
            <w:r>
              <w:rPr>
                <w:rFonts w:cs="Times New Roman"/>
                <w:color w:val="auto"/>
                <w:sz w:val="21"/>
                <w:szCs w:val="21"/>
                <w:highlight w:val="none"/>
              </w:rPr>
              <w:t>镉</w:t>
            </w:r>
          </w:p>
        </w:tc>
        <w:tc>
          <w:tcPr>
            <w:tcW w:w="250" w:type="pct"/>
            <w:vAlign w:val="center"/>
          </w:tcPr>
          <w:p>
            <w:pPr>
              <w:spacing w:line="120" w:lineRule="atLeast"/>
              <w:ind w:firstLine="0" w:firstLineChars="0"/>
              <w:jc w:val="center"/>
              <w:rPr>
                <w:rFonts w:cs="Times New Roman"/>
                <w:color w:val="auto"/>
                <w:sz w:val="21"/>
                <w:szCs w:val="21"/>
                <w:highlight w:val="none"/>
              </w:rPr>
            </w:pPr>
            <w:r>
              <w:rPr>
                <w:rFonts w:cs="Times New Roman"/>
                <w:color w:val="auto"/>
                <w:sz w:val="21"/>
                <w:szCs w:val="21"/>
                <w:highlight w:val="none"/>
              </w:rPr>
              <w:t>砷</w:t>
            </w:r>
          </w:p>
        </w:tc>
        <w:tc>
          <w:tcPr>
            <w:tcW w:w="311" w:type="pct"/>
            <w:vAlign w:val="center"/>
          </w:tcPr>
          <w:p>
            <w:pPr>
              <w:spacing w:line="120" w:lineRule="atLeast"/>
              <w:ind w:firstLine="0" w:firstLineChars="0"/>
              <w:jc w:val="center"/>
              <w:rPr>
                <w:rFonts w:cs="Times New Roman"/>
                <w:color w:val="auto"/>
                <w:sz w:val="21"/>
                <w:szCs w:val="21"/>
                <w:highlight w:val="none"/>
              </w:rPr>
            </w:pPr>
            <w:r>
              <w:rPr>
                <w:rFonts w:cs="Times New Roman"/>
                <w:color w:val="auto"/>
                <w:sz w:val="21"/>
                <w:szCs w:val="21"/>
                <w:highlight w:val="none"/>
              </w:rPr>
              <w:t>镍</w:t>
            </w:r>
          </w:p>
        </w:tc>
        <w:tc>
          <w:tcPr>
            <w:tcW w:w="311" w:type="pct"/>
            <w:vAlign w:val="center"/>
          </w:tcPr>
          <w:p>
            <w:pPr>
              <w:spacing w:line="120" w:lineRule="atLeast"/>
              <w:ind w:firstLine="0" w:firstLineChars="0"/>
              <w:jc w:val="center"/>
              <w:rPr>
                <w:rFonts w:cs="Times New Roman"/>
                <w:color w:val="auto"/>
                <w:sz w:val="21"/>
                <w:szCs w:val="21"/>
                <w:highlight w:val="none"/>
              </w:rPr>
            </w:pPr>
            <w:r>
              <w:rPr>
                <w:rFonts w:cs="Times New Roman"/>
                <w:color w:val="auto"/>
                <w:sz w:val="21"/>
                <w:szCs w:val="21"/>
                <w:highlight w:val="none"/>
              </w:rPr>
              <w:t>铬</w:t>
            </w:r>
          </w:p>
        </w:tc>
        <w:tc>
          <w:tcPr>
            <w:tcW w:w="281" w:type="pct"/>
            <w:vAlign w:val="center"/>
          </w:tcPr>
          <w:p>
            <w:pPr>
              <w:spacing w:line="120" w:lineRule="atLeast"/>
              <w:ind w:firstLine="0" w:firstLineChars="0"/>
              <w:jc w:val="center"/>
              <w:rPr>
                <w:rFonts w:cs="Times New Roman"/>
                <w:color w:val="auto"/>
                <w:sz w:val="21"/>
                <w:szCs w:val="21"/>
                <w:highlight w:val="none"/>
              </w:rPr>
            </w:pPr>
            <w:r>
              <w:rPr>
                <w:rFonts w:cs="Times New Roman"/>
                <w:color w:val="auto"/>
                <w:sz w:val="21"/>
                <w:szCs w:val="21"/>
                <w:highlight w:val="none"/>
              </w:rPr>
              <w:t>汞</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8" w:type="pct"/>
            <w:vMerge w:val="restart"/>
            <w:vAlign w:val="center"/>
          </w:tcPr>
          <w:p>
            <w:pPr>
              <w:spacing w:line="240" w:lineRule="auto"/>
              <w:ind w:firstLine="0" w:firstLineChars="0"/>
              <w:jc w:val="center"/>
              <w:rPr>
                <w:rFonts w:cs="Times New Roman"/>
                <w:b/>
                <w:color w:val="auto"/>
                <w:sz w:val="21"/>
                <w:szCs w:val="21"/>
                <w:highlight w:val="none"/>
              </w:rPr>
            </w:pPr>
            <w:r>
              <w:rPr>
                <w:rFonts w:hint="eastAsia" w:cs="Times New Roman"/>
                <w:color w:val="auto"/>
                <w:sz w:val="21"/>
                <w:szCs w:val="21"/>
                <w:highlight w:val="none"/>
              </w:rPr>
              <w:t>《土壤环境质量农用地土壤污染风险管控标准》（GB15618-2018）</w:t>
            </w:r>
          </w:p>
        </w:tc>
        <w:tc>
          <w:tcPr>
            <w:tcW w:w="319" w:type="pct"/>
            <w:vMerge w:val="restar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筛选值</w:t>
            </w:r>
          </w:p>
        </w:tc>
        <w:tc>
          <w:tcPr>
            <w:tcW w:w="440" w:type="pct"/>
            <w:vAlign w:val="center"/>
          </w:tcPr>
          <w:p>
            <w:pPr>
              <w:spacing w:line="120" w:lineRule="atLeast"/>
              <w:ind w:firstLine="0" w:firstLineChars="0"/>
              <w:jc w:val="center"/>
              <w:rPr>
                <w:rFonts w:cs="Times New Roman"/>
                <w:color w:val="auto"/>
                <w:sz w:val="21"/>
                <w:szCs w:val="21"/>
                <w:highlight w:val="none"/>
              </w:rPr>
            </w:pPr>
            <w:r>
              <w:rPr>
                <w:rFonts w:hint="eastAsia" w:cs="Times New Roman"/>
                <w:color w:val="auto"/>
                <w:sz w:val="21"/>
                <w:szCs w:val="21"/>
                <w:highlight w:val="none"/>
              </w:rPr>
              <w:t>6.5＜PH≤7.5</w:t>
            </w:r>
          </w:p>
        </w:tc>
        <w:tc>
          <w:tcPr>
            <w:tcW w:w="311" w:type="pct"/>
            <w:vAlign w:val="center"/>
          </w:tcPr>
          <w:p>
            <w:pPr>
              <w:spacing w:line="12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rPr>
              <w:t>1</w:t>
            </w:r>
            <w:r>
              <w:rPr>
                <w:rFonts w:hint="eastAsia" w:cs="Times New Roman"/>
                <w:color w:val="auto"/>
                <w:sz w:val="21"/>
                <w:szCs w:val="21"/>
                <w:highlight w:val="none"/>
                <w:lang w:val="en-US" w:eastAsia="zh-CN"/>
              </w:rPr>
              <w:t>00</w:t>
            </w:r>
          </w:p>
        </w:tc>
        <w:tc>
          <w:tcPr>
            <w:tcW w:w="311" w:type="pct"/>
            <w:vAlign w:val="center"/>
          </w:tcPr>
          <w:p>
            <w:pPr>
              <w:spacing w:line="12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250</w:t>
            </w:r>
          </w:p>
        </w:tc>
        <w:tc>
          <w:tcPr>
            <w:tcW w:w="311" w:type="pct"/>
            <w:vAlign w:val="center"/>
          </w:tcPr>
          <w:p>
            <w:pPr>
              <w:spacing w:line="12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120</w:t>
            </w:r>
          </w:p>
        </w:tc>
        <w:tc>
          <w:tcPr>
            <w:tcW w:w="281" w:type="pct"/>
            <w:vAlign w:val="center"/>
          </w:tcPr>
          <w:p>
            <w:pPr>
              <w:spacing w:line="12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250" w:type="pct"/>
            <w:vAlign w:val="center"/>
          </w:tcPr>
          <w:p>
            <w:pPr>
              <w:spacing w:line="12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311" w:type="pct"/>
            <w:vAlign w:val="center"/>
          </w:tcPr>
          <w:p>
            <w:pPr>
              <w:spacing w:line="12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rPr>
              <w:t>1</w:t>
            </w:r>
            <w:r>
              <w:rPr>
                <w:rFonts w:hint="eastAsia" w:cs="Times New Roman"/>
                <w:color w:val="auto"/>
                <w:sz w:val="21"/>
                <w:szCs w:val="21"/>
                <w:highlight w:val="none"/>
                <w:lang w:val="en-US" w:eastAsia="zh-CN"/>
              </w:rPr>
              <w:t>00</w:t>
            </w:r>
          </w:p>
        </w:tc>
        <w:tc>
          <w:tcPr>
            <w:tcW w:w="311" w:type="pct"/>
            <w:vAlign w:val="center"/>
          </w:tcPr>
          <w:p>
            <w:pPr>
              <w:spacing w:line="12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200</w:t>
            </w:r>
          </w:p>
        </w:tc>
        <w:tc>
          <w:tcPr>
            <w:tcW w:w="281" w:type="pct"/>
            <w:vAlign w:val="center"/>
          </w:tcPr>
          <w:p>
            <w:pPr>
              <w:spacing w:line="12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8" w:type="pct"/>
            <w:vMerge w:val="continue"/>
            <w:vAlign w:val="center"/>
          </w:tcPr>
          <w:p>
            <w:pPr>
              <w:spacing w:line="240" w:lineRule="auto"/>
              <w:ind w:firstLine="0" w:firstLineChars="0"/>
              <w:jc w:val="center"/>
              <w:rPr>
                <w:rFonts w:hint="eastAsia" w:cs="Times New Roman"/>
                <w:color w:val="auto"/>
                <w:sz w:val="21"/>
                <w:szCs w:val="21"/>
                <w:highlight w:val="none"/>
              </w:rPr>
            </w:pPr>
          </w:p>
        </w:tc>
        <w:tc>
          <w:tcPr>
            <w:tcW w:w="319" w:type="pct"/>
            <w:vMerge w:val="continue"/>
            <w:vAlign w:val="center"/>
          </w:tcPr>
          <w:p>
            <w:pPr>
              <w:spacing w:line="240" w:lineRule="auto"/>
              <w:ind w:firstLine="0" w:firstLineChars="0"/>
              <w:jc w:val="center"/>
              <w:rPr>
                <w:rFonts w:hint="eastAsia" w:cs="Times New Roman"/>
                <w:color w:val="auto"/>
                <w:sz w:val="21"/>
                <w:szCs w:val="21"/>
                <w:highlight w:val="none"/>
              </w:rPr>
            </w:pPr>
          </w:p>
        </w:tc>
        <w:tc>
          <w:tcPr>
            <w:tcW w:w="440" w:type="pct"/>
            <w:vAlign w:val="center"/>
          </w:tcPr>
          <w:p>
            <w:pPr>
              <w:spacing w:line="12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rPr>
              <w:t>PH</w:t>
            </w:r>
            <w:r>
              <w:rPr>
                <w:rFonts w:hint="eastAsia" w:ascii="宋体" w:hAnsi="宋体" w:eastAsia="宋体" w:cs="宋体"/>
                <w:color w:val="auto"/>
                <w:sz w:val="21"/>
                <w:szCs w:val="21"/>
                <w:highlight w:val="none"/>
              </w:rPr>
              <w:t>＞</w:t>
            </w:r>
            <w:r>
              <w:rPr>
                <w:rFonts w:hint="eastAsia" w:cs="Times New Roman"/>
                <w:color w:val="auto"/>
                <w:sz w:val="21"/>
                <w:szCs w:val="21"/>
                <w:highlight w:val="none"/>
                <w:lang w:val="en-US" w:eastAsia="zh-CN"/>
              </w:rPr>
              <w:t>7.5</w:t>
            </w:r>
          </w:p>
        </w:tc>
        <w:tc>
          <w:tcPr>
            <w:tcW w:w="311" w:type="pct"/>
            <w:vAlign w:val="center"/>
          </w:tcPr>
          <w:p>
            <w:pPr>
              <w:spacing w:line="12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311" w:type="pct"/>
            <w:vAlign w:val="center"/>
          </w:tcPr>
          <w:p>
            <w:pPr>
              <w:spacing w:line="120" w:lineRule="atLeast"/>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300</w:t>
            </w:r>
          </w:p>
        </w:tc>
        <w:tc>
          <w:tcPr>
            <w:tcW w:w="311" w:type="pct"/>
            <w:vAlign w:val="center"/>
          </w:tcPr>
          <w:p>
            <w:pPr>
              <w:spacing w:line="120" w:lineRule="atLeast"/>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170</w:t>
            </w:r>
          </w:p>
        </w:tc>
        <w:tc>
          <w:tcPr>
            <w:tcW w:w="281" w:type="pct"/>
            <w:vAlign w:val="center"/>
          </w:tcPr>
          <w:p>
            <w:pPr>
              <w:spacing w:line="120" w:lineRule="atLeast"/>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0.6</w:t>
            </w:r>
          </w:p>
        </w:tc>
        <w:tc>
          <w:tcPr>
            <w:tcW w:w="250" w:type="pct"/>
            <w:vAlign w:val="center"/>
          </w:tcPr>
          <w:p>
            <w:pPr>
              <w:spacing w:line="120" w:lineRule="atLeast"/>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311" w:type="pct"/>
            <w:vAlign w:val="center"/>
          </w:tcPr>
          <w:p>
            <w:pPr>
              <w:spacing w:line="12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190</w:t>
            </w:r>
          </w:p>
        </w:tc>
        <w:tc>
          <w:tcPr>
            <w:tcW w:w="311" w:type="pct"/>
            <w:vAlign w:val="center"/>
          </w:tcPr>
          <w:p>
            <w:pPr>
              <w:spacing w:line="120" w:lineRule="atLeast"/>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250</w:t>
            </w:r>
          </w:p>
        </w:tc>
        <w:tc>
          <w:tcPr>
            <w:tcW w:w="281" w:type="pct"/>
            <w:vAlign w:val="center"/>
          </w:tcPr>
          <w:p>
            <w:pPr>
              <w:spacing w:line="120" w:lineRule="atLeast"/>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3.4</w:t>
            </w:r>
          </w:p>
        </w:tc>
      </w:tr>
    </w:tbl>
    <w:p>
      <w:pPr>
        <w:pStyle w:val="5"/>
        <w:spacing w:before="66"/>
        <w:ind w:firstLine="482"/>
        <w:rPr>
          <w:rFonts w:cs="Times New Roman"/>
          <w:color w:val="auto"/>
          <w:highlight w:val="none"/>
        </w:rPr>
      </w:pPr>
      <w:r>
        <w:rPr>
          <w:rFonts w:cs="Times New Roman"/>
          <w:color w:val="auto"/>
          <w:highlight w:val="none"/>
        </w:rPr>
        <w:t>1.</w:t>
      </w:r>
      <w:r>
        <w:rPr>
          <w:rFonts w:hint="eastAsia" w:cs="Times New Roman"/>
          <w:color w:val="auto"/>
          <w:highlight w:val="none"/>
        </w:rPr>
        <w:t>6.</w:t>
      </w:r>
      <w:r>
        <w:rPr>
          <w:rFonts w:cs="Times New Roman"/>
          <w:color w:val="auto"/>
          <w:highlight w:val="none"/>
        </w:rPr>
        <w:t>2污染物排放标准</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本项目废水全部资源化利用，不设废水排污口，废水执行</w:t>
      </w:r>
      <w:r>
        <w:rPr>
          <w:rFonts w:hint="eastAsia" w:asciiTheme="minorEastAsia" w:hAnsiTheme="minorEastAsia" w:eastAsiaTheme="minorEastAsia" w:cstheme="minorEastAsia"/>
          <w:color w:val="auto"/>
          <w:sz w:val="24"/>
          <w:szCs w:val="24"/>
          <w:highlight w:val="none"/>
        </w:rPr>
        <w:t>“零排放”</w:t>
      </w:r>
      <w:r>
        <w:rPr>
          <w:rFonts w:ascii="Times New Roman" w:hAnsi="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Times New Roman" w:hAnsi="Times New Roman" w:cs="Times New Roman"/>
          <w:color w:val="auto"/>
          <w:sz w:val="24"/>
          <w:szCs w:val="24"/>
          <w:highlight w:val="none"/>
        </w:rPr>
      </w:pPr>
      <w:r>
        <w:rPr>
          <w:rFonts w:ascii="Times New Roman" w:hAnsi="Times New Roman"/>
          <w:color w:val="auto"/>
          <w:sz w:val="24"/>
          <w:szCs w:val="24"/>
          <w:highlight w:val="none"/>
        </w:rPr>
        <w:t>本项目大气污染因子（NH</w:t>
      </w:r>
      <w:r>
        <w:rPr>
          <w:rFonts w:ascii="Times New Roman" w:hAnsi="Times New Roman"/>
          <w:color w:val="auto"/>
          <w:sz w:val="24"/>
          <w:szCs w:val="24"/>
          <w:highlight w:val="none"/>
          <w:vertAlign w:val="subscript"/>
        </w:rPr>
        <w:t>3</w:t>
      </w:r>
      <w:r>
        <w:rPr>
          <w:rFonts w:ascii="Times New Roman" w:hAnsi="Times New Roman"/>
          <w:color w:val="auto"/>
          <w:sz w:val="24"/>
          <w:szCs w:val="24"/>
          <w:highlight w:val="none"/>
        </w:rPr>
        <w:t>、H</w:t>
      </w:r>
      <w:r>
        <w:rPr>
          <w:rFonts w:ascii="Times New Roman" w:hAnsi="Times New Roman"/>
          <w:color w:val="auto"/>
          <w:sz w:val="24"/>
          <w:szCs w:val="24"/>
          <w:highlight w:val="none"/>
          <w:vertAlign w:val="subscript"/>
        </w:rPr>
        <w:t>2</w:t>
      </w:r>
      <w:r>
        <w:rPr>
          <w:rFonts w:ascii="Times New Roman" w:hAnsi="Times New Roman"/>
          <w:color w:val="auto"/>
          <w:sz w:val="24"/>
          <w:szCs w:val="24"/>
          <w:highlight w:val="none"/>
        </w:rPr>
        <w:t>S）执行《恶臭污染物排放标准》（GB14554-93）中表1标准，臭气排放浓度执行《畜禽养殖业污染物排放标准》（GB18596-2001）表7集约化畜禽养殖业恶臭污染物排放标准施工期噪声执行《建筑施工场界环境噪声排放标准》（GB12523-2011）</w:t>
      </w:r>
      <w:r>
        <w:rPr>
          <w:rFonts w:hint="eastAsia" w:ascii="Times New Roman" w:hAnsi="Times New Roman"/>
          <w:color w:val="auto"/>
          <w:sz w:val="24"/>
          <w:szCs w:val="24"/>
          <w:highlight w:val="none"/>
          <w:lang w:eastAsia="zh-CN"/>
        </w:rPr>
        <w:t>。</w:t>
      </w:r>
      <w:r>
        <w:rPr>
          <w:rFonts w:hint="eastAsia" w:cs="Times New Roman"/>
          <w:color w:val="auto"/>
          <w:sz w:val="24"/>
          <w:szCs w:val="24"/>
          <w:highlight w:val="none"/>
          <w:lang w:eastAsia="zh-CN"/>
        </w:rPr>
        <w:t>沼气锅炉燃烧废气执行</w:t>
      </w:r>
      <w:r>
        <w:rPr>
          <w:rFonts w:hint="eastAsia" w:ascii="Times New Roman" w:hAnsi="Times New Roman" w:cs="Times New Roman"/>
          <w:color w:val="auto"/>
          <w:sz w:val="24"/>
          <w:szCs w:val="24"/>
          <w:highlight w:val="none"/>
        </w:rPr>
        <w:t>河南省2019年度锅炉综合整治方案中规定的排放限值</w:t>
      </w:r>
      <w:r>
        <w:rPr>
          <w:rFonts w:hint="eastAsia" w:cs="Times New Roman"/>
          <w:color w:val="auto"/>
          <w:sz w:val="24"/>
          <w:szCs w:val="24"/>
          <w:highlight w:val="none"/>
          <w:lang w:eastAsia="zh-CN"/>
        </w:rPr>
        <w:t>；火炬燃烧废气执行《大气污染物综合排放标准》（GB1627-1996）表2二级标准；</w:t>
      </w:r>
      <w:r>
        <w:rPr>
          <w:rFonts w:hint="eastAsia" w:ascii="Times New Roman" w:hAnsi="Times New Roman" w:cs="Times New Roman"/>
          <w:color w:val="auto"/>
          <w:sz w:val="24"/>
          <w:szCs w:val="24"/>
          <w:highlight w:val="none"/>
        </w:rPr>
        <w:t>食堂油烟执行河南省《餐饮业油烟污染物放标准》(DB41/1604-2018)。</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textAlignment w:val="auto"/>
        <w:rPr>
          <w:rFonts w:ascii="Times New Roman" w:hAnsi="Times New Roman"/>
          <w:color w:val="auto"/>
          <w:sz w:val="24"/>
          <w:szCs w:val="24"/>
          <w:highlight w:val="none"/>
        </w:rPr>
      </w:pPr>
      <w:r>
        <w:rPr>
          <w:rFonts w:hint="eastAsia" w:ascii="Times New Roman" w:hAnsi="Times New Roman"/>
          <w:color w:val="auto"/>
          <w:sz w:val="24"/>
          <w:szCs w:val="24"/>
          <w:highlight w:val="none"/>
        </w:rPr>
        <w:t>本项目施工期噪声执行《建筑施工场界环境噪声排放标准》（GB12523-2011），</w:t>
      </w:r>
      <w:r>
        <w:rPr>
          <w:rFonts w:ascii="Times New Roman" w:hAnsi="Times New Roman"/>
          <w:color w:val="auto"/>
          <w:sz w:val="24"/>
          <w:szCs w:val="24"/>
          <w:highlight w:val="none"/>
        </w:rPr>
        <w:t>运营期场界噪声采用《工业企业厂界环境噪声排放标准》（GB12348-2008）中2类标准。</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textAlignment w:val="auto"/>
        <w:rPr>
          <w:rFonts w:ascii="Times New Roman" w:hAnsi="Times New Roman"/>
          <w:b/>
          <w:bCs/>
          <w:color w:val="auto"/>
          <w:sz w:val="21"/>
          <w:szCs w:val="21"/>
          <w:highlight w:val="none"/>
        </w:rPr>
      </w:pPr>
      <w:r>
        <w:rPr>
          <w:rFonts w:ascii="Times New Roman" w:hAnsi="Times New Roman"/>
          <w:color w:val="auto"/>
          <w:sz w:val="24"/>
          <w:szCs w:val="24"/>
          <w:highlight w:val="none"/>
        </w:rPr>
        <w:t>粪便排放执行《畜禽养殖业污染物排放标准》（GB18596-2001）表6畜禽养殖业废渣无害化环境标准，危险废物执行《危险废物贮存污染物控制标准》（GB18597-2001）（2013年修订）</w:t>
      </w:r>
      <w:r>
        <w:rPr>
          <w:rFonts w:hint="eastAsia" w:ascii="Times New Roman" w:hAnsi="Times New Roman"/>
          <w:color w:val="auto"/>
          <w:sz w:val="24"/>
          <w:szCs w:val="24"/>
          <w:highlight w:val="none"/>
          <w:lang w:eastAsia="zh-CN"/>
        </w:rPr>
        <w:t>，</w:t>
      </w:r>
      <w:r>
        <w:rPr>
          <w:rFonts w:ascii="Times New Roman" w:hAnsi="Times New Roman"/>
          <w:color w:val="auto"/>
          <w:sz w:val="24"/>
          <w:szCs w:val="24"/>
          <w:highlight w:val="none"/>
        </w:rPr>
        <w:t>其他一般固废执行《一般工业固体废物贮存处置场污染控制标准》（GB18599-2001）（2013年修改版）。</w:t>
      </w:r>
    </w:p>
    <w:p>
      <w:pPr>
        <w:pStyle w:val="40"/>
        <w:rPr>
          <w:rFonts w:hint="eastAsia"/>
          <w:color w:val="auto"/>
          <w:highlight w:val="none"/>
          <w:lang w:eastAsia="zh-CN"/>
        </w:rPr>
      </w:pPr>
      <w:r>
        <w:rPr>
          <w:color w:val="auto"/>
          <w:highlight w:val="none"/>
        </w:rPr>
        <w:t>表1.</w:t>
      </w:r>
      <w:r>
        <w:rPr>
          <w:rFonts w:hint="eastAsia"/>
          <w:color w:val="auto"/>
          <w:highlight w:val="none"/>
        </w:rPr>
        <w:t>6</w:t>
      </w:r>
      <w:r>
        <w:rPr>
          <w:color w:val="auto"/>
          <w:highlight w:val="none"/>
        </w:rPr>
        <w:t>-</w:t>
      </w:r>
      <w:r>
        <w:rPr>
          <w:rFonts w:hint="eastAsia"/>
          <w:color w:val="auto"/>
          <w:highlight w:val="none"/>
          <w:lang w:val="en-US" w:eastAsia="zh-CN"/>
        </w:rPr>
        <w:t>6</w:t>
      </w:r>
      <w:r>
        <w:rPr>
          <w:rFonts w:hint="eastAsia"/>
          <w:color w:val="auto"/>
          <w:highlight w:val="none"/>
          <w:lang w:eastAsia="zh-CN"/>
        </w:rPr>
        <w:t>污染物</w:t>
      </w:r>
      <w:r>
        <w:rPr>
          <w:color w:val="auto"/>
          <w:highlight w:val="none"/>
        </w:rPr>
        <w:t>排放标准</w:t>
      </w:r>
      <w:r>
        <w:rPr>
          <w:rFonts w:hint="eastAsia"/>
          <w:color w:val="auto"/>
          <w:highlight w:val="none"/>
          <w:lang w:eastAsia="zh-CN"/>
        </w:rPr>
        <w:t>一览表</w:t>
      </w: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2719"/>
        <w:gridCol w:w="1281"/>
        <w:gridCol w:w="1769"/>
        <w:gridCol w:w="731"/>
        <w:gridCol w:w="13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9" w:hRule="atLeast"/>
          <w:tblHeader/>
        </w:trPr>
        <w:tc>
          <w:tcPr>
            <w:tcW w:w="690" w:type="dxa"/>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w:t>
            </w:r>
          </w:p>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类型</w:t>
            </w:r>
          </w:p>
        </w:tc>
        <w:tc>
          <w:tcPr>
            <w:tcW w:w="2719" w:type="dxa"/>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标准名称</w:t>
            </w:r>
          </w:p>
        </w:tc>
        <w:tc>
          <w:tcPr>
            <w:tcW w:w="1281" w:type="dxa"/>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污染因子</w:t>
            </w:r>
          </w:p>
        </w:tc>
        <w:tc>
          <w:tcPr>
            <w:tcW w:w="3826" w:type="dxa"/>
            <w:gridSpan w:val="3"/>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690" w:type="dxa"/>
            <w:vMerge w:val="restar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2719" w:type="dxa"/>
            <w:vMerge w:val="restar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《恶臭污染物排放标准》（GB14554-93）表1</w:t>
            </w:r>
          </w:p>
        </w:tc>
        <w:tc>
          <w:tcPr>
            <w:tcW w:w="1281" w:type="dxa"/>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p>
        </w:tc>
        <w:tc>
          <w:tcPr>
            <w:tcW w:w="2500" w:type="dxa"/>
            <w:gridSpan w:val="2"/>
            <w:vMerge w:val="restar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厂界标准值</w:t>
            </w:r>
          </w:p>
        </w:tc>
        <w:tc>
          <w:tcPr>
            <w:tcW w:w="0" w:type="auto"/>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 mg/m</w:t>
            </w:r>
            <w:r>
              <w:rPr>
                <w:rFonts w:hint="default" w:ascii="Times New Roman" w:hAnsi="Times New Roman" w:cs="Times New Roman"/>
                <w:color w:val="auto"/>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2719" w:type="dxa"/>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1281" w:type="dxa"/>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vertAlign w:val="baseline"/>
              </w:rPr>
              <w:t>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w:t>
            </w:r>
          </w:p>
        </w:tc>
        <w:tc>
          <w:tcPr>
            <w:tcW w:w="2500" w:type="dxa"/>
            <w:gridSpan w:val="2"/>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0" w:type="auto"/>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0.06 mg/m</w:t>
            </w:r>
            <w:r>
              <w:rPr>
                <w:rFonts w:hint="default" w:ascii="Times New Roman" w:hAnsi="Times New Roman" w:cs="Times New Roman"/>
                <w:color w:val="auto"/>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2719" w:type="dxa"/>
            <w:vMerge w:val="restar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河南省2019年度锅炉综合整治方案</w:t>
            </w:r>
          </w:p>
        </w:tc>
        <w:tc>
          <w:tcPr>
            <w:tcW w:w="1281" w:type="dxa"/>
            <w:noWrap w:val="0"/>
            <w:vAlign w:val="center"/>
          </w:tcPr>
          <w:p>
            <w:pPr>
              <w:spacing w:line="240" w:lineRule="auto"/>
              <w:ind w:firstLine="0" w:firstLineChars="0"/>
              <w:jc w:val="center"/>
              <w:rPr>
                <w:rFonts w:hint="default" w:ascii="Times New Roman" w:hAnsi="Times New Roman" w:cs="Times New Roman"/>
                <w:b/>
                <w:bCs/>
                <w:color w:val="auto"/>
                <w:sz w:val="21"/>
                <w:szCs w:val="21"/>
                <w:highlight w:val="none"/>
                <w:vertAlign w:val="baseline"/>
              </w:rPr>
            </w:pPr>
            <w:r>
              <w:rPr>
                <w:rFonts w:hint="default" w:ascii="Times New Roman" w:hAnsi="Times New Roman" w:cs="Times New Roman"/>
                <w:color w:val="auto"/>
                <w:sz w:val="21"/>
                <w:szCs w:val="21"/>
                <w:highlight w:val="none"/>
                <w:vertAlign w:val="baseline"/>
              </w:rPr>
              <w:t>颗粒物</w:t>
            </w:r>
          </w:p>
        </w:tc>
        <w:tc>
          <w:tcPr>
            <w:tcW w:w="3826" w:type="dxa"/>
            <w:gridSpan w:val="3"/>
            <w:noWrap w:val="0"/>
            <w:vAlign w:val="center"/>
          </w:tcPr>
          <w:p>
            <w:pPr>
              <w:spacing w:line="240" w:lineRule="auto"/>
              <w:ind w:firstLine="0" w:firstLineChars="0"/>
              <w:jc w:val="center"/>
              <w:rPr>
                <w:rFonts w:hint="default" w:ascii="Times New Roman" w:hAnsi="Times New Roman" w:cs="Times New Roman"/>
                <w:color w:val="auto"/>
                <w:sz w:val="21"/>
                <w:szCs w:val="21"/>
                <w:highlight w:val="none"/>
                <w:vertAlign w:val="baseline"/>
              </w:rPr>
            </w:pPr>
            <w:r>
              <w:rPr>
                <w:rFonts w:hint="eastAsia" w:cs="Times New Roman"/>
                <w:color w:val="auto"/>
                <w:sz w:val="21"/>
                <w:szCs w:val="21"/>
                <w:highlight w:val="none"/>
                <w:vertAlign w:val="baseline"/>
                <w:lang w:val="en-US" w:eastAsia="zh-CN"/>
              </w:rPr>
              <w:t>5</w:t>
            </w:r>
            <w:r>
              <w:rPr>
                <w:rFonts w:hint="default" w:ascii="Times New Roman" w:hAnsi="Times New Roman" w:cs="Times New Roman"/>
                <w:color w:val="auto"/>
                <w:sz w:val="21"/>
                <w:szCs w:val="21"/>
                <w:highlight w:val="none"/>
                <w:vertAlign w:val="baseline"/>
              </w:rPr>
              <w:t>mg/Nm</w:t>
            </w:r>
            <w:r>
              <w:rPr>
                <w:rFonts w:hint="default" w:ascii="Times New Roman" w:hAnsi="Times New Roman" w:cs="Times New Roman"/>
                <w:color w:val="auto"/>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2719" w:type="dxa"/>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1281" w:type="dxa"/>
            <w:noWrap w:val="0"/>
            <w:vAlign w:val="center"/>
          </w:tcPr>
          <w:p>
            <w:pPr>
              <w:spacing w:line="240" w:lineRule="auto"/>
              <w:ind w:firstLine="0" w:firstLineChars="0"/>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p>
        </w:tc>
        <w:tc>
          <w:tcPr>
            <w:tcW w:w="3826" w:type="dxa"/>
            <w:gridSpan w:val="3"/>
            <w:noWrap w:val="0"/>
            <w:vAlign w:val="center"/>
          </w:tcPr>
          <w:p>
            <w:pPr>
              <w:snapToGrid w:val="0"/>
              <w:spacing w:line="360" w:lineRule="exact"/>
              <w:ind w:left="0" w:leftChars="0" w:firstLine="0" w:firstLineChars="0"/>
              <w:jc w:val="center"/>
              <w:rPr>
                <w:rFonts w:hint="eastAsia" w:ascii="Times New Roman" w:hAnsi="Times New Roman" w:cs="Times New Roman"/>
                <w:color w:val="auto"/>
                <w:sz w:val="21"/>
                <w:szCs w:val="21"/>
                <w:highlight w:val="none"/>
                <w:vertAlign w:val="baseline"/>
                <w:lang w:val="en-US" w:eastAsia="zh-CN"/>
              </w:rPr>
            </w:pPr>
            <w:r>
              <w:rPr>
                <w:rFonts w:hint="eastAsia"/>
                <w:color w:val="auto"/>
                <w:spacing w:val="-4"/>
                <w:sz w:val="21"/>
                <w:szCs w:val="21"/>
                <w:highlight w:val="none"/>
                <w:lang w:val="en-US" w:eastAsia="zh-CN"/>
              </w:rPr>
              <w:t>1</w:t>
            </w:r>
            <w:r>
              <w:rPr>
                <w:rFonts w:hint="eastAsia" w:ascii="Times New Roman" w:hAnsi="Times New Roman"/>
                <w:color w:val="auto"/>
                <w:spacing w:val="-4"/>
                <w:sz w:val="21"/>
                <w:szCs w:val="21"/>
                <w:highlight w:val="none"/>
                <w:lang w:val="en-US" w:eastAsia="zh-CN"/>
              </w:rPr>
              <w:t>0</w:t>
            </w:r>
            <w:r>
              <w:rPr>
                <w:rFonts w:ascii="Times New Roman" w:hAnsi="Times New Roman"/>
                <w:color w:val="auto"/>
                <w:sz w:val="21"/>
                <w:szCs w:val="21"/>
                <w:highlight w:val="none"/>
              </w:rPr>
              <w:t>mg/Nm</w:t>
            </w:r>
            <w:r>
              <w:rPr>
                <w:rFonts w:ascii="Times New Roman" w:hAnsi="Times New Roman"/>
                <w:color w:val="auto"/>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2719" w:type="dxa"/>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1281" w:type="dxa"/>
            <w:noWrap w:val="0"/>
            <w:vAlign w:val="center"/>
          </w:tcPr>
          <w:p>
            <w:pPr>
              <w:spacing w:line="240" w:lineRule="auto"/>
              <w:ind w:firstLine="0" w:firstLineChars="0"/>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X</w:t>
            </w:r>
          </w:p>
        </w:tc>
        <w:tc>
          <w:tcPr>
            <w:tcW w:w="3826" w:type="dxa"/>
            <w:gridSpan w:val="3"/>
            <w:noWrap w:val="0"/>
            <w:vAlign w:val="center"/>
          </w:tcPr>
          <w:p>
            <w:pPr>
              <w:snapToGrid w:val="0"/>
              <w:spacing w:line="360" w:lineRule="exact"/>
              <w:ind w:left="0" w:leftChars="0" w:firstLine="0" w:firstLineChars="0"/>
              <w:jc w:val="center"/>
              <w:rPr>
                <w:rFonts w:hint="default" w:ascii="Times New Roman" w:hAnsi="Times New Roman" w:cs="Times New Roman"/>
                <w:color w:val="auto"/>
                <w:sz w:val="21"/>
                <w:szCs w:val="21"/>
                <w:highlight w:val="none"/>
                <w:vertAlign w:val="baseline"/>
                <w:lang w:val="en-US" w:eastAsia="zh-CN"/>
              </w:rPr>
            </w:pPr>
            <w:r>
              <w:rPr>
                <w:rFonts w:hint="eastAsia"/>
                <w:color w:val="auto"/>
                <w:spacing w:val="-4"/>
                <w:sz w:val="21"/>
                <w:szCs w:val="21"/>
                <w:highlight w:val="none"/>
                <w:lang w:val="en-US" w:eastAsia="zh-CN"/>
              </w:rPr>
              <w:t>3</w:t>
            </w:r>
            <w:r>
              <w:rPr>
                <w:rFonts w:hint="eastAsia" w:ascii="Times New Roman" w:hAnsi="Times New Roman"/>
                <w:color w:val="auto"/>
                <w:spacing w:val="-4"/>
                <w:sz w:val="21"/>
                <w:szCs w:val="21"/>
                <w:highlight w:val="none"/>
                <w:lang w:val="en-US" w:eastAsia="zh-CN"/>
              </w:rPr>
              <w:t>0</w:t>
            </w:r>
            <w:r>
              <w:rPr>
                <w:rFonts w:ascii="Times New Roman" w:hAnsi="Times New Roman"/>
                <w:color w:val="auto"/>
                <w:sz w:val="21"/>
                <w:szCs w:val="21"/>
                <w:highlight w:val="none"/>
              </w:rPr>
              <w:t>mg/Nm</w:t>
            </w:r>
            <w:r>
              <w:rPr>
                <w:rFonts w:ascii="Times New Roman" w:hAnsi="Times New Roman"/>
                <w:color w:val="auto"/>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2719" w:type="dxa"/>
            <w:vMerge w:val="restar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《大气污染物综合排放标准》（GB16297-1996）表2二级</w:t>
            </w:r>
          </w:p>
        </w:tc>
        <w:tc>
          <w:tcPr>
            <w:tcW w:w="1281" w:type="dxa"/>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vertAlign w:val="baseline"/>
              </w:rPr>
              <w:t>颗粒物</w:t>
            </w:r>
          </w:p>
        </w:tc>
        <w:tc>
          <w:tcPr>
            <w:tcW w:w="3826" w:type="dxa"/>
            <w:gridSpan w:val="3"/>
            <w:noWrap w:val="0"/>
            <w:vAlign w:val="center"/>
          </w:tcPr>
          <w:p>
            <w:pPr>
              <w:snapToGrid w:val="0"/>
              <w:spacing w:line="360" w:lineRule="exact"/>
              <w:jc w:val="center"/>
              <w:rPr>
                <w:rFonts w:hint="eastAsia" w:ascii="Times New Roman" w:hAnsi="Times New Roman"/>
                <w:color w:val="auto"/>
                <w:sz w:val="21"/>
                <w:szCs w:val="21"/>
                <w:highlight w:val="none"/>
              </w:rPr>
            </w:pPr>
            <w:r>
              <w:rPr>
                <w:rFonts w:hint="eastAsia" w:ascii="Times New Roman" w:hAnsi="Times New Roman"/>
                <w:color w:val="auto"/>
                <w:spacing w:val="-4"/>
                <w:sz w:val="21"/>
                <w:szCs w:val="21"/>
                <w:highlight w:val="none"/>
              </w:rPr>
              <w:t>有组织：120</w:t>
            </w:r>
            <w:r>
              <w:rPr>
                <w:rFonts w:ascii="Times New Roman" w:hAnsi="Times New Roman"/>
                <w:color w:val="auto"/>
                <w:sz w:val="21"/>
                <w:szCs w:val="21"/>
                <w:highlight w:val="none"/>
              </w:rPr>
              <w:t>mg/Nm</w:t>
            </w:r>
            <w:r>
              <w:rPr>
                <w:rFonts w:ascii="Times New Roman" w:hAnsi="Times New Roman"/>
                <w:color w:val="auto"/>
                <w:sz w:val="21"/>
                <w:szCs w:val="21"/>
                <w:highlight w:val="none"/>
                <w:vertAlign w:val="superscript"/>
              </w:rPr>
              <w:t>3</w:t>
            </w:r>
            <w:r>
              <w:rPr>
                <w:rFonts w:hint="eastAsia" w:ascii="Times New Roman" w:hAnsi="Times New Roman"/>
                <w:color w:val="auto"/>
                <w:sz w:val="21"/>
                <w:szCs w:val="21"/>
                <w:highlight w:val="none"/>
              </w:rPr>
              <w:t>、3.5kg/h(15m)</w:t>
            </w:r>
          </w:p>
          <w:p>
            <w:pPr>
              <w:snapToGrid w:val="0"/>
              <w:spacing w:line="360" w:lineRule="exact"/>
              <w:ind w:firstLine="420" w:firstLineChars="200"/>
              <w:jc w:val="center"/>
              <w:rPr>
                <w:rFonts w:hint="eastAsia"/>
                <w:color w:val="auto"/>
                <w:spacing w:val="-4"/>
                <w:sz w:val="21"/>
                <w:szCs w:val="21"/>
                <w:highlight w:val="none"/>
                <w:lang w:val="en-US" w:eastAsia="zh-CN"/>
              </w:rPr>
            </w:pPr>
            <w:r>
              <w:rPr>
                <w:rFonts w:hint="eastAsia" w:ascii="Times New Roman" w:hAnsi="Times New Roman"/>
                <w:color w:val="auto"/>
                <w:sz w:val="21"/>
                <w:szCs w:val="21"/>
                <w:highlight w:val="none"/>
              </w:rPr>
              <w:t>无组织：</w:t>
            </w:r>
            <w:r>
              <w:rPr>
                <w:bCs/>
                <w:color w:val="auto"/>
                <w:sz w:val="21"/>
                <w:szCs w:val="21"/>
                <w:highlight w:val="none"/>
              </w:rPr>
              <w:t>周界外浓度监控点：1.0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2719" w:type="dxa"/>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1281" w:type="dxa"/>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p>
        </w:tc>
        <w:tc>
          <w:tcPr>
            <w:tcW w:w="3826" w:type="dxa"/>
            <w:gridSpan w:val="3"/>
            <w:noWrap w:val="0"/>
            <w:vAlign w:val="center"/>
          </w:tcPr>
          <w:p>
            <w:pPr>
              <w:snapToGrid w:val="0"/>
              <w:spacing w:line="360" w:lineRule="exact"/>
              <w:jc w:val="center"/>
              <w:rPr>
                <w:rFonts w:hint="eastAsia" w:ascii="Times New Roman" w:hAnsi="Times New Roman"/>
                <w:color w:val="auto"/>
                <w:sz w:val="21"/>
                <w:szCs w:val="21"/>
                <w:highlight w:val="none"/>
              </w:rPr>
            </w:pPr>
            <w:r>
              <w:rPr>
                <w:rFonts w:hint="eastAsia" w:ascii="Times New Roman" w:hAnsi="Times New Roman"/>
                <w:color w:val="auto"/>
                <w:spacing w:val="-4"/>
                <w:sz w:val="21"/>
                <w:szCs w:val="21"/>
                <w:highlight w:val="none"/>
              </w:rPr>
              <w:t>有组织：550</w:t>
            </w:r>
            <w:r>
              <w:rPr>
                <w:rFonts w:ascii="Times New Roman" w:hAnsi="Times New Roman"/>
                <w:color w:val="auto"/>
                <w:sz w:val="21"/>
                <w:szCs w:val="21"/>
                <w:highlight w:val="none"/>
              </w:rPr>
              <w:t>mg/Nm</w:t>
            </w:r>
            <w:r>
              <w:rPr>
                <w:rFonts w:ascii="Times New Roman" w:hAnsi="Times New Roman"/>
                <w:color w:val="auto"/>
                <w:sz w:val="21"/>
                <w:szCs w:val="21"/>
                <w:highlight w:val="none"/>
                <w:vertAlign w:val="superscript"/>
              </w:rPr>
              <w:t>3</w:t>
            </w:r>
            <w:r>
              <w:rPr>
                <w:rFonts w:hint="eastAsia" w:ascii="Times New Roman" w:hAnsi="Times New Roman"/>
                <w:color w:val="auto"/>
                <w:sz w:val="21"/>
                <w:szCs w:val="21"/>
                <w:highlight w:val="none"/>
              </w:rPr>
              <w:t>、2.6kg/h(15m)</w:t>
            </w:r>
          </w:p>
          <w:p>
            <w:pPr>
              <w:snapToGrid w:val="0"/>
              <w:spacing w:line="360" w:lineRule="exact"/>
              <w:ind w:firstLine="420" w:firstLineChars="200"/>
              <w:jc w:val="center"/>
              <w:rPr>
                <w:rFonts w:hint="eastAsia"/>
                <w:color w:val="auto"/>
                <w:spacing w:val="-4"/>
                <w:sz w:val="21"/>
                <w:szCs w:val="21"/>
                <w:highlight w:val="none"/>
                <w:lang w:val="en-US" w:eastAsia="zh-CN"/>
              </w:rPr>
            </w:pPr>
            <w:r>
              <w:rPr>
                <w:rFonts w:hint="eastAsia" w:ascii="Times New Roman" w:hAnsi="Times New Roman"/>
                <w:color w:val="auto"/>
                <w:sz w:val="21"/>
                <w:szCs w:val="21"/>
                <w:highlight w:val="none"/>
              </w:rPr>
              <w:t>无组织：</w:t>
            </w:r>
            <w:r>
              <w:rPr>
                <w:bCs/>
                <w:color w:val="auto"/>
                <w:sz w:val="21"/>
                <w:szCs w:val="21"/>
                <w:highlight w:val="none"/>
              </w:rPr>
              <w:t>周界外浓度监控点：</w:t>
            </w:r>
            <w:r>
              <w:rPr>
                <w:rFonts w:hint="eastAsia"/>
                <w:bCs/>
                <w:color w:val="auto"/>
                <w:sz w:val="21"/>
                <w:szCs w:val="21"/>
                <w:highlight w:val="none"/>
              </w:rPr>
              <w:t>0.</w:t>
            </w:r>
            <w:r>
              <w:rPr>
                <w:rFonts w:hint="eastAsia"/>
                <w:bCs/>
                <w:color w:val="auto"/>
                <w:sz w:val="21"/>
                <w:szCs w:val="21"/>
                <w:highlight w:val="none"/>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2719" w:type="dxa"/>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1281" w:type="dxa"/>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X</w:t>
            </w:r>
          </w:p>
        </w:tc>
        <w:tc>
          <w:tcPr>
            <w:tcW w:w="3826" w:type="dxa"/>
            <w:gridSpan w:val="3"/>
            <w:noWrap w:val="0"/>
            <w:vAlign w:val="center"/>
          </w:tcPr>
          <w:p>
            <w:pPr>
              <w:snapToGrid w:val="0"/>
              <w:spacing w:line="360" w:lineRule="exact"/>
              <w:jc w:val="center"/>
              <w:rPr>
                <w:rFonts w:hint="eastAsia" w:ascii="Times New Roman" w:hAnsi="Times New Roman"/>
                <w:color w:val="auto"/>
                <w:sz w:val="21"/>
                <w:szCs w:val="21"/>
                <w:highlight w:val="none"/>
              </w:rPr>
            </w:pPr>
            <w:r>
              <w:rPr>
                <w:rFonts w:hint="eastAsia" w:ascii="Times New Roman" w:hAnsi="Times New Roman"/>
                <w:color w:val="auto"/>
                <w:spacing w:val="-4"/>
                <w:sz w:val="21"/>
                <w:szCs w:val="21"/>
                <w:highlight w:val="none"/>
              </w:rPr>
              <w:t>有组织：240</w:t>
            </w:r>
            <w:r>
              <w:rPr>
                <w:rFonts w:ascii="Times New Roman" w:hAnsi="Times New Roman"/>
                <w:color w:val="auto"/>
                <w:sz w:val="21"/>
                <w:szCs w:val="21"/>
                <w:highlight w:val="none"/>
              </w:rPr>
              <w:t>mg/Nm</w:t>
            </w:r>
            <w:r>
              <w:rPr>
                <w:rFonts w:ascii="Times New Roman" w:hAnsi="Times New Roman"/>
                <w:color w:val="auto"/>
                <w:sz w:val="21"/>
                <w:szCs w:val="21"/>
                <w:highlight w:val="none"/>
                <w:vertAlign w:val="superscript"/>
              </w:rPr>
              <w:t>3</w:t>
            </w:r>
            <w:r>
              <w:rPr>
                <w:rFonts w:hint="eastAsia" w:ascii="Times New Roman" w:hAnsi="Times New Roman"/>
                <w:color w:val="auto"/>
                <w:sz w:val="21"/>
                <w:szCs w:val="21"/>
                <w:highlight w:val="none"/>
              </w:rPr>
              <w:t>、0.77kg/h(15m)</w:t>
            </w:r>
          </w:p>
          <w:p>
            <w:pPr>
              <w:snapToGrid w:val="0"/>
              <w:spacing w:line="360" w:lineRule="exact"/>
              <w:ind w:firstLine="420" w:firstLineChars="200"/>
              <w:jc w:val="center"/>
              <w:rPr>
                <w:rFonts w:hint="eastAsia"/>
                <w:color w:val="auto"/>
                <w:spacing w:val="-4"/>
                <w:sz w:val="21"/>
                <w:szCs w:val="21"/>
                <w:highlight w:val="none"/>
                <w:lang w:val="en-US" w:eastAsia="zh-CN"/>
              </w:rPr>
            </w:pPr>
            <w:r>
              <w:rPr>
                <w:rFonts w:hint="eastAsia" w:ascii="Times New Roman" w:hAnsi="Times New Roman"/>
                <w:color w:val="auto"/>
                <w:sz w:val="21"/>
                <w:szCs w:val="21"/>
                <w:highlight w:val="none"/>
              </w:rPr>
              <w:t>无组织：</w:t>
            </w:r>
            <w:r>
              <w:rPr>
                <w:bCs/>
                <w:color w:val="auto"/>
                <w:sz w:val="21"/>
                <w:szCs w:val="21"/>
                <w:highlight w:val="none"/>
              </w:rPr>
              <w:t>周界外浓度监控点：</w:t>
            </w:r>
            <w:r>
              <w:rPr>
                <w:rFonts w:hint="eastAsia"/>
                <w:bCs/>
                <w:color w:val="auto"/>
                <w:sz w:val="21"/>
                <w:szCs w:val="21"/>
                <w:highlight w:val="none"/>
              </w:rPr>
              <w:t>0.</w:t>
            </w:r>
            <w:r>
              <w:rPr>
                <w:rFonts w:hint="eastAsia"/>
                <w:bCs/>
                <w:color w:val="auto"/>
                <w:sz w:val="21"/>
                <w:szCs w:val="21"/>
                <w:highlight w:val="none"/>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2719" w:type="dxa"/>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《畜禽养殖业污染物排放标准》（GB18596-2001）</w:t>
            </w:r>
          </w:p>
        </w:tc>
        <w:tc>
          <w:tcPr>
            <w:tcW w:w="1281" w:type="dxa"/>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臭气浓度</w:t>
            </w:r>
          </w:p>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（无量纲）</w:t>
            </w:r>
          </w:p>
        </w:tc>
        <w:tc>
          <w:tcPr>
            <w:tcW w:w="3826" w:type="dxa"/>
            <w:gridSpan w:val="3"/>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2719" w:type="dxa"/>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河南省《餐饮业油烟污染物放标准》(DB41/1604-2018)</w:t>
            </w:r>
          </w:p>
        </w:tc>
        <w:tc>
          <w:tcPr>
            <w:tcW w:w="1281" w:type="dxa"/>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食堂油烟</w:t>
            </w:r>
          </w:p>
        </w:tc>
        <w:tc>
          <w:tcPr>
            <w:tcW w:w="3826" w:type="dxa"/>
            <w:gridSpan w:val="3"/>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 mg/m</w:t>
            </w:r>
            <w:r>
              <w:rPr>
                <w:rFonts w:hint="default" w:ascii="Times New Roman" w:hAnsi="Times New Roman" w:cs="Times New Roman"/>
                <w:color w:val="auto"/>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90" w:type="dxa"/>
            <w:vMerge w:val="restar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2719" w:type="dxa"/>
            <w:vMerge w:val="restar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《建筑施工场界环境噪声排放标准》（GB12523-2011）</w:t>
            </w:r>
          </w:p>
        </w:tc>
        <w:tc>
          <w:tcPr>
            <w:tcW w:w="1281" w:type="dxa"/>
            <w:vMerge w:val="restar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噪声dB（A）</w:t>
            </w:r>
          </w:p>
        </w:tc>
        <w:tc>
          <w:tcPr>
            <w:tcW w:w="1769" w:type="dxa"/>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2057" w:type="dxa"/>
            <w:gridSpan w:val="2"/>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2719" w:type="dxa"/>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1281" w:type="dxa"/>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1769" w:type="dxa"/>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2057" w:type="dxa"/>
            <w:gridSpan w:val="2"/>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2719" w:type="dxa"/>
            <w:vMerge w:val="restar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《工业企业厂界环境噪声排放标准》（GB12348-2008）</w:t>
            </w:r>
          </w:p>
        </w:tc>
        <w:tc>
          <w:tcPr>
            <w:tcW w:w="1281" w:type="dxa"/>
            <w:vMerge w:val="restar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噪声dB（A）</w:t>
            </w:r>
          </w:p>
        </w:tc>
        <w:tc>
          <w:tcPr>
            <w:tcW w:w="1769" w:type="dxa"/>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功能类别</w:t>
            </w:r>
          </w:p>
        </w:tc>
        <w:tc>
          <w:tcPr>
            <w:tcW w:w="731" w:type="dxa"/>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0" w:type="auto"/>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2719" w:type="dxa"/>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1281" w:type="dxa"/>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1769" w:type="dxa"/>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2类</w:t>
            </w:r>
          </w:p>
        </w:tc>
        <w:tc>
          <w:tcPr>
            <w:tcW w:w="731" w:type="dxa"/>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0" w:type="auto"/>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90" w:type="dxa"/>
            <w:vMerge w:val="restar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2719" w:type="dxa"/>
            <w:vMerge w:val="restar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《畜禽养殖业污染物排放标准》（GB18596-2001）</w:t>
            </w:r>
          </w:p>
        </w:tc>
        <w:tc>
          <w:tcPr>
            <w:tcW w:w="1281" w:type="dxa"/>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蛔虫卵</w:t>
            </w:r>
          </w:p>
        </w:tc>
        <w:tc>
          <w:tcPr>
            <w:tcW w:w="3826" w:type="dxa"/>
            <w:gridSpan w:val="3"/>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死亡率≥95%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2719" w:type="dxa"/>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1281" w:type="dxa"/>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粪大肠菌群数</w:t>
            </w:r>
          </w:p>
        </w:tc>
        <w:tc>
          <w:tcPr>
            <w:tcW w:w="3826" w:type="dxa"/>
            <w:gridSpan w:val="3"/>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5</w:t>
            </w:r>
            <w:r>
              <w:rPr>
                <w:rFonts w:hint="default" w:ascii="Times New Roman" w:hAnsi="Times New Roman" w:cs="Times New Roman"/>
                <w:color w:val="auto"/>
                <w:sz w:val="21"/>
                <w:szCs w:val="21"/>
                <w:highlight w:val="none"/>
              </w:rPr>
              <w:t>个/kg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2719" w:type="dxa"/>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《危险废物贮存污染物控制标准》（GB18597-2001）（2013年修订）</w:t>
            </w:r>
          </w:p>
        </w:tc>
        <w:tc>
          <w:tcPr>
            <w:tcW w:w="1281" w:type="dxa"/>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826" w:type="dxa"/>
            <w:gridSpan w:val="3"/>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90" w:type="dxa"/>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2719" w:type="dxa"/>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《一般工业固体废物贮存处置场污染控制标准》（GB18599-2001）（2013年修改版）</w:t>
            </w:r>
          </w:p>
        </w:tc>
        <w:tc>
          <w:tcPr>
            <w:tcW w:w="1281" w:type="dxa"/>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826" w:type="dxa"/>
            <w:gridSpan w:val="3"/>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bl>
    <w:p>
      <w:pPr>
        <w:pStyle w:val="4"/>
        <w:spacing w:beforeLines="0"/>
        <w:rPr>
          <w:rFonts w:cs="Times New Roman"/>
          <w:color w:val="auto"/>
          <w:highlight w:val="none"/>
        </w:rPr>
      </w:pPr>
      <w:bookmarkStart w:id="8" w:name="_Toc4361"/>
      <w:r>
        <w:rPr>
          <w:rFonts w:cs="Times New Roman"/>
          <w:color w:val="auto"/>
          <w:highlight w:val="none"/>
        </w:rPr>
        <w:t>1.</w:t>
      </w:r>
      <w:r>
        <w:rPr>
          <w:rFonts w:hint="eastAsia" w:cs="Times New Roman"/>
          <w:color w:val="auto"/>
          <w:highlight w:val="none"/>
        </w:rPr>
        <w:t>7</w:t>
      </w:r>
      <w:r>
        <w:rPr>
          <w:rFonts w:cs="Times New Roman"/>
          <w:color w:val="auto"/>
          <w:highlight w:val="none"/>
        </w:rPr>
        <w:t>评价等级与范围</w:t>
      </w:r>
      <w:bookmarkEnd w:id="8"/>
    </w:p>
    <w:p>
      <w:pPr>
        <w:pStyle w:val="5"/>
        <w:spacing w:before="66"/>
        <w:ind w:firstLine="482"/>
        <w:rPr>
          <w:color w:val="auto"/>
          <w:highlight w:val="none"/>
        </w:rPr>
      </w:pPr>
      <w:r>
        <w:rPr>
          <w:color w:val="auto"/>
          <w:highlight w:val="none"/>
        </w:rPr>
        <w:t>1.</w:t>
      </w:r>
      <w:r>
        <w:rPr>
          <w:rFonts w:hint="eastAsia"/>
          <w:color w:val="auto"/>
          <w:highlight w:val="none"/>
        </w:rPr>
        <w:t>7.</w:t>
      </w:r>
      <w:r>
        <w:rPr>
          <w:color w:val="auto"/>
          <w:highlight w:val="none"/>
        </w:rPr>
        <w:t>1环境空气</w:t>
      </w:r>
    </w:p>
    <w:p>
      <w:pPr>
        <w:ind w:firstLine="480"/>
        <w:rPr>
          <w:color w:val="auto"/>
          <w:highlight w:val="none"/>
        </w:rPr>
      </w:pPr>
      <w:r>
        <w:rPr>
          <w:rFonts w:hint="eastAsia"/>
          <w:color w:val="auto"/>
          <w:highlight w:val="none"/>
        </w:rPr>
        <w:t>（1）评价等级</w:t>
      </w:r>
    </w:p>
    <w:p>
      <w:pPr>
        <w:ind w:firstLine="480"/>
        <w:rPr>
          <w:color w:val="auto"/>
          <w:highlight w:val="none"/>
        </w:rPr>
      </w:pPr>
      <w:r>
        <w:rPr>
          <w:color w:val="auto"/>
          <w:highlight w:val="none"/>
        </w:rPr>
        <w:t>项目大气污染源主要为</w:t>
      </w:r>
      <w:r>
        <w:rPr>
          <w:rFonts w:hint="eastAsia" w:cs="Times New Roman"/>
          <w:color w:val="auto"/>
          <w:highlight w:val="none"/>
        </w:rPr>
        <w:t>养殖过程猪舍产生的恶臭气体、污水处理过程及固粪处理区产生的恶臭气体、</w:t>
      </w:r>
      <w:r>
        <w:rPr>
          <w:rFonts w:hint="eastAsia" w:cs="Times New Roman"/>
          <w:color w:val="auto"/>
          <w:highlight w:val="none"/>
          <w:lang w:eastAsia="zh-CN"/>
        </w:rPr>
        <w:t>无害化处理车间废气、</w:t>
      </w:r>
      <w:r>
        <w:rPr>
          <w:rFonts w:hint="eastAsia" w:cs="Times New Roman"/>
          <w:color w:val="auto"/>
          <w:highlight w:val="none"/>
        </w:rPr>
        <w:t>沼气燃烧废气</w:t>
      </w:r>
      <w:r>
        <w:rPr>
          <w:rFonts w:hint="eastAsia" w:cs="Times New Roman"/>
          <w:color w:val="auto"/>
          <w:highlight w:val="none"/>
          <w:lang w:eastAsia="zh-CN"/>
        </w:rPr>
        <w:t>、</w:t>
      </w:r>
      <w:r>
        <w:rPr>
          <w:rFonts w:hint="eastAsia" w:cs="Times New Roman"/>
          <w:color w:val="auto"/>
          <w:highlight w:val="none"/>
        </w:rPr>
        <w:t>食堂油烟</w:t>
      </w:r>
      <w:r>
        <w:rPr>
          <w:rFonts w:hint="eastAsia" w:cs="Times New Roman"/>
          <w:color w:val="auto"/>
          <w:highlight w:val="none"/>
          <w:lang w:eastAsia="zh-CN"/>
        </w:rPr>
        <w:t>等</w:t>
      </w:r>
      <w:r>
        <w:rPr>
          <w:rFonts w:hint="eastAsia"/>
          <w:color w:val="auto"/>
          <w:highlight w:val="none"/>
        </w:rPr>
        <w:t>，</w:t>
      </w:r>
      <w:r>
        <w:rPr>
          <w:rFonts w:hint="eastAsia" w:cs="Times New Roman"/>
          <w:color w:val="auto"/>
          <w:highlight w:val="none"/>
        </w:rPr>
        <w:t>根据</w:t>
      </w:r>
      <w:r>
        <w:rPr>
          <w:rFonts w:cs="Times New Roman"/>
          <w:color w:val="auto"/>
          <w:highlight w:val="none"/>
        </w:rPr>
        <w:t>《环境影响评价技术导则</w:t>
      </w:r>
      <w:r>
        <w:rPr>
          <w:rFonts w:hint="eastAsia" w:cs="Times New Roman"/>
          <w:color w:val="auto"/>
          <w:highlight w:val="none"/>
        </w:rPr>
        <w:t>——</w:t>
      </w:r>
      <w:r>
        <w:rPr>
          <w:rFonts w:cs="Times New Roman"/>
          <w:color w:val="auto"/>
          <w:highlight w:val="none"/>
        </w:rPr>
        <w:t>大气环境》（HJ2.2-20</w:t>
      </w:r>
      <w:r>
        <w:rPr>
          <w:rFonts w:hint="eastAsia" w:cs="Times New Roman"/>
          <w:color w:val="auto"/>
          <w:highlight w:val="none"/>
        </w:rPr>
        <w:t>1</w:t>
      </w:r>
      <w:r>
        <w:rPr>
          <w:rFonts w:cs="Times New Roman"/>
          <w:color w:val="auto"/>
          <w:highlight w:val="none"/>
        </w:rPr>
        <w:t>8）要求，</w:t>
      </w:r>
      <w:r>
        <w:rPr>
          <w:rFonts w:hint="eastAsia"/>
          <w:color w:val="auto"/>
          <w:highlight w:val="none"/>
        </w:rPr>
        <w:t>通过</w:t>
      </w:r>
      <w:r>
        <w:rPr>
          <w:color w:val="auto"/>
          <w:highlight w:val="none"/>
        </w:rPr>
        <w:t>计算污染物的最大地面</w:t>
      </w:r>
      <w:r>
        <w:rPr>
          <w:rFonts w:hint="eastAsia"/>
          <w:color w:val="auto"/>
          <w:highlight w:val="none"/>
        </w:rPr>
        <w:t>空气质量</w:t>
      </w:r>
      <w:r>
        <w:rPr>
          <w:color w:val="auto"/>
          <w:highlight w:val="none"/>
        </w:rPr>
        <w:t>浓度占标率</w:t>
      </w:r>
      <w:r>
        <w:rPr>
          <w:rFonts w:hint="eastAsia"/>
          <w:color w:val="auto"/>
          <w:highlight w:val="none"/>
        </w:rPr>
        <w:t>Pi（第i个污染物），及第i个污染物的地面空气质量浓度达标准限值</w:t>
      </w:r>
      <w:r>
        <w:rPr>
          <w:color w:val="auto"/>
          <w:highlight w:val="none"/>
        </w:rPr>
        <w:t>10%</w:t>
      </w:r>
      <w:r>
        <w:rPr>
          <w:rFonts w:hint="eastAsia"/>
          <w:color w:val="auto"/>
          <w:highlight w:val="none"/>
        </w:rPr>
        <w:t>时</w:t>
      </w:r>
      <w:r>
        <w:rPr>
          <w:color w:val="auto"/>
          <w:highlight w:val="none"/>
        </w:rPr>
        <w:t>对应的</w:t>
      </w:r>
      <w:r>
        <w:rPr>
          <w:rFonts w:hint="eastAsia"/>
          <w:color w:val="auto"/>
          <w:highlight w:val="none"/>
        </w:rPr>
        <w:t>最远</w:t>
      </w:r>
      <w:r>
        <w:rPr>
          <w:color w:val="auto"/>
          <w:highlight w:val="none"/>
        </w:rPr>
        <w:t>距离D10%。其中</w:t>
      </w:r>
      <w:r>
        <w:rPr>
          <w:rFonts w:hint="eastAsia"/>
          <w:color w:val="auto"/>
          <w:highlight w:val="none"/>
        </w:rPr>
        <w:t>Pi</w:t>
      </w:r>
      <w:r>
        <w:rPr>
          <w:color w:val="auto"/>
          <w:highlight w:val="none"/>
        </w:rPr>
        <w:t>定义为：</w:t>
      </w:r>
    </w:p>
    <w:p>
      <w:pPr>
        <w:snapToGrid w:val="0"/>
        <w:ind w:firstLine="480"/>
        <w:rPr>
          <w:rFonts w:cs="Times New Roman"/>
          <w:color w:val="auto"/>
          <w:highlight w:val="none"/>
        </w:rPr>
      </w:pPr>
      <w:r>
        <w:rPr>
          <w:color w:val="auto"/>
          <w:highlight w:val="none"/>
        </w:rPr>
        <w:pict>
          <v:shape id="Picture 396" o:spid="_x0000_s2050" o:spt="75" type="#_x0000_t75" style="position:absolute;left:0pt;margin-left:34.35pt;margin-top:3.05pt;height:42.5pt;width:100.9pt;z-index:251683840;mso-width-relative:page;mso-height-relative:page;" o:ole="t" filled="f" o:preferrelative="t" stroked="f" coordsize="21600,21600">
            <v:path/>
            <v:fill on="f" focussize="0,0"/>
            <v:stroke on="f" joinstyle="miter"/>
            <v:imagedata r:id="rId14" o:title=""/>
            <o:lock v:ext="edit" aspectratio="t"/>
          </v:shape>
          <o:OLEObject Type="Embed" ProgID="Equation.3" ShapeID="Picture 396" DrawAspect="Content" ObjectID="_1468075725" r:id="rId13">
            <o:LockedField>false</o:LockedField>
          </o:OLEObject>
        </w:pict>
      </w:r>
    </w:p>
    <w:p>
      <w:pPr>
        <w:snapToGrid w:val="0"/>
        <w:ind w:firstLine="480"/>
        <w:rPr>
          <w:rFonts w:cs="Times New Roman"/>
          <w:color w:val="auto"/>
          <w:highlight w:val="none"/>
        </w:rPr>
      </w:pPr>
    </w:p>
    <w:p>
      <w:pPr>
        <w:snapToGrid w:val="0"/>
        <w:ind w:firstLine="480"/>
        <w:rPr>
          <w:rFonts w:cs="Times New Roman"/>
          <w:color w:val="auto"/>
          <w:szCs w:val="28"/>
          <w:highlight w:val="none"/>
        </w:rPr>
      </w:pPr>
      <w:r>
        <w:rPr>
          <w:rFonts w:cs="Times New Roman"/>
          <w:color w:val="auto"/>
          <w:szCs w:val="28"/>
          <w:highlight w:val="none"/>
        </w:rPr>
        <w:t>式中：</w:t>
      </w:r>
    </w:p>
    <w:p>
      <w:pPr>
        <w:snapToGrid w:val="0"/>
        <w:ind w:firstLine="960" w:firstLineChars="400"/>
        <w:rPr>
          <w:rFonts w:cs="Times New Roman"/>
          <w:color w:val="auto"/>
          <w:szCs w:val="28"/>
          <w:highlight w:val="none"/>
        </w:rPr>
      </w:pPr>
      <w:r>
        <w:rPr>
          <w:rFonts w:cs="Times New Roman"/>
          <w:color w:val="auto"/>
          <w:highlight w:val="none"/>
        </w:rPr>
        <w:pict>
          <v:shape id="Picture 395" o:spid="_x0000_s2051" o:spt="75" type="#_x0000_t75" style="position:absolute;left:0pt;margin-left:35.9pt;margin-top:1pt;height:18pt;width:12.45pt;z-index:251682816;mso-width-relative:page;mso-height-relative:page;" o:ole="t" filled="f" o:preferrelative="t" stroked="f" coordsize="21600,21600">
            <v:path/>
            <v:fill on="f" focussize="0,0"/>
            <v:stroke on="f" joinstyle="miter"/>
            <v:imagedata r:id="rId16" o:title=""/>
            <o:lock v:ext="edit" aspectratio="t"/>
          </v:shape>
          <o:OLEObject Type="Embed" ProgID="Equation.3" ShapeID="Picture 395" DrawAspect="Content" ObjectID="_1468075726" r:id="rId15">
            <o:LockedField>false</o:LockedField>
          </o:OLEObject>
        </w:pict>
      </w:r>
      <w:r>
        <w:rPr>
          <w:rFonts w:cs="Times New Roman"/>
          <w:color w:val="auto"/>
          <w:szCs w:val="28"/>
          <w:highlight w:val="none"/>
        </w:rPr>
        <w:t>——</w:t>
      </w:r>
      <w:r>
        <w:rPr>
          <w:rFonts w:hint="eastAsia" w:cs="Times New Roman"/>
          <w:color w:val="auto"/>
          <w:szCs w:val="28"/>
          <w:highlight w:val="none"/>
        </w:rPr>
        <w:t>第i个污染物的最大地面空气质量浓度</w:t>
      </w:r>
      <w:r>
        <w:rPr>
          <w:rFonts w:cs="Times New Roman"/>
          <w:color w:val="auto"/>
          <w:szCs w:val="28"/>
          <w:highlight w:val="none"/>
        </w:rPr>
        <w:t>占标率</w:t>
      </w:r>
      <w:r>
        <w:rPr>
          <w:rFonts w:hint="eastAsia" w:cs="Times New Roman"/>
          <w:color w:val="auto"/>
          <w:szCs w:val="28"/>
          <w:highlight w:val="none"/>
        </w:rPr>
        <w:t>，%</w:t>
      </w:r>
      <w:r>
        <w:rPr>
          <w:rFonts w:cs="Times New Roman"/>
          <w:color w:val="auto"/>
          <w:szCs w:val="28"/>
          <w:highlight w:val="none"/>
        </w:rPr>
        <w:t>；</w:t>
      </w:r>
    </w:p>
    <w:p>
      <w:pPr>
        <w:snapToGrid w:val="0"/>
        <w:ind w:firstLine="960" w:firstLineChars="400"/>
        <w:rPr>
          <w:rFonts w:cs="Times New Roman"/>
          <w:color w:val="auto"/>
          <w:szCs w:val="28"/>
          <w:highlight w:val="none"/>
        </w:rPr>
      </w:pPr>
      <w:r>
        <w:rPr>
          <w:rFonts w:cs="Times New Roman"/>
          <w:color w:val="auto"/>
          <w:highlight w:val="none"/>
        </w:rPr>
        <w:pict>
          <v:shape id="Picture 397" o:spid="_x0000_s2052" o:spt="75" type="#_x0000_t75" style="position:absolute;left:0pt;margin-left:33.7pt;margin-top:2.1pt;height:18pt;width:14.5pt;z-index:251684864;mso-width-relative:page;mso-height-relative:page;" o:ole="t" filled="f" o:preferrelative="t" stroked="f" coordsize="21600,21600">
            <v:path/>
            <v:fill on="f" focussize="0,0"/>
            <v:stroke on="f" joinstyle="miter"/>
            <v:imagedata r:id="rId18" o:title=""/>
            <o:lock v:ext="edit" aspectratio="t"/>
          </v:shape>
          <o:OLEObject Type="Embed" ProgID="Equation.3" ShapeID="Picture 397" DrawAspect="Content" ObjectID="_1468075727" r:id="rId17">
            <o:LockedField>false</o:LockedField>
          </o:OLEObject>
        </w:pict>
      </w:r>
      <w:r>
        <w:rPr>
          <w:rFonts w:cs="Times New Roman"/>
          <w:color w:val="auto"/>
          <w:szCs w:val="28"/>
          <w:highlight w:val="none"/>
        </w:rPr>
        <w:t>——</w:t>
      </w:r>
      <w:r>
        <w:rPr>
          <w:rFonts w:hint="eastAsia" w:cs="Times New Roman"/>
          <w:color w:val="auto"/>
          <w:szCs w:val="28"/>
          <w:highlight w:val="none"/>
        </w:rPr>
        <w:t>采用估算模型计算出的第i个污染物的最大1h地面空气质量浓度</w:t>
      </w:r>
      <w:r>
        <w:rPr>
          <w:rFonts w:cs="Times New Roman"/>
          <w:color w:val="auto"/>
          <w:szCs w:val="28"/>
          <w:highlight w:val="none"/>
        </w:rPr>
        <w:t>，</w:t>
      </w:r>
      <w:r>
        <w:rPr>
          <w:rFonts w:hint="eastAsia" w:cs="Times New Roman"/>
          <w:color w:val="auto"/>
          <w:szCs w:val="28"/>
          <w:highlight w:val="none"/>
        </w:rPr>
        <w:t>µg/m</w:t>
      </w:r>
      <w:r>
        <w:rPr>
          <w:rFonts w:hint="eastAsia" w:cs="Times New Roman"/>
          <w:color w:val="auto"/>
          <w:szCs w:val="28"/>
          <w:highlight w:val="none"/>
          <w:vertAlign w:val="superscript"/>
        </w:rPr>
        <w:t>3</w:t>
      </w:r>
      <w:r>
        <w:rPr>
          <w:rFonts w:cs="Times New Roman"/>
          <w:color w:val="auto"/>
          <w:szCs w:val="28"/>
          <w:highlight w:val="none"/>
        </w:rPr>
        <w:t>；</w:t>
      </w:r>
    </w:p>
    <w:p>
      <w:pPr>
        <w:snapToGrid w:val="0"/>
        <w:ind w:firstLine="960" w:firstLineChars="400"/>
        <w:rPr>
          <w:rFonts w:cs="Times New Roman"/>
          <w:color w:val="auto"/>
          <w:szCs w:val="28"/>
          <w:highlight w:val="none"/>
        </w:rPr>
      </w:pPr>
      <w:r>
        <w:rPr>
          <w:rFonts w:cs="Times New Roman"/>
          <w:color w:val="auto"/>
          <w:highlight w:val="none"/>
        </w:rPr>
        <w:pict>
          <v:shape id="Picture 398" o:spid="_x0000_s2053" o:spt="75" type="#_x0000_t75" style="position:absolute;left:0pt;margin-left:31.1pt;margin-top:2.55pt;height:18pt;width:19.75pt;z-index:251685888;mso-width-relative:page;mso-height-relative:page;" o:ole="t" filled="f" o:preferrelative="t" stroked="f" coordsize="21600,21600">
            <v:path/>
            <v:fill on="f" focussize="0,0"/>
            <v:stroke on="f" joinstyle="miter"/>
            <v:imagedata r:id="rId20" o:title=""/>
            <o:lock v:ext="edit" aspectratio="t"/>
          </v:shape>
          <o:OLEObject Type="Embed" ProgID="Equation.3" ShapeID="Picture 398" DrawAspect="Content" ObjectID="_1468075728" r:id="rId19">
            <o:LockedField>false</o:LockedField>
          </o:OLEObject>
        </w:pict>
      </w:r>
      <w:r>
        <w:rPr>
          <w:rFonts w:cs="Times New Roman"/>
          <w:color w:val="auto"/>
          <w:szCs w:val="28"/>
          <w:highlight w:val="none"/>
        </w:rPr>
        <w:t>——</w:t>
      </w:r>
      <w:r>
        <w:rPr>
          <w:rFonts w:hint="eastAsia" w:cs="Times New Roman"/>
          <w:color w:val="auto"/>
          <w:szCs w:val="28"/>
          <w:highlight w:val="none"/>
        </w:rPr>
        <w:t>第i个污染物的</w:t>
      </w:r>
      <w:r>
        <w:rPr>
          <w:rFonts w:cs="Times New Roman"/>
          <w:color w:val="auto"/>
          <w:szCs w:val="28"/>
          <w:highlight w:val="none"/>
        </w:rPr>
        <w:t>环境空气质量</w:t>
      </w:r>
      <w:r>
        <w:rPr>
          <w:rFonts w:hint="eastAsia" w:cs="Times New Roman"/>
          <w:color w:val="auto"/>
          <w:szCs w:val="28"/>
          <w:highlight w:val="none"/>
        </w:rPr>
        <w:t>浓度</w:t>
      </w:r>
      <w:r>
        <w:rPr>
          <w:rFonts w:cs="Times New Roman"/>
          <w:color w:val="auto"/>
          <w:szCs w:val="28"/>
          <w:highlight w:val="none"/>
        </w:rPr>
        <w:t>标准，</w:t>
      </w:r>
      <w:r>
        <w:rPr>
          <w:rFonts w:hint="eastAsia" w:cs="Times New Roman"/>
          <w:color w:val="auto"/>
          <w:szCs w:val="28"/>
          <w:highlight w:val="none"/>
        </w:rPr>
        <w:t>µg/m</w:t>
      </w:r>
      <w:r>
        <w:rPr>
          <w:rFonts w:hint="eastAsia" w:cs="Times New Roman"/>
          <w:color w:val="auto"/>
          <w:szCs w:val="28"/>
          <w:highlight w:val="none"/>
          <w:vertAlign w:val="superscript"/>
        </w:rPr>
        <w:t>3</w:t>
      </w:r>
      <w:r>
        <w:rPr>
          <w:rFonts w:cs="Times New Roman"/>
          <w:color w:val="auto"/>
          <w:szCs w:val="28"/>
          <w:highlight w:val="none"/>
        </w:rPr>
        <w:t>。</w:t>
      </w:r>
    </w:p>
    <w:p>
      <w:pPr>
        <w:ind w:firstLine="480"/>
        <w:rPr>
          <w:color w:val="auto"/>
          <w:highlight w:val="none"/>
        </w:rPr>
      </w:pPr>
      <w:r>
        <w:rPr>
          <w:color w:val="auto"/>
          <w:highlight w:val="none"/>
        </w:rPr>
        <w:t>按照《环境影响评价技术导则</w:t>
      </w:r>
      <w:r>
        <w:rPr>
          <w:rFonts w:hint="eastAsia"/>
          <w:color w:val="auto"/>
          <w:highlight w:val="none"/>
        </w:rPr>
        <w:t>——</w:t>
      </w:r>
      <w:r>
        <w:rPr>
          <w:color w:val="auto"/>
          <w:highlight w:val="none"/>
        </w:rPr>
        <w:t>大气环境》（HJ2.2-20</w:t>
      </w:r>
      <w:r>
        <w:rPr>
          <w:rFonts w:hint="eastAsia"/>
          <w:color w:val="auto"/>
          <w:highlight w:val="none"/>
        </w:rPr>
        <w:t>1</w:t>
      </w:r>
      <w:r>
        <w:rPr>
          <w:color w:val="auto"/>
          <w:highlight w:val="none"/>
        </w:rPr>
        <w:t>8），经初步工程分析结果，采用</w:t>
      </w:r>
      <w:r>
        <w:rPr>
          <w:rFonts w:hint="eastAsia"/>
          <w:color w:val="auto"/>
          <w:highlight w:val="none"/>
        </w:rPr>
        <w:t>《环境影响评价技术导则 大气环境》（HJ2.2-2018）附录A推荐模型中的估算模式AERSCREEN</w:t>
      </w:r>
      <w:r>
        <w:rPr>
          <w:color w:val="auto"/>
          <w:highlight w:val="none"/>
        </w:rPr>
        <w:t>分别计算</w:t>
      </w:r>
      <w:r>
        <w:rPr>
          <w:rFonts w:hint="eastAsia"/>
          <w:color w:val="auto"/>
          <w:highlight w:val="none"/>
        </w:rPr>
        <w:t>PM</w:t>
      </w:r>
      <w:r>
        <w:rPr>
          <w:rFonts w:hint="eastAsia"/>
          <w:color w:val="auto"/>
          <w:highlight w:val="none"/>
          <w:vertAlign w:val="subscript"/>
        </w:rPr>
        <w:t>10</w:t>
      </w:r>
      <w:r>
        <w:rPr>
          <w:color w:val="auto"/>
          <w:highlight w:val="none"/>
        </w:rPr>
        <w:t>、</w:t>
      </w:r>
      <w:r>
        <w:rPr>
          <w:rFonts w:hint="eastAsia"/>
          <w:color w:val="auto"/>
          <w:highlight w:val="none"/>
          <w:lang w:val="en-US" w:eastAsia="zh-CN"/>
        </w:rPr>
        <w:t>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lang w:val="en-US" w:eastAsia="zh-CN"/>
        </w:rPr>
        <w:t>、H</w:t>
      </w:r>
      <w:r>
        <w:rPr>
          <w:rFonts w:hint="eastAsia"/>
          <w:color w:val="auto"/>
          <w:highlight w:val="none"/>
          <w:vertAlign w:val="subscript"/>
          <w:lang w:val="en-US" w:eastAsia="zh-CN"/>
        </w:rPr>
        <w:t>2</w:t>
      </w:r>
      <w:r>
        <w:rPr>
          <w:rFonts w:hint="eastAsia"/>
          <w:color w:val="auto"/>
          <w:highlight w:val="none"/>
          <w:lang w:val="en-US" w:eastAsia="zh-CN"/>
        </w:rPr>
        <w:t>S、NH</w:t>
      </w:r>
      <w:r>
        <w:rPr>
          <w:rFonts w:hint="eastAsia"/>
          <w:color w:val="auto"/>
          <w:highlight w:val="none"/>
          <w:vertAlign w:val="subscript"/>
          <w:lang w:val="en-US" w:eastAsia="zh-CN"/>
        </w:rPr>
        <w:t>3</w:t>
      </w:r>
      <w:r>
        <w:rPr>
          <w:color w:val="auto"/>
          <w:highlight w:val="none"/>
        </w:rPr>
        <w:t>最大地面</w:t>
      </w:r>
      <w:r>
        <w:rPr>
          <w:rFonts w:hint="eastAsia"/>
          <w:color w:val="auto"/>
          <w:highlight w:val="none"/>
        </w:rPr>
        <w:t>空气质量</w:t>
      </w:r>
      <w:r>
        <w:rPr>
          <w:color w:val="auto"/>
          <w:highlight w:val="none"/>
        </w:rPr>
        <w:t>浓度。计算结果见表1.</w:t>
      </w:r>
      <w:r>
        <w:rPr>
          <w:rFonts w:hint="eastAsia"/>
          <w:color w:val="auto"/>
          <w:highlight w:val="none"/>
        </w:rPr>
        <w:t>7</w:t>
      </w:r>
      <w:r>
        <w:rPr>
          <w:color w:val="auto"/>
          <w:highlight w:val="none"/>
        </w:rPr>
        <w:t>-</w:t>
      </w:r>
      <w:r>
        <w:rPr>
          <w:rFonts w:hint="eastAsia"/>
          <w:color w:val="auto"/>
          <w:highlight w:val="none"/>
        </w:rPr>
        <w:t>1。</w:t>
      </w:r>
    </w:p>
    <w:p>
      <w:pPr>
        <w:pStyle w:val="21"/>
        <w:rPr>
          <w:rFonts w:hint="eastAsia" w:cs="Times New Roman"/>
          <w:color w:val="auto"/>
          <w:highlight w:val="none"/>
        </w:rPr>
      </w:pPr>
      <w:r>
        <w:rPr>
          <w:rFonts w:cs="Times New Roman"/>
          <w:color w:val="auto"/>
          <w:highlight w:val="none"/>
        </w:rPr>
        <w:t>表1.</w:t>
      </w:r>
      <w:r>
        <w:rPr>
          <w:rFonts w:hint="eastAsia" w:cs="Times New Roman"/>
          <w:color w:val="auto"/>
          <w:highlight w:val="none"/>
        </w:rPr>
        <w:t>7</w:t>
      </w:r>
      <w:r>
        <w:rPr>
          <w:rFonts w:cs="Times New Roman"/>
          <w:color w:val="auto"/>
          <w:highlight w:val="none"/>
        </w:rPr>
        <w:t>-</w:t>
      </w:r>
      <w:r>
        <w:rPr>
          <w:rFonts w:hint="eastAsia" w:cs="Times New Roman"/>
          <w:color w:val="auto"/>
          <w:highlight w:val="none"/>
        </w:rPr>
        <w:t>1</w:t>
      </w:r>
      <w:r>
        <w:rPr>
          <w:rFonts w:cs="Times New Roman"/>
          <w:color w:val="auto"/>
          <w:highlight w:val="none"/>
        </w:rPr>
        <w:t>主要污染物最大地面浓度</w:t>
      </w:r>
      <w:r>
        <w:rPr>
          <w:rFonts w:hint="eastAsia" w:cs="Times New Roman"/>
          <w:color w:val="auto"/>
          <w:highlight w:val="none"/>
        </w:rPr>
        <w:t>及</w:t>
      </w:r>
      <w:r>
        <w:rPr>
          <w:rFonts w:cs="Times New Roman"/>
          <w:color w:val="auto"/>
          <w:highlight w:val="none"/>
        </w:rPr>
        <w:t>占标</w:t>
      </w:r>
      <w:r>
        <w:rPr>
          <w:rFonts w:hint="eastAsia" w:cs="Times New Roman"/>
          <w:color w:val="auto"/>
          <w:highlight w:val="none"/>
        </w:rPr>
        <w:t>率</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1744"/>
        <w:gridCol w:w="2293"/>
        <w:gridCol w:w="1592"/>
        <w:gridCol w:w="17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654" w:type="pct"/>
            <w:vAlign w:val="center"/>
          </w:tcPr>
          <w:p>
            <w:pPr>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污染源</w:t>
            </w:r>
          </w:p>
        </w:tc>
        <w:tc>
          <w:tcPr>
            <w:tcW w:w="1024" w:type="pct"/>
            <w:vAlign w:val="center"/>
          </w:tcPr>
          <w:p>
            <w:pPr>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污染物</w:t>
            </w:r>
          </w:p>
        </w:tc>
        <w:tc>
          <w:tcPr>
            <w:tcW w:w="1346" w:type="pct"/>
            <w:vAlign w:val="center"/>
          </w:tcPr>
          <w:p>
            <w:pPr>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最大地面质量浓度（mg/m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w:t>
            </w:r>
          </w:p>
        </w:tc>
        <w:tc>
          <w:tcPr>
            <w:tcW w:w="935" w:type="pct"/>
            <w:vAlign w:val="center"/>
          </w:tcPr>
          <w:p>
            <w:pPr>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占标率（Pmax）</w:t>
            </w:r>
          </w:p>
        </w:tc>
        <w:tc>
          <w:tcPr>
            <w:tcW w:w="1039" w:type="pct"/>
            <w:vAlign w:val="center"/>
          </w:tcPr>
          <w:p>
            <w:pPr>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最大落地浓度距离（m）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pct"/>
            <w:vMerge w:val="restar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沼气锅炉燃烧</w:t>
            </w:r>
          </w:p>
        </w:tc>
        <w:tc>
          <w:tcPr>
            <w:tcW w:w="1024"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PM</w:t>
            </w:r>
            <w:r>
              <w:rPr>
                <w:rFonts w:hint="eastAsia"/>
                <w:color w:val="auto"/>
                <w:sz w:val="21"/>
                <w:szCs w:val="21"/>
                <w:highlight w:val="none"/>
                <w:vertAlign w:val="subscript"/>
                <w:lang w:val="en-US" w:eastAsia="zh-CN"/>
              </w:rPr>
              <w:t>10</w:t>
            </w:r>
          </w:p>
        </w:tc>
        <w:tc>
          <w:tcPr>
            <w:tcW w:w="1346" w:type="pct"/>
            <w:vAlign w:val="center"/>
          </w:tcPr>
          <w:p>
            <w:pPr>
              <w:spacing w:line="240" w:lineRule="auto"/>
              <w:ind w:firstLine="0" w:firstLineChars="0"/>
              <w:jc w:val="center"/>
              <w:rPr>
                <w:rFonts w:hint="eastAsia"/>
                <w:color w:val="auto"/>
                <w:sz w:val="21"/>
                <w:szCs w:val="21"/>
                <w:highlight w:val="none"/>
                <w:lang w:val="en-US" w:eastAsia="zh-CN"/>
              </w:rPr>
            </w:pPr>
            <w:r>
              <w:rPr>
                <w:rFonts w:hint="default" w:ascii="Times New Roman" w:hAnsi="Times New Roman" w:cs="Times New Roman"/>
                <w:color w:val="auto"/>
                <w:kern w:val="2"/>
                <w:sz w:val="21"/>
                <w:szCs w:val="21"/>
                <w:highlight w:val="none"/>
              </w:rPr>
              <w:t>0.00107</w:t>
            </w:r>
          </w:p>
        </w:tc>
        <w:tc>
          <w:tcPr>
            <w:tcW w:w="935" w:type="pct"/>
            <w:vAlign w:val="center"/>
          </w:tcPr>
          <w:p>
            <w:pPr>
              <w:spacing w:line="240" w:lineRule="auto"/>
              <w:ind w:firstLine="0" w:firstLineChars="0"/>
              <w:jc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rPr>
              <w:t>0.24</w:t>
            </w:r>
          </w:p>
        </w:tc>
        <w:tc>
          <w:tcPr>
            <w:tcW w:w="1039" w:type="pct"/>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pct"/>
            <w:vMerge w:val="continue"/>
            <w:vAlign w:val="center"/>
          </w:tcPr>
          <w:p>
            <w:pPr>
              <w:ind w:firstLine="0" w:firstLineChars="0"/>
              <w:jc w:val="center"/>
              <w:rPr>
                <w:rFonts w:hint="eastAsia"/>
                <w:color w:val="auto"/>
                <w:sz w:val="21"/>
                <w:szCs w:val="21"/>
                <w:highlight w:val="none"/>
                <w:lang w:val="en-US" w:eastAsia="zh-CN"/>
              </w:rPr>
            </w:pPr>
          </w:p>
        </w:tc>
        <w:tc>
          <w:tcPr>
            <w:tcW w:w="1024" w:type="pct"/>
            <w:vAlign w:val="center"/>
          </w:tcPr>
          <w:p>
            <w:pPr>
              <w:spacing w:line="240" w:lineRule="auto"/>
              <w:ind w:firstLine="0" w:firstLineChars="0"/>
              <w:jc w:val="center"/>
              <w:rPr>
                <w:rFonts w:hint="eastAsia"/>
                <w:color w:val="auto"/>
                <w:sz w:val="21"/>
                <w:szCs w:val="21"/>
                <w:highlight w:val="none"/>
                <w:lang w:val="en-US" w:eastAsia="zh-CN"/>
              </w:rPr>
            </w:pPr>
            <w:r>
              <w:rPr>
                <w:rFonts w:hint="default"/>
                <w:color w:val="auto"/>
                <w:sz w:val="21"/>
                <w:szCs w:val="21"/>
                <w:highlight w:val="none"/>
                <w:lang w:val="en-US" w:eastAsia="zh-CN"/>
              </w:rPr>
              <w:t>SO</w:t>
            </w:r>
            <w:r>
              <w:rPr>
                <w:rFonts w:hint="default"/>
                <w:color w:val="auto"/>
                <w:sz w:val="21"/>
                <w:szCs w:val="21"/>
                <w:highlight w:val="none"/>
                <w:vertAlign w:val="subscript"/>
                <w:lang w:val="en-US" w:eastAsia="zh-CN"/>
              </w:rPr>
              <w:t>2</w:t>
            </w:r>
          </w:p>
        </w:tc>
        <w:tc>
          <w:tcPr>
            <w:tcW w:w="1346" w:type="pct"/>
            <w:vAlign w:val="center"/>
          </w:tcPr>
          <w:p>
            <w:pPr>
              <w:spacing w:line="240" w:lineRule="auto"/>
              <w:ind w:firstLine="0" w:firstLineChars="0"/>
              <w:jc w:val="center"/>
              <w:rPr>
                <w:rFonts w:hint="eastAsia"/>
                <w:color w:val="auto"/>
                <w:sz w:val="21"/>
                <w:szCs w:val="21"/>
                <w:highlight w:val="none"/>
                <w:lang w:val="en-US" w:eastAsia="zh-CN"/>
              </w:rPr>
            </w:pPr>
            <w:r>
              <w:rPr>
                <w:rFonts w:hint="default" w:ascii="Times New Roman" w:hAnsi="Times New Roman" w:cs="Times New Roman"/>
                <w:color w:val="auto"/>
                <w:kern w:val="2"/>
                <w:sz w:val="21"/>
                <w:szCs w:val="21"/>
                <w:highlight w:val="none"/>
              </w:rPr>
              <w:t>0.000622</w:t>
            </w:r>
          </w:p>
        </w:tc>
        <w:tc>
          <w:tcPr>
            <w:tcW w:w="935" w:type="pct"/>
            <w:vAlign w:val="center"/>
          </w:tcPr>
          <w:p>
            <w:pPr>
              <w:spacing w:line="240" w:lineRule="auto"/>
              <w:ind w:firstLine="0" w:firstLineChars="0"/>
              <w:jc w:val="center"/>
              <w:rPr>
                <w:rFonts w:hint="default"/>
                <w:color w:val="auto"/>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w:t>
            </w:r>
            <w:r>
              <w:rPr>
                <w:rFonts w:hint="eastAsia" w:cs="Times New Roman"/>
                <w:color w:val="auto"/>
                <w:kern w:val="2"/>
                <w:sz w:val="21"/>
                <w:szCs w:val="21"/>
                <w:highlight w:val="none"/>
                <w:lang w:val="en-US" w:eastAsia="zh-CN"/>
              </w:rPr>
              <w:t>.12</w:t>
            </w:r>
          </w:p>
        </w:tc>
        <w:tc>
          <w:tcPr>
            <w:tcW w:w="1039" w:type="pct"/>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pct"/>
            <w:vMerge w:val="continue"/>
            <w:vAlign w:val="center"/>
          </w:tcPr>
          <w:p>
            <w:pPr>
              <w:ind w:firstLine="0" w:firstLineChars="0"/>
              <w:jc w:val="center"/>
              <w:rPr>
                <w:rFonts w:hint="eastAsia"/>
                <w:color w:val="auto"/>
                <w:sz w:val="21"/>
                <w:szCs w:val="21"/>
                <w:highlight w:val="none"/>
                <w:lang w:val="en-US" w:eastAsia="zh-CN"/>
              </w:rPr>
            </w:pPr>
          </w:p>
        </w:tc>
        <w:tc>
          <w:tcPr>
            <w:tcW w:w="1024" w:type="pct"/>
            <w:vAlign w:val="center"/>
          </w:tcPr>
          <w:p>
            <w:pPr>
              <w:spacing w:line="240" w:lineRule="auto"/>
              <w:ind w:firstLine="0" w:firstLineChars="0"/>
              <w:jc w:val="center"/>
              <w:rPr>
                <w:rFonts w:hint="eastAsia"/>
                <w:color w:val="auto"/>
                <w:sz w:val="21"/>
                <w:szCs w:val="21"/>
                <w:highlight w:val="none"/>
                <w:lang w:val="en-US" w:eastAsia="zh-CN"/>
              </w:rPr>
            </w:pPr>
            <w:r>
              <w:rPr>
                <w:rFonts w:hint="default"/>
                <w:color w:val="auto"/>
                <w:sz w:val="21"/>
                <w:szCs w:val="21"/>
                <w:highlight w:val="none"/>
                <w:lang w:val="en-US" w:eastAsia="zh-CN"/>
              </w:rPr>
              <w:t>NO</w:t>
            </w:r>
            <w:r>
              <w:rPr>
                <w:rFonts w:hint="default"/>
                <w:color w:val="auto"/>
                <w:sz w:val="21"/>
                <w:szCs w:val="21"/>
                <w:highlight w:val="none"/>
                <w:vertAlign w:val="subscript"/>
                <w:lang w:val="en-US" w:eastAsia="zh-CN"/>
              </w:rPr>
              <w:t>X</w:t>
            </w:r>
          </w:p>
        </w:tc>
        <w:tc>
          <w:tcPr>
            <w:tcW w:w="1346" w:type="pct"/>
            <w:vAlign w:val="center"/>
          </w:tcPr>
          <w:p>
            <w:pPr>
              <w:spacing w:line="240" w:lineRule="auto"/>
              <w:ind w:firstLine="0" w:firstLineChars="0"/>
              <w:jc w:val="center"/>
              <w:rPr>
                <w:rFonts w:hint="eastAsia"/>
                <w:color w:val="auto"/>
                <w:sz w:val="21"/>
                <w:szCs w:val="21"/>
                <w:highlight w:val="none"/>
                <w:lang w:val="en-US" w:eastAsia="zh-CN"/>
              </w:rPr>
            </w:pPr>
            <w:r>
              <w:rPr>
                <w:rFonts w:hint="default" w:ascii="Times New Roman" w:hAnsi="Times New Roman" w:cs="Times New Roman"/>
                <w:color w:val="auto"/>
                <w:kern w:val="2"/>
                <w:sz w:val="21"/>
                <w:szCs w:val="21"/>
                <w:highlight w:val="none"/>
              </w:rPr>
              <w:t>0.00342</w:t>
            </w:r>
          </w:p>
        </w:tc>
        <w:tc>
          <w:tcPr>
            <w:tcW w:w="935" w:type="pct"/>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1.37</w:t>
            </w:r>
          </w:p>
        </w:tc>
        <w:tc>
          <w:tcPr>
            <w:tcW w:w="1039" w:type="pct"/>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pct"/>
            <w:vMerge w:val="restart"/>
            <w:vAlign w:val="center"/>
          </w:tcPr>
          <w:p>
            <w:pPr>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厂区</w:t>
            </w:r>
          </w:p>
        </w:tc>
        <w:tc>
          <w:tcPr>
            <w:tcW w:w="1024"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无组织NH</w:t>
            </w:r>
            <w:r>
              <w:rPr>
                <w:rFonts w:hint="eastAsia"/>
                <w:color w:val="auto"/>
                <w:sz w:val="21"/>
                <w:szCs w:val="21"/>
                <w:highlight w:val="none"/>
                <w:vertAlign w:val="subscript"/>
                <w:lang w:val="en-US" w:eastAsia="zh-CN"/>
              </w:rPr>
              <w:t>3</w:t>
            </w:r>
          </w:p>
        </w:tc>
        <w:tc>
          <w:tcPr>
            <w:tcW w:w="1346"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b w:val="0"/>
                <w:bCs w:val="0"/>
                <w:color w:val="auto"/>
                <w:sz w:val="21"/>
                <w:szCs w:val="21"/>
                <w:highlight w:val="none"/>
                <w:lang w:val="en-US" w:eastAsia="zh-CN"/>
              </w:rPr>
              <w:t>0.0102</w:t>
            </w:r>
          </w:p>
        </w:tc>
        <w:tc>
          <w:tcPr>
            <w:tcW w:w="935" w:type="pct"/>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kern w:val="2"/>
                <w:sz w:val="21"/>
                <w:szCs w:val="21"/>
                <w:highlight w:val="none"/>
                <w:lang w:val="en-US" w:eastAsia="zh-CN"/>
              </w:rPr>
              <w:t>5.1</w:t>
            </w:r>
          </w:p>
        </w:tc>
        <w:tc>
          <w:tcPr>
            <w:tcW w:w="1039" w:type="pct"/>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pct"/>
            <w:vMerge w:val="continue"/>
            <w:vAlign w:val="center"/>
          </w:tcPr>
          <w:p>
            <w:pPr>
              <w:ind w:firstLine="0" w:firstLineChars="0"/>
              <w:jc w:val="center"/>
              <w:rPr>
                <w:rFonts w:hint="eastAsia"/>
                <w:color w:val="auto"/>
                <w:sz w:val="21"/>
                <w:szCs w:val="21"/>
                <w:highlight w:val="none"/>
                <w:lang w:val="en-US" w:eastAsia="zh-CN"/>
              </w:rPr>
            </w:pPr>
          </w:p>
        </w:tc>
        <w:tc>
          <w:tcPr>
            <w:tcW w:w="1024" w:type="pct"/>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无组织H</w:t>
            </w:r>
            <w:r>
              <w:rPr>
                <w:rFonts w:hint="eastAsia"/>
                <w:color w:val="auto"/>
                <w:sz w:val="21"/>
                <w:szCs w:val="21"/>
                <w:highlight w:val="none"/>
                <w:vertAlign w:val="subscript"/>
                <w:lang w:val="en-US" w:eastAsia="zh-CN"/>
              </w:rPr>
              <w:t>2</w:t>
            </w:r>
            <w:r>
              <w:rPr>
                <w:rFonts w:hint="eastAsia"/>
                <w:color w:val="auto"/>
                <w:sz w:val="21"/>
                <w:szCs w:val="21"/>
                <w:highlight w:val="none"/>
                <w:lang w:val="en-US" w:eastAsia="zh-CN"/>
              </w:rPr>
              <w:t>S</w:t>
            </w:r>
          </w:p>
        </w:tc>
        <w:tc>
          <w:tcPr>
            <w:tcW w:w="1346"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kern w:val="2"/>
                <w:sz w:val="21"/>
                <w:szCs w:val="21"/>
                <w:highlight w:val="none"/>
                <w:lang w:val="en-US" w:eastAsia="zh-CN"/>
              </w:rPr>
              <w:t>0.000784</w:t>
            </w:r>
          </w:p>
        </w:tc>
        <w:tc>
          <w:tcPr>
            <w:tcW w:w="935"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kern w:val="2"/>
                <w:sz w:val="21"/>
                <w:szCs w:val="21"/>
                <w:highlight w:val="none"/>
                <w:lang w:val="en-US" w:eastAsia="zh-CN"/>
              </w:rPr>
              <w:t>7.84</w:t>
            </w:r>
          </w:p>
        </w:tc>
        <w:tc>
          <w:tcPr>
            <w:tcW w:w="1039" w:type="pct"/>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pct"/>
            <w:vMerge w:val="restart"/>
            <w:vAlign w:val="center"/>
          </w:tcPr>
          <w:p>
            <w:pPr>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火炬燃烧</w:t>
            </w:r>
          </w:p>
        </w:tc>
        <w:tc>
          <w:tcPr>
            <w:tcW w:w="1024"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无组织PM</w:t>
            </w:r>
            <w:r>
              <w:rPr>
                <w:rFonts w:hint="eastAsia"/>
                <w:color w:val="auto"/>
                <w:sz w:val="21"/>
                <w:szCs w:val="21"/>
                <w:highlight w:val="none"/>
                <w:vertAlign w:val="subscript"/>
                <w:lang w:val="en-US" w:eastAsia="zh-CN"/>
              </w:rPr>
              <w:t>10</w:t>
            </w:r>
          </w:p>
        </w:tc>
        <w:tc>
          <w:tcPr>
            <w:tcW w:w="1346" w:type="pct"/>
            <w:vAlign w:val="center"/>
          </w:tcPr>
          <w:p>
            <w:pPr>
              <w:spacing w:line="240" w:lineRule="auto"/>
              <w:ind w:firstLine="0" w:firstLineChars="0"/>
              <w:jc w:val="center"/>
              <w:rPr>
                <w:rFonts w:hint="eastAsia"/>
                <w:color w:val="auto"/>
                <w:kern w:val="2"/>
                <w:sz w:val="21"/>
                <w:szCs w:val="21"/>
                <w:highlight w:val="none"/>
                <w:lang w:val="en-US" w:eastAsia="zh-CN"/>
              </w:rPr>
            </w:pPr>
            <w:r>
              <w:rPr>
                <w:rFonts w:hint="default" w:ascii="Times New Roman" w:hAnsi="Times New Roman" w:cs="Times New Roman"/>
                <w:color w:val="auto"/>
                <w:kern w:val="2"/>
                <w:sz w:val="21"/>
                <w:szCs w:val="21"/>
                <w:highlight w:val="none"/>
              </w:rPr>
              <w:t>0.00188</w:t>
            </w:r>
          </w:p>
        </w:tc>
        <w:tc>
          <w:tcPr>
            <w:tcW w:w="935" w:type="pct"/>
            <w:vAlign w:val="center"/>
          </w:tcPr>
          <w:p>
            <w:pPr>
              <w:spacing w:line="240" w:lineRule="auto"/>
              <w:ind w:firstLine="0" w:firstLineChars="0"/>
              <w:jc w:val="center"/>
              <w:rPr>
                <w:rFonts w:hint="eastAsia"/>
                <w:color w:val="auto"/>
                <w:kern w:val="2"/>
                <w:sz w:val="21"/>
                <w:szCs w:val="21"/>
                <w:highlight w:val="none"/>
                <w:lang w:val="en-US" w:eastAsia="zh-CN"/>
              </w:rPr>
            </w:pPr>
            <w:r>
              <w:rPr>
                <w:rFonts w:hint="eastAsia" w:cs="Times New Roman"/>
                <w:color w:val="auto"/>
                <w:kern w:val="2"/>
                <w:sz w:val="21"/>
                <w:szCs w:val="21"/>
                <w:highlight w:val="none"/>
                <w:lang w:val="en-US" w:eastAsia="zh-CN"/>
              </w:rPr>
              <w:t>0.42</w:t>
            </w:r>
          </w:p>
        </w:tc>
        <w:tc>
          <w:tcPr>
            <w:tcW w:w="1039"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pct"/>
            <w:vMerge w:val="continue"/>
            <w:vAlign w:val="center"/>
          </w:tcPr>
          <w:p>
            <w:pPr>
              <w:ind w:firstLine="0" w:firstLineChars="0"/>
              <w:jc w:val="center"/>
              <w:rPr>
                <w:rFonts w:hint="eastAsia"/>
                <w:color w:val="auto"/>
                <w:sz w:val="21"/>
                <w:szCs w:val="21"/>
                <w:highlight w:val="none"/>
                <w:lang w:val="en-US" w:eastAsia="zh-CN"/>
              </w:rPr>
            </w:pPr>
          </w:p>
        </w:tc>
        <w:tc>
          <w:tcPr>
            <w:tcW w:w="1024"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无组织</w:t>
            </w:r>
            <w:r>
              <w:rPr>
                <w:rFonts w:hint="default"/>
                <w:color w:val="auto"/>
                <w:sz w:val="21"/>
                <w:szCs w:val="21"/>
                <w:highlight w:val="none"/>
                <w:lang w:val="en-US" w:eastAsia="zh-CN"/>
              </w:rPr>
              <w:t>SO</w:t>
            </w:r>
            <w:r>
              <w:rPr>
                <w:rFonts w:hint="default"/>
                <w:color w:val="auto"/>
                <w:sz w:val="21"/>
                <w:szCs w:val="21"/>
                <w:highlight w:val="none"/>
                <w:vertAlign w:val="subscript"/>
                <w:lang w:val="en-US" w:eastAsia="zh-CN"/>
              </w:rPr>
              <w:t>2</w:t>
            </w:r>
          </w:p>
        </w:tc>
        <w:tc>
          <w:tcPr>
            <w:tcW w:w="1346" w:type="pct"/>
            <w:vAlign w:val="center"/>
          </w:tcPr>
          <w:p>
            <w:pPr>
              <w:spacing w:line="240" w:lineRule="auto"/>
              <w:ind w:firstLine="0" w:firstLineChars="0"/>
              <w:jc w:val="center"/>
              <w:rPr>
                <w:rFonts w:hint="eastAsia"/>
                <w:color w:val="auto"/>
                <w:kern w:val="2"/>
                <w:sz w:val="21"/>
                <w:szCs w:val="21"/>
                <w:highlight w:val="none"/>
                <w:lang w:val="en-US" w:eastAsia="zh-CN"/>
              </w:rPr>
            </w:pPr>
            <w:r>
              <w:rPr>
                <w:rFonts w:hint="default" w:ascii="Times New Roman" w:hAnsi="Times New Roman" w:cs="Times New Roman"/>
                <w:color w:val="auto"/>
                <w:kern w:val="2"/>
                <w:sz w:val="21"/>
                <w:szCs w:val="21"/>
                <w:highlight w:val="none"/>
              </w:rPr>
              <w:t>0.0011</w:t>
            </w:r>
          </w:p>
        </w:tc>
        <w:tc>
          <w:tcPr>
            <w:tcW w:w="935" w:type="pct"/>
            <w:vAlign w:val="center"/>
          </w:tcPr>
          <w:p>
            <w:pPr>
              <w:spacing w:line="240" w:lineRule="auto"/>
              <w:ind w:firstLine="0" w:firstLineChars="0"/>
              <w:jc w:val="center"/>
              <w:rPr>
                <w:rFonts w:hint="eastAsia"/>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w:t>
            </w:r>
            <w:r>
              <w:rPr>
                <w:rFonts w:hint="eastAsia" w:cs="Times New Roman"/>
                <w:color w:val="auto"/>
                <w:kern w:val="2"/>
                <w:sz w:val="21"/>
                <w:szCs w:val="21"/>
                <w:highlight w:val="none"/>
                <w:lang w:val="en-US" w:eastAsia="zh-CN"/>
              </w:rPr>
              <w:t>.22</w:t>
            </w:r>
          </w:p>
        </w:tc>
        <w:tc>
          <w:tcPr>
            <w:tcW w:w="1039"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pct"/>
            <w:vMerge w:val="continue"/>
            <w:vAlign w:val="center"/>
          </w:tcPr>
          <w:p>
            <w:pPr>
              <w:ind w:firstLine="0" w:firstLineChars="0"/>
              <w:jc w:val="center"/>
              <w:rPr>
                <w:rFonts w:hint="eastAsia"/>
                <w:color w:val="auto"/>
                <w:sz w:val="21"/>
                <w:szCs w:val="21"/>
                <w:highlight w:val="none"/>
                <w:lang w:val="en-US" w:eastAsia="zh-CN"/>
              </w:rPr>
            </w:pPr>
          </w:p>
        </w:tc>
        <w:tc>
          <w:tcPr>
            <w:tcW w:w="1024"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无组织</w:t>
            </w:r>
            <w:r>
              <w:rPr>
                <w:rFonts w:hint="default"/>
                <w:color w:val="auto"/>
                <w:sz w:val="21"/>
                <w:szCs w:val="21"/>
                <w:highlight w:val="none"/>
                <w:lang w:val="en-US" w:eastAsia="zh-CN"/>
              </w:rPr>
              <w:t>NO</w:t>
            </w:r>
            <w:r>
              <w:rPr>
                <w:rFonts w:hint="default"/>
                <w:color w:val="auto"/>
                <w:sz w:val="21"/>
                <w:szCs w:val="21"/>
                <w:highlight w:val="none"/>
                <w:vertAlign w:val="subscript"/>
                <w:lang w:val="en-US" w:eastAsia="zh-CN"/>
              </w:rPr>
              <w:t>X</w:t>
            </w:r>
          </w:p>
        </w:tc>
        <w:tc>
          <w:tcPr>
            <w:tcW w:w="1346" w:type="pct"/>
            <w:vAlign w:val="center"/>
          </w:tcPr>
          <w:p>
            <w:pPr>
              <w:spacing w:line="240" w:lineRule="auto"/>
              <w:ind w:firstLine="0" w:firstLineChars="0"/>
              <w:jc w:val="center"/>
              <w:rPr>
                <w:rFonts w:hint="eastAsia"/>
                <w:color w:val="auto"/>
                <w:kern w:val="2"/>
                <w:sz w:val="21"/>
                <w:szCs w:val="21"/>
                <w:highlight w:val="none"/>
                <w:lang w:val="en-US" w:eastAsia="zh-CN"/>
              </w:rPr>
            </w:pPr>
            <w:r>
              <w:rPr>
                <w:rFonts w:hint="default" w:ascii="Times New Roman" w:hAnsi="Times New Roman" w:cs="Times New Roman"/>
                <w:color w:val="auto"/>
                <w:kern w:val="2"/>
                <w:sz w:val="21"/>
                <w:szCs w:val="21"/>
                <w:highlight w:val="none"/>
              </w:rPr>
              <w:t>0.00604</w:t>
            </w:r>
          </w:p>
        </w:tc>
        <w:tc>
          <w:tcPr>
            <w:tcW w:w="935" w:type="pct"/>
            <w:vAlign w:val="center"/>
          </w:tcPr>
          <w:p>
            <w:pPr>
              <w:spacing w:line="240" w:lineRule="auto"/>
              <w:ind w:firstLine="0" w:firstLineChars="0"/>
              <w:jc w:val="center"/>
              <w:rPr>
                <w:rFonts w:hint="eastAsia"/>
                <w:color w:val="auto"/>
                <w:kern w:val="2"/>
                <w:sz w:val="21"/>
                <w:szCs w:val="21"/>
                <w:highlight w:val="none"/>
                <w:lang w:val="en-US" w:eastAsia="zh-CN"/>
              </w:rPr>
            </w:pPr>
            <w:r>
              <w:rPr>
                <w:rFonts w:hint="eastAsia" w:cs="Times New Roman"/>
                <w:color w:val="auto"/>
                <w:kern w:val="2"/>
                <w:sz w:val="21"/>
                <w:szCs w:val="21"/>
                <w:highlight w:val="none"/>
                <w:lang w:val="en-US" w:eastAsia="zh-CN"/>
              </w:rPr>
              <w:t>2.41</w:t>
            </w:r>
          </w:p>
        </w:tc>
        <w:tc>
          <w:tcPr>
            <w:tcW w:w="1039"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600</w:t>
            </w:r>
          </w:p>
        </w:tc>
      </w:tr>
    </w:tbl>
    <w:p>
      <w:pPr>
        <w:pStyle w:val="2"/>
        <w:snapToGrid w:val="0"/>
        <w:ind w:firstLine="480"/>
        <w:rPr>
          <w:rFonts w:cs="Times New Roman"/>
          <w:color w:val="auto"/>
          <w:highlight w:val="none"/>
        </w:rPr>
      </w:pPr>
      <w:r>
        <w:rPr>
          <w:rFonts w:cs="Times New Roman"/>
          <w:color w:val="auto"/>
          <w:highlight w:val="none"/>
        </w:rPr>
        <w:t>按照《环境影响评价技术导则</w:t>
      </w:r>
      <w:r>
        <w:rPr>
          <w:rFonts w:hint="eastAsia" w:cs="Times New Roman"/>
          <w:color w:val="auto"/>
          <w:highlight w:val="none"/>
        </w:rPr>
        <w:t>——</w:t>
      </w:r>
      <w:r>
        <w:rPr>
          <w:rFonts w:cs="Times New Roman"/>
          <w:color w:val="auto"/>
          <w:highlight w:val="none"/>
        </w:rPr>
        <w:t>大气环境》（HJ2.2-20</w:t>
      </w:r>
      <w:r>
        <w:rPr>
          <w:rFonts w:hint="eastAsia" w:cs="Times New Roman"/>
          <w:color w:val="auto"/>
          <w:highlight w:val="none"/>
        </w:rPr>
        <w:t>1</w:t>
      </w:r>
      <w:r>
        <w:rPr>
          <w:rFonts w:cs="Times New Roman"/>
          <w:color w:val="auto"/>
          <w:highlight w:val="none"/>
        </w:rPr>
        <w:t>8）</w:t>
      </w:r>
      <w:r>
        <w:rPr>
          <w:rFonts w:hint="eastAsia" w:cs="Times New Roman"/>
          <w:color w:val="auto"/>
          <w:highlight w:val="none"/>
        </w:rPr>
        <w:t>，</w:t>
      </w:r>
      <w:r>
        <w:rPr>
          <w:rFonts w:cs="Times New Roman"/>
          <w:color w:val="auto"/>
          <w:highlight w:val="none"/>
        </w:rPr>
        <w:t>大气环境影响评价工作等级判断如下表1.</w:t>
      </w:r>
      <w:r>
        <w:rPr>
          <w:rFonts w:hint="eastAsia" w:cs="Times New Roman"/>
          <w:color w:val="auto"/>
          <w:highlight w:val="none"/>
        </w:rPr>
        <w:t>7</w:t>
      </w:r>
      <w:r>
        <w:rPr>
          <w:rFonts w:cs="Times New Roman"/>
          <w:color w:val="auto"/>
          <w:highlight w:val="none"/>
        </w:rPr>
        <w:t>-</w:t>
      </w:r>
      <w:r>
        <w:rPr>
          <w:rFonts w:hint="eastAsia" w:cs="Times New Roman"/>
          <w:color w:val="auto"/>
          <w:highlight w:val="none"/>
        </w:rPr>
        <w:t>2</w:t>
      </w:r>
      <w:r>
        <w:rPr>
          <w:rFonts w:cs="Times New Roman"/>
          <w:color w:val="auto"/>
          <w:highlight w:val="none"/>
        </w:rPr>
        <w:t>所示：</w:t>
      </w:r>
    </w:p>
    <w:p>
      <w:pPr>
        <w:pStyle w:val="21"/>
        <w:rPr>
          <w:rFonts w:cs="Times New Roman"/>
          <w:color w:val="auto"/>
          <w:highlight w:val="none"/>
        </w:rPr>
      </w:pPr>
      <w:r>
        <w:rPr>
          <w:rFonts w:cs="Times New Roman"/>
          <w:color w:val="auto"/>
          <w:highlight w:val="none"/>
        </w:rPr>
        <w:t>表1.</w:t>
      </w:r>
      <w:r>
        <w:rPr>
          <w:rFonts w:hint="eastAsia" w:cs="Times New Roman"/>
          <w:color w:val="auto"/>
          <w:highlight w:val="none"/>
        </w:rPr>
        <w:t>7</w:t>
      </w:r>
      <w:r>
        <w:rPr>
          <w:rFonts w:cs="Times New Roman"/>
          <w:color w:val="auto"/>
          <w:highlight w:val="none"/>
        </w:rPr>
        <w:t>-</w:t>
      </w:r>
      <w:r>
        <w:rPr>
          <w:rFonts w:hint="eastAsia" w:cs="Times New Roman"/>
          <w:color w:val="auto"/>
          <w:highlight w:val="none"/>
        </w:rPr>
        <w:t>2</w:t>
      </w:r>
      <w:r>
        <w:rPr>
          <w:rFonts w:cs="Times New Roman"/>
          <w:color w:val="auto"/>
          <w:highlight w:val="none"/>
        </w:rPr>
        <w:t>大气环境影响评价等级</w:t>
      </w:r>
    </w:p>
    <w:tbl>
      <w:tblPr>
        <w:tblStyle w:val="24"/>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70"/>
        <w:gridCol w:w="59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2570" w:type="dxa"/>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评价工作等级</w:t>
            </w:r>
          </w:p>
        </w:tc>
        <w:tc>
          <w:tcPr>
            <w:tcW w:w="5958" w:type="dxa"/>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评价工作分级判据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0" w:type="dxa"/>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一级</w:t>
            </w:r>
          </w:p>
        </w:tc>
        <w:tc>
          <w:tcPr>
            <w:tcW w:w="5958" w:type="dxa"/>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Pmax≥10%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0" w:type="dxa"/>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二级</w:t>
            </w:r>
          </w:p>
        </w:tc>
        <w:tc>
          <w:tcPr>
            <w:tcW w:w="5958" w:type="dxa"/>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1%≤Pmax＜10%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0" w:type="dxa"/>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三级</w:t>
            </w:r>
          </w:p>
        </w:tc>
        <w:tc>
          <w:tcPr>
            <w:tcW w:w="5958" w:type="dxa"/>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Pmax＜1%</w:t>
            </w:r>
          </w:p>
        </w:tc>
      </w:tr>
    </w:tbl>
    <w:p>
      <w:pPr>
        <w:ind w:firstLine="480"/>
        <w:rPr>
          <w:rFonts w:cs="Times New Roman"/>
          <w:color w:val="auto"/>
          <w:highlight w:val="none"/>
        </w:rPr>
      </w:pPr>
      <w:r>
        <w:rPr>
          <w:rFonts w:cs="Times New Roman"/>
          <w:color w:val="auto"/>
          <w:highlight w:val="none"/>
        </w:rPr>
        <w:t>根据表1.7-1主要污染物最大地面质量浓度及占标率，结合表1.7-2大气环境影响评价等级判定依据，确定拟建工程大气环境评价等级为</w:t>
      </w:r>
      <w:r>
        <w:rPr>
          <w:rFonts w:hint="eastAsia" w:cs="Times New Roman"/>
          <w:color w:val="auto"/>
          <w:highlight w:val="none"/>
        </w:rPr>
        <w:t>二</w:t>
      </w:r>
      <w:r>
        <w:rPr>
          <w:rFonts w:cs="Times New Roman"/>
          <w:color w:val="auto"/>
          <w:highlight w:val="none"/>
        </w:rPr>
        <w:t>级。</w:t>
      </w:r>
    </w:p>
    <w:p>
      <w:pPr>
        <w:ind w:firstLine="480"/>
        <w:rPr>
          <w:rFonts w:cs="Times New Roman"/>
          <w:color w:val="auto"/>
          <w:szCs w:val="18"/>
          <w:highlight w:val="none"/>
        </w:rPr>
      </w:pPr>
      <w:r>
        <w:rPr>
          <w:rFonts w:hint="eastAsia" w:cs="Times New Roman"/>
          <w:color w:val="auto"/>
          <w:szCs w:val="18"/>
          <w:highlight w:val="none"/>
        </w:rPr>
        <w:t>（2）评价范围</w:t>
      </w:r>
    </w:p>
    <w:p>
      <w:pPr>
        <w:ind w:firstLine="480"/>
        <w:rPr>
          <w:rFonts w:cs="Times New Roman"/>
          <w:color w:val="auto"/>
          <w:highlight w:val="none"/>
        </w:rPr>
      </w:pPr>
      <w:r>
        <w:rPr>
          <w:rFonts w:hint="eastAsia" w:cs="Times New Roman"/>
          <w:color w:val="auto"/>
          <w:szCs w:val="18"/>
          <w:highlight w:val="none"/>
        </w:rPr>
        <w:t>根据《环境影响评价技术导则——大气环境》（HJ2.2-2018），本项目大气环境评价等级为二级，故二级评价项目大气环境影响评价范围为以场区中心点为中点，边长为5km的正方形区域范围内。</w:t>
      </w:r>
    </w:p>
    <w:p>
      <w:pPr>
        <w:pStyle w:val="5"/>
        <w:spacing w:before="66"/>
        <w:ind w:firstLine="482"/>
        <w:rPr>
          <w:color w:val="auto"/>
          <w:highlight w:val="none"/>
        </w:rPr>
      </w:pPr>
      <w:r>
        <w:rPr>
          <w:color w:val="auto"/>
          <w:highlight w:val="none"/>
        </w:rPr>
        <w:t>1.</w:t>
      </w:r>
      <w:r>
        <w:rPr>
          <w:rFonts w:hint="eastAsia"/>
          <w:color w:val="auto"/>
          <w:highlight w:val="none"/>
        </w:rPr>
        <w:t>7.</w:t>
      </w:r>
      <w:r>
        <w:rPr>
          <w:color w:val="auto"/>
          <w:highlight w:val="none"/>
        </w:rPr>
        <w:t>2地表水</w:t>
      </w:r>
    </w:p>
    <w:p>
      <w:pPr>
        <w:ind w:firstLine="480"/>
        <w:rPr>
          <w:rFonts w:cs="Times New Roman"/>
          <w:color w:val="auto"/>
          <w:highlight w:val="none"/>
        </w:rPr>
      </w:pPr>
      <w:r>
        <w:rPr>
          <w:rFonts w:hint="eastAsia" w:cs="Times New Roman"/>
          <w:color w:val="auto"/>
          <w:highlight w:val="none"/>
        </w:rPr>
        <w:t>（1）评价等级</w:t>
      </w:r>
    </w:p>
    <w:p>
      <w:pPr>
        <w:spacing w:line="520" w:lineRule="exact"/>
        <w:ind w:firstLine="480" w:firstLineChars="200"/>
        <w:rPr>
          <w:rFonts w:ascii="Times New Roman" w:hAnsi="Times New Roman"/>
          <w:color w:val="auto"/>
          <w:sz w:val="24"/>
          <w:szCs w:val="24"/>
          <w:highlight w:val="none"/>
        </w:rPr>
      </w:pPr>
      <w:r>
        <w:rPr>
          <w:rFonts w:hint="eastAsia" w:cs="Times New Roman"/>
          <w:color w:val="auto"/>
          <w:highlight w:val="none"/>
        </w:rPr>
        <w:t>拟建项目所产生的废水主要污染物为COD、BOD</w:t>
      </w:r>
      <w:r>
        <w:rPr>
          <w:rFonts w:hint="eastAsia" w:cs="Times New Roman"/>
          <w:color w:val="auto"/>
          <w:highlight w:val="none"/>
          <w:vertAlign w:val="subscript"/>
        </w:rPr>
        <w:t>5</w:t>
      </w:r>
      <w:r>
        <w:rPr>
          <w:rFonts w:hint="eastAsia" w:cs="Times New Roman"/>
          <w:color w:val="auto"/>
          <w:highlight w:val="none"/>
        </w:rPr>
        <w:t>、NH</w:t>
      </w:r>
      <w:r>
        <w:rPr>
          <w:rFonts w:hint="eastAsia" w:cs="Times New Roman"/>
          <w:color w:val="auto"/>
          <w:highlight w:val="none"/>
          <w:vertAlign w:val="subscript"/>
        </w:rPr>
        <w:t>3</w:t>
      </w:r>
      <w:r>
        <w:rPr>
          <w:rFonts w:hint="eastAsia" w:cs="Times New Roman"/>
          <w:color w:val="auto"/>
          <w:highlight w:val="none"/>
        </w:rPr>
        <w:t>-N</w:t>
      </w:r>
      <w:r>
        <w:rPr>
          <w:rFonts w:hint="eastAsia" w:cs="Times New Roman"/>
          <w:color w:val="auto"/>
          <w:highlight w:val="none"/>
          <w:lang w:eastAsia="zh-CN"/>
        </w:rPr>
        <w:t>、</w:t>
      </w:r>
      <w:r>
        <w:rPr>
          <w:rFonts w:hint="eastAsia" w:cs="Times New Roman"/>
          <w:color w:val="auto"/>
          <w:highlight w:val="none"/>
          <w:lang w:val="en-US" w:eastAsia="zh-CN"/>
        </w:rPr>
        <w:t>SS</w:t>
      </w:r>
      <w:r>
        <w:rPr>
          <w:rFonts w:hint="eastAsia" w:cs="Times New Roman"/>
          <w:color w:val="auto"/>
          <w:highlight w:val="none"/>
        </w:rPr>
        <w:t>等，全部实现综合利用，无废水外排。根据《环境影响评价技术导则—地表水环境》（HJ2.3-2018）表1中所列出的地面水环境影响评价分级判据标准</w:t>
      </w:r>
      <w:r>
        <w:rPr>
          <w:rFonts w:hint="eastAsia" w:cs="Times New Roman"/>
          <w:color w:val="auto"/>
          <w:highlight w:val="none"/>
          <w:lang w:eastAsia="zh-CN"/>
        </w:rPr>
        <w:t>，</w:t>
      </w:r>
      <w:r>
        <w:rPr>
          <w:rFonts w:ascii="Times New Roman" w:hAnsi="Times New Roman"/>
          <w:color w:val="auto"/>
          <w:sz w:val="24"/>
          <w:szCs w:val="24"/>
          <w:highlight w:val="none"/>
        </w:rPr>
        <w:t>本项目地面水环境影响评价工作等级确定因素见</w:t>
      </w:r>
      <w:r>
        <w:rPr>
          <w:rFonts w:hint="eastAsia" w:ascii="Times New Roman" w:hAnsi="Times New Roman"/>
          <w:color w:val="auto"/>
          <w:sz w:val="24"/>
          <w:szCs w:val="24"/>
          <w:highlight w:val="none"/>
          <w:lang w:eastAsia="zh-CN"/>
        </w:rPr>
        <w:t>表</w:t>
      </w:r>
      <w:r>
        <w:rPr>
          <w:rFonts w:hint="eastAsia" w:ascii="Times New Roman" w:hAnsi="Times New Roman"/>
          <w:color w:val="auto"/>
          <w:sz w:val="24"/>
          <w:szCs w:val="24"/>
          <w:highlight w:val="none"/>
          <w:lang w:val="en-US" w:eastAsia="zh-CN"/>
        </w:rPr>
        <w:t>1.7-3</w:t>
      </w:r>
      <w:r>
        <w:rPr>
          <w:rFonts w:ascii="Times New Roman" w:hAnsi="Times New Roman"/>
          <w:color w:val="auto"/>
          <w:sz w:val="24"/>
          <w:szCs w:val="24"/>
          <w:highlight w:val="none"/>
        </w:rPr>
        <w:t>。</w:t>
      </w:r>
    </w:p>
    <w:p>
      <w:pPr>
        <w:pStyle w:val="21"/>
        <w:rPr>
          <w:rFonts w:cs="Times New Roman"/>
          <w:color w:val="auto"/>
          <w:highlight w:val="none"/>
        </w:rPr>
      </w:pPr>
      <w:bookmarkStart w:id="9" w:name="_Ref478120750"/>
      <w:r>
        <w:rPr>
          <w:rFonts w:cs="Times New Roman"/>
          <w:color w:val="auto"/>
          <w:highlight w:val="none"/>
        </w:rPr>
        <w:t xml:space="preserve">表 </w:t>
      </w:r>
      <w:bookmarkEnd w:id="9"/>
      <w:r>
        <w:rPr>
          <w:rFonts w:cs="Times New Roman"/>
          <w:color w:val="auto"/>
          <w:highlight w:val="none"/>
        </w:rPr>
        <w:t>1</w:t>
      </w:r>
      <w:r>
        <w:rPr>
          <w:rFonts w:hint="eastAsia" w:cs="Times New Roman"/>
          <w:color w:val="auto"/>
          <w:highlight w:val="none"/>
          <w:lang w:val="en-US" w:eastAsia="zh-CN"/>
        </w:rPr>
        <w:t>.7</w:t>
      </w:r>
      <w:r>
        <w:rPr>
          <w:rFonts w:cs="Times New Roman"/>
          <w:color w:val="auto"/>
          <w:highlight w:val="none"/>
        </w:rPr>
        <w:t>-</w:t>
      </w:r>
      <w:r>
        <w:rPr>
          <w:rFonts w:hint="eastAsia" w:cs="Times New Roman"/>
          <w:color w:val="auto"/>
          <w:highlight w:val="none"/>
          <w:lang w:val="en-US" w:eastAsia="zh-CN"/>
        </w:rPr>
        <w:t>3</w:t>
      </w:r>
      <w:r>
        <w:rPr>
          <w:rFonts w:cs="Times New Roman"/>
          <w:color w:val="auto"/>
          <w:highlight w:val="none"/>
        </w:rPr>
        <w:t xml:space="preserve"> 地表水环境评价工作等级判定表</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79"/>
        <w:gridCol w:w="3413"/>
        <w:gridCol w:w="31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2" w:type="pct"/>
            <w:vMerge w:val="restart"/>
            <w:noWrap/>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判定等级</w:t>
            </w:r>
          </w:p>
        </w:tc>
        <w:tc>
          <w:tcPr>
            <w:tcW w:w="3837" w:type="pct"/>
            <w:gridSpan w:val="2"/>
            <w:noWrap/>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判定依据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2" w:type="pct"/>
            <w:vMerge w:val="continue"/>
            <w:noWrap/>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p>
        </w:tc>
        <w:tc>
          <w:tcPr>
            <w:tcW w:w="2004"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排放方式</w:t>
            </w:r>
          </w:p>
        </w:tc>
        <w:tc>
          <w:tcPr>
            <w:tcW w:w="1833"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废水排放量Q/（m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lang w:val="en-US" w:eastAsia="zh-CN"/>
              </w:rPr>
              <w:t>/d）；</w:t>
            </w:r>
          </w:p>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水污染物当量数W/（无量纲）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2"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一级</w:t>
            </w:r>
          </w:p>
        </w:tc>
        <w:tc>
          <w:tcPr>
            <w:tcW w:w="2004"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直接排放</w:t>
            </w:r>
          </w:p>
        </w:tc>
        <w:tc>
          <w:tcPr>
            <w:tcW w:w="1833"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Q≥20000或W≥600000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2"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二级</w:t>
            </w:r>
          </w:p>
        </w:tc>
        <w:tc>
          <w:tcPr>
            <w:tcW w:w="2004"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直接排放</w:t>
            </w:r>
          </w:p>
        </w:tc>
        <w:tc>
          <w:tcPr>
            <w:tcW w:w="1833"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2"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三级A</w:t>
            </w:r>
          </w:p>
        </w:tc>
        <w:tc>
          <w:tcPr>
            <w:tcW w:w="2004"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直接排放</w:t>
            </w:r>
          </w:p>
        </w:tc>
        <w:tc>
          <w:tcPr>
            <w:tcW w:w="1833"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Q﹤200且W﹤6000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2"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三级B</w:t>
            </w:r>
          </w:p>
        </w:tc>
        <w:tc>
          <w:tcPr>
            <w:tcW w:w="2004"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间接排放</w:t>
            </w:r>
          </w:p>
        </w:tc>
        <w:tc>
          <w:tcPr>
            <w:tcW w:w="1833"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2" w:type="pct"/>
            <w:noWrap/>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w:t>
            </w:r>
          </w:p>
        </w:tc>
        <w:tc>
          <w:tcPr>
            <w:tcW w:w="3837" w:type="pct"/>
            <w:gridSpan w:val="2"/>
            <w:noWrap/>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有废水产生，但综合利用，不排放到外环境，按三级B评价</w:t>
            </w:r>
          </w:p>
        </w:tc>
      </w:tr>
    </w:tbl>
    <w:p>
      <w:pPr>
        <w:ind w:firstLine="480"/>
        <w:rPr>
          <w:rFonts w:cs="Times New Roman"/>
          <w:color w:val="auto"/>
          <w:highlight w:val="none"/>
        </w:rPr>
      </w:pPr>
      <w:r>
        <w:rPr>
          <w:rFonts w:hint="eastAsia" w:cs="Times New Roman"/>
          <w:color w:val="auto"/>
          <w:highlight w:val="none"/>
          <w:lang w:eastAsia="zh-CN"/>
        </w:rPr>
        <w:t>由上表可知本项目为间接排放，</w:t>
      </w:r>
      <w:r>
        <w:rPr>
          <w:rFonts w:hint="eastAsia" w:cs="Times New Roman"/>
          <w:color w:val="auto"/>
          <w:highlight w:val="none"/>
        </w:rPr>
        <w:t>评价等级为三级B。重点针对污水处理综合利用的措施、途径及利用的可行性进行分析。</w:t>
      </w:r>
    </w:p>
    <w:p>
      <w:pPr>
        <w:pStyle w:val="5"/>
        <w:spacing w:before="66"/>
        <w:ind w:firstLine="482"/>
        <w:rPr>
          <w:color w:val="auto"/>
          <w:highlight w:val="none"/>
        </w:rPr>
      </w:pPr>
      <w:r>
        <w:rPr>
          <w:color w:val="auto"/>
          <w:highlight w:val="none"/>
        </w:rPr>
        <w:t>1.</w:t>
      </w:r>
      <w:r>
        <w:rPr>
          <w:rFonts w:hint="eastAsia"/>
          <w:color w:val="auto"/>
          <w:highlight w:val="none"/>
        </w:rPr>
        <w:t>7.</w:t>
      </w:r>
      <w:r>
        <w:rPr>
          <w:color w:val="auto"/>
          <w:highlight w:val="none"/>
        </w:rPr>
        <w:t>3地下水</w:t>
      </w:r>
    </w:p>
    <w:p>
      <w:pPr>
        <w:ind w:firstLine="480"/>
        <w:rPr>
          <w:rFonts w:cs="Times New Roman"/>
          <w:color w:val="auto"/>
          <w:highlight w:val="none"/>
        </w:rPr>
      </w:pPr>
      <w:r>
        <w:rPr>
          <w:rFonts w:hint="eastAsia" w:cs="Times New Roman"/>
          <w:color w:val="auto"/>
          <w:highlight w:val="none"/>
        </w:rPr>
        <w:t>（1）评价等级</w:t>
      </w:r>
    </w:p>
    <w:p>
      <w:pPr>
        <w:ind w:firstLine="480"/>
        <w:rPr>
          <w:rFonts w:cs="Times New Roman"/>
          <w:color w:val="auto"/>
          <w:highlight w:val="none"/>
        </w:rPr>
      </w:pPr>
      <w:r>
        <w:rPr>
          <w:rFonts w:cs="Times New Roman"/>
          <w:color w:val="auto"/>
          <w:highlight w:val="none"/>
        </w:rPr>
        <w:t>根据《环境影响评价技术导则</w:t>
      </w:r>
      <w:r>
        <w:rPr>
          <w:rFonts w:hint="eastAsia" w:cs="Times New Roman"/>
          <w:color w:val="auto"/>
          <w:highlight w:val="none"/>
        </w:rPr>
        <w:t>——</w:t>
      </w:r>
      <w:r>
        <w:rPr>
          <w:rFonts w:cs="Times New Roman"/>
          <w:color w:val="auto"/>
          <w:highlight w:val="none"/>
        </w:rPr>
        <w:t>地下水环境》</w:t>
      </w:r>
      <w:r>
        <w:rPr>
          <w:rFonts w:hint="eastAsia" w:ascii="宋体" w:hAnsi="宋体" w:cs="宋体"/>
          <w:color w:val="auto"/>
          <w:highlight w:val="none"/>
        </w:rPr>
        <w:t>(</w:t>
      </w:r>
      <w:r>
        <w:rPr>
          <w:rFonts w:cs="Times New Roman"/>
          <w:color w:val="auto"/>
          <w:highlight w:val="none"/>
        </w:rPr>
        <w:t>HJ610-2016</w:t>
      </w:r>
      <w:r>
        <w:rPr>
          <w:rFonts w:hint="eastAsia" w:cs="Times New Roman"/>
          <w:color w:val="auto"/>
          <w:highlight w:val="none"/>
        </w:rPr>
        <w:t>）地下水环境影响评价工作分级的规定，地下水评价工作等级的划分应依据建设项目行业分类和地下水环境敏感程度分级进行判定，可划分为一、二、三级。</w:t>
      </w:r>
    </w:p>
    <w:p>
      <w:pPr>
        <w:ind w:firstLine="480"/>
        <w:rPr>
          <w:rFonts w:cs="Times New Roman"/>
          <w:color w:val="auto"/>
          <w:highlight w:val="none"/>
        </w:rPr>
      </w:pPr>
      <w:r>
        <w:rPr>
          <w:rFonts w:hint="eastAsia" w:cs="Times New Roman"/>
          <w:color w:val="auto"/>
          <w:highlight w:val="none"/>
        </w:rPr>
        <w:t>根据《环境影响评价技术导则 地下水环境》（HJ610-2016）附录A确定的本项目所属的地下水环境影响评价项目类别为Ⅲ类。</w:t>
      </w:r>
    </w:p>
    <w:p>
      <w:pPr>
        <w:ind w:firstLine="480"/>
        <w:rPr>
          <w:rFonts w:cs="Times New Roman"/>
          <w:color w:val="auto"/>
          <w:highlight w:val="none"/>
        </w:rPr>
      </w:pPr>
      <w:r>
        <w:rPr>
          <w:rFonts w:hint="eastAsia" w:cs="Times New Roman"/>
          <w:color w:val="auto"/>
          <w:highlight w:val="none"/>
        </w:rPr>
        <w:t>项目所在地地下水环境敏感程度分级表见表1.7-4。</w:t>
      </w:r>
    </w:p>
    <w:p>
      <w:pPr>
        <w:pStyle w:val="21"/>
        <w:rPr>
          <w:rFonts w:cs="Times New Roman"/>
          <w:color w:val="auto"/>
          <w:highlight w:val="none"/>
        </w:rPr>
      </w:pPr>
      <w:r>
        <w:rPr>
          <w:rFonts w:cs="Times New Roman"/>
          <w:color w:val="auto"/>
          <w:highlight w:val="none"/>
        </w:rPr>
        <w:t>表1.</w:t>
      </w:r>
      <w:r>
        <w:rPr>
          <w:rFonts w:hint="eastAsia" w:cs="Times New Roman"/>
          <w:color w:val="auto"/>
          <w:highlight w:val="none"/>
        </w:rPr>
        <w:t>7</w:t>
      </w:r>
      <w:r>
        <w:rPr>
          <w:rFonts w:cs="Times New Roman"/>
          <w:color w:val="auto"/>
          <w:highlight w:val="none"/>
        </w:rPr>
        <w:t>-4</w:t>
      </w:r>
      <w:r>
        <w:rPr>
          <w:rFonts w:hint="eastAsia" w:cs="Times New Roman"/>
          <w:color w:val="auto"/>
          <w:highlight w:val="none"/>
          <w:lang w:val="en-US" w:eastAsia="zh-CN"/>
        </w:rPr>
        <w:t xml:space="preserve"> </w:t>
      </w:r>
      <w:r>
        <w:rPr>
          <w:rFonts w:cs="Times New Roman"/>
          <w:color w:val="auto"/>
          <w:highlight w:val="none"/>
        </w:rPr>
        <w:t>项目地下水环境评价等级判定表</w:t>
      </w:r>
    </w:p>
    <w:tbl>
      <w:tblPr>
        <w:tblStyle w:val="24"/>
        <w:tblW w:w="850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515"/>
        <w:gridCol w:w="699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15"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敏感程度</w:t>
            </w:r>
          </w:p>
        </w:tc>
        <w:tc>
          <w:tcPr>
            <w:tcW w:w="6990"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地下水环境敏感特征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15"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敏感</w:t>
            </w:r>
          </w:p>
        </w:tc>
        <w:tc>
          <w:tcPr>
            <w:tcW w:w="6990"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集中式饮用水水源（包括已建成的在用、备用、应急水源，在建和规划的饮用水水源）准保护区；除集中式饮用水水源以外的国家或地方政府设定的地下水环境相关的其它保护区，如热水、矿泉水、温泉等特殊地下水资源保护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15"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较敏感</w:t>
            </w:r>
          </w:p>
        </w:tc>
        <w:tc>
          <w:tcPr>
            <w:tcW w:w="6990"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集中式饮用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15"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不敏感</w:t>
            </w:r>
          </w:p>
        </w:tc>
        <w:tc>
          <w:tcPr>
            <w:tcW w:w="6990"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上述地区之外的其它地区。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05" w:type="dxa"/>
            <w:gridSpan w:val="2"/>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注：a“环境敏感区”是指《建设项目环境影响评价分类管理名录》中所界定的涉及地下水的环境敏感区。</w:t>
            </w:r>
          </w:p>
        </w:tc>
      </w:tr>
    </w:tbl>
    <w:p>
      <w:pPr>
        <w:ind w:firstLine="480"/>
        <w:rPr>
          <w:rFonts w:hint="eastAsia" w:cs="Times New Roman"/>
          <w:color w:val="auto"/>
          <w:highlight w:val="none"/>
        </w:rPr>
      </w:pPr>
      <w:r>
        <w:rPr>
          <w:rFonts w:hint="eastAsia" w:cs="Times New Roman"/>
          <w:color w:val="auto"/>
          <w:highlight w:val="none"/>
        </w:rPr>
        <w:t>根据表1.7-4，</w:t>
      </w:r>
      <w:r>
        <w:rPr>
          <w:rFonts w:hint="eastAsia" w:cs="Times New Roman"/>
          <w:color w:val="auto"/>
          <w:highlight w:val="none"/>
          <w:lang w:eastAsia="zh-CN"/>
        </w:rPr>
        <w:t>本项目</w:t>
      </w:r>
      <w:r>
        <w:rPr>
          <w:rFonts w:hint="eastAsia" w:cs="Times New Roman"/>
          <w:color w:val="auto"/>
          <w:highlight w:val="none"/>
        </w:rPr>
        <w:t>不在</w:t>
      </w:r>
      <w:r>
        <w:rPr>
          <w:rFonts w:hint="eastAsia" w:cs="Times New Roman"/>
          <w:color w:val="auto"/>
          <w:highlight w:val="none"/>
          <w:lang w:eastAsia="zh-CN"/>
        </w:rPr>
        <w:t>平舆</w:t>
      </w:r>
      <w:r>
        <w:rPr>
          <w:rFonts w:hint="eastAsia" w:cs="Times New Roman"/>
          <w:color w:val="auto"/>
          <w:highlight w:val="none"/>
        </w:rPr>
        <w:t>县集中饮用水源地一级保护区、二级保护区范围内，不属于热水、矿泉水、温泉等特殊地下水源保护区，亦非</w:t>
      </w:r>
      <w:r>
        <w:rPr>
          <w:rFonts w:hint="eastAsia" w:cs="Times New Roman"/>
          <w:color w:val="auto"/>
          <w:highlight w:val="none"/>
          <w:lang w:eastAsia="zh-CN"/>
        </w:rPr>
        <w:t>平舆</w:t>
      </w:r>
      <w:r>
        <w:rPr>
          <w:rFonts w:hint="eastAsia" w:cs="Times New Roman"/>
          <w:color w:val="auto"/>
          <w:highlight w:val="none"/>
        </w:rPr>
        <w:t>县地下水集中饮用水源地主要补给区和径流区。同时项目场地距离最近分散居民饮用水源为</w:t>
      </w:r>
      <w:r>
        <w:rPr>
          <w:rFonts w:hint="eastAsia" w:cs="Times New Roman"/>
          <w:color w:val="auto"/>
          <w:highlight w:val="none"/>
          <w:lang w:eastAsia="zh-CN"/>
        </w:rPr>
        <w:t>东北</w:t>
      </w:r>
      <w:r>
        <w:rPr>
          <w:rFonts w:hint="eastAsia" w:cs="Times New Roman"/>
          <w:color w:val="auto"/>
          <w:highlight w:val="none"/>
        </w:rPr>
        <w:t>侧</w:t>
      </w:r>
      <w:r>
        <w:rPr>
          <w:rFonts w:hint="eastAsia" w:cs="Times New Roman"/>
          <w:color w:val="auto"/>
          <w:highlight w:val="none"/>
          <w:lang w:val="en-US" w:eastAsia="zh-CN"/>
        </w:rPr>
        <w:t>420m处的吴自岐庄</w:t>
      </w:r>
      <w:r>
        <w:rPr>
          <w:rFonts w:hint="eastAsia" w:cs="Times New Roman"/>
          <w:color w:val="auto"/>
          <w:highlight w:val="none"/>
        </w:rPr>
        <w:t>村民自备水井，项目场地地下水敏感程度为较敏感。依据建设项目类别和地下水敏感程度，地下水环境影响评价工作等级为三级。</w:t>
      </w:r>
    </w:p>
    <w:p>
      <w:pPr>
        <w:ind w:firstLine="480"/>
        <w:rPr>
          <w:rFonts w:cs="Times New Roman"/>
          <w:color w:val="auto"/>
          <w:highlight w:val="none"/>
        </w:rPr>
      </w:pPr>
      <w:r>
        <w:rPr>
          <w:rFonts w:hint="eastAsia" w:cs="Times New Roman"/>
          <w:color w:val="auto"/>
          <w:highlight w:val="none"/>
        </w:rPr>
        <w:t>根据《环境影响评价技术导则—地下水环境》（HJ610-2016）规定，判定本项目地下水评价工作等级为三级，详见表1.7-5。</w:t>
      </w:r>
    </w:p>
    <w:p>
      <w:pPr>
        <w:pStyle w:val="21"/>
        <w:rPr>
          <w:rFonts w:cs="Times New Roman"/>
          <w:color w:val="auto"/>
          <w:highlight w:val="none"/>
        </w:rPr>
      </w:pPr>
      <w:r>
        <w:rPr>
          <w:rFonts w:cs="Times New Roman"/>
          <w:color w:val="auto"/>
          <w:highlight w:val="none"/>
        </w:rPr>
        <w:t>表1.</w:t>
      </w:r>
      <w:r>
        <w:rPr>
          <w:rFonts w:hint="eastAsia" w:cs="Times New Roman"/>
          <w:color w:val="auto"/>
          <w:highlight w:val="none"/>
        </w:rPr>
        <w:t>7</w:t>
      </w:r>
      <w:r>
        <w:rPr>
          <w:rFonts w:cs="Times New Roman"/>
          <w:color w:val="auto"/>
          <w:highlight w:val="none"/>
        </w:rPr>
        <w:t>-</w:t>
      </w:r>
      <w:r>
        <w:rPr>
          <w:rFonts w:hint="eastAsia" w:cs="Times New Roman"/>
          <w:color w:val="auto"/>
          <w:highlight w:val="none"/>
        </w:rPr>
        <w:t>5</w:t>
      </w:r>
      <w:r>
        <w:rPr>
          <w:rFonts w:hint="eastAsia" w:cs="Times New Roman"/>
          <w:color w:val="auto"/>
          <w:highlight w:val="none"/>
          <w:lang w:val="en-US" w:eastAsia="zh-CN"/>
        </w:rPr>
        <w:t xml:space="preserve"> </w:t>
      </w:r>
      <w:r>
        <w:rPr>
          <w:rFonts w:cs="Times New Roman"/>
          <w:color w:val="auto"/>
          <w:highlight w:val="none"/>
        </w:rPr>
        <w:t>项目地下水环境评价等级判定表</w:t>
      </w:r>
    </w:p>
    <w:tbl>
      <w:tblPr>
        <w:tblStyle w:val="24"/>
        <w:tblW w:w="823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207"/>
        <w:gridCol w:w="2144"/>
        <w:gridCol w:w="1943"/>
        <w:gridCol w:w="194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07" w:type="dxa"/>
            <w:tcBorders>
              <w:tl2br w:val="single" w:color="000000" w:sz="4" w:space="0"/>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项目类别</w:t>
            </w:r>
          </w:p>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环境敏感程度</w:t>
            </w:r>
          </w:p>
        </w:tc>
        <w:tc>
          <w:tcPr>
            <w:tcW w:w="2144"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I类项目</w:t>
            </w:r>
          </w:p>
        </w:tc>
        <w:tc>
          <w:tcPr>
            <w:tcW w:w="1943"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II类项目</w:t>
            </w:r>
          </w:p>
        </w:tc>
        <w:tc>
          <w:tcPr>
            <w:tcW w:w="1943"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III类项目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07"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敏感</w:t>
            </w:r>
          </w:p>
        </w:tc>
        <w:tc>
          <w:tcPr>
            <w:tcW w:w="2144"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w:t>
            </w:r>
          </w:p>
        </w:tc>
        <w:tc>
          <w:tcPr>
            <w:tcW w:w="1943"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w:t>
            </w:r>
          </w:p>
        </w:tc>
        <w:tc>
          <w:tcPr>
            <w:tcW w:w="1943"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07"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较敏感</w:t>
            </w:r>
          </w:p>
        </w:tc>
        <w:tc>
          <w:tcPr>
            <w:tcW w:w="2144"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w:t>
            </w:r>
          </w:p>
        </w:tc>
        <w:tc>
          <w:tcPr>
            <w:tcW w:w="1943"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w:t>
            </w:r>
          </w:p>
        </w:tc>
        <w:tc>
          <w:tcPr>
            <w:tcW w:w="1943" w:type="dxa"/>
            <w:tcBorders>
              <w:tl2br w:val="nil"/>
              <w:tr2bl w:val="nil"/>
            </w:tcBorders>
            <w:shd w:val="clear" w:color="auto" w:fill="7F7F7F" w:themeFill="text1" w:themeFillTint="7F"/>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07"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不敏感</w:t>
            </w:r>
          </w:p>
        </w:tc>
        <w:tc>
          <w:tcPr>
            <w:tcW w:w="2144"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w:t>
            </w:r>
          </w:p>
        </w:tc>
        <w:tc>
          <w:tcPr>
            <w:tcW w:w="1943"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三</w:t>
            </w:r>
          </w:p>
        </w:tc>
        <w:tc>
          <w:tcPr>
            <w:tcW w:w="1943" w:type="dxa"/>
            <w:tcBorders>
              <w:tl2br w:val="nil"/>
              <w:tr2bl w:val="nil"/>
            </w:tcBorders>
            <w:shd w:val="clear" w:color="auto" w:fill="auto"/>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三</w:t>
            </w:r>
          </w:p>
        </w:tc>
      </w:tr>
    </w:tbl>
    <w:p>
      <w:pPr>
        <w:numPr>
          <w:ilvl w:val="0"/>
          <w:numId w:val="4"/>
        </w:numPr>
        <w:ind w:firstLine="480"/>
        <w:rPr>
          <w:color w:val="auto"/>
          <w:highlight w:val="none"/>
        </w:rPr>
      </w:pPr>
      <w:r>
        <w:rPr>
          <w:rFonts w:hint="eastAsia"/>
          <w:color w:val="auto"/>
          <w:highlight w:val="none"/>
        </w:rPr>
        <w:t>评价范围</w:t>
      </w:r>
    </w:p>
    <w:p>
      <w:pPr>
        <w:ind w:firstLine="480"/>
        <w:contextualSpacing/>
        <w:rPr>
          <w:rFonts w:cs="Times New Roman"/>
          <w:color w:val="auto"/>
          <w:highlight w:val="none"/>
        </w:rPr>
      </w:pPr>
      <w:r>
        <w:rPr>
          <w:rFonts w:hint="eastAsia" w:cs="Times New Roman"/>
          <w:color w:val="auto"/>
          <w:highlight w:val="none"/>
        </w:rPr>
        <w:t>根据</w:t>
      </w:r>
      <w:r>
        <w:rPr>
          <w:rFonts w:cs="Times New Roman"/>
          <w:color w:val="auto"/>
          <w:highlight w:val="none"/>
        </w:rPr>
        <w:t>《环境影响评价技术导则地下水环境》</w:t>
      </w:r>
      <w:r>
        <w:rPr>
          <w:rFonts w:hint="eastAsia" w:cs="Times New Roman"/>
          <w:color w:val="auto"/>
          <w:highlight w:val="none"/>
        </w:rPr>
        <w:t>（HJ610-2016）8.2.2.1节规定“建设项目（除线性工程外）地下水环境影响现状调查评价范围可采用公式计算法、查表法和自定义法确定。当建设项目所在地水文地质条件相对简单，且所掌握的资料能够满足公式计算法的要求时，应采用公式计算法确定；当不满足公式计算法的要求时，可采用查表法确定，当计算或查表法超出所处水文地质单元边界时，应以所处水文地质单元边界为宜”。</w:t>
      </w:r>
    </w:p>
    <w:p>
      <w:pPr>
        <w:ind w:firstLine="480"/>
        <w:contextualSpacing/>
        <w:rPr>
          <w:rFonts w:cs="Times New Roman"/>
          <w:color w:val="auto"/>
          <w:highlight w:val="none"/>
        </w:rPr>
      </w:pPr>
      <w:r>
        <w:rPr>
          <w:rFonts w:hint="eastAsia" w:cs="Times New Roman"/>
          <w:color w:val="auto"/>
          <w:highlight w:val="none"/>
        </w:rPr>
        <w:t>本项目所掌握的资料不能满足公式计算法的要求，不宜采用公式计算法，本项目采用查表法确定地下水调查评价范围，故本项目地下水调查范围确定如下：</w:t>
      </w:r>
    </w:p>
    <w:p>
      <w:pPr>
        <w:ind w:firstLine="480"/>
        <w:contextualSpacing/>
        <w:rPr>
          <w:rFonts w:cs="Times New Roman"/>
          <w:color w:val="auto"/>
          <w:highlight w:val="none"/>
        </w:rPr>
      </w:pPr>
      <w:r>
        <w:rPr>
          <w:rFonts w:hint="eastAsia" w:cs="Times New Roman"/>
          <w:color w:val="auto"/>
          <w:highlight w:val="none"/>
        </w:rPr>
        <w:t>项目所在区域≤6km</w:t>
      </w:r>
      <w:r>
        <w:rPr>
          <w:rFonts w:hint="eastAsia" w:cs="Times New Roman"/>
          <w:color w:val="auto"/>
          <w:highlight w:val="none"/>
          <w:vertAlign w:val="superscript"/>
        </w:rPr>
        <w:t>2</w:t>
      </w:r>
      <w:r>
        <w:rPr>
          <w:rFonts w:hint="eastAsia" w:cs="Times New Roman"/>
          <w:color w:val="auto"/>
          <w:highlight w:val="none"/>
        </w:rPr>
        <w:t>的范围。</w:t>
      </w:r>
    </w:p>
    <w:p>
      <w:pPr>
        <w:pStyle w:val="5"/>
        <w:spacing w:before="66"/>
        <w:ind w:firstLine="482"/>
        <w:rPr>
          <w:color w:val="auto"/>
          <w:highlight w:val="none"/>
        </w:rPr>
      </w:pPr>
      <w:r>
        <w:rPr>
          <w:color w:val="auto"/>
          <w:highlight w:val="none"/>
        </w:rPr>
        <w:t>1.</w:t>
      </w:r>
      <w:r>
        <w:rPr>
          <w:rFonts w:hint="eastAsia"/>
          <w:color w:val="auto"/>
          <w:highlight w:val="none"/>
        </w:rPr>
        <w:t>7.</w:t>
      </w:r>
      <w:r>
        <w:rPr>
          <w:color w:val="auto"/>
          <w:highlight w:val="none"/>
        </w:rPr>
        <w:t>4声环境</w:t>
      </w:r>
      <w:r>
        <w:rPr>
          <w:rFonts w:hint="eastAsia"/>
          <w:color w:val="auto"/>
          <w:highlight w:val="none"/>
        </w:rPr>
        <w:t xml:space="preserve">   </w:t>
      </w:r>
    </w:p>
    <w:p>
      <w:pPr>
        <w:ind w:firstLine="480"/>
        <w:rPr>
          <w:rFonts w:cs="Times New Roman"/>
          <w:color w:val="auto"/>
          <w:szCs w:val="18"/>
          <w:highlight w:val="none"/>
        </w:rPr>
      </w:pPr>
      <w:r>
        <w:rPr>
          <w:rFonts w:hint="eastAsia" w:cs="Times New Roman"/>
          <w:color w:val="auto"/>
          <w:szCs w:val="18"/>
          <w:highlight w:val="none"/>
        </w:rPr>
        <w:t>（1）评价等级</w:t>
      </w:r>
    </w:p>
    <w:p>
      <w:pPr>
        <w:ind w:firstLine="480"/>
        <w:rPr>
          <w:rFonts w:cs="Times New Roman"/>
          <w:color w:val="auto"/>
          <w:szCs w:val="18"/>
          <w:highlight w:val="none"/>
        </w:rPr>
      </w:pPr>
      <w:r>
        <w:rPr>
          <w:rFonts w:cs="Times New Roman"/>
          <w:color w:val="auto"/>
          <w:szCs w:val="18"/>
          <w:highlight w:val="none"/>
        </w:rPr>
        <w:t>评价范围内敏感目标噪声级增高量在</w:t>
      </w:r>
      <w:r>
        <w:rPr>
          <w:rFonts w:hint="eastAsia" w:ascii="宋体" w:hAnsi="宋体" w:eastAsia="宋体" w:cs="宋体"/>
          <w:color w:val="auto"/>
          <w:szCs w:val="18"/>
          <w:highlight w:val="none"/>
        </w:rPr>
        <w:t>&lt;</w:t>
      </w:r>
      <w:r>
        <w:rPr>
          <w:rFonts w:cs="Times New Roman"/>
          <w:color w:val="auto"/>
          <w:szCs w:val="18"/>
          <w:highlight w:val="none"/>
        </w:rPr>
        <w:t>3dB</w:t>
      </w:r>
      <w:r>
        <w:rPr>
          <w:rFonts w:hint="eastAsia" w:asciiTheme="minorEastAsia" w:hAnsiTheme="minorEastAsia" w:eastAsiaTheme="minorEastAsia" w:cstheme="minorEastAsia"/>
          <w:color w:val="auto"/>
          <w:szCs w:val="18"/>
          <w:highlight w:val="none"/>
          <w:lang w:eastAsia="zh-CN"/>
        </w:rPr>
        <w:t>（</w:t>
      </w:r>
      <w:r>
        <w:rPr>
          <w:rFonts w:hint="default" w:ascii="Times New Roman" w:hAnsi="Times New Roman" w:cs="Times New Roman" w:eastAsiaTheme="minorEastAsia"/>
          <w:color w:val="auto"/>
          <w:szCs w:val="18"/>
          <w:highlight w:val="none"/>
          <w:lang w:val="en-US" w:eastAsia="zh-CN"/>
        </w:rPr>
        <w:t>A</w:t>
      </w:r>
      <w:r>
        <w:rPr>
          <w:rFonts w:hint="eastAsia" w:asciiTheme="minorEastAsia" w:hAnsiTheme="minorEastAsia" w:eastAsiaTheme="minorEastAsia" w:cstheme="minorEastAsia"/>
          <w:color w:val="auto"/>
          <w:szCs w:val="18"/>
          <w:highlight w:val="none"/>
          <w:lang w:eastAsia="zh-CN"/>
        </w:rPr>
        <w:t>）</w:t>
      </w:r>
      <w:r>
        <w:rPr>
          <w:rFonts w:hint="eastAsia" w:cs="Times New Roman"/>
          <w:color w:val="auto"/>
          <w:szCs w:val="18"/>
          <w:highlight w:val="none"/>
          <w:lang w:eastAsia="zh-CN"/>
        </w:rPr>
        <w:t>，</w:t>
      </w:r>
      <w:r>
        <w:rPr>
          <w:rFonts w:cs="Times New Roman"/>
          <w:color w:val="auto"/>
          <w:szCs w:val="18"/>
          <w:highlight w:val="none"/>
        </w:rPr>
        <w:t>项目位于声环境功能</w:t>
      </w:r>
      <w:r>
        <w:rPr>
          <w:rFonts w:hint="eastAsia" w:cs="Times New Roman"/>
          <w:color w:val="auto"/>
          <w:szCs w:val="18"/>
          <w:highlight w:val="none"/>
          <w:lang w:val="en-US" w:eastAsia="zh-CN"/>
        </w:rPr>
        <w:t>2</w:t>
      </w:r>
      <w:r>
        <w:rPr>
          <w:rFonts w:cs="Times New Roman"/>
          <w:color w:val="auto"/>
          <w:szCs w:val="18"/>
          <w:highlight w:val="none"/>
        </w:rPr>
        <w:t>类区，根据《环境影响评价技术导则</w:t>
      </w:r>
      <w:r>
        <w:rPr>
          <w:rFonts w:hint="eastAsia" w:cs="Times New Roman"/>
          <w:color w:val="auto"/>
          <w:szCs w:val="18"/>
          <w:highlight w:val="none"/>
        </w:rPr>
        <w:t>—</w:t>
      </w:r>
      <w:r>
        <w:rPr>
          <w:rFonts w:cs="Times New Roman"/>
          <w:color w:val="auto"/>
          <w:szCs w:val="18"/>
          <w:highlight w:val="none"/>
        </w:rPr>
        <w:t>声环境》（HJ2.4－2009），声环境评价工作等级</w:t>
      </w:r>
      <w:r>
        <w:rPr>
          <w:rFonts w:hint="eastAsia" w:cs="Times New Roman"/>
          <w:color w:val="auto"/>
          <w:szCs w:val="18"/>
          <w:highlight w:val="none"/>
          <w:lang w:eastAsia="zh-CN"/>
        </w:rPr>
        <w:t>二</w:t>
      </w:r>
      <w:r>
        <w:rPr>
          <w:rFonts w:cs="Times New Roman"/>
          <w:color w:val="auto"/>
          <w:szCs w:val="18"/>
          <w:highlight w:val="none"/>
        </w:rPr>
        <w:t>级。</w:t>
      </w:r>
    </w:p>
    <w:p>
      <w:pPr>
        <w:ind w:firstLine="480"/>
        <w:rPr>
          <w:rFonts w:cs="Times New Roman"/>
          <w:color w:val="auto"/>
          <w:szCs w:val="18"/>
          <w:highlight w:val="none"/>
        </w:rPr>
      </w:pPr>
      <w:r>
        <w:rPr>
          <w:rFonts w:hint="eastAsia" w:cs="Times New Roman"/>
          <w:color w:val="auto"/>
          <w:szCs w:val="18"/>
          <w:highlight w:val="none"/>
        </w:rPr>
        <w:t>（2）评价范围</w:t>
      </w:r>
    </w:p>
    <w:p>
      <w:pPr>
        <w:ind w:firstLine="480"/>
        <w:rPr>
          <w:rFonts w:hint="eastAsia" w:cs="Times New Roman"/>
          <w:color w:val="auto"/>
          <w:szCs w:val="18"/>
          <w:highlight w:val="none"/>
        </w:rPr>
      </w:pPr>
      <w:r>
        <w:rPr>
          <w:rFonts w:hint="eastAsia" w:cs="Times New Roman"/>
          <w:color w:val="auto"/>
          <w:szCs w:val="18"/>
          <w:highlight w:val="none"/>
        </w:rPr>
        <w:t>本项目声环境评价范围为厂界</w:t>
      </w:r>
      <w:r>
        <w:rPr>
          <w:rFonts w:cs="Times New Roman"/>
          <w:color w:val="auto"/>
          <w:szCs w:val="18"/>
          <w:highlight w:val="none"/>
        </w:rPr>
        <w:t>200m范围</w:t>
      </w:r>
      <w:r>
        <w:rPr>
          <w:rFonts w:hint="eastAsia" w:cs="Times New Roman"/>
          <w:color w:val="auto"/>
          <w:szCs w:val="18"/>
          <w:highlight w:val="none"/>
        </w:rPr>
        <w:t>内区域。</w:t>
      </w:r>
    </w:p>
    <w:p>
      <w:pPr>
        <w:pStyle w:val="5"/>
        <w:spacing w:before="66"/>
        <w:ind w:firstLine="482"/>
        <w:rPr>
          <w:color w:val="auto"/>
          <w:highlight w:val="none"/>
        </w:rPr>
      </w:pPr>
      <w:r>
        <w:rPr>
          <w:color w:val="auto"/>
          <w:highlight w:val="none"/>
        </w:rPr>
        <w:t>1.</w:t>
      </w:r>
      <w:r>
        <w:rPr>
          <w:rFonts w:hint="eastAsia"/>
          <w:color w:val="auto"/>
          <w:highlight w:val="none"/>
        </w:rPr>
        <w:t>7.</w:t>
      </w:r>
      <w:r>
        <w:rPr>
          <w:rFonts w:hint="eastAsia"/>
          <w:color w:val="auto"/>
          <w:highlight w:val="none"/>
          <w:lang w:val="en-US" w:eastAsia="zh-CN"/>
        </w:rPr>
        <w:t>5</w:t>
      </w:r>
      <w:r>
        <w:rPr>
          <w:rFonts w:hint="eastAsia"/>
          <w:color w:val="auto"/>
          <w:highlight w:val="none"/>
        </w:rPr>
        <w:t>土壤</w:t>
      </w:r>
      <w:r>
        <w:rPr>
          <w:color w:val="auto"/>
          <w:highlight w:val="none"/>
        </w:rPr>
        <w:t>环境</w:t>
      </w:r>
      <w:r>
        <w:rPr>
          <w:rFonts w:hint="eastAsia"/>
          <w:color w:val="auto"/>
          <w:highlight w:val="none"/>
        </w:rPr>
        <w:t xml:space="preserve">   </w:t>
      </w:r>
    </w:p>
    <w:p>
      <w:pPr>
        <w:ind w:firstLine="480"/>
        <w:rPr>
          <w:rFonts w:cs="Times New Roman"/>
          <w:color w:val="auto"/>
          <w:szCs w:val="18"/>
          <w:highlight w:val="none"/>
        </w:rPr>
      </w:pPr>
      <w:r>
        <w:rPr>
          <w:rFonts w:hint="eastAsia" w:cs="Times New Roman"/>
          <w:color w:val="auto"/>
          <w:szCs w:val="18"/>
          <w:highlight w:val="none"/>
        </w:rPr>
        <w:t>（1）评价等级</w:t>
      </w:r>
    </w:p>
    <w:p>
      <w:pPr>
        <w:ind w:firstLine="480"/>
        <w:rPr>
          <w:rFonts w:hint="eastAsia" w:eastAsia="宋体" w:cs="Times New Roman"/>
          <w:color w:val="auto"/>
          <w:szCs w:val="18"/>
          <w:highlight w:val="none"/>
          <w:lang w:eastAsia="zh-CN"/>
        </w:rPr>
      </w:pPr>
      <w:r>
        <w:rPr>
          <w:rFonts w:cs="Times New Roman"/>
          <w:color w:val="auto"/>
          <w:szCs w:val="18"/>
          <w:highlight w:val="none"/>
        </w:rPr>
        <w:t>本项目位于驻马店市</w:t>
      </w:r>
      <w:r>
        <w:rPr>
          <w:rFonts w:hint="eastAsia" w:cs="Times New Roman"/>
          <w:color w:val="auto"/>
          <w:szCs w:val="18"/>
          <w:highlight w:val="none"/>
          <w:lang w:eastAsia="zh-CN"/>
        </w:rPr>
        <w:t>平舆</w:t>
      </w:r>
      <w:r>
        <w:rPr>
          <w:rFonts w:hint="eastAsia" w:cs="Times New Roman"/>
          <w:color w:val="auto"/>
          <w:szCs w:val="18"/>
          <w:highlight w:val="none"/>
        </w:rPr>
        <w:t>县</w:t>
      </w:r>
      <w:r>
        <w:rPr>
          <w:rFonts w:hint="eastAsia" w:cs="Times New Roman"/>
          <w:color w:val="auto"/>
          <w:szCs w:val="18"/>
          <w:highlight w:val="none"/>
          <w:lang w:eastAsia="zh-CN"/>
        </w:rPr>
        <w:t>庙湾乡赵庄村</w:t>
      </w:r>
      <w:r>
        <w:rPr>
          <w:rFonts w:cs="Times New Roman"/>
          <w:color w:val="auto"/>
          <w:szCs w:val="18"/>
          <w:highlight w:val="none"/>
        </w:rPr>
        <w:t>，项目属于污染影响型项目，项目所在区土壤环境敏感程度为敏感，本项目占地面积</w:t>
      </w:r>
      <w:r>
        <w:rPr>
          <w:rFonts w:hint="eastAsia" w:cs="Times New Roman"/>
          <w:color w:val="auto"/>
          <w:szCs w:val="18"/>
          <w:highlight w:val="none"/>
          <w:lang w:val="en-US" w:eastAsia="zh-CN"/>
        </w:rPr>
        <w:t>250</w:t>
      </w:r>
      <w:r>
        <w:rPr>
          <w:rFonts w:hint="eastAsia" w:cs="Times New Roman"/>
          <w:color w:val="auto"/>
          <w:szCs w:val="18"/>
          <w:highlight w:val="none"/>
        </w:rPr>
        <w:t>亩，占地规模为</w:t>
      </w:r>
      <w:r>
        <w:rPr>
          <w:rFonts w:hint="eastAsia" w:cs="Times New Roman"/>
          <w:color w:val="auto"/>
          <w:szCs w:val="18"/>
          <w:highlight w:val="none"/>
          <w:lang w:eastAsia="zh-CN"/>
        </w:rPr>
        <w:t>中</w:t>
      </w:r>
      <w:r>
        <w:rPr>
          <w:rFonts w:hint="eastAsia" w:cs="Times New Roman"/>
          <w:color w:val="auto"/>
          <w:szCs w:val="18"/>
          <w:highlight w:val="none"/>
        </w:rPr>
        <w:t>型</w:t>
      </w:r>
      <w:r>
        <w:rPr>
          <w:rFonts w:hint="eastAsia" w:cs="Times New Roman"/>
          <w:color w:val="auto"/>
          <w:szCs w:val="18"/>
          <w:highlight w:val="none"/>
          <w:lang w:eastAsia="zh-CN"/>
        </w:rPr>
        <w:t>。</w:t>
      </w:r>
      <w:r>
        <w:rPr>
          <w:rFonts w:cs="Times New Roman"/>
          <w:color w:val="auto"/>
          <w:szCs w:val="18"/>
          <w:highlight w:val="none"/>
        </w:rPr>
        <w:t>根据《环境影响评价技术导则 土壤环境》（HJ964-2018），项目属于附录A中农林牧渔业中的年出栏生猪</w:t>
      </w:r>
      <w:r>
        <w:rPr>
          <w:rFonts w:hint="eastAsia" w:cs="Times New Roman"/>
          <w:color w:val="auto"/>
          <w:szCs w:val="18"/>
          <w:highlight w:val="none"/>
          <w:lang w:val="en-US" w:eastAsia="zh-CN"/>
        </w:rPr>
        <w:t>10万</w:t>
      </w:r>
      <w:r>
        <w:rPr>
          <w:rFonts w:hint="eastAsia" w:cs="Times New Roman"/>
          <w:color w:val="auto"/>
          <w:szCs w:val="18"/>
          <w:highlight w:val="none"/>
        </w:rPr>
        <w:t>头（其他畜禽种类折合猪的养殖规模）</w:t>
      </w:r>
      <w:r>
        <w:rPr>
          <w:rFonts w:cs="Times New Roman"/>
          <w:color w:val="auto"/>
          <w:szCs w:val="18"/>
          <w:highlight w:val="none"/>
        </w:rPr>
        <w:t>及以上的畜禽养殖场或养殖小区项目，为附录中规定的土壤评价</w:t>
      </w:r>
      <w:r>
        <w:rPr>
          <w:rFonts w:hint="eastAsia" w:cs="Times New Roman"/>
          <w:color w:val="auto"/>
          <w:highlight w:val="none"/>
        </w:rPr>
        <w:t>II</w:t>
      </w:r>
      <w:r>
        <w:rPr>
          <w:rFonts w:cs="Times New Roman"/>
          <w:color w:val="auto"/>
          <w:szCs w:val="18"/>
          <w:highlight w:val="none"/>
        </w:rPr>
        <w:t>类项目。</w:t>
      </w:r>
      <w:r>
        <w:rPr>
          <w:rFonts w:hint="eastAsia" w:cs="Times New Roman"/>
          <w:color w:val="auto"/>
          <w:szCs w:val="18"/>
          <w:highlight w:val="none"/>
          <w:lang w:eastAsia="zh-CN"/>
        </w:rPr>
        <w:t>项目周边存在居民区等土壤环境敏感目标。综合分析</w:t>
      </w:r>
      <w:r>
        <w:rPr>
          <w:rFonts w:hint="eastAsia" w:cs="Times New Roman"/>
          <w:color w:val="auto"/>
          <w:szCs w:val="18"/>
          <w:highlight w:val="none"/>
        </w:rPr>
        <w:t>本项目土壤环境影响评价等级为</w:t>
      </w:r>
      <w:r>
        <w:rPr>
          <w:rFonts w:hint="eastAsia" w:cs="Times New Roman"/>
          <w:color w:val="auto"/>
          <w:szCs w:val="18"/>
          <w:highlight w:val="none"/>
          <w:lang w:eastAsia="zh-CN"/>
        </w:rPr>
        <w:t>二</w:t>
      </w:r>
      <w:r>
        <w:rPr>
          <w:rFonts w:hint="eastAsia" w:cs="Times New Roman"/>
          <w:color w:val="auto"/>
          <w:szCs w:val="18"/>
          <w:highlight w:val="none"/>
        </w:rPr>
        <w:t>级</w:t>
      </w:r>
      <w:r>
        <w:rPr>
          <w:rFonts w:hint="eastAsia" w:cs="Times New Roman"/>
          <w:color w:val="auto"/>
          <w:szCs w:val="18"/>
          <w:highlight w:val="none"/>
          <w:lang w:eastAsia="zh-CN"/>
        </w:rPr>
        <w:t>。</w:t>
      </w:r>
    </w:p>
    <w:p>
      <w:pPr>
        <w:ind w:firstLine="480"/>
        <w:rPr>
          <w:rFonts w:cs="Times New Roman"/>
          <w:color w:val="auto"/>
          <w:szCs w:val="18"/>
          <w:highlight w:val="none"/>
        </w:rPr>
      </w:pPr>
      <w:r>
        <w:rPr>
          <w:rFonts w:hint="eastAsia" w:cs="Times New Roman"/>
          <w:color w:val="auto"/>
          <w:szCs w:val="18"/>
          <w:highlight w:val="none"/>
        </w:rPr>
        <w:t>（2）评价范围</w:t>
      </w:r>
    </w:p>
    <w:p>
      <w:pPr>
        <w:ind w:firstLine="480"/>
        <w:rPr>
          <w:rFonts w:hint="eastAsia" w:cs="Times New Roman"/>
          <w:color w:val="auto"/>
          <w:szCs w:val="18"/>
          <w:highlight w:val="none"/>
        </w:rPr>
      </w:pPr>
      <w:r>
        <w:rPr>
          <w:rFonts w:hint="eastAsia" w:cs="Times New Roman"/>
          <w:color w:val="auto"/>
          <w:szCs w:val="18"/>
          <w:highlight w:val="none"/>
        </w:rPr>
        <w:t>本项目</w:t>
      </w:r>
      <w:r>
        <w:rPr>
          <w:rFonts w:hint="eastAsia" w:cs="Times New Roman"/>
          <w:color w:val="auto"/>
          <w:szCs w:val="18"/>
          <w:highlight w:val="none"/>
          <w:lang w:eastAsia="zh-CN"/>
        </w:rPr>
        <w:t>土壤</w:t>
      </w:r>
      <w:r>
        <w:rPr>
          <w:rFonts w:hint="eastAsia" w:cs="Times New Roman"/>
          <w:color w:val="auto"/>
          <w:szCs w:val="18"/>
          <w:highlight w:val="none"/>
        </w:rPr>
        <w:t>环境评价范围为项目区及消纳地外延伸200m区域。</w:t>
      </w:r>
    </w:p>
    <w:p>
      <w:pPr>
        <w:pStyle w:val="5"/>
        <w:spacing w:before="66"/>
        <w:ind w:firstLine="482"/>
        <w:rPr>
          <w:color w:val="auto"/>
          <w:highlight w:val="none"/>
        </w:rPr>
      </w:pPr>
      <w:r>
        <w:rPr>
          <w:color w:val="auto"/>
          <w:highlight w:val="none"/>
        </w:rPr>
        <w:t>1.</w:t>
      </w:r>
      <w:r>
        <w:rPr>
          <w:rFonts w:hint="eastAsia"/>
          <w:color w:val="auto"/>
          <w:highlight w:val="none"/>
        </w:rPr>
        <w:t>7.6环境风险</w:t>
      </w:r>
    </w:p>
    <w:p>
      <w:pPr>
        <w:numPr>
          <w:ilvl w:val="0"/>
          <w:numId w:val="5"/>
        </w:numPr>
        <w:ind w:firstLine="480"/>
        <w:rPr>
          <w:rFonts w:cs="Times New Roman"/>
          <w:color w:val="auto"/>
          <w:highlight w:val="none"/>
        </w:rPr>
      </w:pPr>
      <w:r>
        <w:rPr>
          <w:rFonts w:hint="eastAsia" w:cs="Times New Roman"/>
          <w:color w:val="auto"/>
          <w:highlight w:val="none"/>
        </w:rPr>
        <w:t>评价等级</w:t>
      </w:r>
    </w:p>
    <w:p>
      <w:pPr>
        <w:ind w:firstLine="480"/>
        <w:contextualSpacing/>
        <w:rPr>
          <w:rFonts w:cs="Times New Roman"/>
          <w:color w:val="auto"/>
          <w:highlight w:val="none"/>
        </w:rPr>
      </w:pPr>
      <w:r>
        <w:rPr>
          <w:rFonts w:hint="eastAsia" w:cs="Times New Roman"/>
          <w:color w:val="auto"/>
          <w:highlight w:val="none"/>
        </w:rPr>
        <w:t>根据《建设项目环境风险评价技术导则》（HJ/T169－2018）附录B及附录C，本项目大气环境风险潜势为Ⅱ；地表水环境风险潜势为Ⅱ；地下水环境风险潜势为III。根据《建设项目环境风险评价技术导则》（HJ169-2018）评价工作等级划分表确定本项目大气环境风险评价等级为三级；地表水环境风险评价等级为</w:t>
      </w:r>
      <w:r>
        <w:rPr>
          <w:rFonts w:hint="eastAsia" w:cs="Times New Roman"/>
          <w:color w:val="auto"/>
          <w:highlight w:val="none"/>
          <w:lang w:eastAsia="zh-CN"/>
        </w:rPr>
        <w:t>三</w:t>
      </w:r>
      <w:r>
        <w:rPr>
          <w:rFonts w:hint="eastAsia" w:cs="Times New Roman"/>
          <w:color w:val="auto"/>
          <w:highlight w:val="none"/>
        </w:rPr>
        <w:t>级；地下水环境风险评价等级为二级。本项目环境风险评价等级为二级评价。</w:t>
      </w:r>
    </w:p>
    <w:p>
      <w:pPr>
        <w:numPr>
          <w:ilvl w:val="0"/>
          <w:numId w:val="5"/>
        </w:numPr>
        <w:ind w:firstLine="480"/>
        <w:contextualSpacing/>
        <w:rPr>
          <w:rFonts w:cs="Times New Roman"/>
          <w:color w:val="auto"/>
          <w:highlight w:val="none"/>
        </w:rPr>
      </w:pPr>
      <w:r>
        <w:rPr>
          <w:rFonts w:hint="eastAsia" w:cs="Times New Roman"/>
          <w:color w:val="auto"/>
          <w:highlight w:val="none"/>
        </w:rPr>
        <w:t>评价范围</w:t>
      </w:r>
    </w:p>
    <w:p>
      <w:pPr>
        <w:ind w:firstLine="480"/>
        <w:rPr>
          <w:rFonts w:hint="eastAsia"/>
          <w:color w:val="auto"/>
          <w:highlight w:val="none"/>
        </w:rPr>
      </w:pPr>
      <w:r>
        <w:rPr>
          <w:rFonts w:hint="eastAsia" w:cs="Times New Roman"/>
          <w:color w:val="auto"/>
          <w:highlight w:val="none"/>
        </w:rPr>
        <w:t>根据本项目实际情况，环境风险评价范围为项目污水管道及沼气池为中心的半径5km圆形合围的区域的区域</w:t>
      </w:r>
      <w:r>
        <w:rPr>
          <w:rFonts w:hint="eastAsia"/>
          <w:color w:val="auto"/>
          <w:highlight w:val="none"/>
        </w:rPr>
        <w:t>。</w:t>
      </w:r>
    </w:p>
    <w:p>
      <w:pPr>
        <w:pStyle w:val="5"/>
        <w:spacing w:before="66"/>
        <w:ind w:firstLine="482"/>
        <w:rPr>
          <w:rFonts w:hint="eastAsia"/>
          <w:color w:val="auto"/>
          <w:highlight w:val="none"/>
        </w:rPr>
      </w:pPr>
      <w:r>
        <w:rPr>
          <w:color w:val="auto"/>
          <w:highlight w:val="none"/>
        </w:rPr>
        <w:t>1.</w:t>
      </w:r>
      <w:r>
        <w:rPr>
          <w:rFonts w:hint="eastAsia"/>
          <w:color w:val="auto"/>
          <w:highlight w:val="none"/>
        </w:rPr>
        <w:t>7.</w:t>
      </w:r>
      <w:r>
        <w:rPr>
          <w:rFonts w:hint="eastAsia"/>
          <w:color w:val="auto"/>
          <w:highlight w:val="none"/>
          <w:lang w:val="en-US" w:eastAsia="zh-CN"/>
        </w:rPr>
        <w:t>7</w:t>
      </w:r>
      <w:r>
        <w:rPr>
          <w:rFonts w:hint="eastAsia"/>
          <w:color w:val="auto"/>
          <w:highlight w:val="none"/>
        </w:rPr>
        <w:t>生态环境</w:t>
      </w:r>
    </w:p>
    <w:p>
      <w:pPr>
        <w:spacing w:line="52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场址所在地为一般农田，</w:t>
      </w:r>
      <w:r>
        <w:rPr>
          <w:rFonts w:ascii="Times New Roman" w:hAnsi="Times New Roman"/>
          <w:color w:val="auto"/>
          <w:sz w:val="24"/>
          <w:highlight w:val="none"/>
        </w:rPr>
        <w:t>不涉及基本农田。</w:t>
      </w:r>
      <w:r>
        <w:rPr>
          <w:rFonts w:ascii="Times New Roman" w:hAnsi="Times New Roman"/>
          <w:color w:val="auto"/>
          <w:sz w:val="24"/>
          <w:szCs w:val="24"/>
          <w:highlight w:val="none"/>
        </w:rPr>
        <w:t>不属于生态敏感区，项目占地</w:t>
      </w:r>
      <w:r>
        <w:rPr>
          <w:rFonts w:hint="eastAsia"/>
          <w:color w:val="auto"/>
          <w:sz w:val="24"/>
          <w:szCs w:val="24"/>
          <w:highlight w:val="none"/>
          <w:lang w:val="en-US" w:eastAsia="zh-CN"/>
        </w:rPr>
        <w:t>250</w:t>
      </w:r>
      <w:r>
        <w:rPr>
          <w:rFonts w:ascii="Times New Roman" w:hAnsi="Times New Roman"/>
          <w:color w:val="auto"/>
          <w:sz w:val="24"/>
          <w:szCs w:val="24"/>
          <w:highlight w:val="none"/>
        </w:rPr>
        <w:t>亩，根据《环境影响评价技术导则—生态影响》（HJ19-2011），结合项目特点及现场调查，区域内无特殊生态敏感区和重要生态敏感区，因此生态影响评价工作等级为三级，对区域生态环境的影响主要集中在施工期。</w:t>
      </w:r>
    </w:p>
    <w:p>
      <w:pPr>
        <w:pStyle w:val="21"/>
        <w:rPr>
          <w:rFonts w:cs="Times New Roman"/>
          <w:color w:val="auto"/>
          <w:highlight w:val="none"/>
        </w:rPr>
      </w:pPr>
      <w:r>
        <w:rPr>
          <w:rFonts w:cs="Times New Roman"/>
          <w:color w:val="auto"/>
          <w:highlight w:val="none"/>
        </w:rPr>
        <w:t>表1</w:t>
      </w:r>
      <w:r>
        <w:rPr>
          <w:rFonts w:hint="eastAsia" w:cs="Times New Roman"/>
          <w:color w:val="auto"/>
          <w:highlight w:val="none"/>
          <w:lang w:val="en-US" w:eastAsia="zh-CN"/>
        </w:rPr>
        <w:t>.7</w:t>
      </w:r>
      <w:r>
        <w:rPr>
          <w:rFonts w:cs="Times New Roman"/>
          <w:color w:val="auto"/>
          <w:highlight w:val="none"/>
        </w:rPr>
        <w:t>-</w:t>
      </w:r>
      <w:r>
        <w:rPr>
          <w:rFonts w:hint="eastAsia" w:cs="Times New Roman"/>
          <w:color w:val="auto"/>
          <w:highlight w:val="none"/>
          <w:lang w:val="en-US" w:eastAsia="zh-CN"/>
        </w:rPr>
        <w:t>6</w:t>
      </w:r>
      <w:r>
        <w:rPr>
          <w:rFonts w:cs="Times New Roman"/>
          <w:color w:val="auto"/>
          <w:highlight w:val="none"/>
        </w:rPr>
        <w:t xml:space="preserve"> </w:t>
      </w:r>
      <w:r>
        <w:rPr>
          <w:rFonts w:hint="eastAsia" w:cs="Times New Roman"/>
          <w:color w:val="auto"/>
          <w:highlight w:val="none"/>
          <w:lang w:val="en-US" w:eastAsia="zh-CN"/>
        </w:rPr>
        <w:t xml:space="preserve"> </w:t>
      </w:r>
      <w:r>
        <w:rPr>
          <w:rFonts w:cs="Times New Roman"/>
          <w:color w:val="auto"/>
          <w:highlight w:val="none"/>
        </w:rPr>
        <w:t>生态影响评价工作等级划分表</w:t>
      </w: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67"/>
        <w:gridCol w:w="2101"/>
        <w:gridCol w:w="2923"/>
        <w:gridCol w:w="19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0" w:type="auto"/>
            <w:vMerge w:val="restart"/>
            <w:noWrap w:val="0"/>
            <w:vAlign w:val="center"/>
          </w:tcPr>
          <w:p>
            <w:pPr>
              <w:pStyle w:val="42"/>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color w:val="auto"/>
                <w:kern w:val="2"/>
                <w:highlight w:val="none"/>
              </w:rPr>
            </w:pPr>
            <w:r>
              <w:rPr>
                <w:color w:val="auto"/>
                <w:kern w:val="2"/>
                <w:highlight w:val="none"/>
              </w:rPr>
              <w:t>影响区域生态敏感性</w:t>
            </w:r>
          </w:p>
        </w:tc>
        <w:tc>
          <w:tcPr>
            <w:tcW w:w="0" w:type="auto"/>
            <w:gridSpan w:val="3"/>
            <w:noWrap w:val="0"/>
            <w:vAlign w:val="center"/>
          </w:tcPr>
          <w:p>
            <w:pPr>
              <w:pStyle w:val="42"/>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color w:val="auto"/>
                <w:kern w:val="2"/>
                <w:highlight w:val="none"/>
              </w:rPr>
            </w:pPr>
            <w:r>
              <w:rPr>
                <w:color w:val="auto"/>
                <w:kern w:val="2"/>
                <w:highlight w:val="none"/>
              </w:rPr>
              <w:t>工程占地（水域）范围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0" w:type="auto"/>
            <w:vMerge w:val="continue"/>
            <w:noWrap w:val="0"/>
            <w:vAlign w:val="center"/>
          </w:tcPr>
          <w:p>
            <w:pPr>
              <w:pStyle w:val="42"/>
              <w:keepNext w:val="0"/>
              <w:keepLines w:val="0"/>
              <w:pageBreakBefore w:val="0"/>
              <w:widowControl/>
              <w:kinsoku/>
              <w:wordWrap/>
              <w:overflowPunct/>
              <w:topLinePunct w:val="0"/>
              <w:autoSpaceDE/>
              <w:autoSpaceDN/>
              <w:bidi w:val="0"/>
              <w:adjustRightInd/>
              <w:snapToGrid/>
              <w:spacing w:line="240" w:lineRule="auto"/>
              <w:ind w:firstLine="420"/>
              <w:jc w:val="center"/>
              <w:textAlignment w:val="auto"/>
              <w:rPr>
                <w:color w:val="auto"/>
                <w:kern w:val="2"/>
                <w:highlight w:val="none"/>
              </w:rPr>
            </w:pPr>
          </w:p>
        </w:tc>
        <w:tc>
          <w:tcPr>
            <w:tcW w:w="0" w:type="auto"/>
            <w:noWrap w:val="0"/>
            <w:vAlign w:val="center"/>
          </w:tcPr>
          <w:p>
            <w:pPr>
              <w:pStyle w:val="42"/>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color w:val="auto"/>
                <w:kern w:val="2"/>
                <w:highlight w:val="none"/>
              </w:rPr>
            </w:pPr>
            <w:r>
              <w:rPr>
                <w:color w:val="auto"/>
                <w:kern w:val="2"/>
                <w:highlight w:val="none"/>
              </w:rPr>
              <w:t>面积≥20km</w:t>
            </w:r>
            <w:r>
              <w:rPr>
                <w:color w:val="auto"/>
                <w:kern w:val="2"/>
                <w:highlight w:val="none"/>
                <w:vertAlign w:val="superscript"/>
              </w:rPr>
              <w:t>2</w:t>
            </w:r>
            <w:r>
              <w:rPr>
                <w:color w:val="auto"/>
                <w:kern w:val="2"/>
                <w:highlight w:val="none"/>
              </w:rPr>
              <w:t>或长度≥100km</w:t>
            </w:r>
          </w:p>
        </w:tc>
        <w:tc>
          <w:tcPr>
            <w:tcW w:w="0" w:type="auto"/>
            <w:noWrap w:val="0"/>
            <w:vAlign w:val="center"/>
          </w:tcPr>
          <w:p>
            <w:pPr>
              <w:pStyle w:val="42"/>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color w:val="auto"/>
                <w:kern w:val="2"/>
                <w:highlight w:val="none"/>
              </w:rPr>
            </w:pPr>
            <w:r>
              <w:rPr>
                <w:color w:val="auto"/>
                <w:kern w:val="2"/>
                <w:highlight w:val="none"/>
              </w:rPr>
              <w:t>面积2km</w:t>
            </w:r>
            <w:r>
              <w:rPr>
                <w:color w:val="auto"/>
                <w:kern w:val="2"/>
                <w:highlight w:val="none"/>
                <w:vertAlign w:val="superscript"/>
              </w:rPr>
              <w:t>2</w:t>
            </w:r>
            <w:r>
              <w:rPr>
                <w:color w:val="auto"/>
                <w:kern w:val="2"/>
                <w:highlight w:val="none"/>
              </w:rPr>
              <w:t>～20km</w:t>
            </w:r>
            <w:r>
              <w:rPr>
                <w:color w:val="auto"/>
                <w:kern w:val="2"/>
                <w:highlight w:val="none"/>
                <w:vertAlign w:val="superscript"/>
              </w:rPr>
              <w:t>2</w:t>
            </w:r>
            <w:r>
              <w:rPr>
                <w:color w:val="auto"/>
                <w:kern w:val="2"/>
                <w:highlight w:val="none"/>
              </w:rPr>
              <w:t>或长度50km～100km</w:t>
            </w:r>
          </w:p>
        </w:tc>
        <w:tc>
          <w:tcPr>
            <w:tcW w:w="0" w:type="auto"/>
            <w:noWrap w:val="0"/>
            <w:vAlign w:val="center"/>
          </w:tcPr>
          <w:p>
            <w:pPr>
              <w:pStyle w:val="42"/>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color w:val="auto"/>
                <w:kern w:val="2"/>
                <w:highlight w:val="none"/>
              </w:rPr>
            </w:pPr>
            <w:r>
              <w:rPr>
                <w:color w:val="auto"/>
                <w:kern w:val="2"/>
                <w:highlight w:val="none"/>
              </w:rPr>
              <w:t>面积≤2km</w:t>
            </w:r>
            <w:r>
              <w:rPr>
                <w:color w:val="auto"/>
                <w:kern w:val="2"/>
                <w:highlight w:val="none"/>
                <w:vertAlign w:val="superscript"/>
              </w:rPr>
              <w:t>2</w:t>
            </w:r>
            <w:r>
              <w:rPr>
                <w:color w:val="auto"/>
                <w:kern w:val="2"/>
                <w:highlight w:val="none"/>
              </w:rPr>
              <w:t>或长度≤50km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0" w:type="auto"/>
            <w:noWrap w:val="0"/>
            <w:vAlign w:val="center"/>
          </w:tcPr>
          <w:p>
            <w:pPr>
              <w:pStyle w:val="42"/>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color w:val="auto"/>
                <w:kern w:val="2"/>
                <w:highlight w:val="none"/>
              </w:rPr>
            </w:pPr>
            <w:r>
              <w:rPr>
                <w:color w:val="auto"/>
                <w:kern w:val="2"/>
                <w:highlight w:val="none"/>
              </w:rPr>
              <w:t>特殊生态敏感区</w:t>
            </w:r>
          </w:p>
        </w:tc>
        <w:tc>
          <w:tcPr>
            <w:tcW w:w="0" w:type="auto"/>
            <w:noWrap w:val="0"/>
            <w:vAlign w:val="center"/>
          </w:tcPr>
          <w:p>
            <w:pPr>
              <w:pStyle w:val="42"/>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color w:val="auto"/>
                <w:kern w:val="2"/>
                <w:highlight w:val="none"/>
              </w:rPr>
            </w:pPr>
            <w:r>
              <w:rPr>
                <w:color w:val="auto"/>
                <w:kern w:val="2"/>
                <w:highlight w:val="none"/>
              </w:rPr>
              <w:t>一级</w:t>
            </w:r>
          </w:p>
        </w:tc>
        <w:tc>
          <w:tcPr>
            <w:tcW w:w="0" w:type="auto"/>
            <w:noWrap w:val="0"/>
            <w:vAlign w:val="center"/>
          </w:tcPr>
          <w:p>
            <w:pPr>
              <w:pStyle w:val="42"/>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color w:val="auto"/>
                <w:kern w:val="2"/>
                <w:highlight w:val="none"/>
              </w:rPr>
            </w:pPr>
            <w:r>
              <w:rPr>
                <w:color w:val="auto"/>
                <w:kern w:val="2"/>
                <w:highlight w:val="none"/>
              </w:rPr>
              <w:t>一级</w:t>
            </w:r>
          </w:p>
        </w:tc>
        <w:tc>
          <w:tcPr>
            <w:tcW w:w="0" w:type="auto"/>
            <w:noWrap w:val="0"/>
            <w:vAlign w:val="center"/>
          </w:tcPr>
          <w:p>
            <w:pPr>
              <w:pStyle w:val="42"/>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color w:val="auto"/>
                <w:kern w:val="2"/>
                <w:highlight w:val="none"/>
              </w:rPr>
            </w:pPr>
            <w:r>
              <w:rPr>
                <w:color w:val="auto"/>
                <w:kern w:val="2"/>
                <w:highlight w:val="none"/>
              </w:rPr>
              <w:t>一级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0" w:type="auto"/>
            <w:noWrap w:val="0"/>
            <w:vAlign w:val="center"/>
          </w:tcPr>
          <w:p>
            <w:pPr>
              <w:pStyle w:val="42"/>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color w:val="auto"/>
                <w:kern w:val="2"/>
                <w:highlight w:val="none"/>
              </w:rPr>
            </w:pPr>
            <w:r>
              <w:rPr>
                <w:color w:val="auto"/>
                <w:kern w:val="2"/>
                <w:highlight w:val="none"/>
              </w:rPr>
              <w:t>重要生态敏感区</w:t>
            </w:r>
          </w:p>
        </w:tc>
        <w:tc>
          <w:tcPr>
            <w:tcW w:w="0" w:type="auto"/>
            <w:noWrap w:val="0"/>
            <w:vAlign w:val="center"/>
          </w:tcPr>
          <w:p>
            <w:pPr>
              <w:pStyle w:val="42"/>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color w:val="auto"/>
                <w:kern w:val="2"/>
                <w:highlight w:val="none"/>
              </w:rPr>
            </w:pPr>
            <w:r>
              <w:rPr>
                <w:color w:val="auto"/>
                <w:kern w:val="2"/>
                <w:highlight w:val="none"/>
              </w:rPr>
              <w:t>一级</w:t>
            </w:r>
          </w:p>
        </w:tc>
        <w:tc>
          <w:tcPr>
            <w:tcW w:w="0" w:type="auto"/>
            <w:noWrap w:val="0"/>
            <w:vAlign w:val="center"/>
          </w:tcPr>
          <w:p>
            <w:pPr>
              <w:pStyle w:val="42"/>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color w:val="auto"/>
                <w:kern w:val="2"/>
                <w:highlight w:val="none"/>
              </w:rPr>
            </w:pPr>
            <w:r>
              <w:rPr>
                <w:color w:val="auto"/>
                <w:kern w:val="2"/>
                <w:highlight w:val="none"/>
              </w:rPr>
              <w:t>二级</w:t>
            </w:r>
          </w:p>
        </w:tc>
        <w:tc>
          <w:tcPr>
            <w:tcW w:w="0" w:type="auto"/>
            <w:noWrap w:val="0"/>
            <w:vAlign w:val="center"/>
          </w:tcPr>
          <w:p>
            <w:pPr>
              <w:pStyle w:val="42"/>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color w:val="auto"/>
                <w:kern w:val="2"/>
                <w:highlight w:val="none"/>
              </w:rPr>
            </w:pPr>
            <w:r>
              <w:rPr>
                <w:color w:val="auto"/>
                <w:kern w:val="2"/>
                <w:highlight w:val="none"/>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0" w:type="auto"/>
            <w:shd w:val="clear" w:color="auto" w:fill="auto"/>
            <w:noWrap w:val="0"/>
            <w:vAlign w:val="center"/>
          </w:tcPr>
          <w:p>
            <w:pPr>
              <w:pStyle w:val="42"/>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color w:val="auto"/>
                <w:kern w:val="2"/>
                <w:highlight w:val="none"/>
              </w:rPr>
            </w:pPr>
            <w:r>
              <w:rPr>
                <w:color w:val="auto"/>
                <w:kern w:val="2"/>
                <w:highlight w:val="none"/>
              </w:rPr>
              <w:t>一般区域</w:t>
            </w:r>
          </w:p>
        </w:tc>
        <w:tc>
          <w:tcPr>
            <w:tcW w:w="0" w:type="auto"/>
            <w:shd w:val="clear" w:color="auto" w:fill="auto"/>
            <w:noWrap w:val="0"/>
            <w:vAlign w:val="center"/>
          </w:tcPr>
          <w:p>
            <w:pPr>
              <w:pStyle w:val="42"/>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color w:val="auto"/>
                <w:kern w:val="2"/>
                <w:highlight w:val="none"/>
              </w:rPr>
            </w:pPr>
            <w:r>
              <w:rPr>
                <w:color w:val="auto"/>
                <w:kern w:val="2"/>
                <w:highlight w:val="none"/>
              </w:rPr>
              <w:t>二级</w:t>
            </w:r>
          </w:p>
        </w:tc>
        <w:tc>
          <w:tcPr>
            <w:tcW w:w="0" w:type="auto"/>
            <w:shd w:val="clear" w:color="auto" w:fill="auto"/>
            <w:noWrap w:val="0"/>
            <w:vAlign w:val="center"/>
          </w:tcPr>
          <w:p>
            <w:pPr>
              <w:pStyle w:val="42"/>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color w:val="auto"/>
                <w:kern w:val="2"/>
                <w:highlight w:val="none"/>
              </w:rPr>
            </w:pPr>
            <w:r>
              <w:rPr>
                <w:color w:val="auto"/>
                <w:kern w:val="2"/>
                <w:highlight w:val="none"/>
              </w:rPr>
              <w:t>三级</w:t>
            </w:r>
          </w:p>
        </w:tc>
        <w:tc>
          <w:tcPr>
            <w:tcW w:w="0" w:type="auto"/>
            <w:shd w:val="clear" w:color="auto" w:fill="7F7F7F" w:themeFill="text1" w:themeFillTint="7F"/>
            <w:noWrap w:val="0"/>
            <w:vAlign w:val="center"/>
          </w:tcPr>
          <w:p>
            <w:pPr>
              <w:pStyle w:val="42"/>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color w:val="auto"/>
                <w:kern w:val="2"/>
                <w:highlight w:val="none"/>
              </w:rPr>
            </w:pPr>
            <w:r>
              <w:rPr>
                <w:color w:val="auto"/>
                <w:kern w:val="2"/>
                <w:highlight w:val="none"/>
              </w:rPr>
              <w:t>三级</w:t>
            </w:r>
          </w:p>
        </w:tc>
      </w:tr>
    </w:tbl>
    <w:p>
      <w:pPr>
        <w:pStyle w:val="4"/>
        <w:spacing w:beforeLines="0"/>
        <w:rPr>
          <w:rFonts w:cs="Times New Roman"/>
          <w:color w:val="auto"/>
          <w:highlight w:val="none"/>
        </w:rPr>
      </w:pPr>
      <w:bookmarkStart w:id="10" w:name="_Toc13504"/>
      <w:r>
        <w:rPr>
          <w:rFonts w:cs="Times New Roman"/>
          <w:color w:val="auto"/>
          <w:highlight w:val="none"/>
        </w:rPr>
        <w:t>1.</w:t>
      </w:r>
      <w:r>
        <w:rPr>
          <w:rFonts w:hint="eastAsia" w:cs="Times New Roman"/>
          <w:color w:val="auto"/>
          <w:highlight w:val="none"/>
          <w:lang w:val="en-US" w:eastAsia="zh-CN"/>
        </w:rPr>
        <w:t>8</w:t>
      </w:r>
      <w:r>
        <w:rPr>
          <w:color w:val="auto"/>
          <w:highlight w:val="none"/>
        </w:rPr>
        <w:t>政策符合性分析</w:t>
      </w:r>
      <w:bookmarkEnd w:id="10"/>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b/>
          <w:bCs/>
          <w:color w:val="auto"/>
          <w:highlight w:val="none"/>
        </w:rPr>
      </w:pPr>
      <w:r>
        <w:rPr>
          <w:rFonts w:hint="eastAsia"/>
          <w:b/>
          <w:bCs/>
          <w:color w:val="auto"/>
          <w:highlight w:val="none"/>
        </w:rPr>
        <w:t>（1）</w:t>
      </w:r>
      <w:r>
        <w:rPr>
          <w:b/>
          <w:bCs/>
          <w:color w:val="auto"/>
          <w:highlight w:val="none"/>
        </w:rPr>
        <w:t>与</w:t>
      </w:r>
      <w:r>
        <w:rPr>
          <w:rFonts w:hint="eastAsia"/>
          <w:b/>
          <w:bCs/>
          <w:color w:val="auto"/>
          <w:highlight w:val="none"/>
          <w:lang w:eastAsia="zh-CN"/>
        </w:rPr>
        <w:t>平舆</w:t>
      </w:r>
      <w:r>
        <w:rPr>
          <w:rFonts w:hint="eastAsia"/>
          <w:b/>
          <w:bCs/>
          <w:color w:val="auto"/>
          <w:highlight w:val="none"/>
        </w:rPr>
        <w:t>县饮用水水源地保护区划相符性分析</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color w:val="auto"/>
          <w:highlight w:val="none"/>
        </w:rPr>
      </w:pPr>
      <w:r>
        <w:rPr>
          <w:rFonts w:hint="eastAsia"/>
          <w:color w:val="auto"/>
          <w:highlight w:val="none"/>
        </w:rPr>
        <w:t>根据《河南省人民政府办公厅关于印发河南省县级集中式饮用水水源保护区划的通知》（豫政办〔2013〕107号）相关内容，</w:t>
      </w:r>
      <w:r>
        <w:rPr>
          <w:rFonts w:hint="eastAsia"/>
          <w:color w:val="auto"/>
          <w:highlight w:val="none"/>
          <w:lang w:eastAsia="zh-CN"/>
        </w:rPr>
        <w:t>平舆</w:t>
      </w:r>
      <w:r>
        <w:rPr>
          <w:rFonts w:hint="eastAsia"/>
          <w:color w:val="auto"/>
          <w:highlight w:val="none"/>
        </w:rPr>
        <w:t>县集中式饮用水水源保护区划分情况如下：</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color w:val="auto"/>
          <w:highlight w:val="none"/>
          <w:lang w:eastAsia="zh-CN"/>
        </w:rPr>
      </w:pPr>
      <w:r>
        <w:rPr>
          <w:rFonts w:hint="default" w:ascii="Times New Roman" w:hAnsi="Times New Roman" w:cs="Times New Roman"/>
          <w:color w:val="auto"/>
          <w:highlight w:val="none"/>
          <w:lang w:eastAsia="zh-CN"/>
        </w:rPr>
        <w:t>①</w:t>
      </w:r>
      <w:r>
        <w:rPr>
          <w:rFonts w:hint="eastAsia"/>
          <w:color w:val="auto"/>
          <w:highlight w:val="none"/>
          <w:lang w:eastAsia="zh-CN"/>
        </w:rPr>
        <w:t>平舆县清源水业有限公司地下水井群（小清河两侧、永乐大道两侧，共13眼井）</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color w:val="auto"/>
          <w:highlight w:val="none"/>
          <w:lang w:eastAsia="zh-CN"/>
        </w:rPr>
      </w:pPr>
      <w:r>
        <w:rPr>
          <w:rFonts w:hint="eastAsia"/>
          <w:color w:val="auto"/>
          <w:highlight w:val="none"/>
          <w:lang w:eastAsia="zh-CN"/>
        </w:rPr>
        <w:t>一级保护区范围：取水井外围50米的区域。</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color w:val="auto"/>
          <w:highlight w:val="none"/>
        </w:rPr>
      </w:pPr>
      <w:r>
        <w:rPr>
          <w:rFonts w:hint="default"/>
          <w:color w:val="auto"/>
          <w:highlight w:val="none"/>
          <w:lang w:eastAsia="zh-CN"/>
        </w:rPr>
        <w:t>②</w:t>
      </w:r>
      <w:r>
        <w:rPr>
          <w:rFonts w:hint="eastAsia"/>
          <w:color w:val="auto"/>
          <w:highlight w:val="none"/>
        </w:rPr>
        <w:t>平舆县李庄水厂地下水井群</w:t>
      </w:r>
      <w:r>
        <w:rPr>
          <w:rFonts w:hint="eastAsia"/>
          <w:color w:val="auto"/>
          <w:highlight w:val="none"/>
          <w:lang w:eastAsia="zh-CN"/>
        </w:rPr>
        <w:t>（</w:t>
      </w:r>
      <w:r>
        <w:rPr>
          <w:rFonts w:hint="eastAsia"/>
          <w:color w:val="auto"/>
          <w:highlight w:val="none"/>
        </w:rPr>
        <w:t>李庄以北</w:t>
      </w:r>
      <w:r>
        <w:rPr>
          <w:rFonts w:hint="eastAsia"/>
          <w:color w:val="auto"/>
          <w:highlight w:val="none"/>
          <w:lang w:eastAsia="zh-CN"/>
        </w:rPr>
        <w:t>，</w:t>
      </w:r>
      <w:r>
        <w:rPr>
          <w:rFonts w:hint="eastAsia"/>
          <w:color w:val="auto"/>
          <w:highlight w:val="none"/>
        </w:rPr>
        <w:t>共15眼井</w:t>
      </w:r>
      <w:r>
        <w:rPr>
          <w:rFonts w:hint="eastAsia"/>
          <w:color w:val="auto"/>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color w:val="auto"/>
          <w:highlight w:val="none"/>
        </w:rPr>
      </w:pPr>
      <w:r>
        <w:rPr>
          <w:rFonts w:hint="eastAsia"/>
          <w:color w:val="auto"/>
          <w:highlight w:val="none"/>
        </w:rPr>
        <w:t>一级保护区范围</w:t>
      </w:r>
      <w:r>
        <w:rPr>
          <w:rFonts w:hint="eastAsia"/>
          <w:color w:val="auto"/>
          <w:highlight w:val="none"/>
          <w:lang w:eastAsia="zh-CN"/>
        </w:rPr>
        <w:t>：</w:t>
      </w:r>
      <w:r>
        <w:rPr>
          <w:rFonts w:hint="eastAsia"/>
          <w:color w:val="auto"/>
          <w:highlight w:val="none"/>
        </w:rPr>
        <w:t>取水井外围50米的区域。</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color w:val="auto"/>
          <w:highlight w:val="none"/>
        </w:rPr>
      </w:pPr>
      <w:r>
        <w:rPr>
          <w:rFonts w:hint="eastAsia"/>
          <w:color w:val="auto"/>
          <w:highlight w:val="none"/>
        </w:rPr>
        <w:t>二级保护区范围</w:t>
      </w:r>
      <w:r>
        <w:rPr>
          <w:rFonts w:hint="eastAsia"/>
          <w:color w:val="auto"/>
          <w:highlight w:val="none"/>
          <w:lang w:eastAsia="zh-CN"/>
        </w:rPr>
        <w:t>：</w:t>
      </w:r>
      <w:r>
        <w:rPr>
          <w:rFonts w:hint="eastAsia"/>
          <w:color w:val="auto"/>
          <w:highlight w:val="none"/>
        </w:rPr>
        <w:t>一级保护区外</w:t>
      </w:r>
      <w:r>
        <w:rPr>
          <w:rFonts w:hint="eastAsia"/>
          <w:color w:val="auto"/>
          <w:highlight w:val="none"/>
          <w:lang w:eastAsia="zh-CN"/>
        </w:rPr>
        <w:t>，</w:t>
      </w:r>
      <w:r>
        <w:rPr>
          <w:rFonts w:hint="eastAsia"/>
          <w:color w:val="auto"/>
          <w:highlight w:val="none"/>
        </w:rPr>
        <w:t>取水井外围550米外公切线所包含的区域</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color w:val="auto"/>
          <w:highlight w:val="none"/>
        </w:rPr>
      </w:pPr>
      <w:r>
        <w:rPr>
          <w:rFonts w:hint="eastAsia"/>
          <w:color w:val="auto"/>
          <w:highlight w:val="none"/>
        </w:rPr>
        <w:t>本项目位于</w:t>
      </w:r>
      <w:r>
        <w:rPr>
          <w:rFonts w:hint="eastAsia"/>
          <w:color w:val="auto"/>
          <w:highlight w:val="none"/>
          <w:lang w:eastAsia="zh-CN"/>
        </w:rPr>
        <w:t>平舆</w:t>
      </w:r>
      <w:r>
        <w:rPr>
          <w:rFonts w:hint="eastAsia"/>
          <w:color w:val="auto"/>
          <w:highlight w:val="none"/>
        </w:rPr>
        <w:t>县</w:t>
      </w:r>
      <w:r>
        <w:rPr>
          <w:rFonts w:hint="eastAsia"/>
          <w:color w:val="auto"/>
          <w:highlight w:val="none"/>
          <w:lang w:eastAsia="zh-CN"/>
        </w:rPr>
        <w:t>庙湾乡赵庄村</w:t>
      </w:r>
      <w:r>
        <w:rPr>
          <w:rFonts w:hint="eastAsia"/>
          <w:color w:val="auto"/>
          <w:highlight w:val="none"/>
        </w:rPr>
        <w:t>，平舆县城市饮用水水源地一级保护区最近距离约为12.8km</w:t>
      </w:r>
      <w:r>
        <w:rPr>
          <w:rFonts w:hint="eastAsia"/>
          <w:color w:val="auto"/>
          <w:highlight w:val="none"/>
          <w:lang w:eastAsia="zh-CN"/>
        </w:rPr>
        <w:t>，</w:t>
      </w:r>
      <w:r>
        <w:rPr>
          <w:rFonts w:hint="eastAsia"/>
          <w:color w:val="auto"/>
          <w:highlight w:val="none"/>
        </w:rPr>
        <w:t>不在平舆县饮用水水源保护区范围内，故项目的建设与</w:t>
      </w:r>
      <w:r>
        <w:rPr>
          <w:rFonts w:hint="eastAsia"/>
          <w:color w:val="auto"/>
          <w:highlight w:val="none"/>
          <w:lang w:eastAsia="zh-CN"/>
        </w:rPr>
        <w:t>平舆</w:t>
      </w:r>
      <w:r>
        <w:rPr>
          <w:rFonts w:hint="eastAsia"/>
          <w:color w:val="auto"/>
          <w:highlight w:val="none"/>
        </w:rPr>
        <w:t>县饮用水水源地保护区划是相符的。</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hint="eastAsia"/>
          <w:b/>
          <w:bCs/>
          <w:color w:val="auto"/>
          <w:highlight w:val="none"/>
        </w:rPr>
      </w:pPr>
      <w:r>
        <w:rPr>
          <w:rFonts w:hint="eastAsia"/>
          <w:b/>
          <w:bCs/>
          <w:color w:val="auto"/>
          <w:highlight w:val="none"/>
          <w:lang w:eastAsia="zh-CN"/>
        </w:rPr>
        <w:t>（</w:t>
      </w:r>
      <w:r>
        <w:rPr>
          <w:rFonts w:hint="eastAsia"/>
          <w:b/>
          <w:bCs/>
          <w:color w:val="auto"/>
          <w:highlight w:val="none"/>
          <w:lang w:val="en-US" w:eastAsia="zh-CN"/>
        </w:rPr>
        <w:t>2</w:t>
      </w:r>
      <w:r>
        <w:rPr>
          <w:rFonts w:hint="eastAsia"/>
          <w:b/>
          <w:bCs/>
          <w:color w:val="auto"/>
          <w:highlight w:val="none"/>
          <w:lang w:eastAsia="zh-CN"/>
        </w:rPr>
        <w:t>）</w:t>
      </w:r>
      <w:r>
        <w:rPr>
          <w:rFonts w:hint="eastAsia"/>
          <w:b/>
          <w:bCs/>
          <w:color w:val="auto"/>
          <w:highlight w:val="none"/>
        </w:rPr>
        <w:t>与</w:t>
      </w:r>
      <w:r>
        <w:rPr>
          <w:rFonts w:hint="eastAsia"/>
          <w:b/>
          <w:bCs/>
          <w:color w:val="auto"/>
          <w:highlight w:val="none"/>
          <w:lang w:eastAsia="zh-CN"/>
        </w:rPr>
        <w:t>平舆</w:t>
      </w:r>
      <w:r>
        <w:rPr>
          <w:rFonts w:hint="eastAsia"/>
          <w:b/>
          <w:bCs/>
          <w:color w:val="auto"/>
          <w:highlight w:val="none"/>
        </w:rPr>
        <w:t>县乡镇饮用水水源地保护区划相符性分析</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color w:val="auto"/>
          <w:highlight w:val="none"/>
        </w:rPr>
      </w:pPr>
      <w:r>
        <w:rPr>
          <w:rFonts w:hint="eastAsia"/>
          <w:color w:val="auto"/>
          <w:highlight w:val="none"/>
        </w:rPr>
        <w:t>根据《河南省乡镇集中式饮用水水源保护区划》（豫政办〔2016〕23号）划分的结果，</w:t>
      </w:r>
      <w:r>
        <w:rPr>
          <w:rFonts w:hint="eastAsia"/>
          <w:color w:val="auto"/>
          <w:highlight w:val="none"/>
          <w:lang w:eastAsia="zh-CN"/>
        </w:rPr>
        <w:t>平舆</w:t>
      </w:r>
      <w:r>
        <w:rPr>
          <w:rFonts w:hint="eastAsia"/>
          <w:color w:val="auto"/>
          <w:highlight w:val="none"/>
        </w:rPr>
        <w:t>县乡镇级集中式饮用水水源保护区划分情况如下：</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color w:val="auto"/>
          <w:highlight w:val="none"/>
          <w:lang w:eastAsia="zh-CN"/>
        </w:rPr>
      </w:pPr>
      <w:r>
        <w:rPr>
          <w:rFonts w:hint="default" w:ascii="Times New Roman" w:hAnsi="Times New Roman" w:cs="Times New Roman"/>
          <w:color w:val="auto"/>
          <w:highlight w:val="none"/>
          <w:lang w:eastAsia="zh-CN"/>
        </w:rPr>
        <w:t>①</w:t>
      </w:r>
      <w:r>
        <w:rPr>
          <w:rFonts w:hint="eastAsia"/>
          <w:color w:val="auto"/>
          <w:highlight w:val="none"/>
          <w:lang w:eastAsia="zh-CN"/>
        </w:rPr>
        <w:t>平舆县庙湾镇地下水井（共1眼井）</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color w:val="auto"/>
          <w:highlight w:val="none"/>
        </w:rPr>
      </w:pPr>
      <w:r>
        <w:rPr>
          <w:rFonts w:hint="eastAsia"/>
          <w:color w:val="auto"/>
          <w:highlight w:val="none"/>
          <w:lang w:eastAsia="zh-CN"/>
        </w:rPr>
        <w:t>一级保护区范围：取水井外围50米的区域</w:t>
      </w:r>
      <w:r>
        <w:rPr>
          <w:rFonts w:hint="eastAsia"/>
          <w:color w:val="auto"/>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color w:val="auto"/>
          <w:highlight w:val="none"/>
        </w:rPr>
      </w:pPr>
      <w:r>
        <w:rPr>
          <w:rFonts w:hint="eastAsia"/>
          <w:color w:val="auto"/>
          <w:highlight w:val="none"/>
        </w:rPr>
        <w:t>本项目位于</w:t>
      </w:r>
      <w:r>
        <w:rPr>
          <w:rFonts w:hint="eastAsia"/>
          <w:color w:val="auto"/>
          <w:highlight w:val="none"/>
          <w:lang w:eastAsia="zh-CN"/>
        </w:rPr>
        <w:t>平舆</w:t>
      </w:r>
      <w:r>
        <w:rPr>
          <w:rFonts w:hint="eastAsia"/>
          <w:color w:val="auto"/>
          <w:highlight w:val="none"/>
        </w:rPr>
        <w:t>县</w:t>
      </w:r>
      <w:r>
        <w:rPr>
          <w:rFonts w:hint="eastAsia"/>
          <w:color w:val="auto"/>
          <w:highlight w:val="none"/>
          <w:lang w:eastAsia="zh-CN"/>
        </w:rPr>
        <w:t>庙湾乡赵庄村</w:t>
      </w:r>
      <w:r>
        <w:rPr>
          <w:rFonts w:hint="eastAsia"/>
          <w:color w:val="auto"/>
          <w:highlight w:val="none"/>
        </w:rPr>
        <w:t>，距离</w:t>
      </w:r>
      <w:r>
        <w:rPr>
          <w:rFonts w:hint="eastAsia"/>
          <w:color w:val="auto"/>
          <w:highlight w:val="none"/>
          <w:lang w:eastAsia="zh-CN"/>
        </w:rPr>
        <w:t>平舆</w:t>
      </w:r>
      <w:r>
        <w:rPr>
          <w:rFonts w:hint="eastAsia"/>
          <w:color w:val="auto"/>
          <w:highlight w:val="none"/>
        </w:rPr>
        <w:t>县</w:t>
      </w:r>
      <w:r>
        <w:rPr>
          <w:rFonts w:hint="eastAsia"/>
          <w:color w:val="auto"/>
          <w:highlight w:val="none"/>
          <w:lang w:eastAsia="zh-CN"/>
        </w:rPr>
        <w:t>庙湾镇</w:t>
      </w:r>
      <w:r>
        <w:rPr>
          <w:rFonts w:hint="eastAsia"/>
          <w:color w:val="auto"/>
          <w:highlight w:val="none"/>
        </w:rPr>
        <w:t>地下水井</w:t>
      </w:r>
      <w:r>
        <w:rPr>
          <w:rFonts w:hint="eastAsia"/>
          <w:color w:val="auto"/>
          <w:highlight w:val="none"/>
          <w:lang w:val="en-US" w:eastAsia="zh-CN"/>
        </w:rPr>
        <w:t>2.4</w:t>
      </w:r>
      <w:r>
        <w:rPr>
          <w:rFonts w:hint="eastAsia"/>
          <w:color w:val="auto"/>
          <w:highlight w:val="none"/>
        </w:rPr>
        <w:t>km</w:t>
      </w:r>
      <w:r>
        <w:rPr>
          <w:rFonts w:hint="eastAsia"/>
          <w:color w:val="auto"/>
          <w:highlight w:val="none"/>
          <w:lang w:eastAsia="zh-CN"/>
        </w:rPr>
        <w:t>，</w:t>
      </w:r>
      <w:r>
        <w:rPr>
          <w:rFonts w:hint="eastAsia"/>
          <w:color w:val="auto"/>
          <w:highlight w:val="none"/>
        </w:rPr>
        <w:t>本项目不在其一级保护范围</w:t>
      </w:r>
      <w:r>
        <w:rPr>
          <w:rFonts w:hint="eastAsia"/>
          <w:color w:val="auto"/>
          <w:highlight w:val="none"/>
          <w:lang w:eastAsia="zh-CN"/>
        </w:rPr>
        <w:t>内</w:t>
      </w:r>
      <w:r>
        <w:rPr>
          <w:rFonts w:hint="eastAsia"/>
          <w:color w:val="auto"/>
          <w:highlight w:val="none"/>
        </w:rPr>
        <w:t>。</w:t>
      </w:r>
    </w:p>
    <w:p>
      <w:pPr>
        <w:pStyle w:val="2"/>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482" w:firstLineChars="200"/>
        <w:textAlignment w:val="auto"/>
        <w:rPr>
          <w:rFonts w:hint="eastAsia"/>
          <w:b/>
          <w:bCs/>
          <w:color w:val="auto"/>
          <w:highlight w:val="none"/>
        </w:rPr>
      </w:pPr>
      <w:r>
        <w:rPr>
          <w:rFonts w:hint="eastAsia"/>
          <w:b/>
          <w:bCs/>
          <w:color w:val="auto"/>
          <w:highlight w:val="none"/>
        </w:rPr>
        <w:t>与</w:t>
      </w:r>
      <w:r>
        <w:rPr>
          <w:rFonts w:hint="eastAsia"/>
          <w:b/>
          <w:bCs/>
          <w:color w:val="auto"/>
          <w:highlight w:val="none"/>
          <w:lang w:eastAsia="zh-CN"/>
        </w:rPr>
        <w:t>平舆县畜禽养殖禁养区划分方案</w:t>
      </w:r>
      <w:r>
        <w:rPr>
          <w:rFonts w:hint="eastAsia"/>
          <w:b/>
          <w:bCs/>
          <w:color w:val="auto"/>
          <w:highlight w:val="none"/>
        </w:rPr>
        <w:t>相符性分析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本项目位于</w:t>
      </w:r>
      <w:r>
        <w:rPr>
          <w:rFonts w:hint="eastAsia"/>
          <w:color w:val="auto"/>
          <w:sz w:val="24"/>
          <w:highlight w:val="none"/>
          <w:lang w:eastAsia="zh-CN"/>
        </w:rPr>
        <w:t>平舆</w:t>
      </w:r>
      <w:r>
        <w:rPr>
          <w:rFonts w:ascii="Times New Roman" w:hAnsi="Times New Roman"/>
          <w:color w:val="auto"/>
          <w:sz w:val="24"/>
          <w:highlight w:val="none"/>
        </w:rPr>
        <w:t>县</w:t>
      </w:r>
      <w:r>
        <w:rPr>
          <w:rFonts w:hint="eastAsia"/>
          <w:color w:val="auto"/>
          <w:sz w:val="24"/>
          <w:highlight w:val="none"/>
          <w:lang w:eastAsia="zh-CN"/>
        </w:rPr>
        <w:t>庙湾乡赵庄村</w:t>
      </w:r>
      <w:r>
        <w:rPr>
          <w:rFonts w:ascii="Times New Roman" w:hAnsi="Times New Roman"/>
          <w:color w:val="auto"/>
          <w:sz w:val="24"/>
          <w:highlight w:val="none"/>
        </w:rPr>
        <w:t>，场区四周均为农耕地，根据现场勘踏，经与《</w:t>
      </w:r>
      <w:r>
        <w:rPr>
          <w:rFonts w:hint="eastAsia"/>
          <w:color w:val="auto"/>
          <w:sz w:val="24"/>
          <w:highlight w:val="none"/>
          <w:lang w:eastAsia="zh-CN"/>
        </w:rPr>
        <w:t>平舆县畜禽养殖禁养区划分方案</w:t>
      </w:r>
      <w:r>
        <w:rPr>
          <w:rFonts w:ascii="Times New Roman" w:hAnsi="Times New Roman"/>
          <w:color w:val="auto"/>
          <w:sz w:val="24"/>
          <w:highlight w:val="none"/>
        </w:rPr>
        <w:t>）</w:t>
      </w:r>
      <w:r>
        <w:rPr>
          <w:rFonts w:hint="eastAsia"/>
          <w:color w:val="auto"/>
          <w:sz w:val="24"/>
          <w:highlight w:val="none"/>
          <w:lang w:eastAsia="zh-CN"/>
        </w:rPr>
        <w:t>（平政办</w:t>
      </w:r>
      <w:r>
        <w:rPr>
          <w:rFonts w:hint="eastAsia"/>
          <w:color w:val="auto"/>
          <w:sz w:val="24"/>
          <w:highlight w:val="none"/>
          <w:lang w:val="en-US" w:eastAsia="zh-CN"/>
        </w:rPr>
        <w:t>[2020]6号</w:t>
      </w:r>
      <w:r>
        <w:rPr>
          <w:rFonts w:hint="eastAsia"/>
          <w:color w:val="auto"/>
          <w:sz w:val="24"/>
          <w:highlight w:val="none"/>
          <w:lang w:eastAsia="zh-CN"/>
        </w:rPr>
        <w:t>）</w:t>
      </w:r>
      <w:r>
        <w:rPr>
          <w:rFonts w:ascii="Times New Roman" w:hAnsi="Times New Roman"/>
          <w:color w:val="auto"/>
          <w:sz w:val="24"/>
          <w:highlight w:val="none"/>
        </w:rPr>
        <w:t>比对可知，距离最近的村庄为项目</w:t>
      </w:r>
      <w:r>
        <w:rPr>
          <w:rFonts w:hint="eastAsia" w:ascii="Times New Roman" w:hAnsi="Times New Roman"/>
          <w:bCs/>
          <w:color w:val="auto"/>
          <w:sz w:val="24"/>
          <w:highlight w:val="none"/>
        </w:rPr>
        <w:t>东北侧420m处的吴自岐庄</w:t>
      </w:r>
      <w:r>
        <w:rPr>
          <w:rFonts w:ascii="Times New Roman" w:hAnsi="Times New Roman"/>
          <w:color w:val="auto"/>
          <w:sz w:val="24"/>
          <w:highlight w:val="none"/>
        </w:rPr>
        <w:t>，不在</w:t>
      </w:r>
      <w:r>
        <w:rPr>
          <w:rFonts w:hint="eastAsia"/>
          <w:color w:val="auto"/>
          <w:sz w:val="24"/>
          <w:highlight w:val="none"/>
          <w:lang w:eastAsia="zh-CN"/>
        </w:rPr>
        <w:t>平舆</w:t>
      </w:r>
      <w:r>
        <w:rPr>
          <w:rFonts w:ascii="Times New Roman" w:hAnsi="Times New Roman"/>
          <w:color w:val="auto"/>
          <w:sz w:val="24"/>
          <w:highlight w:val="none"/>
        </w:rPr>
        <w:t>县划定的禁养区范围内，</w:t>
      </w:r>
      <w:r>
        <w:rPr>
          <w:rFonts w:hint="eastAsia"/>
          <w:color w:val="auto"/>
          <w:sz w:val="24"/>
          <w:highlight w:val="none"/>
          <w:lang w:eastAsia="zh-CN"/>
        </w:rPr>
        <w:t>平舆</w:t>
      </w:r>
      <w:r>
        <w:rPr>
          <w:rFonts w:ascii="Times New Roman" w:hAnsi="Times New Roman"/>
          <w:color w:val="auto"/>
          <w:sz w:val="24"/>
          <w:highlight w:val="none"/>
        </w:rPr>
        <w:t>县</w:t>
      </w:r>
      <w:r>
        <w:rPr>
          <w:rFonts w:hint="eastAsia"/>
          <w:color w:val="auto"/>
          <w:sz w:val="24"/>
          <w:highlight w:val="none"/>
          <w:lang w:eastAsia="zh-CN"/>
        </w:rPr>
        <w:t>农业农村</w:t>
      </w:r>
      <w:r>
        <w:rPr>
          <w:rFonts w:ascii="Times New Roman" w:hAnsi="Times New Roman"/>
          <w:color w:val="auto"/>
          <w:sz w:val="24"/>
          <w:highlight w:val="none"/>
        </w:rPr>
        <w:t>局关于本项目不在禁养区的证明见附件</w:t>
      </w:r>
      <w:r>
        <w:rPr>
          <w:rFonts w:hint="eastAsia"/>
          <w:color w:val="auto"/>
          <w:sz w:val="24"/>
          <w:highlight w:val="none"/>
          <w:lang w:eastAsia="zh-CN"/>
        </w:rPr>
        <w:t>五</w:t>
      </w:r>
      <w:r>
        <w:rPr>
          <w:rFonts w:ascii="Times New Roman" w:hAnsi="Times New Roman"/>
          <w:color w:val="auto"/>
          <w:sz w:val="24"/>
          <w:highlight w:val="none"/>
        </w:rPr>
        <w:t>，因此项目建设符合选址要求。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本项目与</w:t>
      </w:r>
      <w:r>
        <w:rPr>
          <w:rFonts w:hint="eastAsia"/>
          <w:color w:val="auto"/>
          <w:sz w:val="24"/>
          <w:highlight w:val="none"/>
          <w:lang w:eastAsia="zh-CN"/>
        </w:rPr>
        <w:t>平舆县畜禽养殖禁养区划分方案</w:t>
      </w:r>
      <w:r>
        <w:rPr>
          <w:rFonts w:ascii="Times New Roman" w:hAnsi="Times New Roman"/>
          <w:color w:val="auto"/>
          <w:sz w:val="24"/>
          <w:highlight w:val="none"/>
        </w:rPr>
        <w:t>对比分析见下表。</w:t>
      </w:r>
    </w:p>
    <w:p>
      <w:pPr>
        <w:pStyle w:val="21"/>
        <w:rPr>
          <w:rFonts w:cs="Times New Roman"/>
          <w:color w:val="auto"/>
          <w:highlight w:val="none"/>
        </w:rPr>
      </w:pPr>
      <w:r>
        <w:rPr>
          <w:rFonts w:cs="Times New Roman"/>
          <w:color w:val="auto"/>
          <w:highlight w:val="none"/>
        </w:rPr>
        <w:t>表1</w:t>
      </w:r>
      <w:r>
        <w:rPr>
          <w:rFonts w:hint="eastAsia" w:cs="Times New Roman"/>
          <w:color w:val="auto"/>
          <w:highlight w:val="none"/>
          <w:lang w:val="en-US" w:eastAsia="zh-CN"/>
        </w:rPr>
        <w:t>.9</w:t>
      </w:r>
      <w:r>
        <w:rPr>
          <w:rFonts w:cs="Times New Roman"/>
          <w:color w:val="auto"/>
          <w:highlight w:val="none"/>
        </w:rPr>
        <w:t>-1 与</w:t>
      </w:r>
      <w:r>
        <w:rPr>
          <w:rFonts w:hint="eastAsia" w:cs="Times New Roman"/>
          <w:color w:val="auto"/>
          <w:highlight w:val="none"/>
          <w:lang w:eastAsia="zh-CN"/>
        </w:rPr>
        <w:t>平舆县畜禽养殖禁养区划分方案</w:t>
      </w:r>
      <w:r>
        <w:rPr>
          <w:rFonts w:cs="Times New Roman"/>
          <w:color w:val="auto"/>
          <w:highlight w:val="none"/>
        </w:rPr>
        <w:t>对比分析一览表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87"/>
        <w:gridCol w:w="3372"/>
        <w:gridCol w:w="85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517"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划分方案</w:t>
            </w:r>
          </w:p>
        </w:tc>
        <w:tc>
          <w:tcPr>
            <w:tcW w:w="1980"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本项目</w:t>
            </w:r>
          </w:p>
        </w:tc>
        <w:tc>
          <w:tcPr>
            <w:tcW w:w="501"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4" w:hRule="atLeast"/>
          <w:jc w:val="center"/>
        </w:trPr>
        <w:tc>
          <w:tcPr>
            <w:tcW w:w="2517" w:type="pct"/>
            <w:noWrap w:val="0"/>
            <w:vAlign w:val="center"/>
          </w:tcPr>
          <w:p>
            <w:pPr>
              <w:spacing w:line="240" w:lineRule="auto"/>
              <w:ind w:left="0" w:leftChars="0" w:firstLine="0" w:firstLineChars="0"/>
              <w:jc w:val="center"/>
              <w:rPr>
                <w:rFonts w:hint="eastAsia" w:ascii="Times New Roman" w:hAnsi="Times New Roman"/>
                <w:bCs/>
                <w:color w:val="auto"/>
                <w:sz w:val="21"/>
                <w:szCs w:val="21"/>
                <w:highlight w:val="none"/>
                <w:lang w:eastAsia="zh-CN"/>
              </w:rPr>
            </w:pPr>
            <w:r>
              <w:rPr>
                <w:rFonts w:hint="eastAsia" w:ascii="Times New Roman" w:hAnsi="Times New Roman"/>
                <w:bCs/>
                <w:color w:val="auto"/>
                <w:sz w:val="21"/>
                <w:szCs w:val="21"/>
                <w:highlight w:val="none"/>
              </w:rPr>
              <w:t>（一）</w:t>
            </w:r>
            <w:r>
              <w:rPr>
                <w:rFonts w:hint="eastAsia" w:ascii="Times New Roman" w:hAnsi="Times New Roman"/>
                <w:bCs/>
                <w:color w:val="auto"/>
                <w:sz w:val="21"/>
                <w:szCs w:val="21"/>
                <w:highlight w:val="none"/>
                <w:lang w:eastAsia="zh-CN"/>
              </w:rPr>
              <w:t>集中式饮水保护区</w:t>
            </w:r>
          </w:p>
          <w:p>
            <w:pPr>
              <w:spacing w:line="240" w:lineRule="auto"/>
              <w:ind w:left="0" w:leftChars="0" w:firstLine="0" w:firstLineChars="0"/>
              <w:jc w:val="center"/>
              <w:rPr>
                <w:rFonts w:hint="eastAsia" w:ascii="Times New Roman" w:hAnsi="Times New Roman"/>
                <w:bCs/>
                <w:color w:val="auto"/>
                <w:sz w:val="21"/>
                <w:szCs w:val="21"/>
                <w:highlight w:val="none"/>
                <w:lang w:eastAsia="zh-CN"/>
              </w:rPr>
            </w:pPr>
            <w:r>
              <w:rPr>
                <w:rFonts w:hint="eastAsia" w:ascii="Times New Roman" w:hAnsi="Times New Roman"/>
                <w:bCs/>
                <w:color w:val="auto"/>
                <w:sz w:val="21"/>
                <w:szCs w:val="21"/>
                <w:highlight w:val="none"/>
                <w:lang w:val="en-US" w:eastAsia="zh-CN"/>
              </w:rPr>
              <w:t>1、</w:t>
            </w:r>
            <w:r>
              <w:rPr>
                <w:rFonts w:hint="eastAsia" w:ascii="Times New Roman" w:hAnsi="Times New Roman"/>
                <w:bCs/>
                <w:color w:val="auto"/>
                <w:sz w:val="21"/>
                <w:szCs w:val="21"/>
                <w:highlight w:val="none"/>
              </w:rPr>
              <w:t>平舆县万金店镇地下水井</w:t>
            </w:r>
            <w:r>
              <w:rPr>
                <w:rFonts w:hint="eastAsia" w:ascii="Times New Roman" w:hAnsi="Times New Roman"/>
                <w:bCs/>
                <w:color w:val="auto"/>
                <w:sz w:val="21"/>
                <w:szCs w:val="21"/>
                <w:highlight w:val="none"/>
                <w:lang w:eastAsia="zh-CN"/>
              </w:rPr>
              <w:t>（</w:t>
            </w:r>
            <w:r>
              <w:rPr>
                <w:rFonts w:hint="eastAsia" w:ascii="Times New Roman" w:hAnsi="Times New Roman"/>
                <w:bCs/>
                <w:color w:val="auto"/>
                <w:sz w:val="21"/>
                <w:szCs w:val="21"/>
                <w:highlight w:val="none"/>
              </w:rPr>
              <w:t>共1眼井</w:t>
            </w:r>
            <w:r>
              <w:rPr>
                <w:rFonts w:hint="eastAsia" w:ascii="Times New Roman" w:hAnsi="Times New Roman"/>
                <w:bCs/>
                <w:color w:val="auto"/>
                <w:sz w:val="21"/>
                <w:szCs w:val="21"/>
                <w:highlight w:val="none"/>
                <w:lang w:eastAsia="zh-CN"/>
              </w:rPr>
              <w:t>），一级保护区范围：取水井外围50米的区域。</w:t>
            </w:r>
          </w:p>
          <w:p>
            <w:pPr>
              <w:spacing w:line="240" w:lineRule="auto"/>
              <w:ind w:left="0" w:leftChars="0" w:firstLine="0" w:firstLineChars="0"/>
              <w:jc w:val="center"/>
              <w:rPr>
                <w:rFonts w:hint="eastAsia" w:ascii="Times New Roman" w:hAnsi="Times New Roman"/>
                <w:bCs/>
                <w:color w:val="auto"/>
                <w:sz w:val="21"/>
                <w:szCs w:val="21"/>
                <w:highlight w:val="none"/>
              </w:rPr>
            </w:pPr>
            <w:r>
              <w:rPr>
                <w:rFonts w:hint="eastAsia" w:ascii="Times New Roman" w:hAnsi="Times New Roman"/>
                <w:bCs/>
                <w:color w:val="auto"/>
                <w:sz w:val="21"/>
                <w:szCs w:val="21"/>
                <w:highlight w:val="none"/>
                <w:lang w:val="en-US" w:eastAsia="zh-CN"/>
              </w:rPr>
              <w:t>2、</w:t>
            </w:r>
            <w:r>
              <w:rPr>
                <w:rFonts w:hint="eastAsia" w:ascii="Times New Roman" w:hAnsi="Times New Roman"/>
                <w:bCs/>
                <w:color w:val="auto"/>
                <w:sz w:val="21"/>
                <w:szCs w:val="21"/>
                <w:highlight w:val="none"/>
              </w:rPr>
              <w:t>平舆县西洋店镇地下水井</w:t>
            </w:r>
            <w:r>
              <w:rPr>
                <w:rFonts w:hint="eastAsia" w:ascii="Times New Roman" w:hAnsi="Times New Roman"/>
                <w:bCs/>
                <w:color w:val="auto"/>
                <w:sz w:val="21"/>
                <w:szCs w:val="21"/>
                <w:highlight w:val="none"/>
                <w:lang w:eastAsia="zh-CN"/>
              </w:rPr>
              <w:t>（</w:t>
            </w:r>
            <w:r>
              <w:rPr>
                <w:rFonts w:hint="eastAsia" w:ascii="Times New Roman" w:hAnsi="Times New Roman"/>
                <w:bCs/>
                <w:color w:val="auto"/>
                <w:sz w:val="21"/>
                <w:szCs w:val="21"/>
                <w:highlight w:val="none"/>
              </w:rPr>
              <w:t>共1眼井</w:t>
            </w:r>
            <w:r>
              <w:rPr>
                <w:rFonts w:hint="eastAsia" w:ascii="Times New Roman" w:hAnsi="Times New Roman"/>
                <w:bCs/>
                <w:color w:val="auto"/>
                <w:sz w:val="21"/>
                <w:szCs w:val="21"/>
                <w:highlight w:val="none"/>
                <w:lang w:eastAsia="zh-CN"/>
              </w:rPr>
              <w:t>），</w:t>
            </w:r>
            <w:r>
              <w:rPr>
                <w:rFonts w:hint="eastAsia" w:ascii="Times New Roman" w:hAnsi="Times New Roman"/>
                <w:bCs/>
                <w:color w:val="auto"/>
                <w:sz w:val="21"/>
                <w:szCs w:val="21"/>
                <w:highlight w:val="none"/>
              </w:rPr>
              <w:t>一级保护区范围</w:t>
            </w:r>
            <w:r>
              <w:rPr>
                <w:rFonts w:hint="eastAsia" w:ascii="Times New Roman" w:hAnsi="Times New Roman"/>
                <w:bCs/>
                <w:color w:val="auto"/>
                <w:sz w:val="21"/>
                <w:szCs w:val="21"/>
                <w:highlight w:val="none"/>
                <w:lang w:eastAsia="zh-CN"/>
              </w:rPr>
              <w:t>：</w:t>
            </w:r>
            <w:r>
              <w:rPr>
                <w:rFonts w:hint="eastAsia" w:ascii="Times New Roman" w:hAnsi="Times New Roman"/>
                <w:bCs/>
                <w:color w:val="auto"/>
                <w:sz w:val="21"/>
                <w:szCs w:val="21"/>
                <w:highlight w:val="none"/>
              </w:rPr>
              <w:t>取水井外围50米的区域。</w:t>
            </w:r>
          </w:p>
          <w:p>
            <w:pPr>
              <w:spacing w:line="240" w:lineRule="auto"/>
              <w:ind w:left="0" w:leftChars="0" w:firstLine="0" w:firstLineChars="0"/>
              <w:jc w:val="center"/>
              <w:rPr>
                <w:rFonts w:hint="eastAsia" w:ascii="Times New Roman" w:hAnsi="Times New Roman"/>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3、平舆县李屯镇地下水井</w:t>
            </w:r>
            <w:r>
              <w:rPr>
                <w:rFonts w:hint="eastAsia" w:ascii="Times New Roman" w:hAnsi="Times New Roman"/>
                <w:bCs/>
                <w:color w:val="auto"/>
                <w:sz w:val="21"/>
                <w:szCs w:val="21"/>
                <w:highlight w:val="none"/>
                <w:lang w:eastAsia="zh-CN"/>
              </w:rPr>
              <w:t>（</w:t>
            </w:r>
            <w:r>
              <w:rPr>
                <w:rFonts w:hint="eastAsia" w:ascii="Times New Roman" w:hAnsi="Times New Roman"/>
                <w:bCs/>
                <w:color w:val="auto"/>
                <w:sz w:val="21"/>
                <w:szCs w:val="21"/>
                <w:highlight w:val="none"/>
              </w:rPr>
              <w:t>共1眼井</w:t>
            </w:r>
            <w:r>
              <w:rPr>
                <w:rFonts w:hint="eastAsia" w:ascii="Times New Roman" w:hAnsi="Times New Roman"/>
                <w:bCs/>
                <w:color w:val="auto"/>
                <w:sz w:val="21"/>
                <w:szCs w:val="21"/>
                <w:highlight w:val="none"/>
                <w:lang w:eastAsia="zh-CN"/>
              </w:rPr>
              <w:t>），</w:t>
            </w:r>
            <w:r>
              <w:rPr>
                <w:rFonts w:hint="eastAsia" w:ascii="Times New Roman" w:hAnsi="Times New Roman"/>
                <w:bCs/>
                <w:color w:val="auto"/>
                <w:sz w:val="21"/>
                <w:szCs w:val="21"/>
                <w:highlight w:val="none"/>
                <w:lang w:val="en-US" w:eastAsia="zh-CN"/>
              </w:rPr>
              <w:t>一级保护区范围：取水井外围50米的区域。</w:t>
            </w:r>
          </w:p>
          <w:p>
            <w:pPr>
              <w:spacing w:line="240" w:lineRule="auto"/>
              <w:ind w:left="0" w:leftChars="0" w:firstLine="0" w:firstLineChars="0"/>
              <w:jc w:val="center"/>
              <w:rPr>
                <w:rFonts w:hint="eastAsia" w:ascii="Times New Roman" w:hAnsi="Times New Roman"/>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4、平舆县郭楼镇地下水井</w:t>
            </w:r>
            <w:r>
              <w:rPr>
                <w:rFonts w:hint="eastAsia" w:ascii="Times New Roman" w:hAnsi="Times New Roman"/>
                <w:bCs/>
                <w:color w:val="auto"/>
                <w:sz w:val="21"/>
                <w:szCs w:val="21"/>
                <w:highlight w:val="none"/>
                <w:lang w:eastAsia="zh-CN"/>
              </w:rPr>
              <w:t>（</w:t>
            </w:r>
            <w:r>
              <w:rPr>
                <w:rFonts w:hint="eastAsia" w:ascii="Times New Roman" w:hAnsi="Times New Roman"/>
                <w:bCs/>
                <w:color w:val="auto"/>
                <w:sz w:val="21"/>
                <w:szCs w:val="21"/>
                <w:highlight w:val="none"/>
              </w:rPr>
              <w:t>共1眼井</w:t>
            </w:r>
            <w:r>
              <w:rPr>
                <w:rFonts w:hint="eastAsia" w:ascii="Times New Roman" w:hAnsi="Times New Roman"/>
                <w:bCs/>
                <w:color w:val="auto"/>
                <w:sz w:val="21"/>
                <w:szCs w:val="21"/>
                <w:highlight w:val="none"/>
                <w:lang w:eastAsia="zh-CN"/>
              </w:rPr>
              <w:t>），</w:t>
            </w:r>
            <w:r>
              <w:rPr>
                <w:rFonts w:hint="eastAsia" w:ascii="Times New Roman" w:hAnsi="Times New Roman"/>
                <w:bCs/>
                <w:color w:val="auto"/>
                <w:sz w:val="21"/>
                <w:szCs w:val="21"/>
                <w:highlight w:val="none"/>
                <w:lang w:val="en-US" w:eastAsia="zh-CN"/>
              </w:rPr>
              <w:t>一级保护区范围：取水井外围50米的区域。</w:t>
            </w:r>
          </w:p>
          <w:p>
            <w:pPr>
              <w:spacing w:line="240" w:lineRule="auto"/>
              <w:ind w:left="0" w:leftChars="0" w:firstLine="0" w:firstLineChars="0"/>
              <w:jc w:val="center"/>
              <w:rPr>
                <w:rFonts w:hint="eastAsia" w:ascii="Times New Roman" w:hAnsi="Times New Roman"/>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5、平舆县阳城镇地下水井</w:t>
            </w:r>
            <w:r>
              <w:rPr>
                <w:rFonts w:hint="eastAsia" w:ascii="Times New Roman" w:hAnsi="Times New Roman"/>
                <w:bCs/>
                <w:color w:val="auto"/>
                <w:sz w:val="21"/>
                <w:szCs w:val="21"/>
                <w:highlight w:val="none"/>
                <w:lang w:eastAsia="zh-CN"/>
              </w:rPr>
              <w:t>（</w:t>
            </w:r>
            <w:r>
              <w:rPr>
                <w:rFonts w:hint="eastAsia" w:ascii="Times New Roman" w:hAnsi="Times New Roman"/>
                <w:bCs/>
                <w:color w:val="auto"/>
                <w:sz w:val="21"/>
                <w:szCs w:val="21"/>
                <w:highlight w:val="none"/>
              </w:rPr>
              <w:t>共1眼井</w:t>
            </w:r>
            <w:r>
              <w:rPr>
                <w:rFonts w:hint="eastAsia" w:ascii="Times New Roman" w:hAnsi="Times New Roman"/>
                <w:bCs/>
                <w:color w:val="auto"/>
                <w:sz w:val="21"/>
                <w:szCs w:val="21"/>
                <w:highlight w:val="none"/>
                <w:lang w:eastAsia="zh-CN"/>
              </w:rPr>
              <w:t>），</w:t>
            </w:r>
            <w:r>
              <w:rPr>
                <w:rFonts w:hint="eastAsia" w:ascii="Times New Roman" w:hAnsi="Times New Roman"/>
                <w:bCs/>
                <w:color w:val="auto"/>
                <w:sz w:val="21"/>
                <w:szCs w:val="21"/>
                <w:highlight w:val="none"/>
                <w:lang w:val="en-US" w:eastAsia="zh-CN"/>
              </w:rPr>
              <w:t>一级保护区范围：取水井外围50米的区域。</w:t>
            </w:r>
          </w:p>
          <w:p>
            <w:pPr>
              <w:spacing w:line="240" w:lineRule="auto"/>
              <w:ind w:left="0" w:leftChars="0" w:firstLine="0" w:firstLineChars="0"/>
              <w:jc w:val="center"/>
              <w:rPr>
                <w:rFonts w:hint="eastAsia" w:ascii="Times New Roman" w:hAnsi="Times New Roman"/>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6、平舆县射桥镇地下水井</w:t>
            </w:r>
            <w:r>
              <w:rPr>
                <w:rFonts w:hint="eastAsia" w:ascii="Times New Roman" w:hAnsi="Times New Roman"/>
                <w:bCs/>
                <w:color w:val="auto"/>
                <w:sz w:val="21"/>
                <w:szCs w:val="21"/>
                <w:highlight w:val="none"/>
                <w:lang w:eastAsia="zh-CN"/>
              </w:rPr>
              <w:t>（</w:t>
            </w:r>
            <w:r>
              <w:rPr>
                <w:rFonts w:hint="eastAsia" w:ascii="Times New Roman" w:hAnsi="Times New Roman"/>
                <w:bCs/>
                <w:color w:val="auto"/>
                <w:sz w:val="21"/>
                <w:szCs w:val="21"/>
                <w:highlight w:val="none"/>
              </w:rPr>
              <w:t>共1眼井</w:t>
            </w:r>
            <w:r>
              <w:rPr>
                <w:rFonts w:hint="eastAsia" w:ascii="Times New Roman" w:hAnsi="Times New Roman"/>
                <w:bCs/>
                <w:color w:val="auto"/>
                <w:sz w:val="21"/>
                <w:szCs w:val="21"/>
                <w:highlight w:val="none"/>
                <w:lang w:eastAsia="zh-CN"/>
              </w:rPr>
              <w:t>），</w:t>
            </w:r>
            <w:r>
              <w:rPr>
                <w:rFonts w:hint="eastAsia" w:ascii="Times New Roman" w:hAnsi="Times New Roman"/>
                <w:bCs/>
                <w:color w:val="auto"/>
                <w:sz w:val="21"/>
                <w:szCs w:val="21"/>
                <w:highlight w:val="none"/>
                <w:lang w:val="en-US" w:eastAsia="zh-CN"/>
              </w:rPr>
              <w:t>一级保护区范围：取水井外围50米的区域。</w:t>
            </w:r>
          </w:p>
          <w:p>
            <w:pPr>
              <w:spacing w:line="240" w:lineRule="auto"/>
              <w:ind w:left="0" w:leftChars="0" w:firstLine="0" w:firstLineChars="0"/>
              <w:jc w:val="center"/>
              <w:rPr>
                <w:rFonts w:hint="eastAsia" w:ascii="Times New Roman" w:hAnsi="Times New Roman"/>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7、平舆县十字路乡地下水井</w:t>
            </w:r>
            <w:r>
              <w:rPr>
                <w:rFonts w:hint="eastAsia" w:ascii="Times New Roman" w:hAnsi="Times New Roman"/>
                <w:bCs/>
                <w:color w:val="auto"/>
                <w:sz w:val="21"/>
                <w:szCs w:val="21"/>
                <w:highlight w:val="none"/>
                <w:lang w:eastAsia="zh-CN"/>
              </w:rPr>
              <w:t>（</w:t>
            </w:r>
            <w:r>
              <w:rPr>
                <w:rFonts w:hint="eastAsia" w:ascii="Times New Roman" w:hAnsi="Times New Roman"/>
                <w:bCs/>
                <w:color w:val="auto"/>
                <w:sz w:val="21"/>
                <w:szCs w:val="21"/>
                <w:highlight w:val="none"/>
              </w:rPr>
              <w:t>共1眼井</w:t>
            </w:r>
            <w:r>
              <w:rPr>
                <w:rFonts w:hint="eastAsia" w:ascii="Times New Roman" w:hAnsi="Times New Roman"/>
                <w:bCs/>
                <w:color w:val="auto"/>
                <w:sz w:val="21"/>
                <w:szCs w:val="21"/>
                <w:highlight w:val="none"/>
                <w:lang w:eastAsia="zh-CN"/>
              </w:rPr>
              <w:t>），</w:t>
            </w:r>
            <w:r>
              <w:rPr>
                <w:rFonts w:hint="eastAsia" w:ascii="Times New Roman" w:hAnsi="Times New Roman"/>
                <w:bCs/>
                <w:color w:val="auto"/>
                <w:sz w:val="21"/>
                <w:szCs w:val="21"/>
                <w:highlight w:val="none"/>
                <w:lang w:val="en-US" w:eastAsia="zh-CN"/>
              </w:rPr>
              <w:t>一级保护区范围：取水井外围50米的区域。</w:t>
            </w:r>
          </w:p>
          <w:p>
            <w:pPr>
              <w:spacing w:line="240" w:lineRule="auto"/>
              <w:ind w:left="0" w:leftChars="0" w:firstLine="0" w:firstLineChars="0"/>
              <w:jc w:val="center"/>
              <w:rPr>
                <w:rFonts w:hint="eastAsia" w:ascii="Times New Roman" w:hAnsi="Times New Roman"/>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8、平舆县玉皇庙乡地下水井</w:t>
            </w:r>
            <w:r>
              <w:rPr>
                <w:rFonts w:hint="eastAsia" w:ascii="Times New Roman" w:hAnsi="Times New Roman"/>
                <w:bCs/>
                <w:color w:val="auto"/>
                <w:sz w:val="21"/>
                <w:szCs w:val="21"/>
                <w:highlight w:val="none"/>
                <w:lang w:eastAsia="zh-CN"/>
              </w:rPr>
              <w:t>（</w:t>
            </w:r>
            <w:r>
              <w:rPr>
                <w:rFonts w:hint="eastAsia" w:ascii="Times New Roman" w:hAnsi="Times New Roman"/>
                <w:bCs/>
                <w:color w:val="auto"/>
                <w:sz w:val="21"/>
                <w:szCs w:val="21"/>
                <w:highlight w:val="none"/>
              </w:rPr>
              <w:t>共1眼井</w:t>
            </w:r>
            <w:r>
              <w:rPr>
                <w:rFonts w:hint="eastAsia" w:ascii="Times New Roman" w:hAnsi="Times New Roman"/>
                <w:bCs/>
                <w:color w:val="auto"/>
                <w:sz w:val="21"/>
                <w:szCs w:val="21"/>
                <w:highlight w:val="none"/>
                <w:lang w:eastAsia="zh-CN"/>
              </w:rPr>
              <w:t>），</w:t>
            </w:r>
            <w:r>
              <w:rPr>
                <w:rFonts w:hint="eastAsia" w:ascii="Times New Roman" w:hAnsi="Times New Roman"/>
                <w:bCs/>
                <w:color w:val="auto"/>
                <w:sz w:val="21"/>
                <w:szCs w:val="21"/>
                <w:highlight w:val="none"/>
                <w:lang w:val="en-US" w:eastAsia="zh-CN"/>
              </w:rPr>
              <w:t>一级保护区范围：取水井外围50米的区域。</w:t>
            </w:r>
          </w:p>
          <w:p>
            <w:pPr>
              <w:spacing w:line="240" w:lineRule="auto"/>
              <w:ind w:left="0" w:leftChars="0" w:firstLine="0" w:firstLineChars="0"/>
              <w:jc w:val="center"/>
              <w:rPr>
                <w:rFonts w:hint="eastAsia" w:ascii="Times New Roman" w:hAnsi="Times New Roman"/>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9、平舆县庙湾镇地下水井</w:t>
            </w:r>
            <w:r>
              <w:rPr>
                <w:rFonts w:hint="eastAsia" w:ascii="Times New Roman" w:hAnsi="Times New Roman"/>
                <w:bCs/>
                <w:color w:val="auto"/>
                <w:sz w:val="21"/>
                <w:szCs w:val="21"/>
                <w:highlight w:val="none"/>
                <w:lang w:eastAsia="zh-CN"/>
              </w:rPr>
              <w:t>（</w:t>
            </w:r>
            <w:r>
              <w:rPr>
                <w:rFonts w:hint="eastAsia" w:ascii="Times New Roman" w:hAnsi="Times New Roman"/>
                <w:bCs/>
                <w:color w:val="auto"/>
                <w:sz w:val="21"/>
                <w:szCs w:val="21"/>
                <w:highlight w:val="none"/>
              </w:rPr>
              <w:t>共1眼井</w:t>
            </w:r>
            <w:r>
              <w:rPr>
                <w:rFonts w:hint="eastAsia" w:ascii="Times New Roman" w:hAnsi="Times New Roman"/>
                <w:bCs/>
                <w:color w:val="auto"/>
                <w:sz w:val="21"/>
                <w:szCs w:val="21"/>
                <w:highlight w:val="none"/>
                <w:lang w:eastAsia="zh-CN"/>
              </w:rPr>
              <w:t>），</w:t>
            </w:r>
            <w:r>
              <w:rPr>
                <w:rFonts w:hint="eastAsia" w:ascii="Times New Roman" w:hAnsi="Times New Roman"/>
                <w:bCs/>
                <w:color w:val="auto"/>
                <w:sz w:val="21"/>
                <w:szCs w:val="21"/>
                <w:highlight w:val="none"/>
                <w:lang w:val="en-US" w:eastAsia="zh-CN"/>
              </w:rPr>
              <w:t>一级保护区范围：取水井外围50米的区域。</w:t>
            </w:r>
          </w:p>
          <w:p>
            <w:pPr>
              <w:spacing w:line="240" w:lineRule="auto"/>
              <w:ind w:left="0" w:leftChars="0" w:firstLine="0" w:firstLineChars="0"/>
              <w:jc w:val="center"/>
              <w:rPr>
                <w:rFonts w:hint="eastAsia" w:ascii="Times New Roman" w:hAnsi="Times New Roman"/>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10、平舆县高杨店镇地下水井</w:t>
            </w:r>
            <w:r>
              <w:rPr>
                <w:rFonts w:hint="eastAsia" w:ascii="Times New Roman" w:hAnsi="Times New Roman"/>
                <w:bCs/>
                <w:color w:val="auto"/>
                <w:sz w:val="21"/>
                <w:szCs w:val="21"/>
                <w:highlight w:val="none"/>
                <w:lang w:eastAsia="zh-CN"/>
              </w:rPr>
              <w:t>（</w:t>
            </w:r>
            <w:r>
              <w:rPr>
                <w:rFonts w:hint="eastAsia" w:ascii="Times New Roman" w:hAnsi="Times New Roman"/>
                <w:bCs/>
                <w:color w:val="auto"/>
                <w:sz w:val="21"/>
                <w:szCs w:val="21"/>
                <w:highlight w:val="none"/>
              </w:rPr>
              <w:t>共1眼井</w:t>
            </w:r>
            <w:r>
              <w:rPr>
                <w:rFonts w:hint="eastAsia" w:ascii="Times New Roman" w:hAnsi="Times New Roman"/>
                <w:bCs/>
                <w:color w:val="auto"/>
                <w:sz w:val="21"/>
                <w:szCs w:val="21"/>
                <w:highlight w:val="none"/>
                <w:lang w:eastAsia="zh-CN"/>
              </w:rPr>
              <w:t>），</w:t>
            </w:r>
          </w:p>
          <w:p>
            <w:pPr>
              <w:spacing w:line="240" w:lineRule="auto"/>
              <w:ind w:left="0" w:leftChars="0" w:firstLine="0" w:firstLineChars="0"/>
              <w:jc w:val="center"/>
              <w:rPr>
                <w:rFonts w:hint="eastAsia" w:ascii="Times New Roman" w:hAnsi="Times New Roman"/>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一级保护区范围：取水井外围50米的区域。</w:t>
            </w:r>
          </w:p>
          <w:p>
            <w:pPr>
              <w:spacing w:line="240" w:lineRule="auto"/>
              <w:ind w:left="0" w:leftChars="0" w:firstLine="0" w:firstLineChars="0"/>
              <w:jc w:val="center"/>
              <w:rPr>
                <w:rFonts w:hint="eastAsia" w:ascii="Times New Roman" w:hAnsi="Times New Roman"/>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11、平舆县杨埠镇地下水井</w:t>
            </w:r>
            <w:r>
              <w:rPr>
                <w:rFonts w:hint="eastAsia" w:ascii="Times New Roman" w:hAnsi="Times New Roman"/>
                <w:bCs/>
                <w:color w:val="auto"/>
                <w:sz w:val="21"/>
                <w:szCs w:val="21"/>
                <w:highlight w:val="none"/>
                <w:lang w:eastAsia="zh-CN"/>
              </w:rPr>
              <w:t>（</w:t>
            </w:r>
            <w:r>
              <w:rPr>
                <w:rFonts w:hint="eastAsia" w:ascii="Times New Roman" w:hAnsi="Times New Roman"/>
                <w:bCs/>
                <w:color w:val="auto"/>
                <w:sz w:val="21"/>
                <w:szCs w:val="21"/>
                <w:highlight w:val="none"/>
              </w:rPr>
              <w:t>共1眼井</w:t>
            </w:r>
            <w:r>
              <w:rPr>
                <w:rFonts w:hint="eastAsia" w:ascii="Times New Roman" w:hAnsi="Times New Roman"/>
                <w:bCs/>
                <w:color w:val="auto"/>
                <w:sz w:val="21"/>
                <w:szCs w:val="21"/>
                <w:highlight w:val="none"/>
                <w:lang w:eastAsia="zh-CN"/>
              </w:rPr>
              <w:t>），</w:t>
            </w:r>
            <w:r>
              <w:rPr>
                <w:rFonts w:hint="eastAsia" w:ascii="Times New Roman" w:hAnsi="Times New Roman"/>
                <w:bCs/>
                <w:color w:val="auto"/>
                <w:sz w:val="21"/>
                <w:szCs w:val="21"/>
                <w:highlight w:val="none"/>
                <w:lang w:val="en-US" w:eastAsia="zh-CN"/>
              </w:rPr>
              <w:t>一级保护区范围：取水井外围50米的区域。</w:t>
            </w:r>
          </w:p>
          <w:p>
            <w:pPr>
              <w:spacing w:line="240" w:lineRule="auto"/>
              <w:ind w:left="0" w:leftChars="0" w:firstLine="0" w:firstLineChars="0"/>
              <w:jc w:val="center"/>
              <w:rPr>
                <w:rFonts w:hint="eastAsia" w:ascii="Times New Roman" w:hAnsi="Times New Roman"/>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12、平舆县东和店镇地下水井</w:t>
            </w:r>
            <w:r>
              <w:rPr>
                <w:rFonts w:hint="eastAsia" w:ascii="Times New Roman" w:hAnsi="Times New Roman"/>
                <w:bCs/>
                <w:color w:val="auto"/>
                <w:sz w:val="21"/>
                <w:szCs w:val="21"/>
                <w:highlight w:val="none"/>
                <w:lang w:eastAsia="zh-CN"/>
              </w:rPr>
              <w:t>（</w:t>
            </w:r>
            <w:r>
              <w:rPr>
                <w:rFonts w:hint="eastAsia" w:ascii="Times New Roman" w:hAnsi="Times New Roman"/>
                <w:bCs/>
                <w:color w:val="auto"/>
                <w:sz w:val="21"/>
                <w:szCs w:val="21"/>
                <w:highlight w:val="none"/>
              </w:rPr>
              <w:t>共1眼井</w:t>
            </w:r>
            <w:r>
              <w:rPr>
                <w:rFonts w:hint="eastAsia" w:ascii="Times New Roman" w:hAnsi="Times New Roman"/>
                <w:bCs/>
                <w:color w:val="auto"/>
                <w:sz w:val="21"/>
                <w:szCs w:val="21"/>
                <w:highlight w:val="none"/>
                <w:lang w:eastAsia="zh-CN"/>
              </w:rPr>
              <w:t>），</w:t>
            </w:r>
            <w:r>
              <w:rPr>
                <w:rFonts w:hint="eastAsia" w:ascii="Times New Roman" w:hAnsi="Times New Roman"/>
                <w:bCs/>
                <w:color w:val="auto"/>
                <w:sz w:val="21"/>
                <w:szCs w:val="21"/>
                <w:highlight w:val="none"/>
                <w:lang w:val="en-US" w:eastAsia="zh-CN"/>
              </w:rPr>
              <w:t>一级保护区范围：取水井外围50米的区域。</w:t>
            </w:r>
          </w:p>
          <w:p>
            <w:pPr>
              <w:spacing w:line="240" w:lineRule="auto"/>
              <w:ind w:left="0" w:leftChars="0" w:firstLine="0" w:firstLineChars="0"/>
              <w:jc w:val="center"/>
              <w:rPr>
                <w:rFonts w:hint="eastAsia" w:ascii="Times New Roman" w:hAnsi="Times New Roman"/>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13、平舆县双庙乡地下水井</w:t>
            </w:r>
            <w:r>
              <w:rPr>
                <w:rFonts w:hint="eastAsia" w:ascii="Times New Roman" w:hAnsi="Times New Roman"/>
                <w:bCs/>
                <w:color w:val="auto"/>
                <w:sz w:val="21"/>
                <w:szCs w:val="21"/>
                <w:highlight w:val="none"/>
                <w:lang w:eastAsia="zh-CN"/>
              </w:rPr>
              <w:t>（</w:t>
            </w:r>
            <w:r>
              <w:rPr>
                <w:rFonts w:hint="eastAsia" w:ascii="Times New Roman" w:hAnsi="Times New Roman"/>
                <w:bCs/>
                <w:color w:val="auto"/>
                <w:sz w:val="21"/>
                <w:szCs w:val="21"/>
                <w:highlight w:val="none"/>
              </w:rPr>
              <w:t>共1眼井</w:t>
            </w:r>
            <w:r>
              <w:rPr>
                <w:rFonts w:hint="eastAsia" w:ascii="Times New Roman" w:hAnsi="Times New Roman"/>
                <w:bCs/>
                <w:color w:val="auto"/>
                <w:sz w:val="21"/>
                <w:szCs w:val="21"/>
                <w:highlight w:val="none"/>
                <w:lang w:eastAsia="zh-CN"/>
              </w:rPr>
              <w:t>），</w:t>
            </w:r>
            <w:r>
              <w:rPr>
                <w:rFonts w:hint="eastAsia" w:ascii="Times New Roman" w:hAnsi="Times New Roman"/>
                <w:bCs/>
                <w:color w:val="auto"/>
                <w:sz w:val="21"/>
                <w:szCs w:val="21"/>
                <w:highlight w:val="none"/>
                <w:lang w:val="en-US" w:eastAsia="zh-CN"/>
              </w:rPr>
              <w:t>一级保护区范围：取水井外围50米的区域。</w:t>
            </w:r>
          </w:p>
          <w:p>
            <w:pPr>
              <w:spacing w:line="240" w:lineRule="auto"/>
              <w:ind w:left="0" w:leftChars="0" w:firstLine="0" w:firstLineChars="0"/>
              <w:jc w:val="center"/>
              <w:rPr>
                <w:rFonts w:hint="eastAsia" w:ascii="Times New Roman" w:hAnsi="Times New Roman"/>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14、平舆县清源水业有限公司地下水井群</w:t>
            </w:r>
            <w:r>
              <w:rPr>
                <w:rFonts w:hint="eastAsia"/>
                <w:bCs/>
                <w:color w:val="auto"/>
                <w:sz w:val="21"/>
                <w:szCs w:val="21"/>
                <w:highlight w:val="none"/>
                <w:lang w:val="en-US" w:eastAsia="zh-CN"/>
              </w:rPr>
              <w:t>（</w:t>
            </w:r>
            <w:r>
              <w:rPr>
                <w:rFonts w:hint="eastAsia" w:ascii="Times New Roman" w:hAnsi="Times New Roman"/>
                <w:bCs/>
                <w:color w:val="auto"/>
                <w:sz w:val="21"/>
                <w:szCs w:val="21"/>
                <w:highlight w:val="none"/>
                <w:lang w:val="en-US" w:eastAsia="zh-CN"/>
              </w:rPr>
              <w:t>小清河两侧、永乐大道两侧</w:t>
            </w:r>
            <w:r>
              <w:rPr>
                <w:rFonts w:hint="eastAsia"/>
                <w:bCs/>
                <w:color w:val="auto"/>
                <w:sz w:val="21"/>
                <w:szCs w:val="21"/>
                <w:highlight w:val="none"/>
                <w:lang w:val="en-US" w:eastAsia="zh-CN"/>
              </w:rPr>
              <w:t>，</w:t>
            </w:r>
            <w:r>
              <w:rPr>
                <w:rFonts w:hint="eastAsia" w:ascii="Times New Roman" w:hAnsi="Times New Roman"/>
                <w:bCs/>
                <w:color w:val="auto"/>
                <w:sz w:val="21"/>
                <w:szCs w:val="21"/>
                <w:highlight w:val="none"/>
                <w:lang w:val="en-US" w:eastAsia="zh-CN"/>
              </w:rPr>
              <w:t>共13眼井</w:t>
            </w:r>
            <w:r>
              <w:rPr>
                <w:rFonts w:hint="eastAsia"/>
                <w:bCs/>
                <w:color w:val="auto"/>
                <w:sz w:val="21"/>
                <w:szCs w:val="21"/>
                <w:highlight w:val="none"/>
                <w:lang w:val="en-US" w:eastAsia="zh-CN"/>
              </w:rPr>
              <w:t>），</w:t>
            </w:r>
            <w:r>
              <w:rPr>
                <w:rFonts w:hint="eastAsia" w:ascii="Times New Roman" w:hAnsi="Times New Roman"/>
                <w:bCs/>
                <w:color w:val="auto"/>
                <w:sz w:val="21"/>
                <w:szCs w:val="21"/>
                <w:highlight w:val="none"/>
                <w:lang w:val="en-US" w:eastAsia="zh-CN"/>
              </w:rPr>
              <w:t>一级保护区范围</w:t>
            </w:r>
            <w:r>
              <w:rPr>
                <w:rFonts w:hint="eastAsia"/>
                <w:bCs/>
                <w:color w:val="auto"/>
                <w:sz w:val="21"/>
                <w:szCs w:val="21"/>
                <w:highlight w:val="none"/>
                <w:lang w:val="en-US" w:eastAsia="zh-CN"/>
              </w:rPr>
              <w:t>：</w:t>
            </w:r>
            <w:r>
              <w:rPr>
                <w:rFonts w:hint="eastAsia" w:ascii="Times New Roman" w:hAnsi="Times New Roman"/>
                <w:bCs/>
                <w:color w:val="auto"/>
                <w:sz w:val="21"/>
                <w:szCs w:val="21"/>
                <w:highlight w:val="none"/>
                <w:lang w:val="en-US" w:eastAsia="zh-CN"/>
              </w:rPr>
              <w:t>取水井外围50米的区域。</w:t>
            </w:r>
          </w:p>
          <w:p>
            <w:pPr>
              <w:spacing w:line="240" w:lineRule="auto"/>
              <w:ind w:left="0" w:leftChars="0" w:firstLine="0" w:firstLineChars="0"/>
              <w:jc w:val="center"/>
              <w:rPr>
                <w:rFonts w:hint="eastAsia" w:ascii="Times New Roman" w:hAnsi="Times New Roman"/>
                <w:bCs/>
                <w:color w:val="auto"/>
                <w:sz w:val="21"/>
                <w:szCs w:val="21"/>
                <w:highlight w:val="none"/>
                <w:lang w:val="en-US" w:eastAsia="zh-CN"/>
              </w:rPr>
            </w:pPr>
            <w:r>
              <w:rPr>
                <w:rFonts w:hint="eastAsia"/>
                <w:bCs/>
                <w:color w:val="auto"/>
                <w:sz w:val="21"/>
                <w:szCs w:val="21"/>
                <w:highlight w:val="none"/>
                <w:lang w:val="en-US" w:eastAsia="zh-CN"/>
              </w:rPr>
              <w:t>15、</w:t>
            </w:r>
            <w:r>
              <w:rPr>
                <w:rFonts w:hint="eastAsia" w:ascii="Times New Roman" w:hAnsi="Times New Roman"/>
                <w:bCs/>
                <w:color w:val="auto"/>
                <w:sz w:val="21"/>
                <w:szCs w:val="21"/>
                <w:highlight w:val="none"/>
                <w:lang w:val="en-US" w:eastAsia="zh-CN"/>
              </w:rPr>
              <w:t>平舆县李庄水厂地下水井群</w:t>
            </w:r>
            <w:r>
              <w:rPr>
                <w:rFonts w:hint="eastAsia"/>
                <w:bCs/>
                <w:color w:val="auto"/>
                <w:sz w:val="21"/>
                <w:szCs w:val="21"/>
                <w:highlight w:val="none"/>
                <w:lang w:val="en-US" w:eastAsia="zh-CN"/>
              </w:rPr>
              <w:t>（</w:t>
            </w:r>
            <w:r>
              <w:rPr>
                <w:rFonts w:hint="eastAsia" w:ascii="Times New Roman" w:hAnsi="Times New Roman"/>
                <w:bCs/>
                <w:color w:val="auto"/>
                <w:sz w:val="21"/>
                <w:szCs w:val="21"/>
                <w:highlight w:val="none"/>
                <w:lang w:val="en-US" w:eastAsia="zh-CN"/>
              </w:rPr>
              <w:t>李庄以北</w:t>
            </w:r>
            <w:r>
              <w:rPr>
                <w:rFonts w:hint="eastAsia"/>
                <w:bCs/>
                <w:color w:val="auto"/>
                <w:sz w:val="21"/>
                <w:szCs w:val="21"/>
                <w:highlight w:val="none"/>
                <w:lang w:val="en-US" w:eastAsia="zh-CN"/>
              </w:rPr>
              <w:t>，</w:t>
            </w:r>
            <w:r>
              <w:rPr>
                <w:rFonts w:hint="eastAsia" w:ascii="Times New Roman" w:hAnsi="Times New Roman"/>
                <w:bCs/>
                <w:color w:val="auto"/>
                <w:sz w:val="21"/>
                <w:szCs w:val="21"/>
                <w:highlight w:val="none"/>
                <w:lang w:val="en-US" w:eastAsia="zh-CN"/>
              </w:rPr>
              <w:t>共15眼井</w:t>
            </w:r>
            <w:r>
              <w:rPr>
                <w:rFonts w:hint="eastAsia"/>
                <w:bCs/>
                <w:color w:val="auto"/>
                <w:sz w:val="21"/>
                <w:szCs w:val="21"/>
                <w:highlight w:val="none"/>
                <w:lang w:val="en-US" w:eastAsia="zh-CN"/>
              </w:rPr>
              <w:t>），</w:t>
            </w:r>
            <w:r>
              <w:rPr>
                <w:rFonts w:hint="eastAsia" w:ascii="Times New Roman" w:hAnsi="Times New Roman"/>
                <w:bCs/>
                <w:color w:val="auto"/>
                <w:sz w:val="21"/>
                <w:szCs w:val="21"/>
                <w:highlight w:val="none"/>
                <w:lang w:val="en-US" w:eastAsia="zh-CN"/>
              </w:rPr>
              <w:t>一级保护区范围</w:t>
            </w:r>
            <w:r>
              <w:rPr>
                <w:rFonts w:hint="eastAsia"/>
                <w:bCs/>
                <w:color w:val="auto"/>
                <w:sz w:val="21"/>
                <w:szCs w:val="21"/>
                <w:highlight w:val="none"/>
                <w:lang w:val="en-US" w:eastAsia="zh-CN"/>
              </w:rPr>
              <w:t>：</w:t>
            </w:r>
            <w:r>
              <w:rPr>
                <w:rFonts w:hint="eastAsia" w:ascii="Times New Roman" w:hAnsi="Times New Roman"/>
                <w:bCs/>
                <w:color w:val="auto"/>
                <w:sz w:val="21"/>
                <w:szCs w:val="21"/>
                <w:highlight w:val="none"/>
                <w:lang w:val="en-US" w:eastAsia="zh-CN"/>
              </w:rPr>
              <w:t>取水井外围50米的区域。</w:t>
            </w:r>
          </w:p>
          <w:p>
            <w:pPr>
              <w:spacing w:line="240" w:lineRule="auto"/>
              <w:ind w:left="0" w:leftChars="0" w:firstLine="0" w:firstLineChars="0"/>
              <w:jc w:val="center"/>
              <w:rPr>
                <w:rFonts w:hint="eastAsia" w:ascii="Times New Roman" w:hAnsi="Times New Roman"/>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取水井外围30米内为禁养区，全县共41眼取水井，禁养区面积为0.115平方公里。</w:t>
            </w:r>
          </w:p>
          <w:p>
            <w:pPr>
              <w:spacing w:line="240" w:lineRule="auto"/>
              <w:ind w:left="0" w:leftChars="0" w:firstLine="0" w:firstLineChars="0"/>
              <w:jc w:val="center"/>
              <w:rPr>
                <w:rFonts w:hint="default" w:ascii="Times New Roman" w:hAnsi="Times New Roman"/>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（二）城镇规划区。县城建成区和乡镇规划区等人口集中区。</w:t>
            </w:r>
          </w:p>
          <w:p>
            <w:pPr>
              <w:spacing w:line="240" w:lineRule="auto"/>
              <w:ind w:left="0" w:leftChars="0" w:firstLine="0" w:firstLineChars="0"/>
              <w:jc w:val="center"/>
              <w:rPr>
                <w:rFonts w:hint="eastAsia" w:ascii="Times New Roman" w:hAnsi="Times New Roman"/>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（三）国家或地方法律、法规规定和县政府划定的需要特殊保护的其他区域。</w:t>
            </w:r>
          </w:p>
        </w:tc>
        <w:tc>
          <w:tcPr>
            <w:tcW w:w="1980" w:type="pct"/>
            <w:noWrap w:val="0"/>
            <w:vAlign w:val="center"/>
          </w:tcPr>
          <w:p>
            <w:pPr>
              <w:spacing w:line="240" w:lineRule="auto"/>
              <w:ind w:left="0" w:leftChars="0" w:firstLine="0" w:firstLineChars="0"/>
              <w:jc w:val="center"/>
              <w:rPr>
                <w:rFonts w:hint="eastAsia"/>
                <w:bCs/>
                <w:color w:val="auto"/>
                <w:sz w:val="21"/>
                <w:szCs w:val="21"/>
                <w:highlight w:val="none"/>
                <w:lang w:eastAsia="zh-CN"/>
              </w:rPr>
            </w:pPr>
            <w:r>
              <w:rPr>
                <w:rFonts w:hint="eastAsia"/>
                <w:bCs/>
                <w:color w:val="auto"/>
                <w:sz w:val="21"/>
                <w:szCs w:val="21"/>
                <w:highlight w:val="none"/>
                <w:lang w:val="en-US" w:eastAsia="zh-CN"/>
              </w:rPr>
              <w:t>1、</w:t>
            </w:r>
            <w:r>
              <w:rPr>
                <w:rFonts w:hint="eastAsia"/>
                <w:bCs/>
                <w:color w:val="auto"/>
                <w:sz w:val="21"/>
                <w:szCs w:val="21"/>
                <w:highlight w:val="none"/>
                <w:lang w:eastAsia="zh-CN"/>
              </w:rPr>
              <w:t>本项目位于平舆县庙湾乡赵庄村，距县城规划区约</w:t>
            </w:r>
            <w:r>
              <w:rPr>
                <w:rFonts w:hint="eastAsia"/>
                <w:bCs/>
                <w:color w:val="auto"/>
                <w:sz w:val="21"/>
                <w:szCs w:val="21"/>
                <w:highlight w:val="none"/>
                <w:lang w:val="en-US" w:eastAsia="zh-CN"/>
              </w:rPr>
              <w:t>13.5</w:t>
            </w:r>
            <w:r>
              <w:rPr>
                <w:rFonts w:hint="eastAsia"/>
                <w:bCs/>
                <w:color w:val="auto"/>
                <w:sz w:val="21"/>
                <w:szCs w:val="21"/>
                <w:highlight w:val="none"/>
                <w:lang w:eastAsia="zh-CN"/>
              </w:rPr>
              <w:t>km，不在其禁养区范围；</w:t>
            </w:r>
          </w:p>
          <w:p>
            <w:pPr>
              <w:spacing w:line="240" w:lineRule="auto"/>
              <w:ind w:left="0" w:leftChars="0" w:firstLine="0" w:firstLineChars="0"/>
              <w:jc w:val="center"/>
              <w:rPr>
                <w:rFonts w:hint="eastAsia"/>
                <w:bCs/>
                <w:color w:val="auto"/>
                <w:sz w:val="21"/>
                <w:szCs w:val="21"/>
                <w:highlight w:val="none"/>
                <w:lang w:eastAsia="zh-CN"/>
              </w:rPr>
            </w:pPr>
            <w:r>
              <w:rPr>
                <w:rFonts w:hint="eastAsia"/>
                <w:bCs/>
                <w:color w:val="auto"/>
                <w:sz w:val="21"/>
                <w:szCs w:val="21"/>
                <w:highlight w:val="none"/>
                <w:lang w:val="en-US" w:eastAsia="zh-CN"/>
              </w:rPr>
              <w:t>2、</w:t>
            </w:r>
            <w:r>
              <w:rPr>
                <w:rFonts w:hint="eastAsia"/>
                <w:bCs/>
                <w:color w:val="auto"/>
                <w:sz w:val="21"/>
                <w:szCs w:val="21"/>
                <w:highlight w:val="none"/>
                <w:lang w:eastAsia="zh-CN"/>
              </w:rPr>
              <w:t>本项目距离平舆县庙湾镇地下水井</w:t>
            </w:r>
            <w:r>
              <w:rPr>
                <w:rFonts w:hint="eastAsia"/>
                <w:bCs/>
                <w:color w:val="auto"/>
                <w:sz w:val="21"/>
                <w:szCs w:val="21"/>
                <w:highlight w:val="none"/>
                <w:lang w:val="en-US" w:eastAsia="zh-CN"/>
              </w:rPr>
              <w:t>2.4</w:t>
            </w:r>
            <w:r>
              <w:rPr>
                <w:rFonts w:hint="eastAsia"/>
                <w:bCs/>
                <w:color w:val="auto"/>
                <w:sz w:val="21"/>
                <w:szCs w:val="21"/>
                <w:highlight w:val="none"/>
                <w:lang w:eastAsia="zh-CN"/>
              </w:rPr>
              <w:t>km，距平舆县城市饮用水水源地一级保护区最近距离约为12.8km，本项目不在其一级保护范围，本项目不在禁养区范围；</w:t>
            </w:r>
          </w:p>
          <w:p>
            <w:pPr>
              <w:spacing w:line="240" w:lineRule="auto"/>
              <w:ind w:left="0" w:leftChars="0" w:firstLine="0" w:firstLineChars="0"/>
              <w:jc w:val="center"/>
              <w:rPr>
                <w:rFonts w:hint="default"/>
                <w:color w:val="auto"/>
                <w:highlight w:val="none"/>
                <w:lang w:val="en-US" w:eastAsia="zh-CN"/>
              </w:rPr>
            </w:pPr>
            <w:r>
              <w:rPr>
                <w:rFonts w:hint="eastAsia"/>
                <w:bCs/>
                <w:color w:val="auto"/>
                <w:sz w:val="21"/>
                <w:szCs w:val="21"/>
                <w:highlight w:val="none"/>
                <w:lang w:val="en-US" w:eastAsia="zh-CN"/>
              </w:rPr>
              <w:t>3、</w:t>
            </w:r>
            <w:r>
              <w:rPr>
                <w:rFonts w:hint="eastAsia"/>
                <w:bCs/>
                <w:color w:val="auto"/>
                <w:sz w:val="21"/>
                <w:szCs w:val="21"/>
                <w:highlight w:val="none"/>
                <w:lang w:eastAsia="zh-CN"/>
              </w:rPr>
              <w:t>项目选址符合《畜禽养殖业污染防治技术规范》（HJ/T81-2001）</w:t>
            </w:r>
          </w:p>
        </w:tc>
        <w:tc>
          <w:tcPr>
            <w:tcW w:w="501"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不在禁养区</w:t>
            </w:r>
          </w:p>
        </w:tc>
      </w:tr>
    </w:tbl>
    <w:p>
      <w:pPr>
        <w:pStyle w:val="2"/>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b/>
          <w:bCs/>
          <w:color w:val="auto"/>
          <w:highlight w:val="none"/>
        </w:rPr>
      </w:pPr>
      <w:r>
        <w:rPr>
          <w:rFonts w:hint="eastAsia"/>
          <w:b/>
          <w:bCs/>
          <w:color w:val="auto"/>
          <w:highlight w:val="none"/>
        </w:rPr>
        <w:t>与《畜禽养殖业污染防治技术规范》（HJ/T81-2001）相符性分析</w:t>
      </w:r>
    </w:p>
    <w:p>
      <w:pPr>
        <w:pStyle w:val="2"/>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color w:val="auto"/>
          <w:highlight w:val="none"/>
        </w:rPr>
      </w:pPr>
      <w:r>
        <w:rPr>
          <w:rFonts w:hint="eastAsia"/>
          <w:b w:val="0"/>
          <w:bCs w:val="0"/>
          <w:color w:val="auto"/>
          <w:highlight w:val="none"/>
        </w:rPr>
        <w:t xml:space="preserve">《畜禽养殖业污染防治技术规范》第三条  新建、改建、扩建的畜禽养殖场选址应避开禁建区域（禁建区域为生活饮用水水源保护区、风景名胜区、自然保护区的核心区及缓冲区；城市和城镇居民区，包括文教科研区、医疗区、商业区、工业区、游览区等人口集中地区；县级人民政府规定的禁养区域；国家或地方法律、法规规定需特殊保护的其它区域），在禁建区域附近建设的，应设在规定的禁建区域常年主导风向的下风向或侧风向处。 </w:t>
      </w:r>
    </w:p>
    <w:p>
      <w:pPr>
        <w:pStyle w:val="2"/>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color w:val="auto"/>
          <w:highlight w:val="none"/>
        </w:rPr>
      </w:pPr>
      <w:r>
        <w:rPr>
          <w:rFonts w:hint="eastAsia"/>
          <w:b w:val="0"/>
          <w:bCs w:val="0"/>
          <w:color w:val="auto"/>
          <w:highlight w:val="none"/>
        </w:rPr>
        <w:t>第五条  畜禽粪便的贮存设施位置必须远离各类功能地表水体（距离不得小于400m），并应设在养殖场生产及生活管理区的常年主导风向的下风向或侧风向处。</w:t>
      </w:r>
    </w:p>
    <w:p>
      <w:pPr>
        <w:pStyle w:val="2"/>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color w:val="auto"/>
          <w:highlight w:val="none"/>
        </w:rPr>
      </w:pPr>
      <w:r>
        <w:rPr>
          <w:rFonts w:hint="eastAsia"/>
          <w:b w:val="0"/>
          <w:bCs w:val="0"/>
          <w:color w:val="auto"/>
          <w:highlight w:val="none"/>
        </w:rPr>
        <w:t>本项目位于</w:t>
      </w:r>
      <w:r>
        <w:rPr>
          <w:rFonts w:hint="eastAsia"/>
          <w:b w:val="0"/>
          <w:bCs w:val="0"/>
          <w:color w:val="auto"/>
          <w:highlight w:val="none"/>
          <w:lang w:eastAsia="zh-CN"/>
        </w:rPr>
        <w:t>平舆</w:t>
      </w:r>
      <w:r>
        <w:rPr>
          <w:rFonts w:hint="eastAsia"/>
          <w:b w:val="0"/>
          <w:bCs w:val="0"/>
          <w:color w:val="auto"/>
          <w:highlight w:val="none"/>
        </w:rPr>
        <w:t>县</w:t>
      </w:r>
      <w:r>
        <w:rPr>
          <w:rFonts w:hint="eastAsia"/>
          <w:b w:val="0"/>
          <w:bCs w:val="0"/>
          <w:color w:val="auto"/>
          <w:highlight w:val="none"/>
          <w:lang w:eastAsia="zh-CN"/>
        </w:rPr>
        <w:t>庙湾乡赵庄村</w:t>
      </w:r>
      <w:r>
        <w:rPr>
          <w:rFonts w:hint="eastAsia"/>
          <w:b w:val="0"/>
          <w:bCs w:val="0"/>
          <w:color w:val="auto"/>
          <w:highlight w:val="none"/>
        </w:rPr>
        <w:t>，属于新建项目，距离最近的村庄为</w:t>
      </w:r>
      <w:r>
        <w:rPr>
          <w:rFonts w:ascii="Times New Roman" w:hAnsi="Times New Roman"/>
          <w:color w:val="auto"/>
          <w:sz w:val="24"/>
          <w:highlight w:val="none"/>
        </w:rPr>
        <w:t>项目</w:t>
      </w:r>
      <w:r>
        <w:rPr>
          <w:rFonts w:hint="eastAsia" w:ascii="Times New Roman" w:hAnsi="Times New Roman"/>
          <w:bCs/>
          <w:color w:val="auto"/>
          <w:sz w:val="24"/>
          <w:highlight w:val="none"/>
        </w:rPr>
        <w:t>东北侧420m处的吴自岐庄</w:t>
      </w:r>
      <w:r>
        <w:rPr>
          <w:rFonts w:hint="eastAsia"/>
          <w:b w:val="0"/>
          <w:bCs w:val="0"/>
          <w:color w:val="auto"/>
          <w:highlight w:val="none"/>
        </w:rPr>
        <w:t>，项目场址周边无《畜禽养殖业污染防治技术规范》（HJ/T81-2001）中第三条规定的相关区域，亦不在</w:t>
      </w:r>
      <w:r>
        <w:rPr>
          <w:rFonts w:hint="eastAsia"/>
          <w:b w:val="0"/>
          <w:bCs w:val="0"/>
          <w:color w:val="auto"/>
          <w:highlight w:val="none"/>
          <w:lang w:eastAsia="zh-CN"/>
        </w:rPr>
        <w:t>平舆</w:t>
      </w:r>
      <w:r>
        <w:rPr>
          <w:rFonts w:hint="eastAsia"/>
          <w:b w:val="0"/>
          <w:bCs w:val="0"/>
          <w:color w:val="auto"/>
          <w:highlight w:val="none"/>
        </w:rPr>
        <w:t>县人民政府划定的禁养区、限养区范围内。</w:t>
      </w:r>
    </w:p>
    <w:p>
      <w:pPr>
        <w:pStyle w:val="2"/>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color w:val="auto"/>
          <w:highlight w:val="none"/>
        </w:rPr>
      </w:pPr>
      <w:r>
        <w:rPr>
          <w:rFonts w:hint="eastAsia"/>
          <w:b w:val="0"/>
          <w:bCs w:val="0"/>
          <w:color w:val="auto"/>
          <w:highlight w:val="none"/>
        </w:rPr>
        <w:t>距离最近的水体为项目</w:t>
      </w:r>
      <w:r>
        <w:rPr>
          <w:rFonts w:hint="eastAsia"/>
          <w:b w:val="0"/>
          <w:bCs w:val="0"/>
          <w:color w:val="auto"/>
          <w:highlight w:val="none"/>
          <w:lang w:eastAsia="zh-CN"/>
        </w:rPr>
        <w:t>厂界</w:t>
      </w:r>
      <w:r>
        <w:rPr>
          <w:rFonts w:hint="eastAsia" w:ascii="Times New Roman" w:hAnsi="Times New Roman"/>
          <w:color w:val="auto"/>
          <w:sz w:val="24"/>
          <w:szCs w:val="24"/>
          <w:highlight w:val="none"/>
          <w:lang w:eastAsia="zh-CN"/>
        </w:rPr>
        <w:t>南侧330m处的洪河</w:t>
      </w:r>
      <w:r>
        <w:rPr>
          <w:rFonts w:hint="eastAsia"/>
          <w:b w:val="0"/>
          <w:bCs w:val="0"/>
          <w:color w:val="auto"/>
          <w:highlight w:val="none"/>
        </w:rPr>
        <w:t>，根据《河南省水环境功能区划》，规划水质为Ⅲ类。本项目畜禽粪便贮存位置</w:t>
      </w:r>
      <w:r>
        <w:rPr>
          <w:rFonts w:hint="eastAsia"/>
          <w:b w:val="0"/>
          <w:bCs w:val="0"/>
          <w:color w:val="auto"/>
          <w:highlight w:val="none"/>
          <w:lang w:eastAsia="zh-CN"/>
        </w:rPr>
        <w:t>即固粪处理区</w:t>
      </w:r>
      <w:r>
        <w:rPr>
          <w:rFonts w:hint="eastAsia"/>
          <w:b w:val="0"/>
          <w:bCs w:val="0"/>
          <w:color w:val="auto"/>
          <w:highlight w:val="none"/>
        </w:rPr>
        <w:t>距离洪河约</w:t>
      </w:r>
      <w:r>
        <w:rPr>
          <w:rFonts w:hint="eastAsia"/>
          <w:b w:val="0"/>
          <w:bCs w:val="0"/>
          <w:color w:val="auto"/>
          <w:highlight w:val="none"/>
          <w:lang w:val="en-US" w:eastAsia="zh-CN"/>
        </w:rPr>
        <w:t>720</w:t>
      </w:r>
      <w:r>
        <w:rPr>
          <w:rFonts w:hint="eastAsia"/>
          <w:b w:val="0"/>
          <w:bCs w:val="0"/>
          <w:color w:val="auto"/>
          <w:highlight w:val="none"/>
        </w:rPr>
        <w:t>m，满足《畜禽养殖业污染防治技术规范》中“畜禽粪便的贮存设施的位置必须远离各类功能地表水体（距离不得小于400m）”的要求。</w:t>
      </w:r>
    </w:p>
    <w:p>
      <w:pPr>
        <w:pStyle w:val="2"/>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color w:val="auto"/>
          <w:highlight w:val="none"/>
        </w:rPr>
      </w:pPr>
      <w:r>
        <w:rPr>
          <w:rFonts w:hint="eastAsia"/>
          <w:b w:val="0"/>
          <w:bCs w:val="0"/>
          <w:color w:val="auto"/>
          <w:highlight w:val="none"/>
        </w:rPr>
        <w:t>项目畜禽粪便贮存设施周围400m范围内无各类功能地表水体，同时项目设置的畜禽粪便的贮存设施位于养殖场</w:t>
      </w:r>
      <w:r>
        <w:rPr>
          <w:rFonts w:hint="eastAsia"/>
          <w:b w:val="0"/>
          <w:bCs w:val="0"/>
          <w:color w:val="auto"/>
          <w:highlight w:val="none"/>
          <w:lang w:eastAsia="zh-CN"/>
        </w:rPr>
        <w:t>、生活办公区</w:t>
      </w:r>
      <w:r>
        <w:rPr>
          <w:rFonts w:hint="eastAsia"/>
          <w:b w:val="0"/>
          <w:bCs w:val="0"/>
          <w:color w:val="auto"/>
          <w:highlight w:val="none"/>
        </w:rPr>
        <w:t>的</w:t>
      </w:r>
      <w:r>
        <w:rPr>
          <w:rFonts w:hint="eastAsia"/>
          <w:b w:val="0"/>
          <w:bCs w:val="0"/>
          <w:color w:val="auto"/>
          <w:highlight w:val="none"/>
          <w:lang w:eastAsia="zh-CN"/>
        </w:rPr>
        <w:t>东北</w:t>
      </w:r>
      <w:r>
        <w:rPr>
          <w:rFonts w:hint="eastAsia"/>
          <w:b w:val="0"/>
          <w:bCs w:val="0"/>
          <w:color w:val="auto"/>
          <w:highlight w:val="none"/>
        </w:rPr>
        <w:t>侧，在养殖场生活办公区常年主导风向的</w:t>
      </w:r>
      <w:r>
        <w:rPr>
          <w:rFonts w:hint="eastAsia"/>
          <w:b w:val="0"/>
          <w:bCs w:val="0"/>
          <w:color w:val="auto"/>
          <w:highlight w:val="none"/>
          <w:lang w:eastAsia="zh-CN"/>
        </w:rPr>
        <w:t>侧</w:t>
      </w:r>
      <w:r>
        <w:rPr>
          <w:rFonts w:hint="eastAsia"/>
          <w:b w:val="0"/>
          <w:bCs w:val="0"/>
          <w:color w:val="auto"/>
          <w:highlight w:val="none"/>
        </w:rPr>
        <w:t>风向处。</w:t>
      </w:r>
    </w:p>
    <w:p>
      <w:pPr>
        <w:pStyle w:val="2"/>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color w:val="auto"/>
          <w:highlight w:val="none"/>
        </w:rPr>
      </w:pPr>
      <w:r>
        <w:rPr>
          <w:rFonts w:hint="eastAsia"/>
          <w:b w:val="0"/>
          <w:bCs w:val="0"/>
          <w:color w:val="auto"/>
          <w:highlight w:val="none"/>
        </w:rPr>
        <w:t>综上所述，本项目符合《畜禽养殖业污染防治技术规范》（HJ/T81-2001）的上述相关规定。</w:t>
      </w:r>
    </w:p>
    <w:p>
      <w:pPr>
        <w:pStyle w:val="2"/>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b/>
          <w:bCs/>
          <w:color w:val="auto"/>
          <w:highlight w:val="none"/>
        </w:rPr>
      </w:pPr>
      <w:r>
        <w:rPr>
          <w:rFonts w:hint="eastAsia"/>
          <w:b/>
          <w:bCs/>
          <w:color w:val="auto"/>
          <w:highlight w:val="none"/>
        </w:rPr>
        <w:t>与《河南省人民政府办公厅关于印发河南省“十三五”生态环境保护规划的通知》（豫政办〔2017〕77号）相符性分析</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color w:val="auto"/>
          <w:sz w:val="24"/>
          <w:szCs w:val="24"/>
          <w:highlight w:val="none"/>
        </w:rPr>
      </w:pPr>
      <w:r>
        <w:rPr>
          <w:rFonts w:hint="eastAsia"/>
          <w:b w:val="0"/>
          <w:bCs w:val="0"/>
          <w:color w:val="auto"/>
          <w:sz w:val="24"/>
          <w:szCs w:val="24"/>
          <w:highlight w:val="none"/>
        </w:rPr>
        <w:t>根据《河南省人民政府办公厅关于印发河南省“十三五”生态环境保护规划的通知》的相关内容：防治畜禽养殖污染。科学划定调整畜禽养殖禁养区、限养区范围，加强分区分类管理，以废弃物资源化利用为途径，整县推进畜禽养殖污染防治。到2020年，75%以上的规模化养殖场（小区）配套建设固体废弃物和污水贮存、处理及利用设施。</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color w:val="auto"/>
          <w:sz w:val="24"/>
          <w:szCs w:val="24"/>
          <w:highlight w:val="none"/>
        </w:rPr>
      </w:pPr>
      <w:r>
        <w:rPr>
          <w:rFonts w:hint="eastAsia"/>
          <w:b w:val="0"/>
          <w:bCs w:val="0"/>
          <w:color w:val="auto"/>
          <w:sz w:val="24"/>
          <w:szCs w:val="24"/>
          <w:highlight w:val="none"/>
        </w:rPr>
        <w:t>本项目属于禽畜规模养殖场，且本项目选址不在</w:t>
      </w:r>
      <w:r>
        <w:rPr>
          <w:rFonts w:hint="eastAsia"/>
          <w:b w:val="0"/>
          <w:bCs w:val="0"/>
          <w:color w:val="auto"/>
          <w:sz w:val="24"/>
          <w:szCs w:val="24"/>
          <w:highlight w:val="none"/>
          <w:lang w:eastAsia="zh-CN"/>
        </w:rPr>
        <w:t>平舆</w:t>
      </w:r>
      <w:r>
        <w:rPr>
          <w:rFonts w:hint="eastAsia"/>
          <w:b w:val="0"/>
          <w:bCs w:val="0"/>
          <w:color w:val="auto"/>
          <w:sz w:val="24"/>
          <w:szCs w:val="24"/>
          <w:highlight w:val="none"/>
        </w:rPr>
        <w:t>县划定的畜禽规模养殖禁养区范围之内，本项目配套建设有固体废弃物和污水贮存、处理及利用设施，符合《河南省人民政府办公厅关于印发河南省“十三五”生态环境保护规划的通知》的相关内容。</w:t>
      </w:r>
    </w:p>
    <w:p>
      <w:pPr>
        <w:pStyle w:val="2"/>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b/>
          <w:bCs/>
          <w:color w:val="auto"/>
          <w:highlight w:val="none"/>
        </w:rPr>
      </w:pPr>
      <w:r>
        <w:rPr>
          <w:rFonts w:hint="eastAsia"/>
          <w:b/>
          <w:bCs/>
          <w:color w:val="auto"/>
          <w:highlight w:val="none"/>
        </w:rPr>
        <w:t>与《河南省水污染防治条例》（2019年10月1日起施行）相符性分析</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color w:val="auto"/>
          <w:sz w:val="24"/>
          <w:szCs w:val="24"/>
          <w:highlight w:val="none"/>
        </w:rPr>
      </w:pPr>
      <w:r>
        <w:rPr>
          <w:rFonts w:hint="eastAsia"/>
          <w:b w:val="0"/>
          <w:bCs w:val="0"/>
          <w:color w:val="auto"/>
          <w:sz w:val="24"/>
          <w:szCs w:val="24"/>
          <w:highlight w:val="none"/>
        </w:rPr>
        <w:t>《河南省水污染防治条例》第三十九条 县级以上人民政府应当依法划定畜禽养殖的禁养区和限养区，并向社会公布。</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color w:val="auto"/>
          <w:sz w:val="24"/>
          <w:szCs w:val="24"/>
          <w:highlight w:val="none"/>
        </w:rPr>
      </w:pPr>
      <w:r>
        <w:rPr>
          <w:rFonts w:hint="eastAsia"/>
          <w:b w:val="0"/>
          <w:bCs w:val="0"/>
          <w:color w:val="auto"/>
          <w:sz w:val="24"/>
          <w:szCs w:val="24"/>
          <w:highlight w:val="none"/>
        </w:rPr>
        <w:t>从事畜禽养殖经营活动应当及时对畜禽粪便、污水进行收集、贮存、清运等处置，禁止将未经处置的畜禽粪便、污水直接排入环境。</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color w:val="auto"/>
          <w:sz w:val="24"/>
          <w:szCs w:val="24"/>
          <w:highlight w:val="none"/>
        </w:rPr>
      </w:pPr>
      <w:r>
        <w:rPr>
          <w:rFonts w:hint="eastAsia"/>
          <w:b w:val="0"/>
          <w:bCs w:val="0"/>
          <w:color w:val="auto"/>
          <w:sz w:val="24"/>
          <w:szCs w:val="24"/>
          <w:highlight w:val="none"/>
        </w:rPr>
        <w:t>养殖场、养殖小区应当配套建设畜禽粪便、污水贮存、处理、利用设施，推进畜禽粪便、污水资源化利用。畜禽养殖场、养殖小区应当按照规定的排放标准排放水污染物。支持畜禽养殖场、养殖小区建设畜禽粪便、污水的综合利用或者无害化处理设施。</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color w:val="auto"/>
          <w:sz w:val="24"/>
          <w:szCs w:val="24"/>
          <w:highlight w:val="none"/>
        </w:rPr>
      </w:pPr>
      <w:r>
        <w:rPr>
          <w:rFonts w:hint="eastAsia"/>
          <w:b w:val="0"/>
          <w:bCs w:val="0"/>
          <w:color w:val="auto"/>
          <w:sz w:val="24"/>
          <w:szCs w:val="24"/>
          <w:highlight w:val="none"/>
        </w:rPr>
        <w:t>畜禽散养密集区所在地县、乡级人民政府应当组织对畜禽粪便、污水进行分户收集、集中处理利用。</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color w:val="auto"/>
          <w:sz w:val="24"/>
          <w:szCs w:val="24"/>
          <w:highlight w:val="none"/>
        </w:rPr>
      </w:pPr>
      <w:r>
        <w:rPr>
          <w:rFonts w:hint="eastAsia"/>
          <w:b w:val="0"/>
          <w:bCs w:val="0"/>
          <w:color w:val="auto"/>
          <w:sz w:val="24"/>
          <w:szCs w:val="24"/>
          <w:highlight w:val="none"/>
        </w:rPr>
        <w:t>本项目属于禽畜规模养殖场，不在</w:t>
      </w:r>
      <w:r>
        <w:rPr>
          <w:rFonts w:hint="eastAsia"/>
          <w:b w:val="0"/>
          <w:bCs w:val="0"/>
          <w:color w:val="auto"/>
          <w:sz w:val="24"/>
          <w:szCs w:val="24"/>
          <w:highlight w:val="none"/>
          <w:lang w:eastAsia="zh-CN"/>
        </w:rPr>
        <w:t>平舆</w:t>
      </w:r>
      <w:r>
        <w:rPr>
          <w:rFonts w:hint="eastAsia"/>
          <w:b w:val="0"/>
          <w:bCs w:val="0"/>
          <w:color w:val="auto"/>
          <w:sz w:val="24"/>
          <w:szCs w:val="24"/>
          <w:highlight w:val="none"/>
        </w:rPr>
        <w:t>县人民政府依法划定畜禽养殖的禁养区范围之内，项目营运期间配套建设粪便污水处理设施，养殖废水及职工生活废水经场区内污水处理系统处理后在场区</w:t>
      </w:r>
      <w:r>
        <w:rPr>
          <w:rFonts w:hint="eastAsia"/>
          <w:b w:val="0"/>
          <w:bCs w:val="0"/>
          <w:color w:val="auto"/>
          <w:sz w:val="24"/>
          <w:szCs w:val="24"/>
          <w:highlight w:val="none"/>
          <w:lang w:eastAsia="zh-CN"/>
        </w:rPr>
        <w:t>黑膜沼气池</w:t>
      </w:r>
      <w:r>
        <w:rPr>
          <w:rFonts w:hint="eastAsia"/>
          <w:b w:val="0"/>
          <w:bCs w:val="0"/>
          <w:color w:val="auto"/>
          <w:sz w:val="24"/>
          <w:szCs w:val="24"/>
          <w:highlight w:val="none"/>
        </w:rPr>
        <w:t>暂存，施肥季节用于周围农田施肥，非施肥季节场区内黑膜沼气池暂存不外排；其中产生的病死猪尸体</w:t>
      </w:r>
      <w:r>
        <w:rPr>
          <w:rFonts w:hint="eastAsia"/>
          <w:b w:val="0"/>
          <w:bCs w:val="0"/>
          <w:color w:val="auto"/>
          <w:sz w:val="24"/>
          <w:szCs w:val="24"/>
          <w:highlight w:val="none"/>
          <w:lang w:eastAsia="zh-CN"/>
        </w:rPr>
        <w:t>送往本厂区自建的</w:t>
      </w:r>
      <w:r>
        <w:rPr>
          <w:rFonts w:hint="eastAsia"/>
          <w:b w:val="0"/>
          <w:bCs w:val="0"/>
          <w:color w:val="auto"/>
          <w:sz w:val="24"/>
          <w:szCs w:val="24"/>
          <w:highlight w:val="none"/>
        </w:rPr>
        <w:t>无害化</w:t>
      </w:r>
      <w:r>
        <w:rPr>
          <w:rFonts w:hint="eastAsia"/>
          <w:b w:val="0"/>
          <w:bCs w:val="0"/>
          <w:color w:val="auto"/>
          <w:sz w:val="24"/>
          <w:szCs w:val="24"/>
          <w:highlight w:val="none"/>
          <w:lang w:eastAsia="zh-CN"/>
        </w:rPr>
        <w:t>处理车间</w:t>
      </w:r>
      <w:r>
        <w:rPr>
          <w:rFonts w:hint="eastAsia"/>
          <w:b w:val="0"/>
          <w:bCs w:val="0"/>
          <w:color w:val="auto"/>
          <w:sz w:val="24"/>
          <w:szCs w:val="24"/>
          <w:highlight w:val="none"/>
        </w:rPr>
        <w:t>进行处置，符合《河南省水污染防治条例》中有关畜禽养殖的规定。</w:t>
      </w:r>
    </w:p>
    <w:p>
      <w:pPr>
        <w:pStyle w:val="2"/>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b/>
          <w:bCs/>
          <w:color w:val="auto"/>
          <w:highlight w:val="none"/>
        </w:rPr>
      </w:pPr>
      <w:r>
        <w:rPr>
          <w:rFonts w:hint="eastAsia"/>
          <w:b/>
          <w:bCs/>
          <w:color w:val="auto"/>
          <w:highlight w:val="none"/>
        </w:rPr>
        <w:t>与</w:t>
      </w:r>
      <w:r>
        <w:rPr>
          <w:rFonts w:hint="eastAsia"/>
          <w:b/>
          <w:bCs/>
          <w:color w:val="auto"/>
          <w:highlight w:val="none"/>
          <w:lang w:eastAsia="zh-CN"/>
        </w:rPr>
        <w:t>“三线一单”</w:t>
      </w:r>
      <w:r>
        <w:rPr>
          <w:rFonts w:hint="eastAsia"/>
          <w:b/>
          <w:bCs/>
          <w:color w:val="auto"/>
          <w:highlight w:val="none"/>
        </w:rPr>
        <w:t>相符性分析</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color w:val="auto"/>
          <w:sz w:val="24"/>
          <w:szCs w:val="24"/>
          <w:highlight w:val="none"/>
        </w:rPr>
      </w:pPr>
      <w:r>
        <w:rPr>
          <w:rFonts w:hint="eastAsia"/>
          <w:b w:val="0"/>
          <w:bCs w:val="0"/>
          <w:color w:val="auto"/>
          <w:sz w:val="24"/>
          <w:szCs w:val="24"/>
          <w:highlight w:val="none"/>
        </w:rPr>
        <w:t>根据环保部发布的《关于以改善环境质量为核心加强环境影响评价管理的通知》（以下简称《通知》），《通知》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color w:val="auto"/>
          <w:sz w:val="24"/>
          <w:szCs w:val="24"/>
          <w:highlight w:val="none"/>
        </w:rPr>
      </w:pPr>
      <w:r>
        <w:rPr>
          <w:rFonts w:hint="eastAsia"/>
          <w:b w:val="0"/>
          <w:bCs w:val="0"/>
          <w:color w:val="auto"/>
          <w:sz w:val="24"/>
          <w:szCs w:val="24"/>
          <w:highlight w:val="none"/>
        </w:rPr>
        <w:t>①生态红线</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color w:val="auto"/>
          <w:sz w:val="24"/>
          <w:szCs w:val="24"/>
          <w:highlight w:val="none"/>
        </w:rPr>
      </w:pPr>
      <w:r>
        <w:rPr>
          <w:rFonts w:hint="eastAsia"/>
          <w:b w:val="0"/>
          <w:bCs w:val="0"/>
          <w:color w:val="auto"/>
          <w:sz w:val="24"/>
          <w:szCs w:val="24"/>
          <w:highlight w:val="none"/>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color w:val="auto"/>
          <w:sz w:val="24"/>
          <w:szCs w:val="24"/>
          <w:highlight w:val="none"/>
        </w:rPr>
      </w:pPr>
      <w:r>
        <w:rPr>
          <w:rFonts w:hint="eastAsia"/>
          <w:b w:val="0"/>
          <w:bCs w:val="0"/>
          <w:color w:val="auto"/>
          <w:sz w:val="24"/>
          <w:szCs w:val="24"/>
          <w:highlight w:val="none"/>
        </w:rPr>
        <w:t>需依法在重点生态功能区、生态环境敏感区和脆弱区等区域划定的严格管控边界，是国家和区域生态安全的底线，对于维护生态安全格局、保障生态服务功能、支撑经济社会可持续发展具有重要作用。根据《河南省生态保护红线划定方案》（征求意见稿），对全省各市区的生态保护红线进行了划定。其中北汝河水源涵养生态保护红线区、唐河水源涵养生态保护红线区、宿鸭湖湿地生物多样性维护生态保护红线区、桐柏山淮河源水源涵养生态保护红线区、汝河水源涵养生态保护红线区、汝河汝南生物多样性维护生态保护红线区、洪河水源涵养生态保护红线区、淮河干流水源保护生态保护红线区、澧河水源涵养生态保护红线区、高乐山天目山生物多样性维护生态保护红线区被列入了驻马店市生态保护红线区。本项目选址位于</w:t>
      </w:r>
      <w:r>
        <w:rPr>
          <w:rFonts w:hint="eastAsia"/>
          <w:b w:val="0"/>
          <w:bCs w:val="0"/>
          <w:color w:val="auto"/>
          <w:sz w:val="24"/>
          <w:szCs w:val="24"/>
          <w:highlight w:val="none"/>
          <w:lang w:eastAsia="zh-CN"/>
        </w:rPr>
        <w:t>平舆</w:t>
      </w:r>
      <w:r>
        <w:rPr>
          <w:rFonts w:hint="eastAsia"/>
          <w:b w:val="0"/>
          <w:bCs w:val="0"/>
          <w:color w:val="auto"/>
          <w:sz w:val="24"/>
          <w:szCs w:val="24"/>
          <w:highlight w:val="none"/>
        </w:rPr>
        <w:t>县</w:t>
      </w:r>
      <w:r>
        <w:rPr>
          <w:rFonts w:hint="eastAsia"/>
          <w:b w:val="0"/>
          <w:bCs w:val="0"/>
          <w:color w:val="auto"/>
          <w:sz w:val="24"/>
          <w:szCs w:val="24"/>
          <w:highlight w:val="none"/>
          <w:lang w:eastAsia="zh-CN"/>
        </w:rPr>
        <w:t>庙湾乡赵庄村</w:t>
      </w:r>
      <w:r>
        <w:rPr>
          <w:rFonts w:hint="eastAsia"/>
          <w:b w:val="0"/>
          <w:bCs w:val="0"/>
          <w:color w:val="auto"/>
          <w:sz w:val="24"/>
          <w:szCs w:val="24"/>
          <w:highlight w:val="none"/>
        </w:rPr>
        <w:t>，不在上述的生态保护红线区范围内，因此项目建设符合生态红线要求。</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color w:val="auto"/>
          <w:sz w:val="24"/>
          <w:szCs w:val="24"/>
          <w:highlight w:val="none"/>
        </w:rPr>
      </w:pPr>
      <w:r>
        <w:rPr>
          <w:rFonts w:hint="eastAsia"/>
          <w:b w:val="0"/>
          <w:bCs w:val="0"/>
          <w:color w:val="auto"/>
          <w:sz w:val="24"/>
          <w:szCs w:val="24"/>
          <w:highlight w:val="none"/>
        </w:rPr>
        <w:t>②环境质量底线</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color w:val="auto"/>
          <w:sz w:val="24"/>
          <w:szCs w:val="24"/>
          <w:highlight w:val="none"/>
        </w:rPr>
      </w:pPr>
      <w:r>
        <w:rPr>
          <w:rFonts w:hint="eastAsia"/>
          <w:b w:val="0"/>
          <w:bCs w:val="0"/>
          <w:color w:val="auto"/>
          <w:sz w:val="24"/>
          <w:szCs w:val="24"/>
          <w:highlight w:val="none"/>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color w:val="auto"/>
          <w:sz w:val="24"/>
          <w:szCs w:val="24"/>
          <w:highlight w:val="none"/>
        </w:rPr>
      </w:pPr>
      <w:r>
        <w:rPr>
          <w:rFonts w:hint="eastAsia"/>
          <w:b w:val="0"/>
          <w:bCs w:val="0"/>
          <w:color w:val="auto"/>
          <w:sz w:val="24"/>
          <w:szCs w:val="24"/>
          <w:highlight w:val="none"/>
        </w:rPr>
        <w:t>项目排放污染物主要为</w:t>
      </w:r>
      <w:r>
        <w:rPr>
          <w:rFonts w:hint="eastAsia"/>
          <w:b w:val="0"/>
          <w:bCs w:val="0"/>
          <w:color w:val="auto"/>
          <w:sz w:val="24"/>
          <w:szCs w:val="24"/>
          <w:highlight w:val="none"/>
          <w:lang w:eastAsia="zh-CN"/>
        </w:rPr>
        <w:t>颗粒物、</w:t>
      </w:r>
      <w:r>
        <w:rPr>
          <w:rFonts w:hint="eastAsia"/>
          <w:b w:val="0"/>
          <w:bCs w:val="0"/>
          <w:color w:val="auto"/>
          <w:sz w:val="24"/>
          <w:szCs w:val="24"/>
          <w:highlight w:val="none"/>
        </w:rPr>
        <w:t>SO</w:t>
      </w:r>
      <w:r>
        <w:rPr>
          <w:rFonts w:hint="eastAsia"/>
          <w:b w:val="0"/>
          <w:bCs w:val="0"/>
          <w:color w:val="auto"/>
          <w:sz w:val="24"/>
          <w:szCs w:val="24"/>
          <w:highlight w:val="none"/>
          <w:vertAlign w:val="subscript"/>
        </w:rPr>
        <w:t>2</w:t>
      </w:r>
      <w:r>
        <w:rPr>
          <w:rFonts w:hint="eastAsia"/>
          <w:b w:val="0"/>
          <w:bCs w:val="0"/>
          <w:color w:val="auto"/>
          <w:sz w:val="24"/>
          <w:szCs w:val="24"/>
          <w:highlight w:val="none"/>
        </w:rPr>
        <w:t>、NO</w:t>
      </w:r>
      <w:r>
        <w:rPr>
          <w:rFonts w:hint="eastAsia"/>
          <w:b w:val="0"/>
          <w:bCs w:val="0"/>
          <w:color w:val="auto"/>
          <w:sz w:val="24"/>
          <w:szCs w:val="24"/>
          <w:highlight w:val="none"/>
          <w:vertAlign w:val="subscript"/>
          <w:lang w:val="en-US" w:eastAsia="zh-CN"/>
        </w:rPr>
        <w:t>X</w:t>
      </w:r>
      <w:r>
        <w:rPr>
          <w:rFonts w:hint="eastAsia"/>
          <w:b w:val="0"/>
          <w:bCs w:val="0"/>
          <w:color w:val="auto"/>
          <w:sz w:val="24"/>
          <w:szCs w:val="24"/>
          <w:highlight w:val="none"/>
        </w:rPr>
        <w:t>、氨和硫化氢，经预测，项目排放污染物落地浓度对周边环境贡献较小，不会对周边大气环境造成大的影响。</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color w:val="auto"/>
          <w:sz w:val="24"/>
          <w:szCs w:val="24"/>
          <w:highlight w:val="none"/>
        </w:rPr>
      </w:pPr>
      <w:r>
        <w:rPr>
          <w:rFonts w:hint="eastAsia"/>
          <w:b w:val="0"/>
          <w:bCs w:val="0"/>
          <w:color w:val="auto"/>
          <w:sz w:val="24"/>
          <w:szCs w:val="24"/>
          <w:highlight w:val="none"/>
        </w:rPr>
        <w:t>项目所在地的主要地表水体为</w:t>
      </w:r>
      <w:r>
        <w:rPr>
          <w:rFonts w:hint="eastAsia"/>
          <w:b w:val="0"/>
          <w:bCs w:val="0"/>
          <w:color w:val="auto"/>
          <w:sz w:val="24"/>
          <w:szCs w:val="24"/>
          <w:highlight w:val="none"/>
          <w:lang w:eastAsia="zh-CN"/>
        </w:rPr>
        <w:t>南侧330m处的洪河</w:t>
      </w:r>
      <w:r>
        <w:rPr>
          <w:rFonts w:hint="eastAsia"/>
          <w:b w:val="0"/>
          <w:bCs w:val="0"/>
          <w:color w:val="auto"/>
          <w:sz w:val="24"/>
          <w:szCs w:val="24"/>
          <w:highlight w:val="none"/>
        </w:rPr>
        <w:t>，执行《地表水环境质量标准》（GB3838-2002）中的Ⅲ类标准，除</w:t>
      </w:r>
      <w:r>
        <w:rPr>
          <w:rFonts w:hint="eastAsia"/>
          <w:b w:val="0"/>
          <w:bCs w:val="0"/>
          <w:color w:val="auto"/>
          <w:sz w:val="24"/>
          <w:szCs w:val="24"/>
          <w:highlight w:val="none"/>
          <w:lang w:val="en-US" w:eastAsia="zh-CN"/>
        </w:rPr>
        <w:t>五日生化需氧量、氨氮、总氮、总磷浓度</w:t>
      </w:r>
      <w:r>
        <w:rPr>
          <w:rFonts w:hint="eastAsia"/>
          <w:b w:val="0"/>
          <w:bCs w:val="0"/>
          <w:color w:val="auto"/>
          <w:sz w:val="24"/>
          <w:szCs w:val="24"/>
          <w:highlight w:val="none"/>
        </w:rPr>
        <w:t>超标外，其他监测因子能够满足《地表水环境质量标准》（GB3838-2002）中III类类水质标准要求。本项目无废水外排，因此，不会对地表水体产生影响。</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color w:val="auto"/>
          <w:sz w:val="24"/>
          <w:szCs w:val="24"/>
          <w:highlight w:val="none"/>
        </w:rPr>
      </w:pPr>
      <w:r>
        <w:rPr>
          <w:rFonts w:hint="eastAsia"/>
          <w:b w:val="0"/>
          <w:bCs w:val="0"/>
          <w:color w:val="auto"/>
          <w:sz w:val="24"/>
          <w:szCs w:val="24"/>
          <w:highlight w:val="none"/>
        </w:rPr>
        <w:t>本项目所在区域为2类声环境功能区，根据环境噪声现状监测结果，项目区域内边界的昼、夜间噪声符合《声环境质量标准》GB3096-2008中2类标准。本项目建成后噪声产生量小，能满足《声环境质量标准》2类标准要求，本项目建设运营不会改变项目所在区域的声环境功能，因此项目建设声环境质量是符合要求的。</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color w:val="auto"/>
          <w:sz w:val="24"/>
          <w:szCs w:val="24"/>
          <w:highlight w:val="none"/>
        </w:rPr>
      </w:pPr>
      <w:r>
        <w:rPr>
          <w:rFonts w:hint="eastAsia"/>
          <w:b w:val="0"/>
          <w:bCs w:val="0"/>
          <w:color w:val="auto"/>
          <w:sz w:val="24"/>
          <w:szCs w:val="24"/>
          <w:highlight w:val="none"/>
        </w:rPr>
        <w:t>综上，本项目建设符合环境质量底线要求的。</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color w:val="auto"/>
          <w:sz w:val="24"/>
          <w:szCs w:val="24"/>
          <w:highlight w:val="none"/>
        </w:rPr>
      </w:pPr>
      <w:r>
        <w:rPr>
          <w:rFonts w:hint="eastAsia"/>
          <w:b w:val="0"/>
          <w:bCs w:val="0"/>
          <w:color w:val="auto"/>
          <w:sz w:val="24"/>
          <w:szCs w:val="24"/>
          <w:highlight w:val="none"/>
        </w:rPr>
        <w:t>③资源利用上线</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color w:val="auto"/>
          <w:sz w:val="24"/>
          <w:szCs w:val="24"/>
          <w:highlight w:val="none"/>
        </w:rPr>
      </w:pPr>
      <w:r>
        <w:rPr>
          <w:rFonts w:hint="eastAsia"/>
          <w:b w:val="0"/>
          <w:bCs w:val="0"/>
          <w:color w:val="auto"/>
          <w:sz w:val="24"/>
          <w:szCs w:val="24"/>
          <w:highlight w:val="none"/>
        </w:rPr>
        <w:t>资源是环境的载体，“资源利用上线”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能源主要依托当地电网供电。项目建设土地不涉及基本农田，土地资源消耗符合要求。因此，项目资源利用满足要求。</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color w:val="auto"/>
          <w:sz w:val="24"/>
          <w:szCs w:val="24"/>
          <w:highlight w:val="none"/>
        </w:rPr>
      </w:pPr>
      <w:r>
        <w:rPr>
          <w:rFonts w:hint="eastAsia"/>
          <w:b w:val="0"/>
          <w:bCs w:val="0"/>
          <w:color w:val="auto"/>
          <w:sz w:val="24"/>
          <w:szCs w:val="24"/>
          <w:highlight w:val="none"/>
        </w:rPr>
        <w:t>④环境准入负面清单</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color w:val="auto"/>
          <w:sz w:val="24"/>
          <w:szCs w:val="24"/>
          <w:highlight w:val="none"/>
        </w:rPr>
      </w:pPr>
      <w:r>
        <w:rPr>
          <w:rFonts w:hint="eastAsia"/>
          <w:b w:val="0"/>
          <w:bCs w:val="0"/>
          <w:color w:val="auto"/>
          <w:sz w:val="24"/>
          <w:szCs w:val="24"/>
          <w:highlight w:val="none"/>
        </w:rPr>
        <w:t>目前项目选址区域暂无明确的环境准入负面清单，本项目为</w:t>
      </w:r>
      <w:r>
        <w:rPr>
          <w:rFonts w:hint="eastAsia"/>
          <w:b w:val="0"/>
          <w:bCs w:val="0"/>
          <w:color w:val="auto"/>
          <w:sz w:val="24"/>
          <w:szCs w:val="24"/>
          <w:highlight w:val="none"/>
          <w:lang w:eastAsia="zh-CN"/>
        </w:rPr>
        <w:t>平舆牧原农牧有限公司平舆四场生猪养殖项目</w:t>
      </w:r>
      <w:r>
        <w:rPr>
          <w:rFonts w:hint="eastAsia"/>
          <w:b w:val="0"/>
          <w:bCs w:val="0"/>
          <w:color w:val="auto"/>
          <w:sz w:val="24"/>
          <w:szCs w:val="24"/>
          <w:highlight w:val="none"/>
        </w:rPr>
        <w:t>，不属于高污染、高能耗和资源型的产业类型。因此本项目应为环境准入允许类别。</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b w:val="0"/>
          <w:bCs w:val="0"/>
          <w:color w:val="auto"/>
          <w:sz w:val="24"/>
          <w:szCs w:val="24"/>
          <w:highlight w:val="none"/>
        </w:rPr>
      </w:pPr>
      <w:r>
        <w:rPr>
          <w:rFonts w:hint="eastAsia"/>
          <w:b w:val="0"/>
          <w:bCs w:val="0"/>
          <w:color w:val="auto"/>
          <w:sz w:val="24"/>
          <w:szCs w:val="24"/>
          <w:highlight w:val="none"/>
        </w:rPr>
        <w:t>综上所述，本项目选址合理。</w:t>
      </w:r>
    </w:p>
    <w:p>
      <w:pPr>
        <w:pStyle w:val="2"/>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b/>
          <w:bCs/>
          <w:color w:val="auto"/>
          <w:highlight w:val="none"/>
        </w:rPr>
      </w:pPr>
      <w:r>
        <w:rPr>
          <w:rFonts w:hint="eastAsia"/>
          <w:b/>
          <w:bCs/>
          <w:color w:val="auto"/>
          <w:highlight w:val="none"/>
        </w:rPr>
        <w:t>场址及平面布置合理性分析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（1）场址合理性分析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本项目场址环境地质条件、环境自然条件、气象气候条件、水文条件、基础设施以及环境敏感点等方面均满足工程建设条件，从环境条件上讲，场址可行。本项目场址环境条件可行性分析见下表。</w:t>
      </w:r>
    </w:p>
    <w:p>
      <w:pPr>
        <w:pStyle w:val="21"/>
        <w:rPr>
          <w:rFonts w:ascii="Times New Roman" w:hAnsi="Times New Roman" w:eastAsia="宋体" w:cs="Times New Roman"/>
          <w:b/>
          <w:bCs w:val="0"/>
          <w:color w:val="auto"/>
          <w:kern w:val="2"/>
          <w:sz w:val="21"/>
          <w:szCs w:val="21"/>
          <w:highlight w:val="none"/>
          <w:lang w:val="en-US" w:eastAsia="zh-CN" w:bidi="ar-SA"/>
        </w:rPr>
      </w:pPr>
      <w:r>
        <w:rPr>
          <w:rFonts w:ascii="Times New Roman" w:hAnsi="Times New Roman" w:eastAsia="宋体" w:cs="Times New Roman"/>
          <w:b/>
          <w:bCs w:val="0"/>
          <w:color w:val="auto"/>
          <w:kern w:val="2"/>
          <w:sz w:val="21"/>
          <w:szCs w:val="21"/>
          <w:highlight w:val="none"/>
          <w:lang w:val="en-US" w:eastAsia="zh-CN" w:bidi="ar-SA"/>
        </w:rPr>
        <w:t>表1</w:t>
      </w:r>
      <w:r>
        <w:rPr>
          <w:rFonts w:hint="eastAsia" w:cs="Times New Roman"/>
          <w:b/>
          <w:bCs w:val="0"/>
          <w:color w:val="auto"/>
          <w:kern w:val="2"/>
          <w:sz w:val="21"/>
          <w:szCs w:val="21"/>
          <w:highlight w:val="none"/>
          <w:lang w:val="en-US" w:eastAsia="zh-CN" w:bidi="ar-SA"/>
        </w:rPr>
        <w:t>.9</w:t>
      </w:r>
      <w:r>
        <w:rPr>
          <w:rFonts w:ascii="Times New Roman" w:hAnsi="Times New Roman" w:eastAsia="宋体" w:cs="Times New Roman"/>
          <w:b/>
          <w:bCs w:val="0"/>
          <w:color w:val="auto"/>
          <w:kern w:val="2"/>
          <w:sz w:val="21"/>
          <w:szCs w:val="21"/>
          <w:highlight w:val="none"/>
          <w:lang w:val="en-US" w:eastAsia="zh-CN" w:bidi="ar-SA"/>
        </w:rPr>
        <w:t>-</w:t>
      </w:r>
      <w:r>
        <w:rPr>
          <w:rFonts w:hint="eastAsia" w:cs="Times New Roman"/>
          <w:b/>
          <w:bCs w:val="0"/>
          <w:color w:val="auto"/>
          <w:kern w:val="2"/>
          <w:sz w:val="21"/>
          <w:szCs w:val="21"/>
          <w:highlight w:val="none"/>
          <w:lang w:val="en-US" w:eastAsia="zh-CN" w:bidi="ar-SA"/>
        </w:rPr>
        <w:t>2</w:t>
      </w:r>
      <w:r>
        <w:rPr>
          <w:rFonts w:ascii="Times New Roman" w:hAnsi="Times New Roman" w:eastAsia="宋体" w:cs="Times New Roman"/>
          <w:b/>
          <w:bCs w:val="0"/>
          <w:color w:val="auto"/>
          <w:kern w:val="2"/>
          <w:sz w:val="21"/>
          <w:szCs w:val="21"/>
          <w:highlight w:val="none"/>
          <w:lang w:val="en-US" w:eastAsia="zh-CN" w:bidi="ar-SA"/>
        </w:rPr>
        <w:t xml:space="preserve"> 场址环境条件可行性分析结果</w:t>
      </w:r>
    </w:p>
    <w:tbl>
      <w:tblPr>
        <w:tblStyle w:val="24"/>
        <w:tblW w:w="840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394"/>
        <w:gridCol w:w="4572"/>
        <w:gridCol w:w="243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tblHeader/>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项目</w:t>
            </w:r>
          </w:p>
        </w:tc>
        <w:tc>
          <w:tcPr>
            <w:tcW w:w="4572"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环境条件描述</w:t>
            </w:r>
          </w:p>
        </w:tc>
        <w:tc>
          <w:tcPr>
            <w:tcW w:w="2434" w:type="dxa"/>
            <w:noWrap w:val="0"/>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是否满足项目建设条件</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场址</w:t>
            </w:r>
          </w:p>
        </w:tc>
        <w:tc>
          <w:tcPr>
            <w:tcW w:w="4572"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位于</w:t>
            </w:r>
            <w:r>
              <w:rPr>
                <w:rFonts w:hint="eastAsia"/>
                <w:color w:val="auto"/>
                <w:sz w:val="21"/>
                <w:szCs w:val="21"/>
                <w:highlight w:val="none"/>
                <w:lang w:eastAsia="zh-CN" w:bidi="ar-BH"/>
              </w:rPr>
              <w:t>平舆</w:t>
            </w:r>
            <w:r>
              <w:rPr>
                <w:rFonts w:ascii="Times New Roman" w:hAnsi="Times New Roman"/>
                <w:color w:val="auto"/>
                <w:sz w:val="21"/>
                <w:szCs w:val="21"/>
                <w:highlight w:val="none"/>
                <w:lang w:bidi="ar-BH"/>
              </w:rPr>
              <w:t>县</w:t>
            </w:r>
            <w:r>
              <w:rPr>
                <w:rFonts w:hint="eastAsia"/>
                <w:color w:val="auto"/>
                <w:sz w:val="21"/>
                <w:szCs w:val="21"/>
                <w:highlight w:val="none"/>
                <w:lang w:eastAsia="zh-CN" w:bidi="ar-BH"/>
              </w:rPr>
              <w:t>庙湾乡赵庄村</w:t>
            </w:r>
            <w:r>
              <w:rPr>
                <w:rFonts w:ascii="Times New Roman" w:hAnsi="Times New Roman"/>
                <w:color w:val="auto"/>
                <w:sz w:val="21"/>
                <w:szCs w:val="21"/>
                <w:highlight w:val="none"/>
                <w:lang w:bidi="ar-BH"/>
              </w:rPr>
              <w:t>，场区周围主要为农田，非城市、城镇居民集中区，场址符合</w:t>
            </w:r>
            <w:r>
              <w:rPr>
                <w:rFonts w:hint="eastAsia"/>
                <w:color w:val="auto"/>
                <w:sz w:val="21"/>
                <w:szCs w:val="21"/>
                <w:highlight w:val="none"/>
                <w:lang w:eastAsia="zh-CN" w:bidi="ar-BH"/>
              </w:rPr>
              <w:t>平舆</w:t>
            </w:r>
            <w:r>
              <w:rPr>
                <w:rFonts w:ascii="Times New Roman" w:hAnsi="Times New Roman"/>
                <w:color w:val="auto"/>
                <w:sz w:val="21"/>
                <w:szCs w:val="21"/>
                <w:highlight w:val="none"/>
                <w:lang w:bidi="ar-BH"/>
              </w:rPr>
              <w:t>县总体发展规划。</w:t>
            </w:r>
          </w:p>
        </w:tc>
        <w:tc>
          <w:tcPr>
            <w:tcW w:w="2434" w:type="dxa"/>
            <w:noWrap w:val="0"/>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占地类型</w:t>
            </w:r>
          </w:p>
        </w:tc>
        <w:tc>
          <w:tcPr>
            <w:tcW w:w="4572"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该养殖场占地性质为一般农田。</w:t>
            </w:r>
          </w:p>
        </w:tc>
        <w:tc>
          <w:tcPr>
            <w:tcW w:w="2434" w:type="dxa"/>
            <w:noWrap w:val="0"/>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发展规划相符性</w:t>
            </w:r>
          </w:p>
        </w:tc>
        <w:tc>
          <w:tcPr>
            <w:tcW w:w="4572"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项目选址符合《</w:t>
            </w:r>
            <w:r>
              <w:rPr>
                <w:rFonts w:hint="eastAsia"/>
                <w:color w:val="auto"/>
                <w:sz w:val="21"/>
                <w:szCs w:val="21"/>
                <w:highlight w:val="none"/>
                <w:lang w:eastAsia="zh-CN" w:bidi="ar-BH"/>
              </w:rPr>
              <w:t>平舆县畜禽养殖禁养区划分调整方案</w:t>
            </w:r>
            <w:r>
              <w:rPr>
                <w:rFonts w:ascii="Times New Roman" w:hAnsi="Times New Roman"/>
                <w:color w:val="auto"/>
                <w:sz w:val="21"/>
                <w:szCs w:val="21"/>
                <w:highlight w:val="none"/>
                <w:lang w:bidi="ar-BH"/>
              </w:rPr>
              <w:t>》、《畜禽养殖业污染防治技术规范》（HJ/T81-2001）、</w:t>
            </w:r>
            <w:r>
              <w:rPr>
                <w:rFonts w:hint="eastAsia"/>
                <w:color w:val="auto"/>
                <w:sz w:val="21"/>
                <w:szCs w:val="21"/>
                <w:highlight w:val="none"/>
                <w:lang w:eastAsia="zh-CN" w:bidi="ar-BH"/>
              </w:rPr>
              <w:t>河南省乡镇集中式饮用水水源保护区划</w:t>
            </w:r>
            <w:r>
              <w:rPr>
                <w:rFonts w:ascii="Times New Roman" w:hAnsi="Times New Roman"/>
                <w:color w:val="auto"/>
                <w:sz w:val="21"/>
                <w:szCs w:val="21"/>
                <w:highlight w:val="none"/>
                <w:lang w:bidi="ar-BH"/>
              </w:rPr>
              <w:t>、</w:t>
            </w:r>
            <w:r>
              <w:rPr>
                <w:rFonts w:hint="eastAsia"/>
                <w:color w:val="auto"/>
                <w:sz w:val="21"/>
                <w:szCs w:val="21"/>
                <w:highlight w:val="none"/>
                <w:lang w:eastAsia="zh-CN" w:bidi="ar-BH"/>
              </w:rPr>
              <w:t>河南省县级集中式饮用水水源保护区划</w:t>
            </w:r>
            <w:r>
              <w:rPr>
                <w:rFonts w:ascii="Times New Roman" w:hAnsi="Times New Roman"/>
                <w:color w:val="auto"/>
                <w:sz w:val="21"/>
                <w:szCs w:val="21"/>
                <w:highlight w:val="none"/>
                <w:lang w:bidi="ar-BH"/>
              </w:rPr>
              <w:t>、土地利</w:t>
            </w:r>
            <w:r>
              <w:rPr>
                <w:rFonts w:hint="eastAsia"/>
                <w:color w:val="auto"/>
                <w:sz w:val="21"/>
                <w:szCs w:val="21"/>
                <w:highlight w:val="none"/>
                <w:lang w:eastAsia="zh-CN" w:bidi="ar-BH"/>
              </w:rPr>
              <w:t>用</w:t>
            </w:r>
            <w:r>
              <w:rPr>
                <w:rFonts w:ascii="Times New Roman" w:hAnsi="Times New Roman"/>
                <w:color w:val="auto"/>
                <w:sz w:val="21"/>
                <w:szCs w:val="21"/>
                <w:highlight w:val="none"/>
                <w:lang w:bidi="ar-BH"/>
              </w:rPr>
              <w:t>规划等相关规划，不在禁养区范围内。</w:t>
            </w:r>
          </w:p>
        </w:tc>
        <w:tc>
          <w:tcPr>
            <w:tcW w:w="2434" w:type="dxa"/>
            <w:noWrap w:val="0"/>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58"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周围敏感点及设防距离</w:t>
            </w:r>
          </w:p>
        </w:tc>
        <w:tc>
          <w:tcPr>
            <w:tcW w:w="4572"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距离最近的村庄为项目</w:t>
            </w:r>
            <w:r>
              <w:rPr>
                <w:rFonts w:hint="eastAsia" w:ascii="Times New Roman" w:hAnsi="Times New Roman"/>
                <w:color w:val="auto"/>
                <w:sz w:val="21"/>
                <w:szCs w:val="21"/>
                <w:highlight w:val="none"/>
                <w:lang w:bidi="ar-BH"/>
              </w:rPr>
              <w:t>东北侧420m处的吴自岐庄</w:t>
            </w:r>
            <w:r>
              <w:rPr>
                <w:rFonts w:ascii="Times New Roman" w:hAnsi="Times New Roman"/>
                <w:color w:val="auto"/>
                <w:sz w:val="21"/>
                <w:szCs w:val="21"/>
                <w:highlight w:val="none"/>
                <w:lang w:bidi="ar-BH"/>
              </w:rPr>
              <w:t>。根据预测分析，</w:t>
            </w:r>
            <w:r>
              <w:rPr>
                <w:rFonts w:hint="eastAsia"/>
                <w:color w:val="auto"/>
                <w:sz w:val="21"/>
                <w:szCs w:val="21"/>
                <w:highlight w:val="none"/>
                <w:lang w:eastAsia="zh-CN" w:bidi="ar-BH"/>
              </w:rPr>
              <w:t>无需设置</w:t>
            </w:r>
            <w:r>
              <w:rPr>
                <w:rFonts w:ascii="Times New Roman" w:hAnsi="Times New Roman"/>
                <w:color w:val="auto"/>
                <w:sz w:val="21"/>
                <w:szCs w:val="21"/>
                <w:highlight w:val="none"/>
                <w:lang w:bidi="ar-BH"/>
              </w:rPr>
              <w:t>大气环境防护距离</w:t>
            </w:r>
            <w:r>
              <w:rPr>
                <w:rFonts w:hint="eastAsia"/>
                <w:color w:val="auto"/>
                <w:sz w:val="21"/>
                <w:szCs w:val="21"/>
                <w:highlight w:val="none"/>
                <w:lang w:eastAsia="zh-CN" w:bidi="ar-BH"/>
              </w:rPr>
              <w:t>，评价设置100m卫生防护距离（距场界），最近环境敏感点距离项目场界</w:t>
            </w:r>
            <w:r>
              <w:rPr>
                <w:rFonts w:hint="eastAsia"/>
                <w:color w:val="auto"/>
                <w:sz w:val="21"/>
                <w:szCs w:val="21"/>
                <w:highlight w:val="none"/>
                <w:lang w:val="en-US" w:eastAsia="zh-CN" w:bidi="ar-BH"/>
              </w:rPr>
              <w:t>420</w:t>
            </w:r>
            <w:r>
              <w:rPr>
                <w:rFonts w:hint="eastAsia"/>
                <w:color w:val="auto"/>
                <w:sz w:val="21"/>
                <w:szCs w:val="21"/>
                <w:highlight w:val="none"/>
                <w:lang w:eastAsia="zh-CN" w:bidi="ar-BH"/>
              </w:rPr>
              <w:t>m，能够满足卫生防护距离要求。</w:t>
            </w:r>
          </w:p>
        </w:tc>
        <w:tc>
          <w:tcPr>
            <w:tcW w:w="2434" w:type="dxa"/>
            <w:noWrap w:val="0"/>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沼液消纳能力分析</w:t>
            </w:r>
          </w:p>
        </w:tc>
        <w:tc>
          <w:tcPr>
            <w:tcW w:w="4572"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场区产生的沼液需农田面积不少于</w:t>
            </w:r>
            <w:r>
              <w:rPr>
                <w:rFonts w:hint="eastAsia"/>
                <w:color w:val="auto"/>
                <w:sz w:val="21"/>
                <w:szCs w:val="21"/>
                <w:highlight w:val="none"/>
                <w:lang w:val="en-US" w:eastAsia="zh-CN" w:bidi="ar-BH"/>
              </w:rPr>
              <w:t>2931</w:t>
            </w:r>
            <w:r>
              <w:rPr>
                <w:rFonts w:ascii="Times New Roman" w:hAnsi="Times New Roman"/>
                <w:color w:val="auto"/>
                <w:sz w:val="21"/>
                <w:szCs w:val="21"/>
                <w:highlight w:val="none"/>
                <w:lang w:bidi="ar-BH"/>
              </w:rPr>
              <w:t>亩，</w:t>
            </w:r>
            <w:r>
              <w:rPr>
                <w:rFonts w:hint="eastAsia"/>
                <w:color w:val="auto"/>
                <w:sz w:val="21"/>
                <w:szCs w:val="21"/>
                <w:highlight w:val="none"/>
                <w:lang w:eastAsia="zh-CN" w:bidi="ar-BH"/>
              </w:rPr>
              <w:t>平舆</w:t>
            </w:r>
            <w:r>
              <w:rPr>
                <w:rFonts w:ascii="Times New Roman" w:hAnsi="Times New Roman"/>
                <w:color w:val="auto"/>
                <w:sz w:val="21"/>
                <w:szCs w:val="21"/>
                <w:highlight w:val="none"/>
                <w:lang w:bidi="ar-BH"/>
              </w:rPr>
              <w:t>牧原农牧有限公司已与</w:t>
            </w:r>
            <w:r>
              <w:rPr>
                <w:rFonts w:hint="eastAsia"/>
                <w:color w:val="auto"/>
                <w:sz w:val="21"/>
                <w:szCs w:val="21"/>
                <w:highlight w:val="none"/>
                <w:lang w:eastAsia="zh-CN" w:bidi="ar-BH"/>
              </w:rPr>
              <w:t>庙湾乡赵庄村</w:t>
            </w:r>
            <w:r>
              <w:rPr>
                <w:rFonts w:ascii="Times New Roman" w:hAnsi="Times New Roman"/>
                <w:color w:val="auto"/>
                <w:sz w:val="21"/>
                <w:szCs w:val="21"/>
                <w:highlight w:val="none"/>
                <w:lang w:bidi="ar-BH"/>
              </w:rPr>
              <w:t>等村民委员会签订沼液消纳利用协议，租用村民土地</w:t>
            </w:r>
            <w:r>
              <w:rPr>
                <w:rFonts w:hint="eastAsia"/>
                <w:color w:val="auto"/>
                <w:sz w:val="21"/>
                <w:szCs w:val="21"/>
                <w:highlight w:val="none"/>
                <w:lang w:val="en-US" w:eastAsia="zh-CN" w:bidi="ar-BH"/>
              </w:rPr>
              <w:t>4800</w:t>
            </w:r>
            <w:r>
              <w:rPr>
                <w:rFonts w:ascii="Times New Roman" w:hAnsi="Times New Roman"/>
                <w:color w:val="auto"/>
                <w:sz w:val="21"/>
                <w:szCs w:val="21"/>
                <w:highlight w:val="none"/>
                <w:lang w:bidi="ar-BH"/>
              </w:rPr>
              <w:t>亩，可实现完全消纳沼液。</w:t>
            </w:r>
          </w:p>
        </w:tc>
        <w:tc>
          <w:tcPr>
            <w:tcW w:w="2434" w:type="dxa"/>
            <w:noWrap w:val="0"/>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区域地表水体</w:t>
            </w:r>
          </w:p>
        </w:tc>
        <w:tc>
          <w:tcPr>
            <w:tcW w:w="4572"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hint="eastAsia" w:ascii="Times New Roman" w:hAnsi="Times New Roman" w:eastAsia="宋体"/>
                <w:color w:val="auto"/>
                <w:sz w:val="21"/>
                <w:szCs w:val="21"/>
                <w:highlight w:val="none"/>
                <w:lang w:eastAsia="zh-CN" w:bidi="ar-BH"/>
              </w:rPr>
            </w:pPr>
            <w:r>
              <w:rPr>
                <w:rFonts w:ascii="Times New Roman" w:hAnsi="Times New Roman"/>
                <w:color w:val="auto"/>
                <w:sz w:val="21"/>
                <w:szCs w:val="21"/>
                <w:highlight w:val="none"/>
                <w:lang w:bidi="ar-BH"/>
              </w:rPr>
              <w:t>项目场区最近地表水体为</w:t>
            </w:r>
            <w:r>
              <w:rPr>
                <w:rFonts w:hint="eastAsia" w:ascii="Times New Roman" w:hAnsi="Times New Roman"/>
                <w:color w:val="auto"/>
                <w:sz w:val="21"/>
                <w:szCs w:val="21"/>
                <w:highlight w:val="none"/>
                <w:lang w:bidi="ar-BH"/>
              </w:rPr>
              <w:t>厂界南侧330m处的洪河</w:t>
            </w:r>
            <w:r>
              <w:rPr>
                <w:rFonts w:ascii="Times New Roman" w:hAnsi="Times New Roman"/>
                <w:color w:val="auto"/>
                <w:sz w:val="21"/>
                <w:szCs w:val="21"/>
                <w:highlight w:val="none"/>
                <w:lang w:bidi="ar-BH"/>
              </w:rPr>
              <w:t>，</w:t>
            </w:r>
            <w:r>
              <w:rPr>
                <w:rFonts w:hint="eastAsia" w:ascii="Times New Roman" w:hAnsi="Times New Roman"/>
                <w:color w:val="auto"/>
                <w:sz w:val="21"/>
                <w:szCs w:val="21"/>
                <w:highlight w:val="none"/>
                <w:lang w:bidi="ar-BH"/>
              </w:rPr>
              <w:t>畜禽粪便贮存位置即固粪处理区距离洪河约720m，</w:t>
            </w:r>
            <w:r>
              <w:rPr>
                <w:rFonts w:ascii="Times New Roman" w:hAnsi="Times New Roman"/>
                <w:color w:val="auto"/>
                <w:sz w:val="21"/>
                <w:szCs w:val="21"/>
                <w:highlight w:val="none"/>
                <w:lang w:bidi="ar-BH"/>
              </w:rPr>
              <w:t>项目固粪处理区满足《畜禽养殖业污染防治技术规范》（HJ/T81—2001）的规定（粪便贮存设施的位置必须远离各类功能地表水体，距离不得小于400m）；粪污处理及暂存区处于生产区、生活管理区的常年主导风向的侧风向处，满足HJ/T81-2001的管理规定</w:t>
            </w:r>
            <w:r>
              <w:rPr>
                <w:rFonts w:hint="eastAsia"/>
                <w:color w:val="auto"/>
                <w:sz w:val="21"/>
                <w:szCs w:val="21"/>
                <w:highlight w:val="none"/>
                <w:lang w:eastAsia="zh-CN" w:bidi="ar-BH"/>
              </w:rPr>
              <w:t>。</w:t>
            </w:r>
          </w:p>
        </w:tc>
        <w:tc>
          <w:tcPr>
            <w:tcW w:w="2434" w:type="dxa"/>
            <w:noWrap w:val="0"/>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气候、气象</w:t>
            </w:r>
          </w:p>
        </w:tc>
        <w:tc>
          <w:tcPr>
            <w:tcW w:w="4572"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场址所处区域属温带大陆性季风气候，四季分明，且地质条件良好。</w:t>
            </w:r>
          </w:p>
        </w:tc>
        <w:tc>
          <w:tcPr>
            <w:tcW w:w="2434" w:type="dxa"/>
            <w:noWrap w:val="0"/>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环境影响预测</w:t>
            </w:r>
          </w:p>
        </w:tc>
        <w:tc>
          <w:tcPr>
            <w:tcW w:w="4572"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hint="eastAsia" w:ascii="Times New Roman" w:hAnsi="Times New Roman" w:eastAsia="宋体"/>
                <w:color w:val="auto"/>
                <w:sz w:val="21"/>
                <w:szCs w:val="21"/>
                <w:highlight w:val="none"/>
                <w:lang w:eastAsia="zh-CN" w:bidi="ar-BH"/>
              </w:rPr>
            </w:pPr>
            <w:r>
              <w:rPr>
                <w:rFonts w:ascii="Times New Roman" w:hAnsi="Times New Roman"/>
                <w:color w:val="auto"/>
                <w:sz w:val="21"/>
                <w:szCs w:val="21"/>
                <w:highlight w:val="none"/>
                <w:lang w:bidi="ar-BH"/>
              </w:rPr>
              <w:t>项目运营期场界恶臭排放浓度及场界噪声均实现达标排放；在落实环评建议的前提下，对地下水的影响将降至最低</w:t>
            </w:r>
            <w:r>
              <w:rPr>
                <w:rFonts w:hint="eastAsia"/>
                <w:color w:val="auto"/>
                <w:sz w:val="21"/>
                <w:szCs w:val="21"/>
                <w:highlight w:val="none"/>
                <w:lang w:eastAsia="zh-CN" w:bidi="ar-BH"/>
              </w:rPr>
              <w:t>。</w:t>
            </w:r>
          </w:p>
        </w:tc>
        <w:tc>
          <w:tcPr>
            <w:tcW w:w="2434" w:type="dxa"/>
            <w:noWrap w:val="0"/>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环境风险防范</w:t>
            </w:r>
          </w:p>
        </w:tc>
        <w:tc>
          <w:tcPr>
            <w:tcW w:w="4572"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hint="eastAsia" w:ascii="Times New Roman" w:hAnsi="Times New Roman" w:eastAsia="宋体"/>
                <w:color w:val="auto"/>
                <w:sz w:val="21"/>
                <w:szCs w:val="21"/>
                <w:highlight w:val="none"/>
                <w:lang w:eastAsia="zh-CN" w:bidi="ar-BH"/>
              </w:rPr>
            </w:pPr>
            <w:r>
              <w:rPr>
                <w:rFonts w:ascii="Times New Roman" w:hAnsi="Times New Roman"/>
                <w:color w:val="auto"/>
                <w:sz w:val="21"/>
                <w:szCs w:val="21"/>
                <w:highlight w:val="none"/>
                <w:lang w:bidi="ar-BH"/>
              </w:rPr>
              <w:t>企业在认真落实评价提出的各项防范措施后，可将项目风险发生的概率降至最低</w:t>
            </w:r>
            <w:r>
              <w:rPr>
                <w:rFonts w:hint="eastAsia"/>
                <w:color w:val="auto"/>
                <w:sz w:val="21"/>
                <w:szCs w:val="21"/>
                <w:highlight w:val="none"/>
                <w:lang w:eastAsia="zh-CN" w:bidi="ar-BH"/>
              </w:rPr>
              <w:t>。</w:t>
            </w:r>
          </w:p>
        </w:tc>
        <w:tc>
          <w:tcPr>
            <w:tcW w:w="2434" w:type="dxa"/>
            <w:noWrap w:val="0"/>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公众参与意见</w:t>
            </w:r>
          </w:p>
        </w:tc>
        <w:tc>
          <w:tcPr>
            <w:tcW w:w="4572"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hint="eastAsia" w:ascii="Times New Roman" w:hAnsi="Times New Roman" w:eastAsia="宋体"/>
                <w:color w:val="auto"/>
                <w:sz w:val="21"/>
                <w:szCs w:val="21"/>
                <w:highlight w:val="none"/>
                <w:lang w:eastAsia="zh-CN" w:bidi="ar-BH"/>
              </w:rPr>
            </w:pPr>
            <w:r>
              <w:rPr>
                <w:rFonts w:ascii="Times New Roman" w:hAnsi="Times New Roman"/>
                <w:color w:val="auto"/>
                <w:sz w:val="21"/>
                <w:szCs w:val="21"/>
                <w:highlight w:val="none"/>
                <w:lang w:bidi="ar-BH"/>
              </w:rPr>
              <w:t>公众参与对象对项目建设持支持态度，并希望建设单位严格按照评价要求做好污染防治工作</w:t>
            </w:r>
            <w:r>
              <w:rPr>
                <w:rFonts w:hint="eastAsia"/>
                <w:color w:val="auto"/>
                <w:sz w:val="21"/>
                <w:szCs w:val="21"/>
                <w:highlight w:val="none"/>
                <w:lang w:eastAsia="zh-CN" w:bidi="ar-BH"/>
              </w:rPr>
              <w:t>。</w:t>
            </w:r>
          </w:p>
        </w:tc>
        <w:tc>
          <w:tcPr>
            <w:tcW w:w="2434" w:type="dxa"/>
            <w:noWrap w:val="0"/>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与文物古迹的关系</w:t>
            </w:r>
          </w:p>
        </w:tc>
        <w:tc>
          <w:tcPr>
            <w:tcW w:w="4572"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hint="eastAsia" w:ascii="Times New Roman" w:hAnsi="Times New Roman" w:eastAsia="宋体"/>
                <w:color w:val="auto"/>
                <w:sz w:val="21"/>
                <w:szCs w:val="21"/>
                <w:highlight w:val="none"/>
                <w:lang w:eastAsia="zh-CN" w:bidi="ar-BH"/>
              </w:rPr>
            </w:pPr>
            <w:r>
              <w:rPr>
                <w:rFonts w:ascii="Times New Roman" w:hAnsi="Times New Roman"/>
                <w:color w:val="auto"/>
                <w:sz w:val="21"/>
                <w:szCs w:val="21"/>
                <w:highlight w:val="none"/>
                <w:lang w:bidi="ar-BH"/>
              </w:rPr>
              <w:t>项目周围没有文物古迹</w:t>
            </w:r>
            <w:r>
              <w:rPr>
                <w:rFonts w:hint="eastAsia"/>
                <w:color w:val="auto"/>
                <w:sz w:val="21"/>
                <w:szCs w:val="21"/>
                <w:highlight w:val="none"/>
                <w:lang w:eastAsia="zh-CN" w:bidi="ar-BH"/>
              </w:rPr>
              <w:t>。</w:t>
            </w:r>
          </w:p>
        </w:tc>
        <w:tc>
          <w:tcPr>
            <w:tcW w:w="2434" w:type="dxa"/>
            <w:noWrap w:val="0"/>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清洁生产水平</w:t>
            </w:r>
          </w:p>
        </w:tc>
        <w:tc>
          <w:tcPr>
            <w:tcW w:w="4572"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hint="eastAsia" w:ascii="Times New Roman" w:hAnsi="Times New Roman" w:eastAsia="宋体"/>
                <w:color w:val="auto"/>
                <w:sz w:val="21"/>
                <w:szCs w:val="21"/>
                <w:highlight w:val="none"/>
                <w:lang w:eastAsia="zh-CN" w:bidi="ar-BH"/>
              </w:rPr>
            </w:pPr>
            <w:r>
              <w:rPr>
                <w:rFonts w:ascii="Times New Roman" w:hAnsi="Times New Roman"/>
                <w:color w:val="auto"/>
                <w:sz w:val="21"/>
                <w:szCs w:val="21"/>
                <w:highlight w:val="none"/>
                <w:lang w:bidi="ar-BH"/>
              </w:rPr>
              <w:t>清洁生产达到国内先进水平</w:t>
            </w:r>
            <w:r>
              <w:rPr>
                <w:rFonts w:hint="eastAsia"/>
                <w:color w:val="auto"/>
                <w:sz w:val="21"/>
                <w:szCs w:val="21"/>
                <w:highlight w:val="none"/>
                <w:lang w:eastAsia="zh-CN" w:bidi="ar-BH"/>
              </w:rPr>
              <w:t>。</w:t>
            </w:r>
          </w:p>
        </w:tc>
        <w:tc>
          <w:tcPr>
            <w:tcW w:w="2434" w:type="dxa"/>
            <w:noWrap w:val="0"/>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政府及管理部门意见</w:t>
            </w:r>
          </w:p>
        </w:tc>
        <w:tc>
          <w:tcPr>
            <w:tcW w:w="4572"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hint="eastAsia" w:ascii="Times New Roman" w:hAnsi="Times New Roman" w:eastAsia="宋体"/>
                <w:color w:val="auto"/>
                <w:sz w:val="21"/>
                <w:szCs w:val="21"/>
                <w:highlight w:val="none"/>
                <w:lang w:eastAsia="zh-CN" w:bidi="ar-BH"/>
              </w:rPr>
            </w:pPr>
            <w:r>
              <w:rPr>
                <w:rFonts w:ascii="Times New Roman" w:hAnsi="Times New Roman"/>
                <w:color w:val="auto"/>
                <w:sz w:val="21"/>
                <w:szCs w:val="21"/>
                <w:highlight w:val="none"/>
                <w:lang w:bidi="ar-BH"/>
              </w:rPr>
              <w:t>对项目表支持态度，同意本工程在此地建设</w:t>
            </w:r>
            <w:r>
              <w:rPr>
                <w:rFonts w:hint="eastAsia"/>
                <w:color w:val="auto"/>
                <w:sz w:val="21"/>
                <w:szCs w:val="21"/>
                <w:highlight w:val="none"/>
                <w:lang w:eastAsia="zh-CN" w:bidi="ar-BH"/>
              </w:rPr>
              <w:t>。</w:t>
            </w:r>
          </w:p>
        </w:tc>
        <w:tc>
          <w:tcPr>
            <w:tcW w:w="2434" w:type="dxa"/>
            <w:noWrap w:val="0"/>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分析结果</w:t>
            </w:r>
          </w:p>
        </w:tc>
        <w:tc>
          <w:tcPr>
            <w:tcW w:w="4572" w:type="dxa"/>
            <w:noWrap w:val="0"/>
            <w:tcMar>
              <w:top w:w="0" w:type="dxa"/>
              <w:left w:w="0" w:type="dxa"/>
              <w:bottom w:w="0" w:type="dxa"/>
              <w:right w:w="0" w:type="dxa"/>
            </w:tcMar>
            <w:vAlign w:val="center"/>
          </w:tcPr>
          <w:p>
            <w:pPr>
              <w:adjustRightInd w:val="0"/>
              <w:snapToGrid w:val="0"/>
              <w:spacing w:line="360" w:lineRule="exact"/>
              <w:ind w:left="0" w:leftChars="0" w:firstLine="0" w:firstLineChars="0"/>
              <w:jc w:val="center"/>
              <w:rPr>
                <w:rFonts w:hint="eastAsia" w:ascii="Times New Roman" w:hAnsi="Times New Roman" w:eastAsia="宋体"/>
                <w:color w:val="auto"/>
                <w:sz w:val="21"/>
                <w:szCs w:val="21"/>
                <w:highlight w:val="none"/>
                <w:lang w:eastAsia="zh-CN" w:bidi="ar-BH"/>
              </w:rPr>
            </w:pPr>
            <w:r>
              <w:rPr>
                <w:rFonts w:ascii="Times New Roman" w:hAnsi="Times New Roman"/>
                <w:color w:val="auto"/>
                <w:sz w:val="21"/>
                <w:szCs w:val="21"/>
                <w:highlight w:val="none"/>
                <w:lang w:bidi="ar-BH"/>
              </w:rPr>
              <w:t>从环境保护角度分析，本项目选址可行</w:t>
            </w:r>
            <w:r>
              <w:rPr>
                <w:rFonts w:hint="eastAsia"/>
                <w:color w:val="auto"/>
                <w:sz w:val="21"/>
                <w:szCs w:val="21"/>
                <w:highlight w:val="none"/>
                <w:lang w:eastAsia="zh-CN" w:bidi="ar-BH"/>
              </w:rPr>
              <w:t>。</w:t>
            </w:r>
          </w:p>
        </w:tc>
        <w:tc>
          <w:tcPr>
            <w:tcW w:w="2434" w:type="dxa"/>
            <w:noWrap w:val="0"/>
            <w:vAlign w:val="center"/>
          </w:tcPr>
          <w:p>
            <w:pPr>
              <w:adjustRightInd w:val="0"/>
              <w:snapToGrid w:val="0"/>
              <w:spacing w:line="360" w:lineRule="exact"/>
              <w:ind w:left="0" w:leftChars="0" w:firstLine="0" w:firstLineChars="0"/>
              <w:jc w:val="center"/>
              <w:rPr>
                <w:rFonts w:ascii="Times New Roman" w:hAnsi="Times New Roman"/>
                <w:color w:val="auto"/>
                <w:sz w:val="21"/>
                <w:szCs w:val="21"/>
                <w:highlight w:val="none"/>
                <w:lang w:bidi="ar-BH"/>
              </w:rPr>
            </w:pPr>
            <w:r>
              <w:rPr>
                <w:rFonts w:ascii="Times New Roman" w:hAnsi="Times New Roman"/>
                <w:color w:val="auto"/>
                <w:sz w:val="21"/>
                <w:szCs w:val="21"/>
                <w:highlight w:val="none"/>
                <w:lang w:bidi="ar-BH"/>
              </w:rPr>
              <w:t>满足</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综上所述，项目选址可行。</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（2）场区平面布置合理性分析</w:t>
      </w:r>
    </w:p>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rPr>
      </w:pPr>
      <w:r>
        <w:rPr>
          <w:rFonts w:hint="eastAsia"/>
          <w:color w:val="auto"/>
          <w:highlight w:val="none"/>
        </w:rPr>
        <w:t>场区实行生产区、生活区与污染治理区的三区分离，项目共分为生活区、养殖区、治污区三部分。生活区包括宿舍楼、</w:t>
      </w:r>
      <w:r>
        <w:rPr>
          <w:rFonts w:hint="eastAsia"/>
          <w:color w:val="auto"/>
          <w:highlight w:val="none"/>
          <w:lang w:eastAsia="zh-CN"/>
        </w:rPr>
        <w:t>伙房</w:t>
      </w:r>
      <w:r>
        <w:rPr>
          <w:rFonts w:hint="eastAsia"/>
          <w:color w:val="auto"/>
          <w:highlight w:val="none"/>
        </w:rPr>
        <w:t>等；养殖区主要包括保育育肥一体舍；治污区包括固粪处理区、病死猪暂存间、黑膜沼气池、</w:t>
      </w:r>
      <w:r>
        <w:rPr>
          <w:rFonts w:hint="eastAsia"/>
          <w:color w:val="auto"/>
          <w:highlight w:val="none"/>
          <w:lang w:eastAsia="zh-CN"/>
        </w:rPr>
        <w:t>沼液储存池、</w:t>
      </w:r>
      <w:r>
        <w:rPr>
          <w:rFonts w:hint="eastAsia"/>
          <w:color w:val="auto"/>
          <w:highlight w:val="none"/>
        </w:rPr>
        <w:t>医疗废物暂存间等。</w:t>
      </w:r>
    </w:p>
    <w:p>
      <w:pPr>
        <w:keepNext w:val="0"/>
        <w:keepLines w:val="0"/>
        <w:pageBreakBefore w:val="0"/>
        <w:widowControl/>
        <w:kinsoku/>
        <w:wordWrap/>
        <w:overflowPunct/>
        <w:topLinePunct w:val="0"/>
        <w:autoSpaceDE/>
        <w:autoSpaceDN/>
        <w:bidi w:val="0"/>
        <w:adjustRightInd/>
        <w:snapToGrid/>
        <w:ind w:firstLine="480"/>
        <w:textAlignment w:val="auto"/>
        <w:rPr>
          <w:rFonts w:ascii="Times New Roman" w:hAnsi="Times New Roman"/>
          <w:bCs/>
          <w:color w:val="auto"/>
          <w:sz w:val="24"/>
          <w:szCs w:val="24"/>
          <w:highlight w:val="none"/>
        </w:rPr>
      </w:pPr>
      <w:r>
        <w:rPr>
          <w:rFonts w:hint="eastAsia"/>
          <w:color w:val="auto"/>
          <w:highlight w:val="none"/>
        </w:rPr>
        <w:t>根据企业设计，生活区设置在养殖区</w:t>
      </w:r>
      <w:r>
        <w:rPr>
          <w:rFonts w:hint="eastAsia"/>
          <w:color w:val="auto"/>
          <w:highlight w:val="none"/>
          <w:lang w:eastAsia="zh-CN"/>
        </w:rPr>
        <w:t>南</w:t>
      </w:r>
      <w:r>
        <w:rPr>
          <w:rFonts w:hint="eastAsia"/>
          <w:color w:val="auto"/>
          <w:highlight w:val="none"/>
        </w:rPr>
        <w:t>侧，和养殖区之间有绿化带相隔，生产人员进出场区时可以尽可能避开养殖区，有利于猪舍防疫，可最大程度减轻对场区内部的影响。污水处理区位于养殖区</w:t>
      </w:r>
      <w:r>
        <w:rPr>
          <w:rFonts w:hint="eastAsia"/>
          <w:color w:val="auto"/>
          <w:highlight w:val="none"/>
          <w:lang w:eastAsia="zh-CN"/>
        </w:rPr>
        <w:t>北</w:t>
      </w:r>
      <w:r>
        <w:rPr>
          <w:rFonts w:hint="eastAsia"/>
          <w:color w:val="auto"/>
          <w:highlight w:val="none"/>
        </w:rPr>
        <w:t>侧，以便于养殖区污水通过管道直接输送至污水处理区，污水处理后可自流至黑膜沼气池中。黑膜沼气池、</w:t>
      </w:r>
      <w:r>
        <w:rPr>
          <w:rFonts w:hint="eastAsia"/>
          <w:color w:val="auto"/>
          <w:highlight w:val="none"/>
          <w:lang w:eastAsia="zh-CN"/>
        </w:rPr>
        <w:t>沼液储存池、</w:t>
      </w:r>
      <w:r>
        <w:rPr>
          <w:rFonts w:hint="eastAsia"/>
          <w:color w:val="auto"/>
          <w:highlight w:val="none"/>
        </w:rPr>
        <w:t>固粪处理区、污水处理设施均位于养殖场、生活办公区的东北侧，在养殖场</w:t>
      </w:r>
      <w:r>
        <w:rPr>
          <w:rFonts w:hint="eastAsia"/>
          <w:color w:val="auto"/>
          <w:highlight w:val="none"/>
          <w:lang w:eastAsia="zh-CN"/>
        </w:rPr>
        <w:t>、</w:t>
      </w:r>
      <w:r>
        <w:rPr>
          <w:rFonts w:hint="eastAsia"/>
          <w:color w:val="auto"/>
          <w:highlight w:val="none"/>
        </w:rPr>
        <w:t>生活办公区常年主导风向的侧风向处，减轻了对养殖区和办公生活区的不利影响，满足规定要求。养殖区设置消毒设施，场区各功能区之间都设有绿化带，道路和绿化带的设置可有效防止各区之间交叉污染影响，同时也可为员工的办公和生产营造一个良好的工作环境。整个场区总体布置简洁明快，道路通畅。根据场区布置情况，项目平面布置功能分区明确，场址平面布置可行，同时，要求项目建设时应严格按照《畜禽养殖业污染防治技术规范》（HJ/T81-2001）要求进行布置。</w:t>
      </w:r>
      <w:r>
        <w:rPr>
          <w:rFonts w:ascii="Times New Roman" w:hAnsi="Times New Roman"/>
          <w:bCs/>
          <w:color w:val="auto"/>
          <w:sz w:val="24"/>
          <w:szCs w:val="24"/>
          <w:highlight w:val="none"/>
        </w:rPr>
        <w:t>评价建议企业在建设过程中，对场区空闲土地和场界进行多层次多方位立体绿化，如在猪舍之间及粪污处理及暂存区加强绿化，减轻工程恶臭污染物排放对区域环境的影响，并逐步完善和优化场区平面布置。</w:t>
      </w:r>
    </w:p>
    <w:p>
      <w:pPr>
        <w:pStyle w:val="4"/>
        <w:spacing w:beforeLines="0"/>
        <w:rPr>
          <w:rFonts w:cs="Times New Roman"/>
          <w:color w:val="auto"/>
          <w:highlight w:val="none"/>
        </w:rPr>
      </w:pPr>
      <w:bookmarkStart w:id="11" w:name="_Toc24565"/>
      <w:r>
        <w:rPr>
          <w:rFonts w:cs="Times New Roman"/>
          <w:color w:val="auto"/>
          <w:highlight w:val="none"/>
        </w:rPr>
        <w:t>1.</w:t>
      </w:r>
      <w:r>
        <w:rPr>
          <w:rFonts w:hint="eastAsia" w:cs="Times New Roman"/>
          <w:color w:val="auto"/>
          <w:highlight w:val="none"/>
          <w:lang w:val="en-US" w:eastAsia="zh-CN"/>
        </w:rPr>
        <w:t>9</w:t>
      </w:r>
      <w:r>
        <w:rPr>
          <w:rFonts w:cs="Times New Roman"/>
          <w:color w:val="auto"/>
          <w:highlight w:val="none"/>
        </w:rPr>
        <w:t>环境保护目标</w:t>
      </w:r>
      <w:bookmarkEnd w:id="11"/>
    </w:p>
    <w:p>
      <w:pPr>
        <w:ind w:firstLine="480"/>
        <w:rPr>
          <w:rFonts w:cs="Times New Roman"/>
          <w:color w:val="auto"/>
          <w:highlight w:val="none"/>
        </w:rPr>
      </w:pPr>
      <w:r>
        <w:rPr>
          <w:rFonts w:cs="Times New Roman"/>
          <w:color w:val="auto"/>
          <w:highlight w:val="none"/>
        </w:rPr>
        <w:t>根据调查，</w:t>
      </w:r>
      <w:r>
        <w:rPr>
          <w:rFonts w:hint="eastAsia" w:cs="Times New Roman"/>
          <w:color w:val="auto"/>
          <w:highlight w:val="none"/>
        </w:rPr>
        <w:t>项目所在地</w:t>
      </w:r>
      <w:r>
        <w:rPr>
          <w:rFonts w:cs="Times New Roman"/>
          <w:color w:val="auto"/>
          <w:highlight w:val="none"/>
        </w:rPr>
        <w:t>范围内无重点保护文物和珍稀动植物。</w:t>
      </w:r>
    </w:p>
    <w:p>
      <w:pPr>
        <w:ind w:firstLine="480"/>
        <w:rPr>
          <w:rFonts w:cs="Times New Roman"/>
          <w:color w:val="auto"/>
          <w:highlight w:val="none"/>
        </w:rPr>
      </w:pPr>
      <w:r>
        <w:rPr>
          <w:rFonts w:cs="Times New Roman"/>
          <w:color w:val="auto"/>
          <w:highlight w:val="none"/>
        </w:rPr>
        <w:t>本评价根据工程特点和周围居民分布、污染特征、区域常年主导风向，确定本项目环境保护目标见表1.8-1。</w:t>
      </w:r>
    </w:p>
    <w:p>
      <w:pPr>
        <w:pStyle w:val="21"/>
        <w:rPr>
          <w:rFonts w:cs="Times New Roman"/>
          <w:color w:val="auto"/>
          <w:highlight w:val="none"/>
        </w:rPr>
      </w:pPr>
      <w:r>
        <w:rPr>
          <w:rFonts w:cs="Times New Roman"/>
          <w:color w:val="auto"/>
          <w:highlight w:val="none"/>
        </w:rPr>
        <w:t>表1.8-1</w:t>
      </w:r>
      <w:r>
        <w:rPr>
          <w:rFonts w:hint="eastAsia" w:cs="Times New Roman"/>
          <w:color w:val="auto"/>
          <w:highlight w:val="none"/>
          <w:lang w:val="en-US" w:eastAsia="zh-CN"/>
        </w:rPr>
        <w:t xml:space="preserve"> </w:t>
      </w:r>
      <w:r>
        <w:rPr>
          <w:rFonts w:cs="Times New Roman"/>
          <w:color w:val="auto"/>
          <w:highlight w:val="none"/>
        </w:rPr>
        <w:t>主要环境保护目标与敏感点</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206"/>
        <w:gridCol w:w="1185"/>
        <w:gridCol w:w="1095"/>
        <w:gridCol w:w="1410"/>
        <w:gridCol w:w="1290"/>
        <w:gridCol w:w="765"/>
        <w:gridCol w:w="9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Merge w:val="restart"/>
            <w:vAlign w:val="center"/>
          </w:tcPr>
          <w:p>
            <w:pPr>
              <w:pStyle w:val="42"/>
              <w:spacing w:line="240" w:lineRule="auto"/>
              <w:ind w:left="0" w:leftChars="0" w:firstLine="0" w:firstLineChars="0"/>
              <w:jc w:val="center"/>
              <w:rPr>
                <w:color w:val="auto"/>
                <w:kern w:val="2"/>
                <w:highlight w:val="none"/>
              </w:rPr>
            </w:pPr>
            <w:r>
              <w:rPr>
                <w:rFonts w:hint="eastAsia"/>
                <w:color w:val="auto"/>
                <w:kern w:val="2"/>
                <w:highlight w:val="none"/>
              </w:rPr>
              <w:t>名称</w:t>
            </w:r>
          </w:p>
        </w:tc>
        <w:tc>
          <w:tcPr>
            <w:tcW w:w="1404" w:type="pct"/>
            <w:gridSpan w:val="2"/>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坐标</w:t>
            </w:r>
          </w:p>
        </w:tc>
        <w:tc>
          <w:tcPr>
            <w:tcW w:w="643" w:type="pct"/>
            <w:vMerge w:val="restart"/>
            <w:vAlign w:val="center"/>
          </w:tcPr>
          <w:p>
            <w:pPr>
              <w:pStyle w:val="42"/>
              <w:spacing w:line="240" w:lineRule="auto"/>
              <w:ind w:left="0" w:leftChars="0" w:firstLine="0" w:firstLineChars="0"/>
              <w:jc w:val="center"/>
              <w:rPr>
                <w:color w:val="auto"/>
                <w:kern w:val="2"/>
                <w:highlight w:val="none"/>
              </w:rPr>
            </w:pPr>
            <w:r>
              <w:rPr>
                <w:color w:val="auto"/>
                <w:kern w:val="2"/>
                <w:highlight w:val="none"/>
              </w:rPr>
              <w:t>保护</w:t>
            </w:r>
            <w:r>
              <w:rPr>
                <w:rFonts w:hint="eastAsia"/>
                <w:color w:val="auto"/>
                <w:kern w:val="2"/>
                <w:highlight w:val="none"/>
              </w:rPr>
              <w:t>对象</w:t>
            </w:r>
          </w:p>
        </w:tc>
        <w:tc>
          <w:tcPr>
            <w:tcW w:w="828" w:type="pct"/>
            <w:vMerge w:val="restart"/>
            <w:vAlign w:val="center"/>
          </w:tcPr>
          <w:p>
            <w:pPr>
              <w:pStyle w:val="42"/>
              <w:spacing w:line="240" w:lineRule="auto"/>
              <w:ind w:left="0" w:leftChars="0" w:firstLine="0" w:firstLineChars="0"/>
              <w:jc w:val="center"/>
              <w:rPr>
                <w:color w:val="auto"/>
                <w:kern w:val="2"/>
                <w:highlight w:val="none"/>
              </w:rPr>
            </w:pPr>
            <w:r>
              <w:rPr>
                <w:rFonts w:hint="eastAsia"/>
                <w:color w:val="auto"/>
                <w:kern w:val="2"/>
                <w:highlight w:val="none"/>
              </w:rPr>
              <w:t>保护内容</w:t>
            </w:r>
          </w:p>
        </w:tc>
        <w:tc>
          <w:tcPr>
            <w:tcW w:w="757" w:type="pct"/>
            <w:vMerge w:val="restart"/>
            <w:vAlign w:val="center"/>
          </w:tcPr>
          <w:p>
            <w:pPr>
              <w:pStyle w:val="42"/>
              <w:spacing w:line="240" w:lineRule="auto"/>
              <w:ind w:left="0" w:leftChars="0" w:firstLine="0" w:firstLineChars="0"/>
              <w:jc w:val="center"/>
              <w:rPr>
                <w:color w:val="auto"/>
                <w:kern w:val="2"/>
                <w:highlight w:val="none"/>
              </w:rPr>
            </w:pPr>
            <w:r>
              <w:rPr>
                <w:rFonts w:hint="eastAsia"/>
                <w:color w:val="auto"/>
                <w:kern w:val="2"/>
                <w:highlight w:val="none"/>
              </w:rPr>
              <w:t>环境功能区</w:t>
            </w:r>
          </w:p>
        </w:tc>
        <w:tc>
          <w:tcPr>
            <w:tcW w:w="449" w:type="pct"/>
            <w:vMerge w:val="restart"/>
            <w:vAlign w:val="center"/>
          </w:tcPr>
          <w:p>
            <w:pPr>
              <w:pStyle w:val="42"/>
              <w:spacing w:line="240" w:lineRule="auto"/>
              <w:ind w:left="0" w:leftChars="0" w:firstLine="0" w:firstLineChars="0"/>
              <w:jc w:val="center"/>
              <w:rPr>
                <w:color w:val="auto"/>
                <w:kern w:val="2"/>
                <w:highlight w:val="none"/>
              </w:rPr>
            </w:pPr>
            <w:r>
              <w:rPr>
                <w:color w:val="auto"/>
                <w:kern w:val="2"/>
                <w:highlight w:val="none"/>
              </w:rPr>
              <w:t>相对</w:t>
            </w:r>
            <w:r>
              <w:rPr>
                <w:rFonts w:hint="eastAsia"/>
                <w:color w:val="auto"/>
                <w:kern w:val="2"/>
                <w:highlight w:val="none"/>
              </w:rPr>
              <w:t>厂址</w:t>
            </w:r>
            <w:r>
              <w:rPr>
                <w:color w:val="auto"/>
                <w:kern w:val="2"/>
                <w:highlight w:val="none"/>
              </w:rPr>
              <w:t>方位</w:t>
            </w:r>
          </w:p>
        </w:tc>
        <w:tc>
          <w:tcPr>
            <w:tcW w:w="539" w:type="pct"/>
            <w:vMerge w:val="restart"/>
            <w:vAlign w:val="center"/>
          </w:tcPr>
          <w:p>
            <w:pPr>
              <w:pStyle w:val="42"/>
              <w:spacing w:line="240" w:lineRule="auto"/>
              <w:ind w:left="0" w:leftChars="0" w:firstLine="0" w:firstLineChars="0"/>
              <w:jc w:val="center"/>
              <w:rPr>
                <w:color w:val="auto"/>
                <w:kern w:val="2"/>
                <w:highlight w:val="none"/>
              </w:rPr>
            </w:pPr>
            <w:r>
              <w:rPr>
                <w:rFonts w:hint="eastAsia"/>
                <w:color w:val="auto"/>
                <w:kern w:val="2"/>
                <w:highlight w:val="none"/>
              </w:rPr>
              <w:t>相对厂界距离/m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78" w:type="pct"/>
            <w:vMerge w:val="continue"/>
            <w:vAlign w:val="center"/>
          </w:tcPr>
          <w:p>
            <w:pPr>
              <w:pStyle w:val="42"/>
              <w:spacing w:line="240" w:lineRule="auto"/>
              <w:ind w:left="0" w:leftChars="0" w:firstLine="0" w:firstLineChars="0"/>
              <w:jc w:val="center"/>
              <w:rPr>
                <w:color w:val="auto"/>
                <w:highlight w:val="none"/>
              </w:rPr>
            </w:pPr>
          </w:p>
        </w:tc>
        <w:tc>
          <w:tcPr>
            <w:tcW w:w="708" w:type="pct"/>
            <w:vAlign w:val="center"/>
          </w:tcPr>
          <w:p>
            <w:pPr>
              <w:pStyle w:val="42"/>
              <w:spacing w:line="240" w:lineRule="auto"/>
              <w:ind w:left="0" w:leftChars="0" w:firstLine="0" w:firstLineChars="0"/>
              <w:jc w:val="center"/>
              <w:rPr>
                <w:rFonts w:hint="eastAsia" w:eastAsia="宋体"/>
                <w:color w:val="auto"/>
                <w:kern w:val="2"/>
                <w:highlight w:val="none"/>
                <w:lang w:eastAsia="zh-CN"/>
              </w:rPr>
            </w:pPr>
            <w:r>
              <w:rPr>
                <w:rFonts w:hint="eastAsia"/>
                <w:color w:val="auto"/>
                <w:kern w:val="2"/>
                <w:highlight w:val="none"/>
                <w:lang w:eastAsia="zh-CN"/>
              </w:rPr>
              <w:t>经度</w:t>
            </w:r>
          </w:p>
        </w:tc>
        <w:tc>
          <w:tcPr>
            <w:tcW w:w="695" w:type="pct"/>
            <w:vAlign w:val="center"/>
          </w:tcPr>
          <w:p>
            <w:pPr>
              <w:pStyle w:val="42"/>
              <w:spacing w:line="240" w:lineRule="auto"/>
              <w:ind w:left="0" w:leftChars="0" w:firstLine="0" w:firstLineChars="0"/>
              <w:jc w:val="center"/>
              <w:rPr>
                <w:rFonts w:hint="eastAsia" w:eastAsia="宋体"/>
                <w:color w:val="auto"/>
                <w:kern w:val="2"/>
                <w:highlight w:val="none"/>
                <w:lang w:eastAsia="zh-CN"/>
              </w:rPr>
            </w:pPr>
            <w:r>
              <w:rPr>
                <w:rFonts w:hint="eastAsia"/>
                <w:color w:val="auto"/>
                <w:kern w:val="2"/>
                <w:highlight w:val="none"/>
                <w:lang w:eastAsia="zh-CN"/>
              </w:rPr>
              <w:t>纬度</w:t>
            </w:r>
          </w:p>
        </w:tc>
        <w:tc>
          <w:tcPr>
            <w:tcW w:w="643" w:type="pct"/>
            <w:vMerge w:val="continue"/>
            <w:vAlign w:val="center"/>
          </w:tcPr>
          <w:p>
            <w:pPr>
              <w:pStyle w:val="42"/>
              <w:spacing w:line="240" w:lineRule="auto"/>
              <w:ind w:left="0" w:leftChars="0" w:firstLine="0" w:firstLineChars="0"/>
              <w:jc w:val="center"/>
              <w:rPr>
                <w:rFonts w:hint="eastAsia"/>
                <w:color w:val="auto"/>
                <w:kern w:val="2"/>
                <w:highlight w:val="none"/>
              </w:rPr>
            </w:pPr>
          </w:p>
        </w:tc>
        <w:tc>
          <w:tcPr>
            <w:tcW w:w="828" w:type="pct"/>
            <w:vMerge w:val="continue"/>
            <w:vAlign w:val="center"/>
          </w:tcPr>
          <w:p>
            <w:pPr>
              <w:pStyle w:val="42"/>
              <w:spacing w:line="240" w:lineRule="auto"/>
              <w:ind w:left="0" w:leftChars="0" w:firstLine="0" w:firstLineChars="0"/>
              <w:jc w:val="center"/>
              <w:rPr>
                <w:rFonts w:hint="eastAsia"/>
                <w:color w:val="auto"/>
                <w:kern w:val="2"/>
                <w:highlight w:val="none"/>
              </w:rPr>
            </w:pPr>
          </w:p>
        </w:tc>
        <w:tc>
          <w:tcPr>
            <w:tcW w:w="757" w:type="pct"/>
            <w:vMerge w:val="continue"/>
            <w:vAlign w:val="center"/>
          </w:tcPr>
          <w:p>
            <w:pPr>
              <w:pStyle w:val="42"/>
              <w:spacing w:line="240" w:lineRule="auto"/>
              <w:ind w:left="0" w:leftChars="0" w:firstLine="0" w:firstLineChars="0"/>
              <w:jc w:val="center"/>
              <w:rPr>
                <w:rFonts w:hint="eastAsia"/>
                <w:color w:val="auto"/>
                <w:kern w:val="2"/>
                <w:highlight w:val="none"/>
              </w:rPr>
            </w:pPr>
          </w:p>
        </w:tc>
        <w:tc>
          <w:tcPr>
            <w:tcW w:w="449" w:type="pct"/>
            <w:vMerge w:val="continue"/>
            <w:vAlign w:val="center"/>
          </w:tcPr>
          <w:p>
            <w:pPr>
              <w:pStyle w:val="42"/>
              <w:spacing w:line="240" w:lineRule="auto"/>
              <w:ind w:left="0" w:leftChars="0" w:firstLine="0" w:firstLineChars="0"/>
              <w:jc w:val="center"/>
              <w:rPr>
                <w:rFonts w:hint="eastAsia"/>
                <w:color w:val="auto"/>
                <w:kern w:val="2"/>
                <w:highlight w:val="none"/>
              </w:rPr>
            </w:pPr>
          </w:p>
        </w:tc>
        <w:tc>
          <w:tcPr>
            <w:tcW w:w="539" w:type="pct"/>
            <w:vMerge w:val="continue"/>
            <w:vAlign w:val="center"/>
          </w:tcPr>
          <w:p>
            <w:pPr>
              <w:pStyle w:val="42"/>
              <w:spacing w:line="240" w:lineRule="auto"/>
              <w:ind w:left="0" w:leftChars="0" w:firstLine="0" w:firstLineChars="0"/>
              <w:jc w:val="center"/>
              <w:rPr>
                <w:rFonts w:hint="eastAsia"/>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restart"/>
            <w:vAlign w:val="center"/>
          </w:tcPr>
          <w:p>
            <w:pPr>
              <w:pStyle w:val="42"/>
              <w:spacing w:line="240" w:lineRule="auto"/>
              <w:ind w:left="0" w:leftChars="0" w:firstLine="0" w:firstLineChars="0"/>
              <w:jc w:val="center"/>
              <w:rPr>
                <w:color w:val="auto"/>
                <w:kern w:val="2"/>
                <w:highlight w:val="none"/>
              </w:rPr>
            </w:pPr>
            <w:r>
              <w:rPr>
                <w:color w:val="auto"/>
                <w:kern w:val="2"/>
                <w:highlight w:val="none"/>
              </w:rPr>
              <w:t>空气</w:t>
            </w:r>
          </w:p>
          <w:p>
            <w:pPr>
              <w:pStyle w:val="42"/>
              <w:spacing w:line="240" w:lineRule="auto"/>
              <w:ind w:left="0" w:leftChars="0" w:firstLine="0" w:firstLineChars="0"/>
              <w:jc w:val="center"/>
              <w:rPr>
                <w:color w:val="auto"/>
                <w:kern w:val="2"/>
                <w:highlight w:val="none"/>
              </w:rPr>
            </w:pPr>
            <w:r>
              <w:rPr>
                <w:color w:val="auto"/>
                <w:kern w:val="2"/>
                <w:highlight w:val="none"/>
              </w:rPr>
              <w:t>环境</w:t>
            </w:r>
          </w:p>
        </w:tc>
        <w:tc>
          <w:tcPr>
            <w:tcW w:w="708"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114.66199</w:t>
            </w:r>
          </w:p>
        </w:tc>
        <w:tc>
          <w:tcPr>
            <w:tcW w:w="695" w:type="pct"/>
            <w:vAlign w:val="center"/>
          </w:tcPr>
          <w:p>
            <w:pPr>
              <w:pStyle w:val="42"/>
              <w:spacing w:line="240" w:lineRule="auto"/>
              <w:ind w:left="0" w:leftChars="0" w:firstLine="0" w:firstLineChars="0"/>
              <w:jc w:val="center"/>
              <w:rPr>
                <w:rFonts w:hint="eastAsia" w:eastAsia="宋体"/>
                <w:color w:val="auto"/>
                <w:highlight w:val="none"/>
                <w:lang w:eastAsia="zh-CN"/>
              </w:rPr>
            </w:pPr>
            <w:r>
              <w:rPr>
                <w:rFonts w:hint="eastAsia"/>
                <w:color w:val="auto"/>
                <w:highlight w:val="none"/>
              </w:rPr>
              <w:t>33.0900</w:t>
            </w:r>
            <w:r>
              <w:rPr>
                <w:rFonts w:hint="eastAsia"/>
                <w:color w:val="auto"/>
                <w:highlight w:val="none"/>
                <w:lang w:val="en-US" w:eastAsia="zh-CN"/>
              </w:rPr>
              <w:t>1</w:t>
            </w:r>
          </w:p>
        </w:tc>
        <w:tc>
          <w:tcPr>
            <w:tcW w:w="643" w:type="pct"/>
            <w:vAlign w:val="center"/>
          </w:tcPr>
          <w:p>
            <w:pPr>
              <w:pStyle w:val="42"/>
              <w:spacing w:line="240" w:lineRule="auto"/>
              <w:ind w:left="0" w:leftChars="0" w:firstLine="0" w:firstLineChars="0"/>
              <w:jc w:val="center"/>
              <w:rPr>
                <w:rFonts w:hint="eastAsia"/>
                <w:color w:val="auto"/>
                <w:kern w:val="2"/>
                <w:highlight w:val="none"/>
                <w:lang w:eastAsia="zh-CN"/>
              </w:rPr>
            </w:pPr>
            <w:r>
              <w:rPr>
                <w:rFonts w:hint="eastAsia"/>
                <w:color w:val="auto"/>
                <w:kern w:val="2"/>
                <w:highlight w:val="none"/>
                <w:lang w:eastAsia="zh-CN"/>
              </w:rPr>
              <w:t>吴自岐庄</w:t>
            </w:r>
          </w:p>
        </w:tc>
        <w:tc>
          <w:tcPr>
            <w:tcW w:w="828" w:type="pct"/>
            <w:vAlign w:val="center"/>
          </w:tcPr>
          <w:p>
            <w:pPr>
              <w:pStyle w:val="42"/>
              <w:spacing w:line="240" w:lineRule="auto"/>
              <w:ind w:left="0" w:leftChars="0" w:firstLine="0" w:firstLineChars="0"/>
              <w:jc w:val="center"/>
              <w:rPr>
                <w:color w:val="auto"/>
                <w:kern w:val="2"/>
                <w:highlight w:val="none"/>
              </w:rPr>
            </w:pPr>
            <w:r>
              <w:rPr>
                <w:rFonts w:hint="eastAsia"/>
                <w:color w:val="auto"/>
                <w:kern w:val="2"/>
                <w:highlight w:val="none"/>
                <w:lang w:eastAsia="zh-CN"/>
              </w:rPr>
              <w:t>居民，</w:t>
            </w:r>
            <w:r>
              <w:rPr>
                <w:rFonts w:hint="eastAsia"/>
                <w:color w:val="auto"/>
                <w:kern w:val="2"/>
                <w:highlight w:val="none"/>
                <w:lang w:val="en-US" w:eastAsia="zh-CN"/>
              </w:rPr>
              <w:t>146户，</w:t>
            </w:r>
            <w:r>
              <w:rPr>
                <w:rFonts w:hint="eastAsia"/>
                <w:color w:val="auto"/>
                <w:kern w:val="2"/>
                <w:highlight w:val="none"/>
              </w:rPr>
              <w:t>约</w:t>
            </w:r>
            <w:r>
              <w:rPr>
                <w:rFonts w:hint="eastAsia"/>
                <w:color w:val="auto"/>
                <w:kern w:val="2"/>
                <w:highlight w:val="none"/>
                <w:lang w:val="en-US" w:eastAsia="zh-CN"/>
              </w:rPr>
              <w:t>735</w:t>
            </w:r>
            <w:r>
              <w:rPr>
                <w:rFonts w:hint="eastAsia"/>
                <w:color w:val="auto"/>
                <w:kern w:val="2"/>
                <w:highlight w:val="none"/>
              </w:rPr>
              <w:t>人</w:t>
            </w:r>
          </w:p>
        </w:tc>
        <w:tc>
          <w:tcPr>
            <w:tcW w:w="757" w:type="pct"/>
            <w:vMerge w:val="restart"/>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《环境空气质量标准》（GB3095-2012）</w:t>
            </w:r>
          </w:p>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二类功能区</w:t>
            </w:r>
          </w:p>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p>
            <w:pPr>
              <w:pStyle w:val="42"/>
              <w:spacing w:line="240" w:lineRule="auto"/>
              <w:ind w:left="0" w:leftChars="0" w:firstLine="0" w:firstLineChars="0"/>
              <w:jc w:val="center"/>
              <w:rPr>
                <w:rFonts w:hint="eastAsia"/>
                <w:color w:val="auto"/>
                <w:kern w:val="2"/>
                <w:highlight w:val="none"/>
              </w:rPr>
            </w:pPr>
          </w:p>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p>
            <w:pPr>
              <w:pStyle w:val="42"/>
              <w:spacing w:line="240" w:lineRule="auto"/>
              <w:ind w:left="0" w:leftChars="0" w:firstLine="0" w:firstLineChars="0"/>
              <w:jc w:val="center"/>
              <w:rPr>
                <w:color w:val="auto"/>
                <w:kern w:val="2"/>
                <w:highlight w:val="none"/>
              </w:rPr>
            </w:pPr>
          </w:p>
        </w:tc>
        <w:tc>
          <w:tcPr>
            <w:tcW w:w="449" w:type="pct"/>
            <w:vAlign w:val="center"/>
          </w:tcPr>
          <w:p>
            <w:pPr>
              <w:pStyle w:val="42"/>
              <w:spacing w:line="240" w:lineRule="auto"/>
              <w:ind w:left="0" w:leftChars="0" w:firstLine="0" w:firstLineChars="0"/>
              <w:jc w:val="center"/>
              <w:rPr>
                <w:rFonts w:hint="default" w:eastAsia="宋体"/>
                <w:color w:val="auto"/>
                <w:kern w:val="2"/>
                <w:highlight w:val="none"/>
                <w:lang w:val="en-US" w:eastAsia="zh-CN"/>
              </w:rPr>
            </w:pPr>
            <w:r>
              <w:rPr>
                <w:rFonts w:hint="eastAsia"/>
                <w:color w:val="auto"/>
                <w:kern w:val="2"/>
                <w:highlight w:val="none"/>
                <w:lang w:val="en-US" w:eastAsia="zh-CN"/>
              </w:rPr>
              <w:t>NE</w:t>
            </w:r>
          </w:p>
        </w:tc>
        <w:tc>
          <w:tcPr>
            <w:tcW w:w="539" w:type="pct"/>
            <w:vAlign w:val="center"/>
          </w:tcPr>
          <w:p>
            <w:pPr>
              <w:pStyle w:val="42"/>
              <w:spacing w:line="240" w:lineRule="auto"/>
              <w:ind w:left="0" w:leftChars="0" w:firstLine="0" w:firstLineChars="0"/>
              <w:jc w:val="center"/>
              <w:rPr>
                <w:color w:val="auto"/>
                <w:kern w:val="2"/>
                <w:highlight w:val="none"/>
              </w:rPr>
            </w:pPr>
            <w:r>
              <w:rPr>
                <w:rFonts w:hint="eastAsia"/>
                <w:color w:val="auto"/>
                <w:kern w:val="2"/>
                <w:highlight w:val="none"/>
                <w:lang w:val="en-US" w:eastAsia="zh-CN"/>
              </w:rPr>
              <w:t>420</w:t>
            </w:r>
            <w:r>
              <w:rPr>
                <w:rFonts w:hint="eastAsia"/>
                <w:color w:val="auto"/>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114.66626</w:t>
            </w:r>
          </w:p>
        </w:tc>
        <w:tc>
          <w:tcPr>
            <w:tcW w:w="695"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33.08294</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eastAsia="zh-CN"/>
              </w:rPr>
              <w:t>小吴庄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eastAsia="zh-CN"/>
              </w:rPr>
              <w:t>居民，</w:t>
            </w:r>
            <w:r>
              <w:rPr>
                <w:rFonts w:hint="eastAsia"/>
                <w:color w:val="auto"/>
                <w:kern w:val="2"/>
                <w:highlight w:val="none"/>
                <w:lang w:val="en-US" w:eastAsia="zh-CN"/>
              </w:rPr>
              <w:t>118户，</w:t>
            </w:r>
            <w:r>
              <w:rPr>
                <w:rFonts w:hint="eastAsia"/>
                <w:color w:val="auto"/>
                <w:kern w:val="2"/>
                <w:highlight w:val="none"/>
              </w:rPr>
              <w:t>约</w:t>
            </w:r>
            <w:r>
              <w:rPr>
                <w:rFonts w:hint="eastAsia"/>
                <w:color w:val="auto"/>
                <w:kern w:val="2"/>
                <w:highlight w:val="none"/>
                <w:lang w:val="en-US" w:eastAsia="zh-CN"/>
              </w:rPr>
              <w:t>576</w:t>
            </w:r>
            <w:r>
              <w:rPr>
                <w:rFonts w:hint="eastAsia"/>
                <w:color w:val="auto"/>
                <w:kern w:val="2"/>
                <w:highlight w:val="none"/>
              </w:rPr>
              <w:t>人</w:t>
            </w:r>
          </w:p>
        </w:tc>
        <w:tc>
          <w:tcPr>
            <w:tcW w:w="757"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E</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670m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114.67055</w:t>
            </w:r>
          </w:p>
        </w:tc>
        <w:tc>
          <w:tcPr>
            <w:tcW w:w="695"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33.08371</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eastAsia="zh-CN"/>
              </w:rPr>
              <w:t>大吴庄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eastAsia="zh-CN"/>
              </w:rPr>
              <w:t>居民，</w:t>
            </w:r>
            <w:r>
              <w:rPr>
                <w:rFonts w:hint="eastAsia"/>
                <w:color w:val="auto"/>
                <w:kern w:val="2"/>
                <w:highlight w:val="none"/>
                <w:lang w:val="en-US" w:eastAsia="zh-CN"/>
              </w:rPr>
              <w:t>160户，</w:t>
            </w:r>
            <w:r>
              <w:rPr>
                <w:rFonts w:hint="eastAsia"/>
                <w:color w:val="auto"/>
                <w:kern w:val="2"/>
                <w:highlight w:val="none"/>
              </w:rPr>
              <w:t>约</w:t>
            </w:r>
            <w:r>
              <w:rPr>
                <w:rFonts w:hint="eastAsia"/>
                <w:color w:val="auto"/>
                <w:kern w:val="2"/>
                <w:highlight w:val="none"/>
                <w:lang w:val="en-US" w:eastAsia="zh-CN"/>
              </w:rPr>
              <w:t>640</w:t>
            </w:r>
            <w:r>
              <w:rPr>
                <w:rFonts w:hint="eastAsia"/>
                <w:color w:val="auto"/>
                <w:kern w:val="2"/>
                <w:highlight w:val="none"/>
              </w:rPr>
              <w:t>人</w:t>
            </w:r>
          </w:p>
        </w:tc>
        <w:tc>
          <w:tcPr>
            <w:tcW w:w="757"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E</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1063m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114.67023</w:t>
            </w:r>
          </w:p>
        </w:tc>
        <w:tc>
          <w:tcPr>
            <w:tcW w:w="695"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33.08716</w:t>
            </w:r>
          </w:p>
        </w:tc>
        <w:tc>
          <w:tcPr>
            <w:tcW w:w="643" w:type="pct"/>
            <w:vAlign w:val="center"/>
          </w:tcPr>
          <w:p>
            <w:pPr>
              <w:pStyle w:val="42"/>
              <w:spacing w:line="240" w:lineRule="auto"/>
              <w:ind w:left="0" w:leftChars="0" w:firstLine="0" w:firstLineChars="0"/>
              <w:jc w:val="center"/>
              <w:rPr>
                <w:rFonts w:hint="eastAsia"/>
                <w:color w:val="auto"/>
                <w:kern w:val="2"/>
                <w:highlight w:val="none"/>
                <w:lang w:eastAsia="zh-CN"/>
              </w:rPr>
            </w:pPr>
            <w:r>
              <w:rPr>
                <w:rFonts w:hint="eastAsia"/>
                <w:color w:val="auto"/>
                <w:kern w:val="2"/>
                <w:highlight w:val="none"/>
                <w:lang w:eastAsia="zh-CN"/>
              </w:rPr>
              <w:t>赵庄</w:t>
            </w:r>
          </w:p>
        </w:tc>
        <w:tc>
          <w:tcPr>
            <w:tcW w:w="828" w:type="pct"/>
            <w:vAlign w:val="center"/>
          </w:tcPr>
          <w:p>
            <w:pPr>
              <w:pStyle w:val="42"/>
              <w:spacing w:line="240" w:lineRule="auto"/>
              <w:ind w:left="0" w:leftChars="0" w:firstLine="0" w:firstLineChars="0"/>
              <w:jc w:val="center"/>
              <w:rPr>
                <w:rFonts w:hint="eastAsia"/>
                <w:color w:val="auto"/>
                <w:kern w:val="2"/>
                <w:highlight w:val="none"/>
                <w:lang w:eastAsia="zh-CN"/>
              </w:rPr>
            </w:pPr>
            <w:r>
              <w:rPr>
                <w:rFonts w:hint="eastAsia"/>
                <w:color w:val="auto"/>
                <w:kern w:val="2"/>
                <w:highlight w:val="none"/>
                <w:lang w:eastAsia="zh-CN"/>
              </w:rPr>
              <w:t>居民，</w:t>
            </w:r>
            <w:r>
              <w:rPr>
                <w:rFonts w:hint="eastAsia"/>
                <w:color w:val="auto"/>
                <w:kern w:val="2"/>
                <w:highlight w:val="none"/>
                <w:lang w:val="en-US" w:eastAsia="zh-CN"/>
              </w:rPr>
              <w:t>63户，</w:t>
            </w:r>
            <w:r>
              <w:rPr>
                <w:rFonts w:hint="eastAsia"/>
                <w:color w:val="auto"/>
                <w:kern w:val="2"/>
                <w:highlight w:val="none"/>
              </w:rPr>
              <w:t>约</w:t>
            </w:r>
            <w:r>
              <w:rPr>
                <w:rFonts w:hint="eastAsia"/>
                <w:color w:val="auto"/>
                <w:kern w:val="2"/>
                <w:highlight w:val="none"/>
                <w:lang w:val="en-US" w:eastAsia="zh-CN"/>
              </w:rPr>
              <w:t>312</w:t>
            </w:r>
            <w:r>
              <w:rPr>
                <w:rFonts w:hint="eastAsia"/>
                <w:color w:val="auto"/>
                <w:kern w:val="2"/>
                <w:highlight w:val="none"/>
              </w:rPr>
              <w:t>人</w:t>
            </w:r>
          </w:p>
        </w:tc>
        <w:tc>
          <w:tcPr>
            <w:tcW w:w="757" w:type="pct"/>
            <w:vMerge w:val="continue"/>
            <w:vAlign w:val="center"/>
          </w:tcPr>
          <w:p>
            <w:pPr>
              <w:pStyle w:val="42"/>
              <w:spacing w:line="240" w:lineRule="auto"/>
              <w:ind w:left="0" w:leftChars="0" w:firstLine="0" w:firstLineChars="0"/>
              <w:jc w:val="center"/>
              <w:rPr>
                <w:rFonts w:hint="eastAsia"/>
                <w:color w:val="auto"/>
                <w:kern w:val="2"/>
                <w:highlight w:val="none"/>
              </w:rPr>
            </w:pPr>
          </w:p>
        </w:tc>
        <w:tc>
          <w:tcPr>
            <w:tcW w:w="449" w:type="pct"/>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lang w:val="en-US" w:eastAsia="zh-CN"/>
              </w:rPr>
              <w:t>NE</w:t>
            </w:r>
          </w:p>
        </w:tc>
        <w:tc>
          <w:tcPr>
            <w:tcW w:w="539" w:type="pct"/>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lang w:val="en-US" w:eastAsia="zh-CN"/>
              </w:rPr>
              <w:t>1020m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114.67192</w:t>
            </w:r>
          </w:p>
        </w:tc>
        <w:tc>
          <w:tcPr>
            <w:tcW w:w="695"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33.09377</w:t>
            </w:r>
          </w:p>
        </w:tc>
        <w:tc>
          <w:tcPr>
            <w:tcW w:w="643" w:type="pct"/>
            <w:vAlign w:val="center"/>
          </w:tcPr>
          <w:p>
            <w:pPr>
              <w:pStyle w:val="42"/>
              <w:spacing w:line="240" w:lineRule="auto"/>
              <w:ind w:left="0" w:leftChars="0" w:firstLine="0" w:firstLineChars="0"/>
              <w:jc w:val="center"/>
              <w:rPr>
                <w:rFonts w:hint="eastAsia"/>
                <w:color w:val="auto"/>
                <w:kern w:val="2"/>
                <w:highlight w:val="none"/>
                <w:lang w:eastAsia="zh-CN"/>
              </w:rPr>
            </w:pPr>
            <w:r>
              <w:rPr>
                <w:rFonts w:hint="eastAsia"/>
                <w:color w:val="auto"/>
                <w:kern w:val="2"/>
                <w:highlight w:val="none"/>
                <w:lang w:eastAsia="zh-CN"/>
              </w:rPr>
              <w:t>老吴庄</w:t>
            </w:r>
          </w:p>
        </w:tc>
        <w:tc>
          <w:tcPr>
            <w:tcW w:w="828" w:type="pct"/>
            <w:vAlign w:val="center"/>
          </w:tcPr>
          <w:p>
            <w:pPr>
              <w:pStyle w:val="42"/>
              <w:spacing w:line="240" w:lineRule="auto"/>
              <w:ind w:left="0" w:leftChars="0" w:firstLine="0" w:firstLineChars="0"/>
              <w:jc w:val="center"/>
              <w:rPr>
                <w:rFonts w:hint="eastAsia"/>
                <w:color w:val="auto"/>
                <w:kern w:val="2"/>
                <w:highlight w:val="none"/>
                <w:lang w:eastAsia="zh-CN"/>
              </w:rPr>
            </w:pPr>
            <w:r>
              <w:rPr>
                <w:rFonts w:hint="eastAsia"/>
                <w:color w:val="auto"/>
                <w:kern w:val="2"/>
                <w:highlight w:val="none"/>
                <w:lang w:eastAsia="zh-CN"/>
              </w:rPr>
              <w:t>居民，</w:t>
            </w:r>
            <w:r>
              <w:rPr>
                <w:rFonts w:hint="eastAsia"/>
                <w:color w:val="auto"/>
                <w:kern w:val="2"/>
                <w:highlight w:val="none"/>
                <w:lang w:val="en-US" w:eastAsia="zh-CN"/>
              </w:rPr>
              <w:t>77户，</w:t>
            </w:r>
            <w:r>
              <w:rPr>
                <w:rFonts w:hint="eastAsia"/>
                <w:color w:val="auto"/>
                <w:kern w:val="2"/>
                <w:highlight w:val="none"/>
              </w:rPr>
              <w:t>约</w:t>
            </w:r>
            <w:r>
              <w:rPr>
                <w:rFonts w:hint="eastAsia"/>
                <w:color w:val="auto"/>
                <w:kern w:val="2"/>
                <w:highlight w:val="none"/>
                <w:lang w:val="en-US" w:eastAsia="zh-CN"/>
              </w:rPr>
              <w:t>385</w:t>
            </w:r>
            <w:r>
              <w:rPr>
                <w:rFonts w:hint="eastAsia"/>
                <w:color w:val="auto"/>
                <w:kern w:val="2"/>
                <w:highlight w:val="none"/>
              </w:rPr>
              <w:t>人</w:t>
            </w:r>
          </w:p>
        </w:tc>
        <w:tc>
          <w:tcPr>
            <w:tcW w:w="757" w:type="pct"/>
            <w:vMerge w:val="continue"/>
            <w:vAlign w:val="center"/>
          </w:tcPr>
          <w:p>
            <w:pPr>
              <w:pStyle w:val="42"/>
              <w:spacing w:line="240" w:lineRule="auto"/>
              <w:ind w:left="0" w:leftChars="0" w:firstLine="0" w:firstLineChars="0"/>
              <w:jc w:val="center"/>
              <w:rPr>
                <w:rFonts w:hint="eastAsia"/>
                <w:color w:val="auto"/>
                <w:kern w:val="2"/>
                <w:highlight w:val="none"/>
              </w:rPr>
            </w:pPr>
          </w:p>
        </w:tc>
        <w:tc>
          <w:tcPr>
            <w:tcW w:w="449" w:type="pct"/>
            <w:vAlign w:val="center"/>
          </w:tcPr>
          <w:p>
            <w:pPr>
              <w:pStyle w:val="42"/>
              <w:spacing w:line="240" w:lineRule="auto"/>
              <w:ind w:left="0" w:leftChars="0" w:firstLine="0" w:firstLineChars="0"/>
              <w:jc w:val="center"/>
              <w:rPr>
                <w:rFonts w:hint="default"/>
                <w:color w:val="auto"/>
                <w:kern w:val="2"/>
                <w:highlight w:val="none"/>
                <w:lang w:val="en-US"/>
              </w:rPr>
            </w:pPr>
            <w:r>
              <w:rPr>
                <w:rFonts w:hint="eastAsia"/>
                <w:color w:val="auto"/>
                <w:kern w:val="2"/>
                <w:highlight w:val="none"/>
                <w:lang w:val="en-US" w:eastAsia="zh-CN"/>
              </w:rPr>
              <w:t>NE</w:t>
            </w:r>
          </w:p>
        </w:tc>
        <w:tc>
          <w:tcPr>
            <w:tcW w:w="539" w:type="pct"/>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lang w:val="en-US" w:eastAsia="zh-CN"/>
              </w:rPr>
              <w:t>1454m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114.66905</w:t>
            </w:r>
          </w:p>
        </w:tc>
        <w:tc>
          <w:tcPr>
            <w:tcW w:w="695"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33.09643</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钱庄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eastAsia="zh-CN"/>
              </w:rPr>
              <w:t>居民，</w:t>
            </w:r>
            <w:r>
              <w:rPr>
                <w:rFonts w:hint="eastAsia"/>
                <w:color w:val="auto"/>
                <w:kern w:val="2"/>
                <w:highlight w:val="none"/>
                <w:lang w:val="en-US" w:eastAsia="zh-CN"/>
              </w:rPr>
              <w:t>55户，</w:t>
            </w:r>
            <w:r>
              <w:rPr>
                <w:rFonts w:hint="eastAsia"/>
                <w:color w:val="auto"/>
                <w:kern w:val="2"/>
                <w:highlight w:val="none"/>
              </w:rPr>
              <w:t>约</w:t>
            </w:r>
            <w:r>
              <w:rPr>
                <w:rFonts w:hint="eastAsia"/>
                <w:color w:val="auto"/>
                <w:kern w:val="2"/>
                <w:highlight w:val="none"/>
                <w:lang w:val="en-US" w:eastAsia="zh-CN"/>
              </w:rPr>
              <w:t>280</w:t>
            </w:r>
            <w:r>
              <w:rPr>
                <w:rFonts w:hint="eastAsia"/>
                <w:color w:val="auto"/>
                <w:kern w:val="2"/>
                <w:highlight w:val="none"/>
              </w:rPr>
              <w:t>人</w:t>
            </w:r>
          </w:p>
        </w:tc>
        <w:tc>
          <w:tcPr>
            <w:tcW w:w="757" w:type="pct"/>
            <w:vMerge w:val="continue"/>
            <w:vAlign w:val="center"/>
          </w:tcPr>
          <w:p>
            <w:pPr>
              <w:pStyle w:val="42"/>
              <w:spacing w:line="240" w:lineRule="auto"/>
              <w:ind w:left="0" w:leftChars="0" w:firstLine="0" w:firstLineChars="0"/>
              <w:jc w:val="center"/>
              <w:rPr>
                <w:rFonts w:hint="eastAsia"/>
                <w:color w:val="auto"/>
                <w:kern w:val="2"/>
                <w:highlight w:val="none"/>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NE</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1470m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114.64935</w:t>
            </w:r>
          </w:p>
        </w:tc>
        <w:tc>
          <w:tcPr>
            <w:tcW w:w="695"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33.08025</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下王湾</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eastAsia="zh-CN"/>
              </w:rPr>
              <w:t>居民，</w:t>
            </w:r>
            <w:r>
              <w:rPr>
                <w:rFonts w:hint="eastAsia"/>
                <w:color w:val="auto"/>
                <w:kern w:val="2"/>
                <w:highlight w:val="none"/>
                <w:lang w:val="en-US" w:eastAsia="zh-CN"/>
              </w:rPr>
              <w:t>118户，</w:t>
            </w:r>
            <w:r>
              <w:rPr>
                <w:rFonts w:hint="eastAsia"/>
                <w:color w:val="auto"/>
                <w:kern w:val="2"/>
                <w:highlight w:val="none"/>
              </w:rPr>
              <w:t>约</w:t>
            </w:r>
            <w:r>
              <w:rPr>
                <w:rFonts w:hint="eastAsia"/>
                <w:color w:val="auto"/>
                <w:kern w:val="2"/>
                <w:highlight w:val="none"/>
                <w:lang w:val="en-US" w:eastAsia="zh-CN"/>
              </w:rPr>
              <w:t>596</w:t>
            </w:r>
            <w:r>
              <w:rPr>
                <w:rFonts w:hint="eastAsia"/>
                <w:color w:val="auto"/>
                <w:kern w:val="2"/>
                <w:highlight w:val="none"/>
              </w:rPr>
              <w:t>人</w:t>
            </w:r>
          </w:p>
        </w:tc>
        <w:tc>
          <w:tcPr>
            <w:tcW w:w="757"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rPr>
              <w:t>S</w:t>
            </w:r>
            <w:r>
              <w:rPr>
                <w:rFonts w:hint="eastAsia"/>
                <w:color w:val="auto"/>
                <w:kern w:val="2"/>
                <w:highlight w:val="none"/>
                <w:lang w:val="en-US" w:eastAsia="zh-CN"/>
              </w:rPr>
              <w:t>W</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582m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114.66001</w:t>
            </w:r>
          </w:p>
        </w:tc>
        <w:tc>
          <w:tcPr>
            <w:tcW w:w="695"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33.09984</w:t>
            </w:r>
          </w:p>
        </w:tc>
        <w:tc>
          <w:tcPr>
            <w:tcW w:w="643" w:type="pct"/>
            <w:vAlign w:val="center"/>
          </w:tcPr>
          <w:p>
            <w:pPr>
              <w:pStyle w:val="42"/>
              <w:spacing w:line="240" w:lineRule="auto"/>
              <w:ind w:left="0" w:leftChars="0" w:firstLine="0" w:firstLineChars="0"/>
              <w:jc w:val="center"/>
              <w:rPr>
                <w:rFonts w:hint="eastAsia"/>
                <w:color w:val="auto"/>
                <w:kern w:val="2"/>
                <w:highlight w:val="none"/>
                <w:lang w:eastAsia="zh-CN"/>
              </w:rPr>
            </w:pPr>
            <w:r>
              <w:rPr>
                <w:rFonts w:hint="eastAsia"/>
                <w:color w:val="auto"/>
                <w:kern w:val="2"/>
                <w:highlight w:val="none"/>
                <w:lang w:eastAsia="zh-CN"/>
              </w:rPr>
              <w:t>王苏庄</w:t>
            </w:r>
          </w:p>
        </w:tc>
        <w:tc>
          <w:tcPr>
            <w:tcW w:w="828" w:type="pct"/>
            <w:vAlign w:val="center"/>
          </w:tcPr>
          <w:p>
            <w:pPr>
              <w:pStyle w:val="42"/>
              <w:spacing w:line="240" w:lineRule="auto"/>
              <w:ind w:left="0" w:leftChars="0" w:firstLine="0" w:firstLineChars="0"/>
              <w:jc w:val="center"/>
              <w:rPr>
                <w:color w:val="auto"/>
                <w:kern w:val="2"/>
                <w:highlight w:val="none"/>
              </w:rPr>
            </w:pPr>
            <w:r>
              <w:rPr>
                <w:rFonts w:hint="eastAsia"/>
                <w:color w:val="auto"/>
                <w:kern w:val="2"/>
                <w:highlight w:val="none"/>
                <w:lang w:eastAsia="zh-CN"/>
              </w:rPr>
              <w:t>居民，</w:t>
            </w:r>
            <w:r>
              <w:rPr>
                <w:rFonts w:hint="eastAsia"/>
                <w:color w:val="auto"/>
                <w:kern w:val="2"/>
                <w:highlight w:val="none"/>
                <w:lang w:val="en-US" w:eastAsia="zh-CN"/>
              </w:rPr>
              <w:t>138户，</w:t>
            </w:r>
            <w:r>
              <w:rPr>
                <w:rFonts w:hint="eastAsia"/>
                <w:color w:val="auto"/>
                <w:kern w:val="2"/>
                <w:highlight w:val="none"/>
              </w:rPr>
              <w:t>约</w:t>
            </w:r>
            <w:r>
              <w:rPr>
                <w:rFonts w:hint="eastAsia"/>
                <w:color w:val="auto"/>
                <w:kern w:val="2"/>
                <w:highlight w:val="none"/>
                <w:lang w:val="en-US" w:eastAsia="zh-CN"/>
              </w:rPr>
              <w:t>695</w:t>
            </w:r>
            <w:r>
              <w:rPr>
                <w:rFonts w:hint="eastAsia"/>
                <w:color w:val="auto"/>
                <w:kern w:val="2"/>
                <w:highlight w:val="none"/>
              </w:rPr>
              <w:t>人</w:t>
            </w:r>
          </w:p>
        </w:tc>
        <w:tc>
          <w:tcPr>
            <w:tcW w:w="757" w:type="pct"/>
            <w:vMerge w:val="continue"/>
            <w:vAlign w:val="center"/>
          </w:tcPr>
          <w:p>
            <w:pPr>
              <w:pStyle w:val="42"/>
              <w:spacing w:line="240" w:lineRule="auto"/>
              <w:ind w:left="0" w:leftChars="0" w:firstLine="0" w:firstLineChars="0"/>
              <w:jc w:val="center"/>
              <w:rPr>
                <w:color w:val="auto"/>
                <w:kern w:val="2"/>
                <w:highlight w:val="none"/>
              </w:rPr>
            </w:pPr>
          </w:p>
        </w:tc>
        <w:tc>
          <w:tcPr>
            <w:tcW w:w="449" w:type="pct"/>
            <w:vAlign w:val="center"/>
          </w:tcPr>
          <w:p>
            <w:pPr>
              <w:pStyle w:val="42"/>
              <w:spacing w:line="240" w:lineRule="auto"/>
              <w:ind w:left="0" w:leftChars="0" w:firstLine="0" w:firstLineChars="0"/>
              <w:jc w:val="center"/>
              <w:rPr>
                <w:rFonts w:hint="default"/>
                <w:color w:val="auto"/>
                <w:kern w:val="2"/>
                <w:highlight w:val="none"/>
                <w:lang w:val="en-US" w:eastAsia="zh-CN"/>
              </w:rPr>
            </w:pPr>
            <w:r>
              <w:rPr>
                <w:rFonts w:hint="eastAsia"/>
                <w:color w:val="auto"/>
                <w:kern w:val="2"/>
                <w:highlight w:val="none"/>
                <w:lang w:val="en-US" w:eastAsia="zh-CN"/>
              </w:rPr>
              <w:t>N</w:t>
            </w:r>
          </w:p>
        </w:tc>
        <w:tc>
          <w:tcPr>
            <w:tcW w:w="539" w:type="pct"/>
            <w:vAlign w:val="center"/>
          </w:tcPr>
          <w:p>
            <w:pPr>
              <w:pStyle w:val="42"/>
              <w:spacing w:line="240" w:lineRule="auto"/>
              <w:ind w:left="0" w:leftChars="0" w:firstLine="0" w:firstLineChars="0"/>
              <w:jc w:val="center"/>
              <w:rPr>
                <w:color w:val="auto"/>
                <w:kern w:val="2"/>
                <w:highlight w:val="none"/>
              </w:rPr>
            </w:pPr>
            <w:r>
              <w:rPr>
                <w:rFonts w:hint="eastAsia"/>
                <w:color w:val="auto"/>
                <w:kern w:val="2"/>
                <w:highlight w:val="none"/>
                <w:lang w:val="en-US" w:eastAsia="zh-CN"/>
              </w:rPr>
              <w:t>1505</w:t>
            </w:r>
            <w:r>
              <w:rPr>
                <w:rFonts w:hint="eastAsia"/>
                <w:color w:val="auto"/>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114.64394</w:t>
            </w:r>
          </w:p>
        </w:tc>
        <w:tc>
          <w:tcPr>
            <w:tcW w:w="695"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33.09261</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小杨庄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eastAsia="zh-CN"/>
              </w:rPr>
              <w:t>居民，</w:t>
            </w:r>
            <w:r>
              <w:rPr>
                <w:rFonts w:hint="eastAsia"/>
                <w:color w:val="auto"/>
                <w:kern w:val="2"/>
                <w:highlight w:val="none"/>
                <w:lang w:val="en-US" w:eastAsia="zh-CN"/>
              </w:rPr>
              <w:t>24户，</w:t>
            </w:r>
            <w:r>
              <w:rPr>
                <w:rFonts w:hint="eastAsia"/>
                <w:color w:val="auto"/>
                <w:kern w:val="2"/>
                <w:highlight w:val="none"/>
              </w:rPr>
              <w:t>约1</w:t>
            </w:r>
            <w:r>
              <w:rPr>
                <w:rFonts w:hint="eastAsia"/>
                <w:color w:val="auto"/>
                <w:kern w:val="2"/>
                <w:highlight w:val="none"/>
                <w:lang w:val="en-US" w:eastAsia="zh-CN"/>
              </w:rPr>
              <w:t>18</w:t>
            </w:r>
            <w:r>
              <w:rPr>
                <w:rFonts w:hint="eastAsia"/>
                <w:color w:val="auto"/>
                <w:kern w:val="2"/>
                <w:highlight w:val="none"/>
              </w:rPr>
              <w:t>人</w:t>
            </w:r>
          </w:p>
        </w:tc>
        <w:tc>
          <w:tcPr>
            <w:tcW w:w="757" w:type="pct"/>
            <w:vMerge w:val="continue"/>
            <w:vAlign w:val="center"/>
          </w:tcPr>
          <w:p>
            <w:pPr>
              <w:pStyle w:val="42"/>
              <w:spacing w:line="240" w:lineRule="auto"/>
              <w:ind w:left="0" w:leftChars="0" w:firstLine="0" w:firstLineChars="0"/>
              <w:jc w:val="center"/>
              <w:rPr>
                <w:color w:val="auto"/>
                <w:kern w:val="2"/>
                <w:highlight w:val="none"/>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NW</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1187</w:t>
            </w:r>
            <w:r>
              <w:rPr>
                <w:rFonts w:hint="eastAsia"/>
                <w:color w:val="auto"/>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114.64840</w:t>
            </w:r>
          </w:p>
        </w:tc>
        <w:tc>
          <w:tcPr>
            <w:tcW w:w="695"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33.09993</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大杨庄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eastAsia="zh-CN"/>
              </w:rPr>
              <w:t>居民，</w:t>
            </w:r>
            <w:r>
              <w:rPr>
                <w:rFonts w:hint="eastAsia"/>
                <w:color w:val="auto"/>
                <w:kern w:val="2"/>
                <w:highlight w:val="none"/>
                <w:lang w:val="en-US" w:eastAsia="zh-CN"/>
              </w:rPr>
              <w:t>452户，</w:t>
            </w:r>
            <w:r>
              <w:rPr>
                <w:rFonts w:hint="eastAsia"/>
                <w:color w:val="auto"/>
                <w:kern w:val="2"/>
                <w:highlight w:val="none"/>
              </w:rPr>
              <w:t>约</w:t>
            </w:r>
            <w:r>
              <w:rPr>
                <w:rFonts w:hint="eastAsia"/>
                <w:color w:val="auto"/>
                <w:kern w:val="2"/>
                <w:highlight w:val="none"/>
                <w:lang w:val="en-US" w:eastAsia="zh-CN"/>
              </w:rPr>
              <w:t>2308</w:t>
            </w:r>
            <w:r>
              <w:rPr>
                <w:rFonts w:hint="eastAsia"/>
                <w:color w:val="auto"/>
                <w:kern w:val="2"/>
                <w:highlight w:val="none"/>
              </w:rPr>
              <w:t>人</w:t>
            </w:r>
          </w:p>
        </w:tc>
        <w:tc>
          <w:tcPr>
            <w:tcW w:w="757" w:type="pct"/>
            <w:vMerge w:val="continue"/>
            <w:vAlign w:val="center"/>
          </w:tcPr>
          <w:p>
            <w:pPr>
              <w:pStyle w:val="42"/>
              <w:spacing w:line="240" w:lineRule="auto"/>
              <w:ind w:left="0" w:leftChars="0" w:firstLine="0" w:firstLineChars="0"/>
              <w:jc w:val="center"/>
              <w:rPr>
                <w:color w:val="auto"/>
                <w:kern w:val="2"/>
                <w:highlight w:val="none"/>
              </w:rPr>
            </w:pPr>
          </w:p>
        </w:tc>
        <w:tc>
          <w:tcPr>
            <w:tcW w:w="44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NW</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1596</w:t>
            </w:r>
            <w:r>
              <w:rPr>
                <w:rFonts w:hint="eastAsia"/>
                <w:color w:val="auto"/>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114.67398</w:t>
            </w:r>
          </w:p>
        </w:tc>
        <w:tc>
          <w:tcPr>
            <w:tcW w:w="695"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33.07696</w:t>
            </w:r>
          </w:p>
        </w:tc>
        <w:tc>
          <w:tcPr>
            <w:tcW w:w="643" w:type="pct"/>
            <w:vAlign w:val="center"/>
          </w:tcPr>
          <w:p>
            <w:pPr>
              <w:pStyle w:val="42"/>
              <w:spacing w:line="240" w:lineRule="auto"/>
              <w:ind w:left="0" w:leftChars="0" w:firstLine="0" w:firstLineChars="0"/>
              <w:jc w:val="center"/>
              <w:rPr>
                <w:rFonts w:hint="eastAsia"/>
                <w:color w:val="auto"/>
                <w:kern w:val="2"/>
                <w:highlight w:val="none"/>
                <w:lang w:eastAsia="zh-CN"/>
              </w:rPr>
            </w:pPr>
            <w:r>
              <w:rPr>
                <w:rFonts w:hint="eastAsia"/>
                <w:color w:val="auto"/>
                <w:kern w:val="2"/>
                <w:highlight w:val="none"/>
                <w:lang w:eastAsia="zh-CN"/>
              </w:rPr>
              <w:t>西邵庄</w:t>
            </w:r>
          </w:p>
        </w:tc>
        <w:tc>
          <w:tcPr>
            <w:tcW w:w="828" w:type="pct"/>
            <w:vAlign w:val="center"/>
          </w:tcPr>
          <w:p>
            <w:pPr>
              <w:pStyle w:val="42"/>
              <w:spacing w:line="240" w:lineRule="auto"/>
              <w:ind w:left="0" w:leftChars="0" w:firstLine="0" w:firstLineChars="0"/>
              <w:jc w:val="center"/>
              <w:rPr>
                <w:rFonts w:hint="eastAsia"/>
                <w:color w:val="auto"/>
                <w:kern w:val="2"/>
                <w:highlight w:val="none"/>
                <w:lang w:eastAsia="zh-CN"/>
              </w:rPr>
            </w:pPr>
            <w:r>
              <w:rPr>
                <w:rFonts w:hint="eastAsia"/>
                <w:color w:val="auto"/>
                <w:kern w:val="2"/>
                <w:highlight w:val="none"/>
                <w:lang w:eastAsia="zh-CN"/>
              </w:rPr>
              <w:t>居民，</w:t>
            </w:r>
            <w:r>
              <w:rPr>
                <w:rFonts w:hint="eastAsia"/>
                <w:color w:val="auto"/>
                <w:kern w:val="2"/>
                <w:highlight w:val="none"/>
                <w:lang w:val="en-US" w:eastAsia="zh-CN"/>
              </w:rPr>
              <w:t>66户，</w:t>
            </w:r>
            <w:r>
              <w:rPr>
                <w:rFonts w:hint="eastAsia"/>
                <w:color w:val="auto"/>
                <w:kern w:val="2"/>
                <w:highlight w:val="none"/>
              </w:rPr>
              <w:t>约</w:t>
            </w:r>
            <w:r>
              <w:rPr>
                <w:rFonts w:hint="eastAsia"/>
                <w:color w:val="auto"/>
                <w:kern w:val="2"/>
                <w:highlight w:val="none"/>
                <w:lang w:val="en-US" w:eastAsia="zh-CN"/>
              </w:rPr>
              <w:t>336</w:t>
            </w:r>
            <w:r>
              <w:rPr>
                <w:rFonts w:hint="eastAsia"/>
                <w:color w:val="auto"/>
                <w:kern w:val="2"/>
                <w:highlight w:val="none"/>
              </w:rPr>
              <w:t>人</w:t>
            </w:r>
          </w:p>
        </w:tc>
        <w:tc>
          <w:tcPr>
            <w:tcW w:w="757" w:type="pct"/>
            <w:vMerge w:val="continue"/>
            <w:vAlign w:val="center"/>
          </w:tcPr>
          <w:p>
            <w:pPr>
              <w:pStyle w:val="42"/>
              <w:spacing w:line="240" w:lineRule="auto"/>
              <w:ind w:left="0" w:leftChars="0" w:firstLine="0" w:firstLineChars="0"/>
              <w:jc w:val="center"/>
              <w:rPr>
                <w:color w:val="auto"/>
                <w:kern w:val="2"/>
                <w:highlight w:val="none"/>
              </w:rPr>
            </w:pPr>
          </w:p>
        </w:tc>
        <w:tc>
          <w:tcPr>
            <w:tcW w:w="449" w:type="pct"/>
            <w:vAlign w:val="center"/>
          </w:tcPr>
          <w:p>
            <w:pPr>
              <w:pStyle w:val="42"/>
              <w:spacing w:line="240" w:lineRule="auto"/>
              <w:ind w:left="0" w:leftChars="0" w:firstLine="0" w:firstLineChars="0"/>
              <w:jc w:val="center"/>
              <w:rPr>
                <w:rFonts w:hint="default"/>
                <w:color w:val="auto"/>
                <w:kern w:val="2"/>
                <w:highlight w:val="none"/>
                <w:lang w:val="en-US" w:eastAsia="zh-CN"/>
              </w:rPr>
            </w:pPr>
            <w:r>
              <w:rPr>
                <w:rFonts w:hint="eastAsia"/>
                <w:color w:val="auto"/>
                <w:kern w:val="2"/>
                <w:highlight w:val="none"/>
                <w:lang w:val="en-US" w:eastAsia="zh-CN"/>
              </w:rPr>
              <w:t>SE</w:t>
            </w:r>
          </w:p>
        </w:tc>
        <w:tc>
          <w:tcPr>
            <w:tcW w:w="539" w:type="pct"/>
            <w:vAlign w:val="center"/>
          </w:tcPr>
          <w:p>
            <w:pPr>
              <w:pStyle w:val="42"/>
              <w:spacing w:line="240" w:lineRule="auto"/>
              <w:ind w:left="0" w:leftChars="0" w:firstLine="0" w:firstLineChars="0"/>
              <w:jc w:val="center"/>
              <w:rPr>
                <w:rFonts w:hint="eastAsia"/>
                <w:color w:val="auto"/>
                <w:kern w:val="2"/>
                <w:highlight w:val="none"/>
                <w:lang w:val="en-US" w:eastAsia="zh-CN"/>
              </w:rPr>
            </w:pPr>
            <w:r>
              <w:rPr>
                <w:rFonts w:hint="eastAsia"/>
                <w:color w:val="auto"/>
                <w:kern w:val="2"/>
                <w:highlight w:val="none"/>
                <w:lang w:val="en-US" w:eastAsia="zh-CN"/>
              </w:rPr>
              <w:t>1474</w:t>
            </w:r>
            <w:r>
              <w:rPr>
                <w:rFonts w:hint="eastAsia"/>
                <w:color w:val="auto"/>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114.6644</w:t>
            </w:r>
          </w:p>
        </w:tc>
        <w:tc>
          <w:tcPr>
            <w:tcW w:w="695"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33.10219</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杨坡楼</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eastAsia="zh-CN"/>
              </w:rPr>
              <w:t>居民，</w:t>
            </w:r>
            <w:r>
              <w:rPr>
                <w:rFonts w:hint="eastAsia"/>
                <w:color w:val="auto"/>
                <w:kern w:val="2"/>
                <w:highlight w:val="none"/>
                <w:lang w:val="en-US" w:eastAsia="zh-CN"/>
              </w:rPr>
              <w:t>92户，</w:t>
            </w:r>
            <w:r>
              <w:rPr>
                <w:rFonts w:hint="eastAsia"/>
                <w:color w:val="auto"/>
                <w:kern w:val="2"/>
                <w:highlight w:val="none"/>
              </w:rPr>
              <w:t>约</w:t>
            </w:r>
            <w:r>
              <w:rPr>
                <w:rFonts w:hint="eastAsia"/>
                <w:color w:val="auto"/>
                <w:kern w:val="2"/>
                <w:highlight w:val="none"/>
                <w:lang w:val="en-US" w:eastAsia="zh-CN"/>
              </w:rPr>
              <w:t>462</w:t>
            </w:r>
            <w:r>
              <w:rPr>
                <w:rFonts w:hint="eastAsia"/>
                <w:color w:val="auto"/>
                <w:kern w:val="2"/>
                <w:highlight w:val="none"/>
              </w:rPr>
              <w:t>人</w:t>
            </w:r>
          </w:p>
        </w:tc>
        <w:tc>
          <w:tcPr>
            <w:tcW w:w="757" w:type="pct"/>
            <w:vMerge w:val="continue"/>
            <w:vAlign w:val="center"/>
          </w:tcPr>
          <w:p>
            <w:pPr>
              <w:pStyle w:val="42"/>
              <w:spacing w:line="240" w:lineRule="auto"/>
              <w:ind w:left="0" w:leftChars="0" w:firstLine="0" w:firstLineChars="0"/>
              <w:jc w:val="center"/>
              <w:rPr>
                <w:color w:val="auto"/>
                <w:kern w:val="2"/>
                <w:highlight w:val="none"/>
              </w:rPr>
            </w:pPr>
          </w:p>
        </w:tc>
        <w:tc>
          <w:tcPr>
            <w:tcW w:w="44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NE</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1850m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114.67128</w:t>
            </w:r>
          </w:p>
        </w:tc>
        <w:tc>
          <w:tcPr>
            <w:tcW w:w="695"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33.10228</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徐庄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eastAsia="zh-CN"/>
              </w:rPr>
              <w:t>居民，</w:t>
            </w:r>
            <w:r>
              <w:rPr>
                <w:rFonts w:hint="eastAsia"/>
                <w:color w:val="auto"/>
                <w:kern w:val="2"/>
                <w:highlight w:val="none"/>
                <w:lang w:val="en-US" w:eastAsia="zh-CN"/>
              </w:rPr>
              <w:t>95户，</w:t>
            </w:r>
            <w:r>
              <w:rPr>
                <w:rFonts w:hint="eastAsia"/>
                <w:color w:val="auto"/>
                <w:kern w:val="2"/>
                <w:highlight w:val="none"/>
              </w:rPr>
              <w:t>约</w:t>
            </w:r>
            <w:r>
              <w:rPr>
                <w:rFonts w:hint="eastAsia"/>
                <w:color w:val="auto"/>
                <w:kern w:val="2"/>
                <w:highlight w:val="none"/>
                <w:lang w:val="en-US" w:eastAsia="zh-CN"/>
              </w:rPr>
              <w:t>475</w:t>
            </w:r>
            <w:r>
              <w:rPr>
                <w:rFonts w:hint="eastAsia"/>
                <w:color w:val="auto"/>
                <w:kern w:val="2"/>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NE</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2134m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114.67840</w:t>
            </w:r>
          </w:p>
        </w:tc>
        <w:tc>
          <w:tcPr>
            <w:tcW w:w="695"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33.09730</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韩庄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eastAsia="zh-CN"/>
              </w:rPr>
              <w:t>居民，</w:t>
            </w:r>
            <w:r>
              <w:rPr>
                <w:rFonts w:hint="eastAsia"/>
                <w:color w:val="auto"/>
                <w:kern w:val="2"/>
                <w:highlight w:val="none"/>
                <w:lang w:val="en-US" w:eastAsia="zh-CN"/>
              </w:rPr>
              <w:t>456户，</w:t>
            </w:r>
            <w:r>
              <w:rPr>
                <w:rFonts w:hint="eastAsia"/>
                <w:color w:val="auto"/>
                <w:kern w:val="2"/>
                <w:highlight w:val="none"/>
              </w:rPr>
              <w:t>约</w:t>
            </w:r>
            <w:r>
              <w:rPr>
                <w:rFonts w:hint="eastAsia"/>
                <w:color w:val="auto"/>
                <w:kern w:val="2"/>
                <w:highlight w:val="none"/>
                <w:lang w:val="en-US" w:eastAsia="zh-CN"/>
              </w:rPr>
              <w:t>2280</w:t>
            </w:r>
            <w:r>
              <w:rPr>
                <w:rFonts w:hint="eastAsia"/>
                <w:color w:val="auto"/>
                <w:kern w:val="2"/>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NE</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2155m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114.67802</w:t>
            </w:r>
          </w:p>
        </w:tc>
        <w:tc>
          <w:tcPr>
            <w:tcW w:w="695"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33.07485</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河西村</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eastAsia="zh-CN"/>
              </w:rPr>
              <w:t>居民，</w:t>
            </w:r>
            <w:r>
              <w:rPr>
                <w:rFonts w:hint="eastAsia"/>
                <w:color w:val="auto"/>
                <w:kern w:val="2"/>
                <w:highlight w:val="none"/>
                <w:lang w:val="en-US" w:eastAsia="zh-CN"/>
              </w:rPr>
              <w:t>142户，</w:t>
            </w:r>
            <w:r>
              <w:rPr>
                <w:rFonts w:hint="eastAsia"/>
                <w:color w:val="auto"/>
                <w:kern w:val="2"/>
                <w:highlight w:val="none"/>
              </w:rPr>
              <w:t>约</w:t>
            </w:r>
            <w:r>
              <w:rPr>
                <w:rFonts w:hint="eastAsia"/>
                <w:color w:val="auto"/>
                <w:kern w:val="2"/>
                <w:highlight w:val="none"/>
                <w:lang w:val="en-US" w:eastAsia="zh-CN"/>
              </w:rPr>
              <w:t>725</w:t>
            </w:r>
            <w:r>
              <w:rPr>
                <w:rFonts w:hint="eastAsia"/>
                <w:color w:val="auto"/>
                <w:kern w:val="2"/>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SE</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1900m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114.67797</w:t>
            </w:r>
          </w:p>
        </w:tc>
        <w:tc>
          <w:tcPr>
            <w:tcW w:w="695"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33.07030</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庙湾镇第一初级中学</w:t>
            </w:r>
          </w:p>
        </w:tc>
        <w:tc>
          <w:tcPr>
            <w:tcW w:w="82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lang w:eastAsia="zh-CN"/>
              </w:rPr>
              <w:t>学校</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SE</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2152m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114.68171</w:t>
            </w:r>
          </w:p>
        </w:tc>
        <w:tc>
          <w:tcPr>
            <w:tcW w:w="695"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33.07884</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庙湾村</w:t>
            </w:r>
          </w:p>
        </w:tc>
        <w:tc>
          <w:tcPr>
            <w:tcW w:w="82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lang w:eastAsia="zh-CN"/>
              </w:rPr>
              <w:t>居民，</w:t>
            </w:r>
            <w:r>
              <w:rPr>
                <w:rFonts w:hint="eastAsia"/>
                <w:color w:val="auto"/>
                <w:highlight w:val="none"/>
                <w:lang w:val="en-US" w:eastAsia="zh-CN"/>
              </w:rPr>
              <w:t>150户，</w:t>
            </w:r>
            <w:r>
              <w:rPr>
                <w:rFonts w:hint="eastAsia"/>
                <w:color w:val="auto"/>
                <w:highlight w:val="none"/>
              </w:rPr>
              <w:t>约</w:t>
            </w:r>
            <w:r>
              <w:rPr>
                <w:rFonts w:hint="eastAsia"/>
                <w:color w:val="auto"/>
                <w:highlight w:val="none"/>
                <w:lang w:val="en-US" w:eastAsia="zh-CN"/>
              </w:rPr>
              <w:t>800</w:t>
            </w:r>
            <w:r>
              <w:rPr>
                <w:rFonts w:hint="eastAsia"/>
                <w:color w:val="auto"/>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SE</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2143m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114.68312</w:t>
            </w:r>
          </w:p>
        </w:tc>
        <w:tc>
          <w:tcPr>
            <w:tcW w:w="695"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33.07515</w:t>
            </w:r>
          </w:p>
        </w:tc>
        <w:tc>
          <w:tcPr>
            <w:tcW w:w="643" w:type="pct"/>
            <w:vAlign w:val="center"/>
          </w:tcPr>
          <w:p>
            <w:pPr>
              <w:pStyle w:val="42"/>
              <w:spacing w:line="240" w:lineRule="auto"/>
              <w:ind w:left="0" w:leftChars="0" w:firstLine="0" w:firstLineChars="0"/>
              <w:jc w:val="center"/>
              <w:rPr>
                <w:rFonts w:hint="eastAsia"/>
                <w:color w:val="auto"/>
                <w:kern w:val="2"/>
                <w:highlight w:val="none"/>
                <w:lang w:eastAsia="zh-CN"/>
              </w:rPr>
            </w:pPr>
            <w:r>
              <w:rPr>
                <w:rFonts w:hint="eastAsia"/>
                <w:color w:val="auto"/>
                <w:kern w:val="2"/>
                <w:highlight w:val="none"/>
                <w:lang w:eastAsia="zh-CN"/>
              </w:rPr>
              <w:t>庙湾镇</w:t>
            </w:r>
          </w:p>
        </w:tc>
        <w:tc>
          <w:tcPr>
            <w:tcW w:w="828" w:type="pct"/>
            <w:vAlign w:val="center"/>
          </w:tcPr>
          <w:p>
            <w:pPr>
              <w:pStyle w:val="42"/>
              <w:spacing w:line="240" w:lineRule="auto"/>
              <w:ind w:left="0" w:leftChars="0" w:firstLine="0" w:firstLineChars="0"/>
              <w:jc w:val="center"/>
              <w:rPr>
                <w:rFonts w:hint="eastAsia"/>
                <w:color w:val="auto"/>
                <w:highlight w:val="none"/>
                <w:lang w:eastAsia="zh-CN"/>
              </w:rPr>
            </w:pPr>
            <w:r>
              <w:rPr>
                <w:rFonts w:hint="eastAsia"/>
                <w:color w:val="auto"/>
                <w:highlight w:val="none"/>
                <w:lang w:eastAsia="zh-CN"/>
              </w:rPr>
              <w:t>居民，</w:t>
            </w:r>
            <w:r>
              <w:rPr>
                <w:rFonts w:hint="eastAsia"/>
                <w:color w:val="auto"/>
                <w:highlight w:val="none"/>
                <w:lang w:val="en-US" w:eastAsia="zh-CN"/>
              </w:rPr>
              <w:t>516户，</w:t>
            </w:r>
            <w:r>
              <w:rPr>
                <w:rFonts w:hint="eastAsia"/>
                <w:color w:val="auto"/>
                <w:highlight w:val="none"/>
              </w:rPr>
              <w:t>约</w:t>
            </w:r>
            <w:r>
              <w:rPr>
                <w:rFonts w:hint="eastAsia"/>
                <w:color w:val="auto"/>
                <w:highlight w:val="none"/>
                <w:lang w:val="en-US" w:eastAsia="zh-CN"/>
              </w:rPr>
              <w:t>2590</w:t>
            </w:r>
            <w:r>
              <w:rPr>
                <w:rFonts w:hint="eastAsia"/>
                <w:color w:val="auto"/>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eastAsia="宋体"/>
                <w:color w:val="auto"/>
                <w:kern w:val="2"/>
                <w:highlight w:val="none"/>
                <w:lang w:val="en-US" w:eastAsia="zh-CN"/>
              </w:rPr>
            </w:pPr>
            <w:r>
              <w:rPr>
                <w:rFonts w:hint="eastAsia"/>
                <w:color w:val="auto"/>
                <w:kern w:val="2"/>
                <w:highlight w:val="none"/>
                <w:lang w:val="en-US" w:eastAsia="zh-CN"/>
              </w:rPr>
              <w:t>SE</w:t>
            </w:r>
          </w:p>
        </w:tc>
        <w:tc>
          <w:tcPr>
            <w:tcW w:w="539" w:type="pct"/>
            <w:vAlign w:val="center"/>
          </w:tcPr>
          <w:p>
            <w:pPr>
              <w:pStyle w:val="42"/>
              <w:spacing w:line="240" w:lineRule="auto"/>
              <w:ind w:left="0" w:leftChars="0" w:firstLine="0" w:firstLineChars="0"/>
              <w:jc w:val="center"/>
              <w:rPr>
                <w:rFonts w:hint="eastAsia"/>
                <w:color w:val="auto"/>
                <w:kern w:val="2"/>
                <w:highlight w:val="none"/>
                <w:lang w:val="en-US" w:eastAsia="zh-CN"/>
              </w:rPr>
            </w:pPr>
            <w:r>
              <w:rPr>
                <w:rFonts w:hint="eastAsia"/>
                <w:color w:val="auto"/>
                <w:kern w:val="2"/>
                <w:highlight w:val="none"/>
                <w:lang w:val="en-US" w:eastAsia="zh-CN"/>
              </w:rPr>
              <w:t>2346</w:t>
            </w:r>
            <w:r>
              <w:rPr>
                <w:rFonts w:hint="eastAsia"/>
                <w:color w:val="auto"/>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114.65986</w:t>
            </w:r>
          </w:p>
        </w:tc>
        <w:tc>
          <w:tcPr>
            <w:tcW w:w="695"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33.06219</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王楼村</w:t>
            </w:r>
          </w:p>
        </w:tc>
        <w:tc>
          <w:tcPr>
            <w:tcW w:w="82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lang w:eastAsia="zh-CN"/>
              </w:rPr>
              <w:t>居民，</w:t>
            </w:r>
            <w:r>
              <w:rPr>
                <w:rFonts w:hint="eastAsia"/>
                <w:color w:val="auto"/>
                <w:highlight w:val="none"/>
                <w:lang w:val="en-US" w:eastAsia="zh-CN"/>
              </w:rPr>
              <w:t>300户，</w:t>
            </w:r>
            <w:r>
              <w:rPr>
                <w:rFonts w:hint="eastAsia"/>
                <w:color w:val="auto"/>
                <w:highlight w:val="none"/>
              </w:rPr>
              <w:t>约</w:t>
            </w:r>
            <w:r>
              <w:rPr>
                <w:rFonts w:hint="eastAsia"/>
                <w:color w:val="auto"/>
                <w:highlight w:val="none"/>
                <w:lang w:val="en-US" w:eastAsia="zh-CN"/>
              </w:rPr>
              <w:t>1500</w:t>
            </w:r>
            <w:r>
              <w:rPr>
                <w:rFonts w:hint="eastAsia"/>
                <w:color w:val="auto"/>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SW</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1960</w:t>
            </w:r>
            <w:r>
              <w:rPr>
                <w:rFonts w:hint="eastAsia"/>
                <w:color w:val="auto"/>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114.64540</w:t>
            </w:r>
          </w:p>
        </w:tc>
        <w:tc>
          <w:tcPr>
            <w:tcW w:w="695"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33.07893</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西田万庄</w:t>
            </w:r>
          </w:p>
        </w:tc>
        <w:tc>
          <w:tcPr>
            <w:tcW w:w="828" w:type="pct"/>
            <w:vAlign w:val="center"/>
          </w:tcPr>
          <w:p>
            <w:pPr>
              <w:pStyle w:val="42"/>
              <w:spacing w:line="240" w:lineRule="auto"/>
              <w:ind w:left="0" w:leftChars="0" w:firstLine="0" w:firstLineChars="0"/>
              <w:jc w:val="center"/>
              <w:rPr>
                <w:rFonts w:hint="eastAsia"/>
                <w:color w:val="auto"/>
                <w:highlight w:val="none"/>
                <w:lang w:eastAsia="zh-CN"/>
              </w:rPr>
            </w:pPr>
            <w:r>
              <w:rPr>
                <w:rFonts w:hint="eastAsia"/>
                <w:color w:val="auto"/>
                <w:highlight w:val="none"/>
                <w:lang w:eastAsia="zh-CN"/>
              </w:rPr>
              <w:t>居民，</w:t>
            </w:r>
            <w:r>
              <w:rPr>
                <w:rFonts w:hint="eastAsia"/>
                <w:color w:val="auto"/>
                <w:highlight w:val="none"/>
                <w:lang w:val="en-US" w:eastAsia="zh-CN"/>
              </w:rPr>
              <w:t>66户，</w:t>
            </w:r>
            <w:r>
              <w:rPr>
                <w:rFonts w:hint="eastAsia"/>
                <w:color w:val="auto"/>
                <w:highlight w:val="none"/>
              </w:rPr>
              <w:t>约</w:t>
            </w:r>
            <w:r>
              <w:rPr>
                <w:rFonts w:hint="eastAsia"/>
                <w:color w:val="auto"/>
                <w:highlight w:val="none"/>
                <w:lang w:val="en-US" w:eastAsia="zh-CN"/>
              </w:rPr>
              <w:t>332</w:t>
            </w:r>
            <w:r>
              <w:rPr>
                <w:rFonts w:hint="eastAsia"/>
                <w:color w:val="auto"/>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color w:val="auto"/>
                <w:kern w:val="2"/>
                <w:highlight w:val="none"/>
                <w:lang w:val="en-US" w:eastAsia="zh-CN"/>
              </w:rPr>
            </w:pPr>
            <w:r>
              <w:rPr>
                <w:rFonts w:hint="eastAsia"/>
                <w:color w:val="auto"/>
                <w:kern w:val="2"/>
                <w:highlight w:val="none"/>
                <w:lang w:val="en-US" w:eastAsia="zh-CN"/>
              </w:rPr>
              <w:t>SW</w:t>
            </w:r>
          </w:p>
        </w:tc>
        <w:tc>
          <w:tcPr>
            <w:tcW w:w="539" w:type="pct"/>
            <w:vAlign w:val="center"/>
          </w:tcPr>
          <w:p>
            <w:pPr>
              <w:pStyle w:val="42"/>
              <w:spacing w:line="240" w:lineRule="auto"/>
              <w:ind w:left="0" w:leftChars="0" w:firstLine="0" w:firstLineChars="0"/>
              <w:jc w:val="center"/>
              <w:rPr>
                <w:rFonts w:hint="default"/>
                <w:color w:val="auto"/>
                <w:kern w:val="2"/>
                <w:highlight w:val="none"/>
                <w:lang w:val="en-US" w:eastAsia="zh-CN"/>
              </w:rPr>
            </w:pPr>
            <w:r>
              <w:rPr>
                <w:rFonts w:hint="eastAsia"/>
                <w:color w:val="auto"/>
                <w:kern w:val="2"/>
                <w:highlight w:val="none"/>
                <w:lang w:val="en-US" w:eastAsia="zh-CN"/>
              </w:rPr>
              <w:t>990m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114.63815</w:t>
            </w:r>
          </w:p>
        </w:tc>
        <w:tc>
          <w:tcPr>
            <w:tcW w:w="695"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33.07820</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大宋村</w:t>
            </w:r>
          </w:p>
        </w:tc>
        <w:tc>
          <w:tcPr>
            <w:tcW w:w="828" w:type="pct"/>
            <w:vAlign w:val="center"/>
          </w:tcPr>
          <w:p>
            <w:pPr>
              <w:pStyle w:val="42"/>
              <w:spacing w:line="240" w:lineRule="auto"/>
              <w:ind w:left="0" w:leftChars="0" w:firstLine="0" w:firstLineChars="0"/>
              <w:jc w:val="center"/>
              <w:rPr>
                <w:rFonts w:hint="eastAsia"/>
                <w:color w:val="auto"/>
                <w:highlight w:val="none"/>
                <w:lang w:eastAsia="zh-CN"/>
              </w:rPr>
            </w:pPr>
            <w:r>
              <w:rPr>
                <w:rFonts w:hint="eastAsia"/>
                <w:color w:val="auto"/>
                <w:highlight w:val="none"/>
                <w:lang w:eastAsia="zh-CN"/>
              </w:rPr>
              <w:t>居民，</w:t>
            </w:r>
            <w:r>
              <w:rPr>
                <w:rFonts w:hint="eastAsia"/>
                <w:color w:val="auto"/>
                <w:highlight w:val="none"/>
                <w:lang w:val="en-US" w:eastAsia="zh-CN"/>
              </w:rPr>
              <w:t>60户，</w:t>
            </w:r>
            <w:r>
              <w:rPr>
                <w:rFonts w:hint="eastAsia"/>
                <w:color w:val="auto"/>
                <w:highlight w:val="none"/>
              </w:rPr>
              <w:t>约</w:t>
            </w:r>
            <w:r>
              <w:rPr>
                <w:rFonts w:hint="eastAsia"/>
                <w:color w:val="auto"/>
                <w:highlight w:val="none"/>
                <w:lang w:val="en-US" w:eastAsia="zh-CN"/>
              </w:rPr>
              <w:t>360</w:t>
            </w:r>
            <w:r>
              <w:rPr>
                <w:rFonts w:hint="eastAsia"/>
                <w:color w:val="auto"/>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color w:val="auto"/>
                <w:kern w:val="2"/>
                <w:highlight w:val="none"/>
                <w:lang w:val="en-US" w:eastAsia="zh-CN"/>
              </w:rPr>
            </w:pPr>
            <w:r>
              <w:rPr>
                <w:rFonts w:hint="eastAsia"/>
                <w:color w:val="auto"/>
                <w:kern w:val="2"/>
                <w:highlight w:val="none"/>
                <w:lang w:val="en-US" w:eastAsia="zh-CN"/>
              </w:rPr>
              <w:t>SW</w:t>
            </w:r>
          </w:p>
        </w:tc>
        <w:tc>
          <w:tcPr>
            <w:tcW w:w="539" w:type="pct"/>
            <w:vAlign w:val="center"/>
          </w:tcPr>
          <w:p>
            <w:pPr>
              <w:pStyle w:val="42"/>
              <w:spacing w:line="240" w:lineRule="auto"/>
              <w:ind w:left="0" w:leftChars="0" w:firstLine="0" w:firstLineChars="0"/>
              <w:jc w:val="center"/>
              <w:rPr>
                <w:rFonts w:hint="default"/>
                <w:color w:val="auto"/>
                <w:kern w:val="2"/>
                <w:highlight w:val="none"/>
                <w:lang w:val="en-US" w:eastAsia="zh-CN"/>
              </w:rPr>
            </w:pPr>
            <w:r>
              <w:rPr>
                <w:rFonts w:hint="eastAsia"/>
                <w:color w:val="auto"/>
                <w:kern w:val="2"/>
                <w:highlight w:val="none"/>
                <w:lang w:val="en-US" w:eastAsia="zh-CN"/>
              </w:rPr>
              <w:t>1656m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114.63398</w:t>
            </w:r>
          </w:p>
        </w:tc>
        <w:tc>
          <w:tcPr>
            <w:tcW w:w="695"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33.09520</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大孙村</w:t>
            </w:r>
          </w:p>
        </w:tc>
        <w:tc>
          <w:tcPr>
            <w:tcW w:w="828" w:type="pct"/>
            <w:vAlign w:val="center"/>
          </w:tcPr>
          <w:p>
            <w:pPr>
              <w:pStyle w:val="42"/>
              <w:spacing w:line="240" w:lineRule="auto"/>
              <w:ind w:left="0" w:leftChars="0" w:firstLine="0" w:firstLineChars="0"/>
              <w:jc w:val="center"/>
              <w:rPr>
                <w:rFonts w:hint="eastAsia"/>
                <w:color w:val="auto"/>
                <w:highlight w:val="none"/>
                <w:lang w:eastAsia="zh-CN"/>
              </w:rPr>
            </w:pPr>
            <w:r>
              <w:rPr>
                <w:rFonts w:hint="eastAsia"/>
                <w:color w:val="auto"/>
                <w:highlight w:val="none"/>
                <w:lang w:eastAsia="zh-CN"/>
              </w:rPr>
              <w:t>居民，</w:t>
            </w:r>
            <w:r>
              <w:rPr>
                <w:rFonts w:hint="eastAsia"/>
                <w:color w:val="auto"/>
                <w:highlight w:val="none"/>
                <w:lang w:val="en-US" w:eastAsia="zh-CN"/>
              </w:rPr>
              <w:t>70户，</w:t>
            </w:r>
            <w:r>
              <w:rPr>
                <w:rFonts w:hint="eastAsia"/>
                <w:color w:val="auto"/>
                <w:highlight w:val="none"/>
              </w:rPr>
              <w:t>约</w:t>
            </w:r>
            <w:r>
              <w:rPr>
                <w:rFonts w:hint="eastAsia"/>
                <w:color w:val="auto"/>
                <w:highlight w:val="none"/>
                <w:lang w:val="en-US" w:eastAsia="zh-CN"/>
              </w:rPr>
              <w:t>450</w:t>
            </w:r>
            <w:r>
              <w:rPr>
                <w:rFonts w:hint="eastAsia"/>
                <w:color w:val="auto"/>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color w:val="auto"/>
                <w:kern w:val="2"/>
                <w:highlight w:val="none"/>
                <w:lang w:val="en-US" w:eastAsia="zh-CN"/>
              </w:rPr>
            </w:pPr>
            <w:r>
              <w:rPr>
                <w:rFonts w:hint="eastAsia"/>
                <w:color w:val="auto"/>
                <w:kern w:val="2"/>
                <w:highlight w:val="none"/>
                <w:lang w:val="en-US" w:eastAsia="zh-CN"/>
              </w:rPr>
              <w:t>NW</w:t>
            </w:r>
          </w:p>
        </w:tc>
        <w:tc>
          <w:tcPr>
            <w:tcW w:w="539" w:type="pct"/>
            <w:vAlign w:val="center"/>
          </w:tcPr>
          <w:p>
            <w:pPr>
              <w:pStyle w:val="42"/>
              <w:spacing w:line="240" w:lineRule="auto"/>
              <w:ind w:left="0" w:leftChars="0" w:firstLine="0" w:firstLineChars="0"/>
              <w:jc w:val="center"/>
              <w:rPr>
                <w:rFonts w:hint="eastAsia"/>
                <w:color w:val="auto"/>
                <w:kern w:val="2"/>
                <w:highlight w:val="none"/>
                <w:lang w:val="en-US" w:eastAsia="zh-CN"/>
              </w:rPr>
            </w:pPr>
            <w:r>
              <w:rPr>
                <w:rFonts w:hint="eastAsia"/>
                <w:color w:val="auto"/>
                <w:kern w:val="2"/>
                <w:highlight w:val="none"/>
                <w:lang w:val="en-US" w:eastAsia="zh-CN"/>
              </w:rPr>
              <w:t>2135m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114.63866</w:t>
            </w:r>
          </w:p>
        </w:tc>
        <w:tc>
          <w:tcPr>
            <w:tcW w:w="695"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33.09438</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孙彭庄</w:t>
            </w:r>
          </w:p>
        </w:tc>
        <w:tc>
          <w:tcPr>
            <w:tcW w:w="828" w:type="pct"/>
            <w:vAlign w:val="center"/>
          </w:tcPr>
          <w:p>
            <w:pPr>
              <w:pStyle w:val="42"/>
              <w:spacing w:line="240" w:lineRule="auto"/>
              <w:ind w:left="0" w:leftChars="0" w:firstLine="0" w:firstLineChars="0"/>
              <w:jc w:val="center"/>
              <w:rPr>
                <w:rFonts w:hint="eastAsia"/>
                <w:color w:val="auto"/>
                <w:highlight w:val="none"/>
                <w:lang w:eastAsia="zh-CN"/>
              </w:rPr>
            </w:pPr>
            <w:r>
              <w:rPr>
                <w:rFonts w:hint="eastAsia"/>
                <w:color w:val="auto"/>
                <w:highlight w:val="none"/>
                <w:lang w:eastAsia="zh-CN"/>
              </w:rPr>
              <w:t>居民，</w:t>
            </w:r>
            <w:r>
              <w:rPr>
                <w:rFonts w:hint="eastAsia"/>
                <w:color w:val="auto"/>
                <w:highlight w:val="none"/>
                <w:lang w:val="en-US" w:eastAsia="zh-CN"/>
              </w:rPr>
              <w:t>82户，</w:t>
            </w:r>
            <w:r>
              <w:rPr>
                <w:rFonts w:hint="eastAsia"/>
                <w:color w:val="auto"/>
                <w:highlight w:val="none"/>
              </w:rPr>
              <w:t>约</w:t>
            </w:r>
            <w:r>
              <w:rPr>
                <w:rFonts w:hint="eastAsia"/>
                <w:color w:val="auto"/>
                <w:highlight w:val="none"/>
                <w:lang w:val="en-US" w:eastAsia="zh-CN"/>
              </w:rPr>
              <w:t>416</w:t>
            </w:r>
            <w:r>
              <w:rPr>
                <w:rFonts w:hint="eastAsia"/>
                <w:color w:val="auto"/>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color w:val="auto"/>
                <w:kern w:val="2"/>
                <w:highlight w:val="none"/>
                <w:lang w:val="en-US" w:eastAsia="zh-CN"/>
              </w:rPr>
            </w:pPr>
            <w:r>
              <w:rPr>
                <w:rFonts w:hint="eastAsia"/>
                <w:color w:val="auto"/>
                <w:kern w:val="2"/>
                <w:highlight w:val="none"/>
                <w:lang w:val="en-US" w:eastAsia="zh-CN"/>
              </w:rPr>
              <w:t>NW</w:t>
            </w:r>
          </w:p>
        </w:tc>
        <w:tc>
          <w:tcPr>
            <w:tcW w:w="539" w:type="pct"/>
            <w:vAlign w:val="center"/>
          </w:tcPr>
          <w:p>
            <w:pPr>
              <w:pStyle w:val="42"/>
              <w:spacing w:line="240" w:lineRule="auto"/>
              <w:ind w:left="0" w:leftChars="0" w:firstLine="0" w:firstLineChars="0"/>
              <w:jc w:val="center"/>
              <w:rPr>
                <w:rFonts w:hint="eastAsia"/>
                <w:color w:val="auto"/>
                <w:kern w:val="2"/>
                <w:highlight w:val="none"/>
                <w:lang w:val="en-US" w:eastAsia="zh-CN"/>
              </w:rPr>
            </w:pPr>
            <w:r>
              <w:rPr>
                <w:rFonts w:hint="eastAsia"/>
                <w:color w:val="auto"/>
                <w:kern w:val="2"/>
                <w:highlight w:val="none"/>
                <w:lang w:val="en-US" w:eastAsia="zh-CN"/>
              </w:rPr>
              <w:t>1696m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114.63268</w:t>
            </w:r>
          </w:p>
        </w:tc>
        <w:tc>
          <w:tcPr>
            <w:tcW w:w="695"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33.07951</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小彭庄</w:t>
            </w:r>
          </w:p>
        </w:tc>
        <w:tc>
          <w:tcPr>
            <w:tcW w:w="828" w:type="pct"/>
            <w:vAlign w:val="center"/>
          </w:tcPr>
          <w:p>
            <w:pPr>
              <w:pStyle w:val="42"/>
              <w:spacing w:line="240" w:lineRule="auto"/>
              <w:ind w:left="0" w:leftChars="0" w:firstLine="0" w:firstLineChars="0"/>
              <w:jc w:val="center"/>
              <w:rPr>
                <w:rFonts w:hint="eastAsia"/>
                <w:color w:val="auto"/>
                <w:highlight w:val="none"/>
                <w:lang w:eastAsia="zh-CN"/>
              </w:rPr>
            </w:pPr>
            <w:r>
              <w:rPr>
                <w:rFonts w:hint="eastAsia"/>
                <w:color w:val="auto"/>
                <w:highlight w:val="none"/>
                <w:lang w:eastAsia="zh-CN"/>
              </w:rPr>
              <w:t>居民，</w:t>
            </w:r>
            <w:r>
              <w:rPr>
                <w:rFonts w:hint="eastAsia"/>
                <w:color w:val="auto"/>
                <w:highlight w:val="none"/>
                <w:lang w:val="en-US" w:eastAsia="zh-CN"/>
              </w:rPr>
              <w:t>30户，</w:t>
            </w:r>
            <w:r>
              <w:rPr>
                <w:rFonts w:hint="eastAsia"/>
                <w:color w:val="auto"/>
                <w:highlight w:val="none"/>
              </w:rPr>
              <w:t>约</w:t>
            </w:r>
            <w:r>
              <w:rPr>
                <w:rFonts w:hint="eastAsia"/>
                <w:color w:val="auto"/>
                <w:highlight w:val="none"/>
                <w:lang w:val="en-US" w:eastAsia="zh-CN"/>
              </w:rPr>
              <w:t>150</w:t>
            </w:r>
            <w:r>
              <w:rPr>
                <w:rFonts w:hint="eastAsia"/>
                <w:color w:val="auto"/>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color w:val="auto"/>
                <w:kern w:val="2"/>
                <w:highlight w:val="none"/>
                <w:lang w:val="en-US" w:eastAsia="zh-CN"/>
              </w:rPr>
            </w:pPr>
            <w:r>
              <w:rPr>
                <w:rFonts w:hint="eastAsia"/>
                <w:color w:val="auto"/>
                <w:kern w:val="2"/>
                <w:highlight w:val="none"/>
                <w:lang w:val="en-US" w:eastAsia="zh-CN"/>
              </w:rPr>
              <w:t>SW</w:t>
            </w:r>
          </w:p>
        </w:tc>
        <w:tc>
          <w:tcPr>
            <w:tcW w:w="539" w:type="pct"/>
            <w:vAlign w:val="center"/>
          </w:tcPr>
          <w:p>
            <w:pPr>
              <w:pStyle w:val="42"/>
              <w:spacing w:line="240" w:lineRule="auto"/>
              <w:ind w:left="0" w:leftChars="0" w:firstLine="0" w:firstLineChars="0"/>
              <w:jc w:val="center"/>
              <w:rPr>
                <w:rFonts w:hint="eastAsia"/>
                <w:color w:val="auto"/>
                <w:kern w:val="2"/>
                <w:highlight w:val="none"/>
                <w:lang w:val="en-US" w:eastAsia="zh-CN"/>
              </w:rPr>
            </w:pPr>
            <w:r>
              <w:rPr>
                <w:rFonts w:hint="eastAsia"/>
                <w:color w:val="auto"/>
                <w:kern w:val="2"/>
                <w:highlight w:val="none"/>
                <w:lang w:val="en-US" w:eastAsia="zh-CN"/>
              </w:rPr>
              <w:t>2141m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114.64185</w:t>
            </w:r>
          </w:p>
        </w:tc>
        <w:tc>
          <w:tcPr>
            <w:tcW w:w="695"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33.06615</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小尹庄</w:t>
            </w:r>
          </w:p>
        </w:tc>
        <w:tc>
          <w:tcPr>
            <w:tcW w:w="828" w:type="pct"/>
            <w:vAlign w:val="center"/>
          </w:tcPr>
          <w:p>
            <w:pPr>
              <w:pStyle w:val="42"/>
              <w:spacing w:line="240" w:lineRule="auto"/>
              <w:ind w:left="0" w:leftChars="0" w:firstLine="0" w:firstLineChars="0"/>
              <w:jc w:val="center"/>
              <w:rPr>
                <w:rFonts w:hint="eastAsia"/>
                <w:color w:val="auto"/>
                <w:highlight w:val="none"/>
                <w:lang w:eastAsia="zh-CN"/>
              </w:rPr>
            </w:pPr>
            <w:r>
              <w:rPr>
                <w:rFonts w:hint="eastAsia"/>
                <w:color w:val="auto"/>
                <w:highlight w:val="none"/>
                <w:lang w:eastAsia="zh-CN"/>
              </w:rPr>
              <w:t>居民，</w:t>
            </w:r>
            <w:r>
              <w:rPr>
                <w:rFonts w:hint="eastAsia"/>
                <w:color w:val="auto"/>
                <w:highlight w:val="none"/>
                <w:lang w:val="en-US" w:eastAsia="zh-CN"/>
              </w:rPr>
              <w:t>217户，</w:t>
            </w:r>
            <w:r>
              <w:rPr>
                <w:rFonts w:hint="eastAsia"/>
                <w:color w:val="auto"/>
                <w:highlight w:val="none"/>
              </w:rPr>
              <w:t>约</w:t>
            </w:r>
            <w:r>
              <w:rPr>
                <w:rFonts w:hint="eastAsia"/>
                <w:color w:val="auto"/>
                <w:highlight w:val="none"/>
                <w:lang w:val="en-US" w:eastAsia="zh-CN"/>
              </w:rPr>
              <w:t>1076</w:t>
            </w:r>
            <w:r>
              <w:rPr>
                <w:rFonts w:hint="eastAsia"/>
                <w:color w:val="auto"/>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color w:val="auto"/>
                <w:kern w:val="2"/>
                <w:highlight w:val="none"/>
                <w:lang w:val="en-US" w:eastAsia="zh-CN"/>
              </w:rPr>
            </w:pPr>
            <w:r>
              <w:rPr>
                <w:rFonts w:hint="eastAsia"/>
                <w:color w:val="auto"/>
                <w:kern w:val="2"/>
                <w:highlight w:val="none"/>
                <w:lang w:val="en-US" w:eastAsia="zh-CN"/>
              </w:rPr>
              <w:t>SW</w:t>
            </w:r>
          </w:p>
        </w:tc>
        <w:tc>
          <w:tcPr>
            <w:tcW w:w="539" w:type="pct"/>
            <w:vAlign w:val="center"/>
          </w:tcPr>
          <w:p>
            <w:pPr>
              <w:pStyle w:val="42"/>
              <w:spacing w:line="240" w:lineRule="auto"/>
              <w:ind w:left="0" w:leftChars="0" w:firstLine="0" w:firstLineChars="0"/>
              <w:jc w:val="center"/>
              <w:rPr>
                <w:rFonts w:hint="eastAsia"/>
                <w:color w:val="auto"/>
                <w:kern w:val="2"/>
                <w:highlight w:val="none"/>
                <w:lang w:val="en-US" w:eastAsia="zh-CN"/>
              </w:rPr>
            </w:pPr>
            <w:r>
              <w:rPr>
                <w:rFonts w:hint="eastAsia"/>
                <w:color w:val="auto"/>
                <w:kern w:val="2"/>
                <w:highlight w:val="none"/>
                <w:lang w:val="en-US" w:eastAsia="zh-CN"/>
              </w:rPr>
              <w:t>2115m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114.64820</w:t>
            </w:r>
          </w:p>
        </w:tc>
        <w:tc>
          <w:tcPr>
            <w:tcW w:w="695"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33.06495</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王楼村</w:t>
            </w:r>
          </w:p>
        </w:tc>
        <w:tc>
          <w:tcPr>
            <w:tcW w:w="828" w:type="pct"/>
            <w:vAlign w:val="center"/>
          </w:tcPr>
          <w:p>
            <w:pPr>
              <w:pStyle w:val="42"/>
              <w:spacing w:line="240" w:lineRule="auto"/>
              <w:ind w:left="0" w:leftChars="0" w:firstLine="0" w:firstLineChars="0"/>
              <w:jc w:val="center"/>
              <w:rPr>
                <w:rFonts w:hint="eastAsia"/>
                <w:color w:val="auto"/>
                <w:highlight w:val="none"/>
                <w:lang w:eastAsia="zh-CN"/>
              </w:rPr>
            </w:pPr>
            <w:r>
              <w:rPr>
                <w:rFonts w:hint="eastAsia"/>
                <w:color w:val="auto"/>
                <w:highlight w:val="none"/>
                <w:lang w:eastAsia="zh-CN"/>
              </w:rPr>
              <w:t>居民，</w:t>
            </w:r>
            <w:r>
              <w:rPr>
                <w:rFonts w:hint="eastAsia"/>
                <w:color w:val="auto"/>
                <w:highlight w:val="none"/>
                <w:lang w:val="en-US" w:eastAsia="zh-CN"/>
              </w:rPr>
              <w:t>156户，</w:t>
            </w:r>
            <w:r>
              <w:rPr>
                <w:rFonts w:hint="eastAsia"/>
                <w:color w:val="auto"/>
                <w:highlight w:val="none"/>
              </w:rPr>
              <w:t>约</w:t>
            </w:r>
            <w:r>
              <w:rPr>
                <w:rFonts w:hint="eastAsia"/>
                <w:color w:val="auto"/>
                <w:highlight w:val="none"/>
                <w:lang w:val="en-US" w:eastAsia="zh-CN"/>
              </w:rPr>
              <w:t>782</w:t>
            </w:r>
            <w:r>
              <w:rPr>
                <w:rFonts w:hint="eastAsia"/>
                <w:color w:val="auto"/>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color w:val="auto"/>
                <w:kern w:val="2"/>
                <w:highlight w:val="none"/>
                <w:lang w:val="en-US" w:eastAsia="zh-CN"/>
              </w:rPr>
            </w:pPr>
            <w:r>
              <w:rPr>
                <w:rFonts w:hint="eastAsia"/>
                <w:color w:val="auto"/>
                <w:kern w:val="2"/>
                <w:highlight w:val="none"/>
                <w:lang w:val="en-US" w:eastAsia="zh-CN"/>
              </w:rPr>
              <w:t>SW</w:t>
            </w:r>
          </w:p>
        </w:tc>
        <w:tc>
          <w:tcPr>
            <w:tcW w:w="539" w:type="pct"/>
            <w:vAlign w:val="center"/>
          </w:tcPr>
          <w:p>
            <w:pPr>
              <w:pStyle w:val="42"/>
              <w:spacing w:line="240" w:lineRule="auto"/>
              <w:ind w:left="0" w:leftChars="0" w:firstLine="0" w:firstLineChars="0"/>
              <w:jc w:val="center"/>
              <w:rPr>
                <w:rFonts w:hint="eastAsia"/>
                <w:color w:val="auto"/>
                <w:kern w:val="2"/>
                <w:highlight w:val="none"/>
                <w:lang w:val="en-US" w:eastAsia="zh-CN"/>
              </w:rPr>
            </w:pPr>
            <w:r>
              <w:rPr>
                <w:rFonts w:hint="eastAsia"/>
                <w:color w:val="auto"/>
                <w:kern w:val="2"/>
                <w:highlight w:val="none"/>
                <w:lang w:val="en-US" w:eastAsia="zh-CN"/>
              </w:rPr>
              <w:t>1930m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114.65524</w:t>
            </w:r>
          </w:p>
        </w:tc>
        <w:tc>
          <w:tcPr>
            <w:tcW w:w="695"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33.06512</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小霍庄</w:t>
            </w:r>
          </w:p>
        </w:tc>
        <w:tc>
          <w:tcPr>
            <w:tcW w:w="828" w:type="pct"/>
            <w:vAlign w:val="center"/>
          </w:tcPr>
          <w:p>
            <w:pPr>
              <w:pStyle w:val="42"/>
              <w:spacing w:line="240" w:lineRule="auto"/>
              <w:ind w:left="0" w:leftChars="0" w:firstLine="0" w:firstLineChars="0"/>
              <w:jc w:val="center"/>
              <w:rPr>
                <w:rFonts w:hint="eastAsia"/>
                <w:color w:val="auto"/>
                <w:highlight w:val="none"/>
                <w:lang w:eastAsia="zh-CN"/>
              </w:rPr>
            </w:pPr>
            <w:r>
              <w:rPr>
                <w:rFonts w:hint="eastAsia"/>
                <w:color w:val="auto"/>
                <w:highlight w:val="none"/>
                <w:lang w:eastAsia="zh-CN"/>
              </w:rPr>
              <w:t>居民，</w:t>
            </w:r>
            <w:r>
              <w:rPr>
                <w:rFonts w:hint="eastAsia"/>
                <w:color w:val="auto"/>
                <w:highlight w:val="none"/>
                <w:lang w:val="en-US" w:eastAsia="zh-CN"/>
              </w:rPr>
              <w:t>84户，</w:t>
            </w:r>
            <w:r>
              <w:rPr>
                <w:rFonts w:hint="eastAsia"/>
                <w:color w:val="auto"/>
                <w:highlight w:val="none"/>
              </w:rPr>
              <w:t>约</w:t>
            </w:r>
            <w:r>
              <w:rPr>
                <w:rFonts w:hint="eastAsia"/>
                <w:color w:val="auto"/>
                <w:highlight w:val="none"/>
                <w:lang w:val="en-US" w:eastAsia="zh-CN"/>
              </w:rPr>
              <w:t>426</w:t>
            </w:r>
            <w:r>
              <w:rPr>
                <w:rFonts w:hint="eastAsia"/>
                <w:color w:val="auto"/>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color w:val="auto"/>
                <w:kern w:val="2"/>
                <w:highlight w:val="none"/>
                <w:lang w:val="en-US" w:eastAsia="zh-CN"/>
              </w:rPr>
            </w:pPr>
            <w:r>
              <w:rPr>
                <w:rFonts w:hint="eastAsia"/>
                <w:color w:val="auto"/>
                <w:kern w:val="2"/>
                <w:highlight w:val="none"/>
                <w:lang w:val="en-US" w:eastAsia="zh-CN"/>
              </w:rPr>
              <w:t>S</w:t>
            </w:r>
          </w:p>
        </w:tc>
        <w:tc>
          <w:tcPr>
            <w:tcW w:w="539" w:type="pct"/>
            <w:vAlign w:val="center"/>
          </w:tcPr>
          <w:p>
            <w:pPr>
              <w:pStyle w:val="42"/>
              <w:spacing w:line="240" w:lineRule="auto"/>
              <w:ind w:left="0" w:leftChars="0" w:firstLine="0" w:firstLineChars="0"/>
              <w:jc w:val="center"/>
              <w:rPr>
                <w:rFonts w:hint="eastAsia"/>
                <w:color w:val="auto"/>
                <w:kern w:val="2"/>
                <w:highlight w:val="none"/>
                <w:lang w:val="en-US" w:eastAsia="zh-CN"/>
              </w:rPr>
            </w:pPr>
            <w:r>
              <w:rPr>
                <w:rFonts w:hint="eastAsia"/>
                <w:color w:val="auto"/>
                <w:kern w:val="2"/>
                <w:highlight w:val="none"/>
                <w:lang w:val="en-US" w:eastAsia="zh-CN"/>
              </w:rPr>
              <w:t>1816m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114.66262</w:t>
            </w:r>
          </w:p>
        </w:tc>
        <w:tc>
          <w:tcPr>
            <w:tcW w:w="695"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33.06471</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叶庄</w:t>
            </w:r>
          </w:p>
        </w:tc>
        <w:tc>
          <w:tcPr>
            <w:tcW w:w="828" w:type="pct"/>
            <w:vAlign w:val="center"/>
          </w:tcPr>
          <w:p>
            <w:pPr>
              <w:pStyle w:val="42"/>
              <w:spacing w:line="240" w:lineRule="auto"/>
              <w:ind w:left="0" w:leftChars="0" w:firstLine="0" w:firstLineChars="0"/>
              <w:jc w:val="center"/>
              <w:rPr>
                <w:rFonts w:hint="eastAsia"/>
                <w:color w:val="auto"/>
                <w:highlight w:val="none"/>
                <w:lang w:eastAsia="zh-CN"/>
              </w:rPr>
            </w:pPr>
            <w:r>
              <w:rPr>
                <w:rFonts w:hint="eastAsia"/>
                <w:color w:val="auto"/>
                <w:highlight w:val="none"/>
                <w:lang w:eastAsia="zh-CN"/>
              </w:rPr>
              <w:t>居民，</w:t>
            </w:r>
            <w:r>
              <w:rPr>
                <w:rFonts w:hint="eastAsia"/>
                <w:color w:val="auto"/>
                <w:highlight w:val="none"/>
                <w:lang w:val="en-US" w:eastAsia="zh-CN"/>
              </w:rPr>
              <w:t>135户，</w:t>
            </w:r>
            <w:r>
              <w:rPr>
                <w:rFonts w:hint="eastAsia"/>
                <w:color w:val="auto"/>
                <w:highlight w:val="none"/>
              </w:rPr>
              <w:t>约</w:t>
            </w:r>
            <w:r>
              <w:rPr>
                <w:rFonts w:hint="eastAsia"/>
                <w:color w:val="auto"/>
                <w:highlight w:val="none"/>
                <w:lang w:val="en-US" w:eastAsia="zh-CN"/>
              </w:rPr>
              <w:t>668</w:t>
            </w:r>
            <w:r>
              <w:rPr>
                <w:rFonts w:hint="eastAsia"/>
                <w:color w:val="auto"/>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color w:val="auto"/>
                <w:kern w:val="2"/>
                <w:highlight w:val="none"/>
                <w:lang w:val="en-US" w:eastAsia="zh-CN"/>
              </w:rPr>
            </w:pPr>
            <w:r>
              <w:rPr>
                <w:rFonts w:hint="eastAsia"/>
                <w:color w:val="auto"/>
                <w:kern w:val="2"/>
                <w:highlight w:val="none"/>
                <w:lang w:val="en-US" w:eastAsia="zh-CN"/>
              </w:rPr>
              <w:t>SE</w:t>
            </w:r>
          </w:p>
        </w:tc>
        <w:tc>
          <w:tcPr>
            <w:tcW w:w="539" w:type="pct"/>
            <w:vAlign w:val="center"/>
          </w:tcPr>
          <w:p>
            <w:pPr>
              <w:pStyle w:val="42"/>
              <w:spacing w:line="240" w:lineRule="auto"/>
              <w:ind w:left="0" w:leftChars="0" w:firstLine="0" w:firstLineChars="0"/>
              <w:jc w:val="center"/>
              <w:rPr>
                <w:rFonts w:hint="eastAsia"/>
                <w:color w:val="auto"/>
                <w:kern w:val="2"/>
                <w:highlight w:val="none"/>
                <w:lang w:val="en-US" w:eastAsia="zh-CN"/>
              </w:rPr>
            </w:pPr>
            <w:r>
              <w:rPr>
                <w:rFonts w:hint="eastAsia"/>
                <w:color w:val="auto"/>
                <w:kern w:val="2"/>
                <w:highlight w:val="none"/>
                <w:lang w:val="en-US" w:eastAsia="zh-CN"/>
              </w:rPr>
              <w:t>1873m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114.64732</w:t>
            </w:r>
          </w:p>
        </w:tc>
        <w:tc>
          <w:tcPr>
            <w:tcW w:w="695"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33.10457</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倪庄</w:t>
            </w:r>
          </w:p>
        </w:tc>
        <w:tc>
          <w:tcPr>
            <w:tcW w:w="828" w:type="pct"/>
            <w:vAlign w:val="center"/>
          </w:tcPr>
          <w:p>
            <w:pPr>
              <w:pStyle w:val="42"/>
              <w:spacing w:line="240" w:lineRule="auto"/>
              <w:ind w:left="0" w:leftChars="0" w:firstLine="0" w:firstLineChars="0"/>
              <w:jc w:val="center"/>
              <w:rPr>
                <w:rFonts w:hint="eastAsia"/>
                <w:color w:val="auto"/>
                <w:highlight w:val="none"/>
                <w:lang w:eastAsia="zh-CN"/>
              </w:rPr>
            </w:pPr>
            <w:r>
              <w:rPr>
                <w:rFonts w:hint="eastAsia"/>
                <w:color w:val="auto"/>
                <w:highlight w:val="none"/>
                <w:lang w:eastAsia="zh-CN"/>
              </w:rPr>
              <w:t>居民，</w:t>
            </w:r>
            <w:r>
              <w:rPr>
                <w:rFonts w:hint="eastAsia"/>
                <w:color w:val="auto"/>
                <w:highlight w:val="none"/>
                <w:lang w:val="en-US" w:eastAsia="zh-CN"/>
              </w:rPr>
              <w:t>132户，</w:t>
            </w:r>
            <w:r>
              <w:rPr>
                <w:rFonts w:hint="eastAsia"/>
                <w:color w:val="auto"/>
                <w:highlight w:val="none"/>
              </w:rPr>
              <w:t>约</w:t>
            </w:r>
            <w:r>
              <w:rPr>
                <w:rFonts w:hint="eastAsia"/>
                <w:color w:val="auto"/>
                <w:highlight w:val="none"/>
                <w:lang w:val="en-US" w:eastAsia="zh-CN"/>
              </w:rPr>
              <w:t>675</w:t>
            </w:r>
            <w:r>
              <w:rPr>
                <w:rFonts w:hint="eastAsia"/>
                <w:color w:val="auto"/>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color w:val="auto"/>
                <w:kern w:val="2"/>
                <w:highlight w:val="none"/>
                <w:lang w:val="en-US" w:eastAsia="zh-CN"/>
              </w:rPr>
            </w:pPr>
            <w:r>
              <w:rPr>
                <w:rFonts w:hint="eastAsia"/>
                <w:color w:val="auto"/>
                <w:kern w:val="2"/>
                <w:highlight w:val="none"/>
                <w:lang w:val="en-US" w:eastAsia="zh-CN"/>
              </w:rPr>
              <w:t>NW</w:t>
            </w:r>
          </w:p>
        </w:tc>
        <w:tc>
          <w:tcPr>
            <w:tcW w:w="539" w:type="pct"/>
            <w:vAlign w:val="center"/>
          </w:tcPr>
          <w:p>
            <w:pPr>
              <w:pStyle w:val="42"/>
              <w:spacing w:line="240" w:lineRule="auto"/>
              <w:ind w:left="0" w:leftChars="0" w:firstLine="0" w:firstLineChars="0"/>
              <w:jc w:val="center"/>
              <w:rPr>
                <w:rFonts w:hint="eastAsia"/>
                <w:color w:val="auto"/>
                <w:kern w:val="2"/>
                <w:highlight w:val="none"/>
                <w:lang w:val="en-US" w:eastAsia="zh-CN"/>
              </w:rPr>
            </w:pPr>
            <w:r>
              <w:rPr>
                <w:rFonts w:hint="eastAsia"/>
                <w:color w:val="auto"/>
                <w:kern w:val="2"/>
                <w:highlight w:val="none"/>
                <w:lang w:val="en-US" w:eastAsia="zh-CN"/>
              </w:rPr>
              <w:t>2140m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114.65453</w:t>
            </w:r>
          </w:p>
        </w:tc>
        <w:tc>
          <w:tcPr>
            <w:tcW w:w="695"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33.10260</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小胡庄</w:t>
            </w:r>
          </w:p>
        </w:tc>
        <w:tc>
          <w:tcPr>
            <w:tcW w:w="82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lang w:eastAsia="zh-CN"/>
              </w:rPr>
              <w:t>居民，</w:t>
            </w:r>
            <w:r>
              <w:rPr>
                <w:rFonts w:hint="eastAsia"/>
                <w:color w:val="auto"/>
                <w:highlight w:val="none"/>
                <w:lang w:val="en-US" w:eastAsia="zh-CN"/>
              </w:rPr>
              <w:t>65户，</w:t>
            </w:r>
            <w:r>
              <w:rPr>
                <w:rFonts w:hint="eastAsia"/>
                <w:color w:val="auto"/>
                <w:highlight w:val="none"/>
              </w:rPr>
              <w:t>约</w:t>
            </w:r>
            <w:r>
              <w:rPr>
                <w:rFonts w:hint="eastAsia"/>
                <w:color w:val="auto"/>
                <w:highlight w:val="none"/>
                <w:lang w:val="en-US" w:eastAsia="zh-CN"/>
              </w:rPr>
              <w:t>335</w:t>
            </w:r>
            <w:r>
              <w:rPr>
                <w:rFonts w:hint="eastAsia"/>
                <w:color w:val="auto"/>
                <w:highlight w:val="none"/>
              </w:rPr>
              <w:t>人</w:t>
            </w:r>
          </w:p>
        </w:tc>
        <w:tc>
          <w:tcPr>
            <w:tcW w:w="757"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NE</w:t>
            </w:r>
          </w:p>
        </w:tc>
        <w:tc>
          <w:tcPr>
            <w:tcW w:w="53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1500m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Align w:val="center"/>
          </w:tcPr>
          <w:p>
            <w:pPr>
              <w:pStyle w:val="42"/>
              <w:spacing w:line="240" w:lineRule="auto"/>
              <w:ind w:left="0" w:leftChars="0" w:firstLine="0" w:firstLineChars="0"/>
              <w:jc w:val="center"/>
              <w:rPr>
                <w:color w:val="auto"/>
                <w:kern w:val="2"/>
                <w:highlight w:val="none"/>
              </w:rPr>
            </w:pPr>
            <w:r>
              <w:rPr>
                <w:rFonts w:hint="eastAsia"/>
                <w:color w:val="auto"/>
                <w:kern w:val="2"/>
                <w:highlight w:val="none"/>
                <w:lang w:eastAsia="zh-CN"/>
              </w:rPr>
              <w:t>地表水</w:t>
            </w:r>
            <w:r>
              <w:rPr>
                <w:color w:val="auto"/>
                <w:kern w:val="2"/>
                <w:highlight w:val="none"/>
              </w:rPr>
              <w:t>环境</w:t>
            </w:r>
          </w:p>
        </w:tc>
        <w:tc>
          <w:tcPr>
            <w:tcW w:w="708"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114.65648</w:t>
            </w:r>
          </w:p>
        </w:tc>
        <w:tc>
          <w:tcPr>
            <w:tcW w:w="695"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33.07872</w:t>
            </w:r>
          </w:p>
        </w:tc>
        <w:tc>
          <w:tcPr>
            <w:tcW w:w="643" w:type="pct"/>
            <w:vAlign w:val="center"/>
          </w:tcPr>
          <w:p>
            <w:pPr>
              <w:pStyle w:val="42"/>
              <w:spacing w:line="240" w:lineRule="auto"/>
              <w:ind w:left="0" w:leftChars="0" w:firstLine="0" w:firstLineChars="0"/>
              <w:jc w:val="center"/>
              <w:rPr>
                <w:rFonts w:hint="eastAsia"/>
                <w:color w:val="auto"/>
                <w:kern w:val="2"/>
                <w:highlight w:val="none"/>
                <w:lang w:eastAsia="zh-CN"/>
              </w:rPr>
            </w:pPr>
            <w:r>
              <w:rPr>
                <w:rFonts w:hint="eastAsia"/>
                <w:color w:val="auto"/>
                <w:kern w:val="2"/>
                <w:highlight w:val="none"/>
                <w:lang w:eastAsia="zh-CN"/>
              </w:rPr>
              <w:t>洪河</w:t>
            </w:r>
          </w:p>
        </w:tc>
        <w:tc>
          <w:tcPr>
            <w:tcW w:w="828" w:type="pct"/>
            <w:vAlign w:val="center"/>
          </w:tcPr>
          <w:p>
            <w:pPr>
              <w:pStyle w:val="42"/>
              <w:spacing w:line="240" w:lineRule="auto"/>
              <w:ind w:left="0" w:leftChars="0" w:firstLine="0" w:firstLineChars="0"/>
              <w:jc w:val="center"/>
              <w:rPr>
                <w:rFonts w:hint="eastAsia"/>
                <w:color w:val="auto"/>
                <w:kern w:val="2"/>
                <w:highlight w:val="none"/>
              </w:rPr>
            </w:pPr>
            <w:r>
              <w:rPr>
                <w:color w:val="auto"/>
                <w:kern w:val="2"/>
                <w:highlight w:val="none"/>
              </w:rPr>
              <w:t>小河</w:t>
            </w:r>
          </w:p>
        </w:tc>
        <w:tc>
          <w:tcPr>
            <w:tcW w:w="757" w:type="pct"/>
            <w:vAlign w:val="center"/>
          </w:tcPr>
          <w:p>
            <w:pPr>
              <w:pStyle w:val="42"/>
              <w:spacing w:line="240" w:lineRule="auto"/>
              <w:ind w:left="0" w:leftChars="0" w:firstLine="0" w:firstLineChars="0"/>
              <w:jc w:val="center"/>
              <w:rPr>
                <w:color w:val="auto"/>
                <w:kern w:val="2"/>
                <w:highlight w:val="none"/>
              </w:rPr>
            </w:pPr>
            <w:r>
              <w:rPr>
                <w:rFonts w:hint="eastAsia"/>
                <w:color w:val="auto"/>
                <w:kern w:val="2"/>
                <w:highlight w:val="none"/>
              </w:rPr>
              <w:t>《地表水环境质量标准》(GB3838-2002)Ⅲ类功能区</w:t>
            </w:r>
          </w:p>
        </w:tc>
        <w:tc>
          <w:tcPr>
            <w:tcW w:w="449" w:type="pct"/>
            <w:vAlign w:val="center"/>
          </w:tcPr>
          <w:p>
            <w:pPr>
              <w:pStyle w:val="42"/>
              <w:spacing w:line="240" w:lineRule="auto"/>
              <w:ind w:left="0" w:leftChars="0" w:firstLine="0" w:firstLineChars="0"/>
              <w:jc w:val="center"/>
              <w:rPr>
                <w:rFonts w:hint="eastAsia"/>
                <w:color w:val="auto"/>
                <w:kern w:val="2"/>
                <w:highlight w:val="none"/>
                <w:lang w:val="en-US" w:eastAsia="zh-CN"/>
              </w:rPr>
            </w:pPr>
            <w:r>
              <w:rPr>
                <w:rFonts w:hint="eastAsia"/>
                <w:color w:val="auto"/>
                <w:kern w:val="2"/>
                <w:highlight w:val="none"/>
                <w:lang w:val="en-US" w:eastAsia="zh-CN"/>
              </w:rPr>
              <w:t>S</w:t>
            </w:r>
          </w:p>
        </w:tc>
        <w:tc>
          <w:tcPr>
            <w:tcW w:w="539" w:type="pct"/>
            <w:vAlign w:val="center"/>
          </w:tcPr>
          <w:p>
            <w:pPr>
              <w:pStyle w:val="42"/>
              <w:spacing w:line="240" w:lineRule="auto"/>
              <w:ind w:left="0" w:leftChars="0" w:firstLine="0" w:firstLineChars="0"/>
              <w:jc w:val="center"/>
              <w:rPr>
                <w:rFonts w:hint="eastAsia"/>
                <w:color w:val="auto"/>
                <w:kern w:val="2"/>
                <w:highlight w:val="none"/>
                <w:lang w:val="en-US" w:eastAsia="zh-CN"/>
              </w:rPr>
            </w:pPr>
            <w:r>
              <w:rPr>
                <w:rFonts w:hint="eastAsia"/>
                <w:color w:val="auto"/>
                <w:kern w:val="2"/>
                <w:highlight w:val="none"/>
                <w:lang w:val="en-US" w:eastAsia="zh-CN"/>
              </w:rPr>
              <w:t>33</w:t>
            </w:r>
            <w:r>
              <w:rPr>
                <w:rFonts w:hint="eastAsia"/>
                <w:color w:val="auto"/>
                <w:kern w:val="2"/>
                <w:highlight w:val="none"/>
              </w:rPr>
              <w:t>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Align w:val="center"/>
          </w:tcPr>
          <w:p>
            <w:pPr>
              <w:pStyle w:val="42"/>
              <w:spacing w:line="240" w:lineRule="auto"/>
              <w:ind w:left="0" w:leftChars="0" w:firstLine="0" w:firstLineChars="0"/>
              <w:jc w:val="center"/>
              <w:rPr>
                <w:rFonts w:hint="eastAsia"/>
                <w:color w:val="auto"/>
                <w:kern w:val="2"/>
                <w:highlight w:val="none"/>
                <w:lang w:eastAsia="zh-CN"/>
              </w:rPr>
            </w:pPr>
            <w:r>
              <w:rPr>
                <w:rFonts w:hint="eastAsia"/>
                <w:color w:val="auto"/>
                <w:kern w:val="2"/>
                <w:highlight w:val="none"/>
                <w:lang w:eastAsia="zh-CN"/>
              </w:rPr>
              <w:t>地下水环境</w:t>
            </w:r>
          </w:p>
        </w:tc>
        <w:tc>
          <w:tcPr>
            <w:tcW w:w="2875" w:type="pct"/>
            <w:gridSpan w:val="4"/>
            <w:vAlign w:val="center"/>
          </w:tcPr>
          <w:p>
            <w:pPr>
              <w:pStyle w:val="42"/>
              <w:spacing w:line="240" w:lineRule="auto"/>
              <w:ind w:left="0" w:leftChars="0" w:firstLine="0" w:firstLineChars="0"/>
              <w:jc w:val="center"/>
              <w:rPr>
                <w:color w:val="auto"/>
                <w:kern w:val="2"/>
                <w:highlight w:val="none"/>
              </w:rPr>
            </w:pPr>
            <w:r>
              <w:rPr>
                <w:rFonts w:hint="eastAsia"/>
                <w:color w:val="auto"/>
                <w:kern w:val="2"/>
                <w:highlight w:val="none"/>
                <w:lang w:eastAsia="zh-CN"/>
              </w:rPr>
              <w:t>场区下游村庄地下水、配套沼液消纳地附近村庄地下水</w:t>
            </w:r>
          </w:p>
        </w:tc>
        <w:tc>
          <w:tcPr>
            <w:tcW w:w="757" w:type="pct"/>
            <w:vAlign w:val="center"/>
          </w:tcPr>
          <w:p>
            <w:pPr>
              <w:pStyle w:val="42"/>
              <w:spacing w:line="240" w:lineRule="auto"/>
              <w:ind w:left="0" w:leftChars="0" w:firstLine="0" w:firstLineChars="0"/>
              <w:jc w:val="center"/>
              <w:rPr>
                <w:color w:val="auto"/>
                <w:kern w:val="2"/>
                <w:highlight w:val="none"/>
              </w:rPr>
            </w:pPr>
            <w:r>
              <w:rPr>
                <w:rFonts w:hint="eastAsia"/>
                <w:color w:val="auto"/>
                <w:kern w:val="2"/>
                <w:highlight w:val="none"/>
              </w:rPr>
              <w:t>《地下水质量标准》（GB/T 14848-2017）Ⅲ类功能区</w:t>
            </w:r>
          </w:p>
        </w:tc>
        <w:tc>
          <w:tcPr>
            <w:tcW w:w="449" w:type="pct"/>
            <w:vAlign w:val="center"/>
          </w:tcPr>
          <w:p>
            <w:pPr>
              <w:pStyle w:val="42"/>
              <w:spacing w:line="240" w:lineRule="auto"/>
              <w:ind w:left="0" w:leftChars="0" w:firstLine="0" w:firstLineChars="0"/>
              <w:jc w:val="center"/>
              <w:rPr>
                <w:rFonts w:hint="eastAsia"/>
                <w:color w:val="auto"/>
                <w:kern w:val="2"/>
                <w:highlight w:val="none"/>
                <w:lang w:val="en-US" w:eastAsia="zh-CN"/>
              </w:rPr>
            </w:pPr>
            <w:r>
              <w:rPr>
                <w:rFonts w:hint="eastAsia"/>
                <w:color w:val="auto"/>
                <w:kern w:val="2"/>
                <w:highlight w:val="none"/>
                <w:lang w:val="en-US" w:eastAsia="zh-CN"/>
              </w:rPr>
              <w:t>/</w:t>
            </w:r>
          </w:p>
        </w:tc>
        <w:tc>
          <w:tcPr>
            <w:tcW w:w="539" w:type="pct"/>
            <w:vAlign w:val="center"/>
          </w:tcPr>
          <w:p>
            <w:pPr>
              <w:pStyle w:val="42"/>
              <w:spacing w:line="240" w:lineRule="auto"/>
              <w:ind w:left="0" w:leftChars="0" w:firstLine="0" w:firstLineChars="0"/>
              <w:jc w:val="center"/>
              <w:rPr>
                <w:rFonts w:hint="eastAsia"/>
                <w:color w:val="auto"/>
                <w:kern w:val="2"/>
                <w:highlight w:val="none"/>
                <w:lang w:val="en-US" w:eastAsia="zh-CN"/>
              </w:rPr>
            </w:pPr>
            <w:r>
              <w:rPr>
                <w:rFonts w:hint="eastAsia"/>
                <w:color w:val="auto"/>
                <w:kern w:val="2"/>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378" w:type="pct"/>
            <w:vAlign w:val="center"/>
          </w:tcPr>
          <w:p>
            <w:pPr>
              <w:pStyle w:val="42"/>
              <w:spacing w:line="240" w:lineRule="auto"/>
              <w:ind w:left="0" w:leftChars="0" w:firstLine="0" w:firstLineChars="0"/>
              <w:jc w:val="center"/>
              <w:rPr>
                <w:color w:val="auto"/>
                <w:kern w:val="2"/>
                <w:highlight w:val="none"/>
              </w:rPr>
            </w:pPr>
            <w:r>
              <w:rPr>
                <w:color w:val="auto"/>
                <w:kern w:val="2"/>
                <w:highlight w:val="none"/>
              </w:rPr>
              <w:t>声环境</w:t>
            </w:r>
          </w:p>
        </w:tc>
        <w:tc>
          <w:tcPr>
            <w:tcW w:w="2875" w:type="pct"/>
            <w:gridSpan w:val="4"/>
            <w:vAlign w:val="center"/>
          </w:tcPr>
          <w:p>
            <w:pPr>
              <w:pStyle w:val="42"/>
              <w:spacing w:line="240" w:lineRule="auto"/>
              <w:ind w:left="0" w:leftChars="0" w:firstLine="0" w:firstLineChars="0"/>
              <w:jc w:val="center"/>
              <w:rPr>
                <w:rFonts w:hint="default" w:eastAsia="宋体"/>
                <w:color w:val="auto"/>
                <w:kern w:val="2"/>
                <w:highlight w:val="none"/>
                <w:lang w:val="en-US" w:eastAsia="zh-CN"/>
              </w:rPr>
            </w:pPr>
            <w:r>
              <w:rPr>
                <w:rFonts w:hint="eastAsia"/>
                <w:color w:val="auto"/>
                <w:kern w:val="2"/>
                <w:highlight w:val="none"/>
              </w:rPr>
              <w:t>场界四周</w:t>
            </w:r>
            <w:r>
              <w:rPr>
                <w:rFonts w:hint="eastAsia"/>
                <w:color w:val="auto"/>
                <w:kern w:val="2"/>
                <w:highlight w:val="none"/>
                <w:lang w:val="en-US" w:eastAsia="zh-CN"/>
              </w:rPr>
              <w:t>200m范围</w:t>
            </w:r>
          </w:p>
        </w:tc>
        <w:tc>
          <w:tcPr>
            <w:tcW w:w="757" w:type="pct"/>
            <w:vAlign w:val="center"/>
          </w:tcPr>
          <w:p>
            <w:pPr>
              <w:pStyle w:val="42"/>
              <w:spacing w:line="240" w:lineRule="auto"/>
              <w:ind w:left="0" w:leftChars="0" w:firstLine="0" w:firstLineChars="0"/>
              <w:jc w:val="center"/>
              <w:rPr>
                <w:color w:val="auto"/>
                <w:kern w:val="2"/>
                <w:highlight w:val="none"/>
              </w:rPr>
            </w:pPr>
            <w:r>
              <w:rPr>
                <w:rFonts w:hint="eastAsia"/>
                <w:color w:val="auto"/>
                <w:kern w:val="2"/>
                <w:highlight w:val="none"/>
                <w:lang w:val="en-US" w:eastAsia="zh-CN"/>
              </w:rPr>
              <w:t>《声环境质量标准》（GB3096-2008）2</w:t>
            </w:r>
            <w:r>
              <w:rPr>
                <w:color w:val="auto"/>
                <w:kern w:val="2"/>
                <w:highlight w:val="none"/>
              </w:rPr>
              <w:t>类</w:t>
            </w:r>
            <w:r>
              <w:rPr>
                <w:rFonts w:hint="eastAsia"/>
                <w:color w:val="auto"/>
                <w:kern w:val="2"/>
                <w:highlight w:val="none"/>
              </w:rPr>
              <w:t>功能区</w:t>
            </w:r>
          </w:p>
        </w:tc>
        <w:tc>
          <w:tcPr>
            <w:tcW w:w="449" w:type="pct"/>
            <w:vAlign w:val="center"/>
          </w:tcPr>
          <w:p>
            <w:pPr>
              <w:pStyle w:val="42"/>
              <w:spacing w:line="240" w:lineRule="auto"/>
              <w:ind w:left="0" w:leftChars="0" w:firstLine="0" w:firstLineChars="0"/>
              <w:jc w:val="center"/>
              <w:rPr>
                <w:color w:val="auto"/>
                <w:kern w:val="2"/>
                <w:highlight w:val="none"/>
              </w:rPr>
            </w:pPr>
            <w:r>
              <w:rPr>
                <w:rFonts w:hint="eastAsia"/>
                <w:color w:val="auto"/>
                <w:kern w:val="2"/>
                <w:highlight w:val="none"/>
                <w:lang w:val="en-US" w:eastAsia="zh-CN"/>
              </w:rPr>
              <w:t>/</w:t>
            </w:r>
          </w:p>
        </w:tc>
        <w:tc>
          <w:tcPr>
            <w:tcW w:w="539" w:type="pct"/>
            <w:vAlign w:val="center"/>
          </w:tcPr>
          <w:p>
            <w:pPr>
              <w:pStyle w:val="42"/>
              <w:spacing w:line="240" w:lineRule="auto"/>
              <w:ind w:left="0" w:leftChars="0" w:firstLine="0" w:firstLineChars="0"/>
              <w:jc w:val="center"/>
              <w:rPr>
                <w:color w:val="auto"/>
                <w:kern w:val="2"/>
                <w:highlight w:val="none"/>
              </w:rPr>
            </w:pPr>
            <w:r>
              <w:rPr>
                <w:rFonts w:hint="eastAsia"/>
                <w:color w:val="auto"/>
                <w:kern w:val="2"/>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Align w:val="center"/>
          </w:tcPr>
          <w:p>
            <w:pPr>
              <w:pStyle w:val="42"/>
              <w:spacing w:line="240" w:lineRule="auto"/>
              <w:ind w:left="0" w:leftChars="0" w:firstLine="0" w:firstLineChars="0"/>
              <w:jc w:val="center"/>
              <w:rPr>
                <w:rFonts w:hint="default"/>
                <w:color w:val="auto"/>
                <w:kern w:val="2"/>
                <w:highlight w:val="none"/>
                <w:lang w:val="en-US" w:eastAsia="zh-CN"/>
              </w:rPr>
            </w:pPr>
            <w:r>
              <w:rPr>
                <w:rFonts w:hint="eastAsia"/>
                <w:color w:val="auto"/>
                <w:kern w:val="2"/>
                <w:highlight w:val="none"/>
                <w:lang w:val="en-US" w:eastAsia="zh-CN"/>
              </w:rPr>
              <w:t>土壤</w:t>
            </w:r>
          </w:p>
        </w:tc>
        <w:tc>
          <w:tcPr>
            <w:tcW w:w="2875" w:type="pct"/>
            <w:gridSpan w:val="4"/>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配套沼液消纳地附近土壤环境</w:t>
            </w:r>
          </w:p>
        </w:tc>
        <w:tc>
          <w:tcPr>
            <w:tcW w:w="757" w:type="pct"/>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《土壤环境质量农用地土壤污染风险管控标准》（GB15618-2018）</w:t>
            </w:r>
          </w:p>
        </w:tc>
        <w:tc>
          <w:tcPr>
            <w:tcW w:w="449" w:type="pct"/>
            <w:vAlign w:val="center"/>
          </w:tcPr>
          <w:p>
            <w:pPr>
              <w:pStyle w:val="42"/>
              <w:spacing w:line="240" w:lineRule="auto"/>
              <w:ind w:left="0" w:leftChars="0" w:firstLine="0" w:firstLineChars="0"/>
              <w:jc w:val="center"/>
              <w:rPr>
                <w:rFonts w:hint="eastAsia"/>
                <w:color w:val="auto"/>
                <w:kern w:val="2"/>
                <w:highlight w:val="none"/>
                <w:lang w:val="en-US" w:eastAsia="zh-CN"/>
              </w:rPr>
            </w:pPr>
            <w:r>
              <w:rPr>
                <w:rFonts w:hint="eastAsia"/>
                <w:color w:val="auto"/>
                <w:kern w:val="2"/>
                <w:highlight w:val="none"/>
                <w:lang w:val="en-US" w:eastAsia="zh-CN"/>
              </w:rPr>
              <w:t>/</w:t>
            </w:r>
          </w:p>
        </w:tc>
        <w:tc>
          <w:tcPr>
            <w:tcW w:w="539" w:type="pct"/>
            <w:vAlign w:val="center"/>
          </w:tcPr>
          <w:p>
            <w:pPr>
              <w:pStyle w:val="42"/>
              <w:spacing w:line="240" w:lineRule="auto"/>
              <w:ind w:left="0" w:leftChars="0" w:firstLine="0" w:firstLineChars="0"/>
              <w:jc w:val="center"/>
              <w:rPr>
                <w:rFonts w:hint="eastAsia"/>
                <w:color w:val="auto"/>
                <w:kern w:val="2"/>
                <w:highlight w:val="none"/>
                <w:lang w:val="en-US" w:eastAsia="zh-CN"/>
              </w:rPr>
            </w:pPr>
            <w:r>
              <w:rPr>
                <w:rFonts w:hint="eastAsia"/>
                <w:color w:val="auto"/>
                <w:kern w:val="2"/>
                <w:highlight w:val="none"/>
                <w:lang w:val="en-US" w:eastAsia="zh-CN"/>
              </w:rPr>
              <w:t>/</w:t>
            </w:r>
          </w:p>
        </w:tc>
      </w:tr>
    </w:tbl>
    <w:p>
      <w:pPr>
        <w:pStyle w:val="4"/>
        <w:spacing w:beforeLines="0"/>
        <w:rPr>
          <w:rFonts w:cs="Times New Roman"/>
          <w:color w:val="auto"/>
          <w:highlight w:val="none"/>
        </w:rPr>
      </w:pPr>
      <w:bookmarkStart w:id="12" w:name="_Toc10871"/>
      <w:r>
        <w:rPr>
          <w:rFonts w:hint="eastAsia" w:cs="Times New Roman"/>
          <w:color w:val="auto"/>
          <w:highlight w:val="none"/>
          <w:lang w:val="en-US" w:eastAsia="zh-CN"/>
        </w:rPr>
        <w:t>1.10</w:t>
      </w:r>
      <w:r>
        <w:rPr>
          <w:rFonts w:cs="Times New Roman"/>
          <w:color w:val="auto"/>
          <w:highlight w:val="none"/>
        </w:rPr>
        <w:t>评价工作程序</w:t>
      </w:r>
      <w:bookmarkEnd w:id="12"/>
    </w:p>
    <w:p>
      <w:pPr>
        <w:ind w:firstLine="480"/>
        <w:rPr>
          <w:color w:val="auto"/>
          <w:highlight w:val="none"/>
        </w:rPr>
      </w:pPr>
      <w:r>
        <w:rPr>
          <w:color w:val="auto"/>
          <w:highlight w:val="none"/>
        </w:rPr>
        <w:t>环境影响评价的工作程序详见图</w:t>
      </w:r>
      <w:r>
        <w:rPr>
          <w:rFonts w:hint="eastAsia"/>
          <w:color w:val="auto"/>
          <w:highlight w:val="none"/>
          <w:lang w:val="en-US" w:eastAsia="zh-CN"/>
        </w:rPr>
        <w:t>1.10</w:t>
      </w:r>
      <w:r>
        <w:rPr>
          <w:color w:val="auto"/>
          <w:highlight w:val="none"/>
        </w:rPr>
        <w:t>-1</w:t>
      </w:r>
      <w:r>
        <w:rPr>
          <w:rFonts w:hint="eastAsia"/>
          <w:color w:val="auto"/>
          <w:highlight w:val="none"/>
        </w:rPr>
        <w:t>。</w:t>
      </w:r>
    </w:p>
    <w:p>
      <w:pPr>
        <w:ind w:firstLine="0" w:firstLineChars="0"/>
        <w:rPr>
          <w:rFonts w:cs="Times New Roman"/>
          <w:color w:val="auto"/>
          <w:highlight w:val="none"/>
        </w:rPr>
      </w:pPr>
      <w:r>
        <w:rPr>
          <w:rFonts w:cs="Times New Roman"/>
          <w:color w:val="auto"/>
          <w:highlight w:val="none"/>
        </w:rPr>
        <w:drawing>
          <wp:inline distT="0" distB="0" distL="114300" distR="114300">
            <wp:extent cx="4745355" cy="6794500"/>
            <wp:effectExtent l="0" t="0" r="1714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4745355" cy="6794500"/>
                    </a:xfrm>
                    <a:prstGeom prst="rect">
                      <a:avLst/>
                    </a:prstGeom>
                    <a:noFill/>
                    <a:ln w="9525">
                      <a:noFill/>
                    </a:ln>
                  </pic:spPr>
                </pic:pic>
              </a:graphicData>
            </a:graphic>
          </wp:inline>
        </w:drawing>
      </w:r>
    </w:p>
    <w:p>
      <w:pPr>
        <w:pStyle w:val="40"/>
        <w:rPr>
          <w:rFonts w:cs="Times New Roman"/>
          <w:color w:val="auto"/>
          <w:highlight w:val="none"/>
        </w:rPr>
        <w:sectPr>
          <w:footerReference r:id="rId10" w:type="default"/>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r>
        <w:rPr>
          <w:rFonts w:cs="Times New Roman"/>
          <w:color w:val="auto"/>
          <w:highlight w:val="none"/>
        </w:rPr>
        <w:t>图1.</w:t>
      </w:r>
      <w:r>
        <w:rPr>
          <w:rFonts w:hint="eastAsia" w:cs="Times New Roman"/>
          <w:color w:val="auto"/>
          <w:highlight w:val="none"/>
          <w:lang w:val="en-US" w:eastAsia="zh-CN"/>
        </w:rPr>
        <w:t>10</w:t>
      </w:r>
      <w:r>
        <w:rPr>
          <w:rFonts w:cs="Times New Roman"/>
          <w:color w:val="auto"/>
          <w:highlight w:val="none"/>
        </w:rPr>
        <w:t>-1评价工作程序</w:t>
      </w:r>
    </w:p>
    <w:p>
      <w:pPr>
        <w:pStyle w:val="3"/>
        <w:spacing w:before="166" w:after="166"/>
        <w:rPr>
          <w:rFonts w:hint="eastAsia" w:eastAsia="宋体"/>
          <w:color w:val="auto"/>
          <w:highlight w:val="none"/>
          <w:lang w:eastAsia="zh-CN"/>
        </w:rPr>
      </w:pPr>
      <w:bookmarkStart w:id="13" w:name="_Toc30973"/>
      <w:r>
        <w:rPr>
          <w:color w:val="auto"/>
          <w:highlight w:val="none"/>
        </w:rPr>
        <w:t>2</w:t>
      </w:r>
      <w:r>
        <w:rPr>
          <w:rFonts w:hint="eastAsia"/>
          <w:color w:val="auto"/>
          <w:highlight w:val="none"/>
        </w:rPr>
        <w:t>项目概况</w:t>
      </w:r>
      <w:r>
        <w:rPr>
          <w:rFonts w:hint="eastAsia"/>
          <w:color w:val="auto"/>
          <w:highlight w:val="none"/>
          <w:lang w:eastAsia="zh-CN"/>
        </w:rPr>
        <w:t>及工程分析</w:t>
      </w:r>
      <w:bookmarkEnd w:id="13"/>
    </w:p>
    <w:p>
      <w:pPr>
        <w:pStyle w:val="4"/>
        <w:spacing w:beforeLines="0"/>
        <w:rPr>
          <w:color w:val="auto"/>
          <w:highlight w:val="none"/>
        </w:rPr>
      </w:pPr>
      <w:bookmarkStart w:id="14" w:name="_Toc3066"/>
      <w:r>
        <w:rPr>
          <w:rFonts w:cs="Times New Roman"/>
          <w:color w:val="auto"/>
          <w:highlight w:val="none"/>
        </w:rPr>
        <w:t>2.</w:t>
      </w:r>
      <w:r>
        <w:rPr>
          <w:rFonts w:hint="eastAsia" w:cs="Times New Roman"/>
          <w:color w:val="auto"/>
          <w:highlight w:val="none"/>
        </w:rPr>
        <w:t>1</w:t>
      </w:r>
      <w:r>
        <w:rPr>
          <w:color w:val="auto"/>
          <w:highlight w:val="none"/>
        </w:rPr>
        <w:t>工程基本情况</w:t>
      </w:r>
      <w:bookmarkEnd w:id="14"/>
    </w:p>
    <w:p>
      <w:pPr>
        <w:ind w:firstLine="480"/>
        <w:rPr>
          <w:rFonts w:cs="Times New Roman"/>
          <w:color w:val="auto"/>
          <w:highlight w:val="none"/>
        </w:rPr>
      </w:pPr>
      <w:r>
        <w:rPr>
          <w:rFonts w:cs="Times New Roman"/>
          <w:color w:val="auto"/>
          <w:highlight w:val="none"/>
        </w:rPr>
        <w:t>项目名称：</w:t>
      </w:r>
      <w:r>
        <w:rPr>
          <w:rFonts w:hint="eastAsia"/>
          <w:color w:val="auto"/>
          <w:highlight w:val="none"/>
        </w:rPr>
        <w:t>平舆牧原农牧有限公司平舆四场生猪养殖项目</w:t>
      </w:r>
    </w:p>
    <w:p>
      <w:pPr>
        <w:ind w:firstLine="480"/>
        <w:rPr>
          <w:rFonts w:cs="Times New Roman"/>
          <w:color w:val="auto"/>
          <w:highlight w:val="none"/>
        </w:rPr>
      </w:pPr>
      <w:r>
        <w:rPr>
          <w:rFonts w:cs="Times New Roman"/>
          <w:color w:val="auto"/>
          <w:highlight w:val="none"/>
        </w:rPr>
        <w:t>建设单位：</w:t>
      </w:r>
      <w:r>
        <w:rPr>
          <w:rFonts w:hint="eastAsia"/>
          <w:color w:val="auto"/>
          <w:highlight w:val="none"/>
        </w:rPr>
        <w:t>平舆牧原农牧有限公司</w:t>
      </w:r>
    </w:p>
    <w:p>
      <w:pPr>
        <w:ind w:firstLine="480"/>
        <w:rPr>
          <w:rFonts w:cs="Times New Roman"/>
          <w:color w:val="auto"/>
          <w:highlight w:val="none"/>
        </w:rPr>
      </w:pPr>
      <w:r>
        <w:rPr>
          <w:rFonts w:cs="Times New Roman"/>
          <w:color w:val="auto"/>
          <w:highlight w:val="none"/>
        </w:rPr>
        <w:t>建设性质：</w:t>
      </w:r>
      <w:r>
        <w:rPr>
          <w:rFonts w:hint="eastAsia" w:cs="Times New Roman"/>
          <w:color w:val="auto"/>
          <w:highlight w:val="none"/>
        </w:rPr>
        <w:t>新建</w:t>
      </w:r>
    </w:p>
    <w:p>
      <w:pPr>
        <w:ind w:firstLine="480"/>
        <w:rPr>
          <w:rFonts w:hint="eastAsia" w:eastAsia="宋体" w:cs="Times New Roman"/>
          <w:color w:val="auto"/>
          <w:highlight w:val="none"/>
          <w:lang w:eastAsia="zh-CN"/>
        </w:rPr>
      </w:pPr>
      <w:r>
        <w:rPr>
          <w:rFonts w:hint="eastAsia" w:cs="Times New Roman"/>
          <w:color w:val="auto"/>
          <w:highlight w:val="none"/>
        </w:rPr>
        <w:t>建设地点</w:t>
      </w:r>
      <w:r>
        <w:rPr>
          <w:rFonts w:cs="Times New Roman"/>
          <w:color w:val="auto"/>
          <w:highlight w:val="none"/>
        </w:rPr>
        <w:t>：</w:t>
      </w:r>
      <w:r>
        <w:rPr>
          <w:rFonts w:hint="eastAsia" w:cs="Times New Roman"/>
          <w:color w:val="auto"/>
          <w:highlight w:val="none"/>
        </w:rPr>
        <w:t>河南省</w:t>
      </w:r>
      <w:r>
        <w:rPr>
          <w:rFonts w:hint="eastAsia" w:cs="Times New Roman"/>
          <w:color w:val="auto"/>
          <w:highlight w:val="none"/>
          <w:lang w:eastAsia="zh-CN"/>
        </w:rPr>
        <w:t>驻马店市</w:t>
      </w:r>
      <w:r>
        <w:rPr>
          <w:rFonts w:hint="eastAsia" w:cs="Times New Roman"/>
          <w:color w:val="auto"/>
          <w:highlight w:val="none"/>
        </w:rPr>
        <w:t>平舆县庙湾</w:t>
      </w:r>
      <w:r>
        <w:rPr>
          <w:rFonts w:hint="eastAsia" w:cs="Times New Roman"/>
          <w:color w:val="auto"/>
          <w:highlight w:val="none"/>
          <w:lang w:eastAsia="zh-CN"/>
        </w:rPr>
        <w:t>乡</w:t>
      </w:r>
      <w:r>
        <w:rPr>
          <w:rFonts w:hint="eastAsia" w:cs="Times New Roman"/>
          <w:color w:val="auto"/>
          <w:highlight w:val="none"/>
        </w:rPr>
        <w:t>赵庄村</w:t>
      </w:r>
    </w:p>
    <w:p>
      <w:pPr>
        <w:ind w:firstLine="480"/>
        <w:rPr>
          <w:rFonts w:cs="Times New Roman"/>
          <w:color w:val="auto"/>
          <w:highlight w:val="none"/>
        </w:rPr>
      </w:pPr>
      <w:r>
        <w:rPr>
          <w:rFonts w:hint="eastAsia" w:cs="Times New Roman"/>
          <w:color w:val="auto"/>
          <w:highlight w:val="none"/>
        </w:rPr>
        <w:t>占地面积</w:t>
      </w:r>
      <w:r>
        <w:rPr>
          <w:rFonts w:cs="Times New Roman"/>
          <w:color w:val="auto"/>
          <w:highlight w:val="none"/>
        </w:rPr>
        <w:t>：</w:t>
      </w:r>
      <w:r>
        <w:rPr>
          <w:rFonts w:hint="eastAsia" w:cs="Times New Roman"/>
          <w:color w:val="auto"/>
          <w:highlight w:val="none"/>
        </w:rPr>
        <w:t>项目总占地面积</w:t>
      </w:r>
      <w:r>
        <w:rPr>
          <w:rFonts w:hint="eastAsia" w:cs="Times New Roman"/>
          <w:color w:val="auto"/>
          <w:highlight w:val="none"/>
          <w:lang w:val="en-US" w:eastAsia="zh-CN"/>
        </w:rPr>
        <w:t>250</w:t>
      </w:r>
      <w:r>
        <w:rPr>
          <w:rFonts w:hint="eastAsia" w:cs="Times New Roman"/>
          <w:color w:val="auto"/>
          <w:highlight w:val="none"/>
        </w:rPr>
        <w:t>亩</w:t>
      </w:r>
    </w:p>
    <w:p>
      <w:pPr>
        <w:ind w:firstLine="480"/>
        <w:rPr>
          <w:rFonts w:cs="Times New Roman"/>
          <w:color w:val="auto"/>
          <w:highlight w:val="none"/>
        </w:rPr>
      </w:pPr>
      <w:r>
        <w:rPr>
          <w:rFonts w:hint="eastAsia" w:cs="Times New Roman"/>
          <w:color w:val="auto"/>
          <w:highlight w:val="none"/>
        </w:rPr>
        <w:t>建设内容：生猪养殖项目</w:t>
      </w:r>
    </w:p>
    <w:p>
      <w:pPr>
        <w:ind w:firstLine="480"/>
        <w:rPr>
          <w:rFonts w:hint="eastAsia" w:eastAsia="宋体" w:cs="Times New Roman"/>
          <w:color w:val="auto"/>
          <w:highlight w:val="none"/>
          <w:lang w:eastAsia="zh-CN"/>
        </w:rPr>
      </w:pPr>
      <w:r>
        <w:rPr>
          <w:rFonts w:hint="eastAsia" w:cs="Times New Roman"/>
          <w:color w:val="auto"/>
          <w:highlight w:val="none"/>
        </w:rPr>
        <w:t>建设规模：</w:t>
      </w:r>
      <w:r>
        <w:rPr>
          <w:rFonts w:hint="eastAsia" w:cs="Times New Roman"/>
          <w:color w:val="auto"/>
          <w:highlight w:val="none"/>
          <w:lang w:eastAsia="zh-CN"/>
        </w:rPr>
        <w:t>年</w:t>
      </w:r>
      <w:r>
        <w:rPr>
          <w:rFonts w:hint="eastAsia" w:cs="Times New Roman"/>
          <w:color w:val="auto"/>
          <w:highlight w:val="none"/>
        </w:rPr>
        <w:t>出栏</w:t>
      </w:r>
      <w:r>
        <w:rPr>
          <w:rFonts w:hint="eastAsia" w:cs="Times New Roman"/>
          <w:color w:val="auto"/>
          <w:highlight w:val="none"/>
          <w:lang w:val="en-US" w:eastAsia="zh-CN"/>
        </w:rPr>
        <w:t>17.2</w:t>
      </w:r>
      <w:r>
        <w:rPr>
          <w:rFonts w:hint="eastAsia" w:cs="Times New Roman"/>
          <w:color w:val="auto"/>
          <w:highlight w:val="none"/>
        </w:rPr>
        <w:t>万头</w:t>
      </w:r>
      <w:r>
        <w:rPr>
          <w:rFonts w:hint="eastAsia" w:cs="Times New Roman"/>
          <w:color w:val="auto"/>
          <w:highlight w:val="none"/>
          <w:lang w:eastAsia="zh-CN"/>
        </w:rPr>
        <w:t>商品</w:t>
      </w:r>
      <w:r>
        <w:rPr>
          <w:rFonts w:hint="eastAsia" w:cs="Times New Roman"/>
          <w:color w:val="auto"/>
          <w:highlight w:val="none"/>
        </w:rPr>
        <w:t>猪</w:t>
      </w:r>
    </w:p>
    <w:p>
      <w:pPr>
        <w:tabs>
          <w:tab w:val="left" w:pos="7180"/>
        </w:tabs>
        <w:ind w:firstLine="480"/>
        <w:rPr>
          <w:rFonts w:cs="Times New Roman"/>
          <w:color w:val="auto"/>
          <w:highlight w:val="none"/>
        </w:rPr>
      </w:pPr>
      <w:r>
        <w:rPr>
          <w:rFonts w:hint="eastAsia" w:cs="Times New Roman"/>
          <w:color w:val="auto"/>
          <w:highlight w:val="none"/>
        </w:rPr>
        <w:t>项目</w:t>
      </w:r>
      <w:r>
        <w:rPr>
          <w:rFonts w:cs="Times New Roman"/>
          <w:color w:val="auto"/>
          <w:highlight w:val="none"/>
        </w:rPr>
        <w:t>投资：</w:t>
      </w:r>
      <w:r>
        <w:rPr>
          <w:rFonts w:hint="eastAsia" w:cs="Times New Roman"/>
          <w:color w:val="auto"/>
          <w:highlight w:val="none"/>
        </w:rPr>
        <w:t>总投资</w:t>
      </w:r>
      <w:r>
        <w:rPr>
          <w:rFonts w:hint="eastAsia" w:cs="Times New Roman"/>
          <w:color w:val="auto"/>
          <w:highlight w:val="none"/>
          <w:lang w:val="en-US" w:eastAsia="zh-CN"/>
        </w:rPr>
        <w:t>12026.4</w:t>
      </w:r>
      <w:r>
        <w:rPr>
          <w:rFonts w:hint="eastAsia" w:cs="Times New Roman"/>
          <w:color w:val="auto"/>
          <w:highlight w:val="none"/>
        </w:rPr>
        <w:t>万元，其中环保投资</w:t>
      </w:r>
      <w:r>
        <w:rPr>
          <w:rFonts w:hint="eastAsia" w:cs="Times New Roman"/>
          <w:color w:val="auto"/>
          <w:highlight w:val="none"/>
          <w:lang w:val="en-US" w:eastAsia="zh-CN"/>
        </w:rPr>
        <w:t>508</w:t>
      </w:r>
      <w:r>
        <w:rPr>
          <w:rFonts w:hint="eastAsia" w:cs="Times New Roman"/>
          <w:color w:val="auto"/>
          <w:highlight w:val="none"/>
        </w:rPr>
        <w:t>万元</w:t>
      </w:r>
    </w:p>
    <w:p>
      <w:pPr>
        <w:ind w:firstLine="480"/>
        <w:rPr>
          <w:rFonts w:hint="eastAsia" w:eastAsia="宋体"/>
          <w:color w:val="auto"/>
          <w:highlight w:val="none"/>
          <w:lang w:eastAsia="zh-CN"/>
        </w:rPr>
      </w:pPr>
      <w:r>
        <w:rPr>
          <w:rFonts w:hint="eastAsia" w:cs="Times New Roman"/>
          <w:color w:val="auto"/>
          <w:highlight w:val="none"/>
        </w:rPr>
        <w:t>行业类别：</w:t>
      </w:r>
      <w:r>
        <w:rPr>
          <w:color w:val="auto"/>
          <w:highlight w:val="none"/>
        </w:rPr>
        <w:t>C</w:t>
      </w:r>
      <w:r>
        <w:rPr>
          <w:rFonts w:hint="eastAsia"/>
          <w:color w:val="auto"/>
          <w:highlight w:val="none"/>
          <w:lang w:val="en-US" w:eastAsia="zh-CN"/>
        </w:rPr>
        <w:t>0313</w:t>
      </w:r>
      <w:r>
        <w:rPr>
          <w:rFonts w:hint="eastAsia"/>
          <w:color w:val="auto"/>
          <w:highlight w:val="none"/>
          <w:lang w:eastAsia="zh-CN"/>
        </w:rPr>
        <w:t>猪的饲养</w:t>
      </w:r>
    </w:p>
    <w:p>
      <w:pPr>
        <w:ind w:firstLine="480"/>
        <w:rPr>
          <w:rFonts w:cs="Times New Roman"/>
          <w:color w:val="auto"/>
          <w:highlight w:val="none"/>
        </w:rPr>
      </w:pPr>
      <w:r>
        <w:rPr>
          <w:rFonts w:cs="Times New Roman"/>
          <w:color w:val="auto"/>
          <w:highlight w:val="none"/>
        </w:rPr>
        <w:t>项目主要建设内容见表2.</w:t>
      </w:r>
      <w:r>
        <w:rPr>
          <w:rFonts w:hint="eastAsia" w:cs="Times New Roman"/>
          <w:color w:val="auto"/>
          <w:highlight w:val="none"/>
        </w:rPr>
        <w:t>1</w:t>
      </w:r>
      <w:r>
        <w:rPr>
          <w:rFonts w:cs="Times New Roman"/>
          <w:color w:val="auto"/>
          <w:highlight w:val="none"/>
        </w:rPr>
        <w:t>-1。</w:t>
      </w:r>
    </w:p>
    <w:p>
      <w:pPr>
        <w:ind w:firstLine="0" w:firstLineChars="0"/>
        <w:rPr>
          <w:rFonts w:cs="Times New Roman"/>
          <w:color w:val="auto"/>
          <w:highlight w:val="none"/>
        </w:rPr>
      </w:pPr>
    </w:p>
    <w:p>
      <w:pPr>
        <w:pStyle w:val="40"/>
        <w:jc w:val="both"/>
        <w:rPr>
          <w:rFonts w:cs="Times New Roman"/>
          <w:color w:val="auto"/>
          <w:highlight w:val="none"/>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p>
    <w:p>
      <w:pPr>
        <w:pStyle w:val="40"/>
        <w:rPr>
          <w:rFonts w:cs="Times New Roman"/>
          <w:color w:val="auto"/>
          <w:highlight w:val="none"/>
        </w:rPr>
      </w:pPr>
      <w:r>
        <w:rPr>
          <w:rFonts w:cs="Times New Roman"/>
          <w:color w:val="auto"/>
          <w:highlight w:val="none"/>
        </w:rPr>
        <w:t>表2.</w:t>
      </w:r>
      <w:r>
        <w:rPr>
          <w:rFonts w:hint="eastAsia" w:cs="Times New Roman"/>
          <w:color w:val="auto"/>
          <w:highlight w:val="none"/>
        </w:rPr>
        <w:t>1</w:t>
      </w:r>
      <w:r>
        <w:rPr>
          <w:rFonts w:cs="Times New Roman"/>
          <w:color w:val="auto"/>
          <w:highlight w:val="none"/>
        </w:rPr>
        <w:t>-1</w:t>
      </w:r>
      <w:r>
        <w:rPr>
          <w:rFonts w:hint="eastAsia" w:cs="Times New Roman"/>
          <w:color w:val="auto"/>
          <w:highlight w:val="none"/>
        </w:rPr>
        <w:t xml:space="preserve"> </w:t>
      </w:r>
      <w:r>
        <w:rPr>
          <w:rFonts w:cs="Times New Roman"/>
          <w:color w:val="auto"/>
          <w:highlight w:val="none"/>
        </w:rPr>
        <w:t>项目建设内容一览表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51" w:type="dxa"/>
          <w:bottom w:w="0" w:type="dxa"/>
          <w:right w:w="51" w:type="dxa"/>
        </w:tblCellMar>
      </w:tblPr>
      <w:tblGrid>
        <w:gridCol w:w="942"/>
        <w:gridCol w:w="670"/>
        <w:gridCol w:w="1108"/>
        <w:gridCol w:w="5898"/>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tcBorders>
              <w:tl2br w:val="nil"/>
              <w:tr2bl w:val="nil"/>
            </w:tcBorders>
            <w:vAlign w:val="center"/>
          </w:tcPr>
          <w:p>
            <w:pPr>
              <w:spacing w:line="240" w:lineRule="auto"/>
              <w:ind w:firstLine="0" w:firstLineChars="0"/>
              <w:jc w:val="center"/>
              <w:rPr>
                <w:b w:val="0"/>
                <w:bCs w:val="0"/>
                <w:color w:val="auto"/>
                <w:sz w:val="21"/>
                <w:szCs w:val="21"/>
                <w:highlight w:val="none"/>
              </w:rPr>
            </w:pPr>
            <w:r>
              <w:rPr>
                <w:b w:val="0"/>
                <w:bCs w:val="0"/>
                <w:color w:val="auto"/>
                <w:sz w:val="21"/>
                <w:szCs w:val="21"/>
                <w:highlight w:val="none"/>
              </w:rPr>
              <w:t>工程名称</w:t>
            </w:r>
          </w:p>
        </w:tc>
        <w:tc>
          <w:tcPr>
            <w:tcW w:w="1778" w:type="dxa"/>
            <w:gridSpan w:val="2"/>
            <w:tcBorders>
              <w:tl2br w:val="nil"/>
              <w:tr2bl w:val="nil"/>
            </w:tcBorders>
            <w:vAlign w:val="center"/>
          </w:tcPr>
          <w:p>
            <w:pPr>
              <w:spacing w:line="240" w:lineRule="auto"/>
              <w:ind w:firstLine="0" w:firstLineChars="0"/>
              <w:jc w:val="center"/>
              <w:rPr>
                <w:b w:val="0"/>
                <w:bCs w:val="0"/>
                <w:color w:val="auto"/>
                <w:sz w:val="21"/>
                <w:szCs w:val="21"/>
                <w:highlight w:val="none"/>
              </w:rPr>
            </w:pPr>
            <w:r>
              <w:rPr>
                <w:b w:val="0"/>
                <w:bCs w:val="0"/>
                <w:color w:val="auto"/>
                <w:sz w:val="21"/>
                <w:szCs w:val="21"/>
                <w:highlight w:val="none"/>
              </w:rPr>
              <w:t>单项工程名称</w:t>
            </w:r>
          </w:p>
        </w:tc>
        <w:tc>
          <w:tcPr>
            <w:tcW w:w="5898" w:type="dxa"/>
            <w:tcBorders>
              <w:tl2br w:val="nil"/>
              <w:tr2bl w:val="nil"/>
            </w:tcBorders>
            <w:vAlign w:val="center"/>
          </w:tcPr>
          <w:p>
            <w:pPr>
              <w:spacing w:line="240" w:lineRule="auto"/>
              <w:ind w:firstLine="0" w:firstLineChars="0"/>
              <w:jc w:val="center"/>
              <w:rPr>
                <w:b w:val="0"/>
                <w:bCs w:val="0"/>
                <w:color w:val="auto"/>
                <w:sz w:val="21"/>
                <w:szCs w:val="21"/>
                <w:highlight w:val="none"/>
              </w:rPr>
            </w:pPr>
            <w:r>
              <w:rPr>
                <w:b w:val="0"/>
                <w:bCs w:val="0"/>
                <w:color w:val="auto"/>
                <w:sz w:val="21"/>
                <w:szCs w:val="21"/>
                <w:highlight w:val="none"/>
              </w:rPr>
              <w:t>工程内容</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290" w:hRule="atLeast"/>
          <w:jc w:val="center"/>
        </w:trPr>
        <w:tc>
          <w:tcPr>
            <w:tcW w:w="942" w:type="dxa"/>
            <w:vMerge w:val="restart"/>
            <w:tcBorders>
              <w:tl2br w:val="nil"/>
              <w:tr2bl w:val="nil"/>
            </w:tcBorders>
            <w:shd w:val="clear" w:color="auto" w:fill="auto"/>
            <w:vAlign w:val="center"/>
          </w:tcPr>
          <w:p>
            <w:pPr>
              <w:spacing w:line="240" w:lineRule="auto"/>
              <w:ind w:firstLine="0" w:firstLineChars="0"/>
              <w:jc w:val="center"/>
              <w:rPr>
                <w:color w:val="auto"/>
                <w:sz w:val="21"/>
                <w:szCs w:val="21"/>
                <w:highlight w:val="none"/>
              </w:rPr>
            </w:pPr>
            <w:r>
              <w:rPr>
                <w:color w:val="auto"/>
                <w:sz w:val="21"/>
                <w:szCs w:val="21"/>
                <w:highlight w:val="none"/>
              </w:rPr>
              <w:t>主体工程</w:t>
            </w:r>
          </w:p>
        </w:tc>
        <w:tc>
          <w:tcPr>
            <w:tcW w:w="1778" w:type="dxa"/>
            <w:gridSpan w:val="2"/>
            <w:tcBorders>
              <w:tl2br w:val="nil"/>
              <w:tr2bl w:val="nil"/>
            </w:tcBorders>
            <w:shd w:val="clear" w:color="auto" w:fill="auto"/>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保育育肥一体舍</w:t>
            </w:r>
          </w:p>
        </w:tc>
        <w:tc>
          <w:tcPr>
            <w:tcW w:w="5898" w:type="dxa"/>
            <w:tcBorders>
              <w:tl2br w:val="nil"/>
              <w:tr2bl w:val="nil"/>
            </w:tcBorders>
            <w:shd w:val="clear" w:color="auto" w:fill="auto"/>
            <w:vAlign w:val="center"/>
          </w:tcPr>
          <w:p>
            <w:pPr>
              <w:spacing w:line="240" w:lineRule="auto"/>
              <w:ind w:firstLine="0" w:firstLineChars="0"/>
              <w:jc w:val="center"/>
              <w:rPr>
                <w:color w:val="auto"/>
                <w:sz w:val="21"/>
                <w:szCs w:val="21"/>
                <w:highlight w:val="none"/>
              </w:rPr>
            </w:pPr>
            <w:r>
              <w:rPr>
                <w:rFonts w:hint="eastAsia"/>
                <w:bCs/>
                <w:color w:val="auto"/>
                <w:kern w:val="0"/>
                <w:sz w:val="21"/>
                <w:szCs w:val="21"/>
                <w:highlight w:val="none"/>
                <w:lang w:val="en-US" w:eastAsia="zh-CN"/>
              </w:rPr>
              <w:t>124</w:t>
            </w:r>
            <w:r>
              <w:rPr>
                <w:rFonts w:hint="eastAsia"/>
                <w:bCs/>
                <w:color w:val="auto"/>
                <w:kern w:val="0"/>
                <w:sz w:val="21"/>
                <w:szCs w:val="21"/>
                <w:highlight w:val="none"/>
                <w:lang w:eastAsia="zh-CN"/>
              </w:rPr>
              <w:t>个</w:t>
            </w:r>
            <w:r>
              <w:rPr>
                <w:rFonts w:ascii="Times New Roman" w:hAnsi="Times New Roman"/>
                <w:bCs/>
                <w:color w:val="auto"/>
                <w:kern w:val="0"/>
                <w:sz w:val="21"/>
                <w:szCs w:val="21"/>
                <w:highlight w:val="none"/>
              </w:rPr>
              <w:t>，规格</w:t>
            </w:r>
            <w:r>
              <w:rPr>
                <w:rFonts w:hint="eastAsia"/>
                <w:bCs/>
                <w:color w:val="auto"/>
                <w:kern w:val="0"/>
                <w:sz w:val="21"/>
                <w:szCs w:val="21"/>
                <w:highlight w:val="none"/>
                <w:lang w:val="en-US" w:eastAsia="zh-CN"/>
              </w:rPr>
              <w:t>35.46</w:t>
            </w:r>
            <w:r>
              <w:rPr>
                <w:rFonts w:ascii="Times New Roman" w:hAnsi="Times New Roman"/>
                <w:bCs/>
                <w:color w:val="auto"/>
                <w:kern w:val="0"/>
                <w:sz w:val="21"/>
                <w:szCs w:val="21"/>
                <w:highlight w:val="none"/>
              </w:rPr>
              <w:t>×</w:t>
            </w:r>
            <w:r>
              <w:rPr>
                <w:rFonts w:hint="eastAsia"/>
                <w:bCs/>
                <w:color w:val="auto"/>
                <w:kern w:val="0"/>
                <w:sz w:val="21"/>
                <w:szCs w:val="21"/>
                <w:highlight w:val="none"/>
                <w:lang w:val="en-US" w:eastAsia="zh-CN"/>
              </w:rPr>
              <w:t>14</w:t>
            </w:r>
            <w:r>
              <w:rPr>
                <w:rFonts w:ascii="Times New Roman" w:hAnsi="Times New Roman"/>
                <w:bCs/>
                <w:color w:val="auto"/>
                <w:kern w:val="0"/>
                <w:sz w:val="21"/>
                <w:szCs w:val="21"/>
                <w:highlight w:val="none"/>
              </w:rPr>
              <w:t>m，总建筑面积</w:t>
            </w:r>
            <w:r>
              <w:rPr>
                <w:rFonts w:hint="eastAsia"/>
                <w:bCs/>
                <w:color w:val="auto"/>
                <w:kern w:val="0"/>
                <w:sz w:val="21"/>
                <w:szCs w:val="21"/>
                <w:highlight w:val="none"/>
                <w:lang w:val="en-US" w:eastAsia="zh-CN"/>
              </w:rPr>
              <w:t>61558.56</w:t>
            </w:r>
            <w:r>
              <w:rPr>
                <w:rFonts w:ascii="Times New Roman" w:hAnsi="Times New Roman"/>
                <w:bCs/>
                <w:color w:val="auto"/>
                <w:kern w:val="0"/>
                <w:sz w:val="21"/>
                <w:szCs w:val="21"/>
                <w:highlight w:val="none"/>
              </w:rPr>
              <w:t>m</w:t>
            </w:r>
            <w:r>
              <w:rPr>
                <w:rFonts w:ascii="Times New Roman" w:hAnsi="Times New Roman"/>
                <w:bCs/>
                <w:color w:val="auto"/>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290" w:hRule="atLeast"/>
          <w:jc w:val="center"/>
        </w:trPr>
        <w:tc>
          <w:tcPr>
            <w:tcW w:w="942" w:type="dxa"/>
            <w:vMerge w:val="continue"/>
            <w:tcBorders>
              <w:tl2br w:val="nil"/>
              <w:tr2bl w:val="nil"/>
            </w:tcBorders>
            <w:shd w:val="clear" w:color="auto" w:fill="auto"/>
            <w:vAlign w:val="center"/>
          </w:tcPr>
          <w:p>
            <w:pPr>
              <w:spacing w:line="240" w:lineRule="auto"/>
              <w:ind w:firstLine="0" w:firstLineChars="0"/>
              <w:jc w:val="center"/>
              <w:rPr>
                <w:color w:val="auto"/>
                <w:sz w:val="21"/>
                <w:szCs w:val="21"/>
                <w:highlight w:val="none"/>
              </w:rPr>
            </w:pPr>
          </w:p>
        </w:tc>
        <w:tc>
          <w:tcPr>
            <w:tcW w:w="1778" w:type="dxa"/>
            <w:gridSpan w:val="2"/>
            <w:tcBorders>
              <w:tl2br w:val="nil"/>
              <w:tr2bl w:val="nil"/>
            </w:tcBorders>
            <w:shd w:val="clear" w:color="auto" w:fill="auto"/>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仔猪转运间</w:t>
            </w:r>
          </w:p>
        </w:tc>
        <w:tc>
          <w:tcPr>
            <w:tcW w:w="5898" w:type="dxa"/>
            <w:tcBorders>
              <w:tl2br w:val="nil"/>
              <w:tr2bl w:val="nil"/>
            </w:tcBorders>
            <w:shd w:val="clear" w:color="auto" w:fill="auto"/>
            <w:vAlign w:val="center"/>
          </w:tcPr>
          <w:p>
            <w:pPr>
              <w:spacing w:line="240" w:lineRule="auto"/>
              <w:ind w:firstLine="0" w:firstLineChars="0"/>
              <w:jc w:val="center"/>
              <w:rPr>
                <w:rFonts w:hint="eastAsia"/>
                <w:bCs/>
                <w:color w:val="auto"/>
                <w:kern w:val="0"/>
                <w:sz w:val="21"/>
                <w:szCs w:val="21"/>
                <w:highlight w:val="none"/>
                <w:lang w:val="en-US" w:eastAsia="zh-CN"/>
              </w:rPr>
            </w:pPr>
            <w:r>
              <w:rPr>
                <w:rFonts w:hint="eastAsia"/>
                <w:bCs/>
                <w:color w:val="auto"/>
                <w:kern w:val="0"/>
                <w:sz w:val="21"/>
                <w:szCs w:val="21"/>
                <w:highlight w:val="none"/>
                <w:lang w:val="en-US" w:eastAsia="zh-CN"/>
              </w:rPr>
              <w:t>2</w:t>
            </w:r>
            <w:r>
              <w:rPr>
                <w:rFonts w:hint="eastAsia"/>
                <w:bCs/>
                <w:color w:val="auto"/>
                <w:kern w:val="0"/>
                <w:sz w:val="21"/>
                <w:szCs w:val="21"/>
                <w:highlight w:val="none"/>
                <w:lang w:eastAsia="zh-CN"/>
              </w:rPr>
              <w:t>个</w:t>
            </w:r>
            <w:r>
              <w:rPr>
                <w:rFonts w:ascii="Times New Roman" w:hAnsi="Times New Roman"/>
                <w:bCs/>
                <w:color w:val="auto"/>
                <w:kern w:val="0"/>
                <w:sz w:val="21"/>
                <w:szCs w:val="21"/>
                <w:highlight w:val="none"/>
              </w:rPr>
              <w:t>，规格</w:t>
            </w:r>
            <w:r>
              <w:rPr>
                <w:rFonts w:hint="eastAsia"/>
                <w:bCs/>
                <w:color w:val="auto"/>
                <w:kern w:val="0"/>
                <w:sz w:val="21"/>
                <w:szCs w:val="21"/>
                <w:highlight w:val="none"/>
                <w:lang w:val="en-US" w:eastAsia="zh-CN"/>
              </w:rPr>
              <w:t>5.2</w:t>
            </w:r>
            <w:r>
              <w:rPr>
                <w:rFonts w:ascii="Times New Roman" w:hAnsi="Times New Roman"/>
                <w:bCs/>
                <w:color w:val="auto"/>
                <w:kern w:val="0"/>
                <w:sz w:val="21"/>
                <w:szCs w:val="21"/>
                <w:highlight w:val="none"/>
              </w:rPr>
              <w:t>×</w:t>
            </w:r>
            <w:r>
              <w:rPr>
                <w:rFonts w:hint="eastAsia"/>
                <w:bCs/>
                <w:color w:val="auto"/>
                <w:kern w:val="0"/>
                <w:sz w:val="21"/>
                <w:szCs w:val="21"/>
                <w:highlight w:val="none"/>
                <w:lang w:val="en-US" w:eastAsia="zh-CN"/>
              </w:rPr>
              <w:t>3.9</w:t>
            </w:r>
            <w:r>
              <w:rPr>
                <w:rFonts w:ascii="Times New Roman" w:hAnsi="Times New Roman"/>
                <w:bCs/>
                <w:color w:val="auto"/>
                <w:kern w:val="0"/>
                <w:sz w:val="21"/>
                <w:szCs w:val="21"/>
                <w:highlight w:val="none"/>
              </w:rPr>
              <w:t>m，总建筑面积</w:t>
            </w:r>
            <w:r>
              <w:rPr>
                <w:rFonts w:hint="eastAsia"/>
                <w:bCs/>
                <w:color w:val="auto"/>
                <w:kern w:val="0"/>
                <w:sz w:val="21"/>
                <w:szCs w:val="21"/>
                <w:highlight w:val="none"/>
                <w:lang w:val="en-US" w:eastAsia="zh-CN"/>
              </w:rPr>
              <w:t>40.56</w:t>
            </w:r>
            <w:r>
              <w:rPr>
                <w:rFonts w:ascii="Times New Roman" w:hAnsi="Times New Roman"/>
                <w:bCs/>
                <w:color w:val="auto"/>
                <w:kern w:val="0"/>
                <w:sz w:val="21"/>
                <w:szCs w:val="21"/>
                <w:highlight w:val="none"/>
              </w:rPr>
              <w:t>m</w:t>
            </w:r>
            <w:r>
              <w:rPr>
                <w:rFonts w:ascii="Times New Roman" w:hAnsi="Times New Roman"/>
                <w:bCs/>
                <w:color w:val="auto"/>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restart"/>
            <w:shd w:val="clear" w:color="auto" w:fill="auto"/>
            <w:vAlign w:val="center"/>
          </w:tcPr>
          <w:p>
            <w:pPr>
              <w:spacing w:line="240" w:lineRule="auto"/>
              <w:ind w:firstLine="0" w:firstLineChars="0"/>
              <w:jc w:val="center"/>
              <w:rPr>
                <w:color w:val="auto"/>
                <w:sz w:val="21"/>
                <w:szCs w:val="21"/>
                <w:highlight w:val="none"/>
              </w:rPr>
            </w:pPr>
            <w:r>
              <w:rPr>
                <w:color w:val="auto"/>
                <w:sz w:val="21"/>
                <w:szCs w:val="21"/>
                <w:highlight w:val="none"/>
              </w:rPr>
              <w:t>辅助工程</w:t>
            </w:r>
          </w:p>
        </w:tc>
        <w:tc>
          <w:tcPr>
            <w:tcW w:w="1778" w:type="dxa"/>
            <w:gridSpan w:val="2"/>
            <w:vMerge w:val="restart"/>
            <w:tcBorders>
              <w:tl2br w:val="nil"/>
              <w:tr2bl w:val="nil"/>
            </w:tcBorders>
            <w:shd w:val="clear" w:color="auto" w:fill="auto"/>
            <w:vAlign w:val="center"/>
          </w:tcPr>
          <w:p>
            <w:pPr>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宿舍楼</w:t>
            </w:r>
          </w:p>
        </w:tc>
        <w:tc>
          <w:tcPr>
            <w:tcW w:w="5898" w:type="dxa"/>
            <w:tcBorders>
              <w:tl2br w:val="nil"/>
              <w:tr2bl w:val="nil"/>
            </w:tcBorders>
            <w:shd w:val="clear" w:color="auto" w:fill="auto"/>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2层，1栋，</w:t>
            </w:r>
            <w:r>
              <w:rPr>
                <w:rFonts w:ascii="Times New Roman" w:hAnsi="Times New Roman"/>
                <w:bCs/>
                <w:color w:val="auto"/>
                <w:kern w:val="0"/>
                <w:sz w:val="21"/>
                <w:szCs w:val="21"/>
                <w:highlight w:val="none"/>
              </w:rPr>
              <w:t>规格</w:t>
            </w:r>
            <w:r>
              <w:rPr>
                <w:rFonts w:hint="eastAsia"/>
                <w:bCs/>
                <w:color w:val="auto"/>
                <w:kern w:val="0"/>
                <w:sz w:val="21"/>
                <w:szCs w:val="21"/>
                <w:highlight w:val="none"/>
                <w:lang w:val="en-US" w:eastAsia="zh-CN"/>
              </w:rPr>
              <w:t>52.7</w:t>
            </w:r>
            <w:r>
              <w:rPr>
                <w:rFonts w:ascii="Times New Roman" w:hAnsi="Times New Roman"/>
                <w:bCs/>
                <w:color w:val="auto"/>
                <w:kern w:val="0"/>
                <w:sz w:val="21"/>
                <w:szCs w:val="21"/>
                <w:highlight w:val="none"/>
              </w:rPr>
              <w:t>×</w:t>
            </w:r>
            <w:r>
              <w:rPr>
                <w:rFonts w:hint="eastAsia"/>
                <w:bCs/>
                <w:color w:val="auto"/>
                <w:kern w:val="0"/>
                <w:sz w:val="21"/>
                <w:szCs w:val="21"/>
                <w:highlight w:val="none"/>
                <w:lang w:val="en-US" w:eastAsia="zh-CN"/>
              </w:rPr>
              <w:t>19.24</w:t>
            </w:r>
            <w:r>
              <w:rPr>
                <w:rFonts w:ascii="Times New Roman" w:hAnsi="Times New Roman"/>
                <w:bCs/>
                <w:color w:val="auto"/>
                <w:kern w:val="0"/>
                <w:sz w:val="21"/>
                <w:szCs w:val="21"/>
                <w:highlight w:val="none"/>
              </w:rPr>
              <w:t>m，总建筑面积</w:t>
            </w:r>
            <w:r>
              <w:rPr>
                <w:rFonts w:hint="eastAsia"/>
                <w:bCs/>
                <w:color w:val="auto"/>
                <w:kern w:val="0"/>
                <w:sz w:val="21"/>
                <w:szCs w:val="21"/>
                <w:highlight w:val="none"/>
                <w:lang w:val="en-US" w:eastAsia="zh-CN"/>
              </w:rPr>
              <w:t>1013.948</w:t>
            </w:r>
            <w:r>
              <w:rPr>
                <w:rFonts w:ascii="Times New Roman" w:hAnsi="Times New Roman"/>
                <w:bCs/>
                <w:color w:val="auto"/>
                <w:kern w:val="0"/>
                <w:sz w:val="21"/>
                <w:szCs w:val="21"/>
                <w:highlight w:val="none"/>
              </w:rPr>
              <w:t>m</w:t>
            </w:r>
            <w:r>
              <w:rPr>
                <w:rFonts w:ascii="Times New Roman" w:hAnsi="Times New Roman"/>
                <w:bCs/>
                <w:color w:val="auto"/>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shd w:val="clear" w:color="auto" w:fill="auto"/>
            <w:vAlign w:val="center"/>
          </w:tcPr>
          <w:p>
            <w:pPr>
              <w:spacing w:line="240" w:lineRule="auto"/>
              <w:ind w:firstLine="0" w:firstLineChars="0"/>
              <w:jc w:val="center"/>
              <w:rPr>
                <w:color w:val="auto"/>
                <w:sz w:val="21"/>
                <w:szCs w:val="21"/>
                <w:highlight w:val="none"/>
              </w:rPr>
            </w:pPr>
          </w:p>
        </w:tc>
        <w:tc>
          <w:tcPr>
            <w:tcW w:w="1778" w:type="dxa"/>
            <w:gridSpan w:val="2"/>
            <w:vMerge w:val="continue"/>
            <w:tcBorders>
              <w:tl2br w:val="nil"/>
              <w:tr2bl w:val="nil"/>
            </w:tcBorders>
            <w:shd w:val="clear" w:color="auto" w:fill="auto"/>
            <w:vAlign w:val="center"/>
          </w:tcPr>
          <w:p>
            <w:pPr>
              <w:spacing w:line="240" w:lineRule="auto"/>
              <w:ind w:firstLine="0" w:firstLineChars="0"/>
              <w:jc w:val="center"/>
              <w:rPr>
                <w:rFonts w:hint="eastAsia"/>
                <w:color w:val="auto"/>
                <w:sz w:val="21"/>
                <w:szCs w:val="21"/>
                <w:highlight w:val="none"/>
                <w:lang w:eastAsia="zh-CN"/>
              </w:rPr>
            </w:pPr>
          </w:p>
        </w:tc>
        <w:tc>
          <w:tcPr>
            <w:tcW w:w="5898" w:type="dxa"/>
            <w:tcBorders>
              <w:tl2br w:val="nil"/>
              <w:tr2bl w:val="nil"/>
            </w:tcBorders>
            <w:shd w:val="clear" w:color="auto" w:fill="auto"/>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2层，1栋，</w:t>
            </w:r>
            <w:r>
              <w:rPr>
                <w:rFonts w:ascii="Times New Roman" w:hAnsi="Times New Roman"/>
                <w:bCs/>
                <w:color w:val="auto"/>
                <w:kern w:val="0"/>
                <w:sz w:val="21"/>
                <w:szCs w:val="21"/>
                <w:highlight w:val="none"/>
              </w:rPr>
              <w:t>规格</w:t>
            </w:r>
            <w:r>
              <w:rPr>
                <w:rFonts w:hint="eastAsia"/>
                <w:bCs/>
                <w:color w:val="auto"/>
                <w:kern w:val="0"/>
                <w:sz w:val="21"/>
                <w:szCs w:val="21"/>
                <w:highlight w:val="none"/>
                <w:lang w:val="en-US" w:eastAsia="zh-CN"/>
              </w:rPr>
              <w:t>49.4</w:t>
            </w:r>
            <w:r>
              <w:rPr>
                <w:rFonts w:ascii="Times New Roman" w:hAnsi="Times New Roman"/>
                <w:bCs/>
                <w:color w:val="auto"/>
                <w:kern w:val="0"/>
                <w:sz w:val="21"/>
                <w:szCs w:val="21"/>
                <w:highlight w:val="none"/>
              </w:rPr>
              <w:t>×</w:t>
            </w:r>
            <w:r>
              <w:rPr>
                <w:rFonts w:hint="eastAsia"/>
                <w:bCs/>
                <w:color w:val="auto"/>
                <w:kern w:val="0"/>
                <w:sz w:val="21"/>
                <w:szCs w:val="21"/>
                <w:highlight w:val="none"/>
                <w:lang w:val="en-US" w:eastAsia="zh-CN"/>
              </w:rPr>
              <w:t>19.24</w:t>
            </w:r>
            <w:r>
              <w:rPr>
                <w:rFonts w:ascii="Times New Roman" w:hAnsi="Times New Roman"/>
                <w:bCs/>
                <w:color w:val="auto"/>
                <w:kern w:val="0"/>
                <w:sz w:val="21"/>
                <w:szCs w:val="21"/>
                <w:highlight w:val="none"/>
              </w:rPr>
              <w:t>m，总建筑面积</w:t>
            </w:r>
            <w:r>
              <w:rPr>
                <w:rFonts w:hint="eastAsia"/>
                <w:bCs/>
                <w:color w:val="auto"/>
                <w:kern w:val="0"/>
                <w:sz w:val="21"/>
                <w:szCs w:val="21"/>
                <w:highlight w:val="none"/>
                <w:lang w:val="en-US" w:eastAsia="zh-CN"/>
              </w:rPr>
              <w:t>950.456</w:t>
            </w:r>
            <w:r>
              <w:rPr>
                <w:rFonts w:ascii="Times New Roman" w:hAnsi="Times New Roman"/>
                <w:bCs/>
                <w:color w:val="auto"/>
                <w:kern w:val="0"/>
                <w:sz w:val="21"/>
                <w:szCs w:val="21"/>
                <w:highlight w:val="none"/>
              </w:rPr>
              <w:t>m</w:t>
            </w:r>
            <w:r>
              <w:rPr>
                <w:rFonts w:ascii="Times New Roman" w:hAnsi="Times New Roman"/>
                <w:bCs/>
                <w:color w:val="auto"/>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color w:val="auto"/>
                <w:sz w:val="21"/>
                <w:szCs w:val="21"/>
                <w:highlight w:val="none"/>
              </w:rPr>
            </w:pPr>
          </w:p>
        </w:tc>
        <w:tc>
          <w:tcPr>
            <w:tcW w:w="1778" w:type="dxa"/>
            <w:gridSpan w:val="2"/>
            <w:tcBorders>
              <w:tl2br w:val="nil"/>
              <w:tr2bl w:val="nil"/>
            </w:tcBorders>
            <w:shd w:val="clear" w:color="auto" w:fill="auto"/>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综合门卫</w:t>
            </w:r>
          </w:p>
        </w:tc>
        <w:tc>
          <w:tcPr>
            <w:tcW w:w="5898" w:type="dxa"/>
            <w:tcBorders>
              <w:tl2br w:val="nil"/>
              <w:tr2bl w:val="nil"/>
            </w:tcBorders>
            <w:shd w:val="clear" w:color="auto" w:fill="auto"/>
            <w:vAlign w:val="center"/>
          </w:tcPr>
          <w:p>
            <w:pPr>
              <w:spacing w:line="240" w:lineRule="auto"/>
              <w:ind w:firstLine="0" w:firstLineChars="0"/>
              <w:jc w:val="center"/>
              <w:rPr>
                <w:rFonts w:hint="eastAsia"/>
                <w:color w:val="auto"/>
                <w:sz w:val="21"/>
                <w:szCs w:val="21"/>
                <w:highlight w:val="none"/>
                <w:lang w:val="en-US" w:eastAsia="zh-CN"/>
              </w:rPr>
            </w:pPr>
            <w:r>
              <w:rPr>
                <w:rFonts w:hint="eastAsia"/>
                <w:bCs/>
                <w:color w:val="auto"/>
                <w:kern w:val="0"/>
                <w:sz w:val="21"/>
                <w:szCs w:val="21"/>
                <w:highlight w:val="none"/>
                <w:lang w:val="en-US" w:eastAsia="zh-CN"/>
              </w:rPr>
              <w:t>1</w:t>
            </w:r>
            <w:r>
              <w:rPr>
                <w:rFonts w:hint="eastAsia"/>
                <w:bCs/>
                <w:color w:val="auto"/>
                <w:kern w:val="0"/>
                <w:sz w:val="21"/>
                <w:szCs w:val="21"/>
                <w:highlight w:val="none"/>
                <w:lang w:eastAsia="zh-CN"/>
              </w:rPr>
              <w:t>个</w:t>
            </w:r>
            <w:r>
              <w:rPr>
                <w:rFonts w:ascii="Times New Roman" w:hAnsi="Times New Roman"/>
                <w:bCs/>
                <w:color w:val="auto"/>
                <w:kern w:val="0"/>
                <w:sz w:val="21"/>
                <w:szCs w:val="21"/>
                <w:highlight w:val="none"/>
              </w:rPr>
              <w:t>，规格</w:t>
            </w:r>
            <w:r>
              <w:rPr>
                <w:rFonts w:hint="eastAsia"/>
                <w:bCs/>
                <w:color w:val="auto"/>
                <w:kern w:val="0"/>
                <w:sz w:val="21"/>
                <w:szCs w:val="21"/>
                <w:highlight w:val="none"/>
                <w:lang w:val="en-US" w:eastAsia="zh-CN"/>
              </w:rPr>
              <w:t>35.04</w:t>
            </w:r>
            <w:r>
              <w:rPr>
                <w:rFonts w:ascii="Times New Roman" w:hAnsi="Times New Roman"/>
                <w:bCs/>
                <w:color w:val="auto"/>
                <w:kern w:val="0"/>
                <w:sz w:val="21"/>
                <w:szCs w:val="21"/>
                <w:highlight w:val="none"/>
              </w:rPr>
              <w:t>×</w:t>
            </w:r>
            <w:r>
              <w:rPr>
                <w:rFonts w:hint="eastAsia"/>
                <w:bCs/>
                <w:color w:val="auto"/>
                <w:kern w:val="0"/>
                <w:sz w:val="21"/>
                <w:szCs w:val="21"/>
                <w:highlight w:val="none"/>
                <w:lang w:val="en-US" w:eastAsia="zh-CN"/>
              </w:rPr>
              <w:t>8.9</w:t>
            </w:r>
            <w:r>
              <w:rPr>
                <w:rFonts w:ascii="Times New Roman" w:hAnsi="Times New Roman"/>
                <w:bCs/>
                <w:color w:val="auto"/>
                <w:kern w:val="0"/>
                <w:sz w:val="21"/>
                <w:szCs w:val="21"/>
                <w:highlight w:val="none"/>
              </w:rPr>
              <w:t>m，总建筑面积</w:t>
            </w:r>
            <w:r>
              <w:rPr>
                <w:rFonts w:hint="eastAsia"/>
                <w:bCs/>
                <w:color w:val="auto"/>
                <w:kern w:val="0"/>
                <w:sz w:val="21"/>
                <w:szCs w:val="21"/>
                <w:highlight w:val="none"/>
                <w:lang w:val="en-US" w:eastAsia="zh-CN"/>
              </w:rPr>
              <w:t>311.856</w:t>
            </w:r>
            <w:r>
              <w:rPr>
                <w:rFonts w:ascii="Times New Roman" w:hAnsi="Times New Roman"/>
                <w:bCs/>
                <w:color w:val="auto"/>
                <w:kern w:val="0"/>
                <w:sz w:val="21"/>
                <w:szCs w:val="21"/>
                <w:highlight w:val="none"/>
              </w:rPr>
              <w:t>m</w:t>
            </w:r>
            <w:r>
              <w:rPr>
                <w:rFonts w:ascii="Times New Roman" w:hAnsi="Times New Roman"/>
                <w:bCs/>
                <w:color w:val="auto"/>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color w:val="auto"/>
                <w:sz w:val="21"/>
                <w:szCs w:val="21"/>
                <w:highlight w:val="none"/>
              </w:rPr>
            </w:pPr>
          </w:p>
        </w:tc>
        <w:tc>
          <w:tcPr>
            <w:tcW w:w="1778" w:type="dxa"/>
            <w:gridSpan w:val="2"/>
            <w:tcBorders>
              <w:tl2br w:val="nil"/>
              <w:tr2bl w:val="nil"/>
            </w:tcBorders>
            <w:shd w:val="clear" w:color="auto" w:fill="auto"/>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伙房</w:t>
            </w:r>
          </w:p>
        </w:tc>
        <w:tc>
          <w:tcPr>
            <w:tcW w:w="5898" w:type="dxa"/>
            <w:tcBorders>
              <w:tl2br w:val="nil"/>
              <w:tr2bl w:val="nil"/>
            </w:tcBorders>
            <w:shd w:val="clear" w:color="auto" w:fill="auto"/>
            <w:vAlign w:val="center"/>
          </w:tcPr>
          <w:p>
            <w:pPr>
              <w:spacing w:line="240" w:lineRule="auto"/>
              <w:ind w:firstLine="0" w:firstLineChars="0"/>
              <w:jc w:val="center"/>
              <w:rPr>
                <w:rFonts w:hint="eastAsia"/>
                <w:bCs/>
                <w:color w:val="auto"/>
                <w:kern w:val="0"/>
                <w:sz w:val="21"/>
                <w:szCs w:val="21"/>
                <w:highlight w:val="none"/>
                <w:lang w:val="en-US" w:eastAsia="zh-CN"/>
              </w:rPr>
            </w:pPr>
            <w:r>
              <w:rPr>
                <w:rFonts w:hint="eastAsia"/>
                <w:bCs/>
                <w:color w:val="auto"/>
                <w:kern w:val="0"/>
                <w:sz w:val="21"/>
                <w:szCs w:val="21"/>
                <w:highlight w:val="none"/>
                <w:lang w:val="en-US" w:eastAsia="zh-CN"/>
              </w:rPr>
              <w:t>2</w:t>
            </w:r>
            <w:r>
              <w:rPr>
                <w:rFonts w:hint="eastAsia"/>
                <w:bCs/>
                <w:color w:val="auto"/>
                <w:kern w:val="0"/>
                <w:sz w:val="21"/>
                <w:szCs w:val="21"/>
                <w:highlight w:val="none"/>
                <w:lang w:eastAsia="zh-CN"/>
              </w:rPr>
              <w:t>个</w:t>
            </w:r>
            <w:r>
              <w:rPr>
                <w:rFonts w:ascii="Times New Roman" w:hAnsi="Times New Roman"/>
                <w:bCs/>
                <w:color w:val="auto"/>
                <w:kern w:val="0"/>
                <w:sz w:val="21"/>
                <w:szCs w:val="21"/>
                <w:highlight w:val="none"/>
              </w:rPr>
              <w:t>，规格</w:t>
            </w:r>
            <w:r>
              <w:rPr>
                <w:rFonts w:hint="eastAsia"/>
                <w:bCs/>
                <w:color w:val="auto"/>
                <w:kern w:val="0"/>
                <w:sz w:val="21"/>
                <w:szCs w:val="21"/>
                <w:highlight w:val="none"/>
                <w:lang w:val="en-US" w:eastAsia="zh-CN"/>
              </w:rPr>
              <w:t>19.6</w:t>
            </w:r>
            <w:r>
              <w:rPr>
                <w:rFonts w:ascii="Times New Roman" w:hAnsi="Times New Roman"/>
                <w:bCs/>
                <w:color w:val="auto"/>
                <w:kern w:val="0"/>
                <w:sz w:val="21"/>
                <w:szCs w:val="21"/>
                <w:highlight w:val="none"/>
              </w:rPr>
              <w:t>×</w:t>
            </w:r>
            <w:r>
              <w:rPr>
                <w:rFonts w:hint="eastAsia"/>
                <w:bCs/>
                <w:color w:val="auto"/>
                <w:kern w:val="0"/>
                <w:sz w:val="21"/>
                <w:szCs w:val="21"/>
                <w:highlight w:val="none"/>
                <w:lang w:val="en-US" w:eastAsia="zh-CN"/>
              </w:rPr>
              <w:t>7.5</w:t>
            </w:r>
            <w:r>
              <w:rPr>
                <w:rFonts w:ascii="Times New Roman" w:hAnsi="Times New Roman"/>
                <w:bCs/>
                <w:color w:val="auto"/>
                <w:kern w:val="0"/>
                <w:sz w:val="21"/>
                <w:szCs w:val="21"/>
                <w:highlight w:val="none"/>
              </w:rPr>
              <w:t>m，总建筑面积</w:t>
            </w:r>
            <w:r>
              <w:rPr>
                <w:rFonts w:hint="eastAsia"/>
                <w:bCs/>
                <w:color w:val="auto"/>
                <w:kern w:val="0"/>
                <w:sz w:val="21"/>
                <w:szCs w:val="21"/>
                <w:highlight w:val="none"/>
                <w:lang w:val="en-US" w:eastAsia="zh-CN"/>
              </w:rPr>
              <w:t>194</w:t>
            </w:r>
            <w:r>
              <w:rPr>
                <w:rFonts w:ascii="Times New Roman" w:hAnsi="Times New Roman"/>
                <w:bCs/>
                <w:color w:val="auto"/>
                <w:kern w:val="0"/>
                <w:sz w:val="21"/>
                <w:szCs w:val="21"/>
                <w:highlight w:val="none"/>
              </w:rPr>
              <w:t>m</w:t>
            </w:r>
            <w:r>
              <w:rPr>
                <w:rFonts w:ascii="Times New Roman" w:hAnsi="Times New Roman"/>
                <w:bCs/>
                <w:color w:val="auto"/>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color w:val="auto"/>
                <w:sz w:val="21"/>
                <w:szCs w:val="21"/>
                <w:highlight w:val="none"/>
              </w:rPr>
            </w:pPr>
          </w:p>
        </w:tc>
        <w:tc>
          <w:tcPr>
            <w:tcW w:w="1778" w:type="dxa"/>
            <w:gridSpan w:val="2"/>
            <w:tcBorders>
              <w:tl2br w:val="nil"/>
              <w:tr2bl w:val="nil"/>
            </w:tcBorders>
            <w:shd w:val="clear" w:color="auto" w:fill="auto"/>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洗澡间</w:t>
            </w:r>
          </w:p>
        </w:tc>
        <w:tc>
          <w:tcPr>
            <w:tcW w:w="5898" w:type="dxa"/>
            <w:tcBorders>
              <w:tl2br w:val="nil"/>
              <w:tr2bl w:val="nil"/>
            </w:tcBorders>
            <w:shd w:val="clear" w:color="auto" w:fill="auto"/>
            <w:vAlign w:val="center"/>
          </w:tcPr>
          <w:p>
            <w:pPr>
              <w:spacing w:line="240" w:lineRule="auto"/>
              <w:ind w:firstLine="0" w:firstLineChars="0"/>
              <w:jc w:val="center"/>
              <w:rPr>
                <w:rFonts w:hint="eastAsia" w:ascii="Times New Roman" w:hAnsi="Times New Roman" w:eastAsia="宋体" w:cstheme="minorBidi"/>
                <w:color w:val="auto"/>
                <w:kern w:val="2"/>
                <w:sz w:val="21"/>
                <w:szCs w:val="21"/>
                <w:highlight w:val="none"/>
                <w:lang w:val="en-US" w:eastAsia="zh-CN" w:bidi="ar-SA"/>
              </w:rPr>
            </w:pPr>
            <w:r>
              <w:rPr>
                <w:rFonts w:hint="eastAsia"/>
                <w:color w:val="auto"/>
                <w:sz w:val="21"/>
                <w:szCs w:val="21"/>
                <w:highlight w:val="none"/>
                <w:lang w:val="en-US" w:eastAsia="zh-CN"/>
              </w:rPr>
              <w:t>1栋，</w:t>
            </w:r>
            <w:r>
              <w:rPr>
                <w:rFonts w:ascii="Times New Roman" w:hAnsi="Times New Roman"/>
                <w:bCs/>
                <w:color w:val="auto"/>
                <w:kern w:val="0"/>
                <w:sz w:val="21"/>
                <w:szCs w:val="21"/>
                <w:highlight w:val="none"/>
              </w:rPr>
              <w:t>规格</w:t>
            </w:r>
            <w:r>
              <w:rPr>
                <w:rFonts w:hint="eastAsia"/>
                <w:bCs/>
                <w:color w:val="auto"/>
                <w:kern w:val="0"/>
                <w:sz w:val="21"/>
                <w:szCs w:val="21"/>
                <w:highlight w:val="none"/>
                <w:lang w:val="en-US" w:eastAsia="zh-CN"/>
              </w:rPr>
              <w:t>40</w:t>
            </w:r>
            <w:r>
              <w:rPr>
                <w:rFonts w:ascii="Times New Roman" w:hAnsi="Times New Roman"/>
                <w:bCs/>
                <w:color w:val="auto"/>
                <w:kern w:val="0"/>
                <w:sz w:val="21"/>
                <w:szCs w:val="21"/>
                <w:highlight w:val="none"/>
              </w:rPr>
              <w:t>×</w:t>
            </w:r>
            <w:r>
              <w:rPr>
                <w:rFonts w:hint="eastAsia"/>
                <w:bCs/>
                <w:color w:val="auto"/>
                <w:kern w:val="0"/>
                <w:sz w:val="21"/>
                <w:szCs w:val="21"/>
                <w:highlight w:val="none"/>
                <w:lang w:val="en-US" w:eastAsia="zh-CN"/>
              </w:rPr>
              <w:t>11.8</w:t>
            </w:r>
            <w:r>
              <w:rPr>
                <w:rFonts w:ascii="Times New Roman" w:hAnsi="Times New Roman"/>
                <w:bCs/>
                <w:color w:val="auto"/>
                <w:kern w:val="0"/>
                <w:sz w:val="21"/>
                <w:szCs w:val="21"/>
                <w:highlight w:val="none"/>
              </w:rPr>
              <w:t>m，总建筑面积</w:t>
            </w:r>
            <w:r>
              <w:rPr>
                <w:rFonts w:hint="eastAsia"/>
                <w:bCs/>
                <w:color w:val="auto"/>
                <w:kern w:val="0"/>
                <w:sz w:val="21"/>
                <w:szCs w:val="21"/>
                <w:highlight w:val="none"/>
                <w:lang w:val="en-US" w:eastAsia="zh-CN"/>
              </w:rPr>
              <w:t>472</w:t>
            </w:r>
            <w:r>
              <w:rPr>
                <w:rFonts w:ascii="Times New Roman" w:hAnsi="Times New Roman"/>
                <w:bCs/>
                <w:color w:val="auto"/>
                <w:kern w:val="0"/>
                <w:sz w:val="21"/>
                <w:szCs w:val="21"/>
                <w:highlight w:val="none"/>
              </w:rPr>
              <w:t>m</w:t>
            </w:r>
            <w:r>
              <w:rPr>
                <w:rFonts w:ascii="Times New Roman" w:hAnsi="Times New Roman"/>
                <w:bCs/>
                <w:color w:val="auto"/>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color w:val="auto"/>
                <w:sz w:val="21"/>
                <w:szCs w:val="21"/>
                <w:highlight w:val="none"/>
              </w:rPr>
            </w:pPr>
          </w:p>
        </w:tc>
        <w:tc>
          <w:tcPr>
            <w:tcW w:w="1778" w:type="dxa"/>
            <w:gridSpan w:val="2"/>
            <w:tcBorders>
              <w:tl2br w:val="nil"/>
              <w:tr2bl w:val="nil"/>
            </w:tcBorders>
            <w:shd w:val="clear" w:color="auto" w:fill="auto"/>
            <w:vAlign w:val="center"/>
          </w:tcPr>
          <w:p>
            <w:pPr>
              <w:spacing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病死猪暂存间</w:t>
            </w:r>
          </w:p>
        </w:tc>
        <w:tc>
          <w:tcPr>
            <w:tcW w:w="5898" w:type="dxa"/>
            <w:tcBorders>
              <w:tl2br w:val="nil"/>
              <w:tr2bl w:val="nil"/>
            </w:tcBorders>
            <w:shd w:val="clear" w:color="auto" w:fill="auto"/>
            <w:vAlign w:val="center"/>
          </w:tcPr>
          <w:p>
            <w:pPr>
              <w:spacing w:line="240" w:lineRule="auto"/>
              <w:ind w:left="0" w:leftChars="0"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1个，</w:t>
            </w:r>
            <w:r>
              <w:rPr>
                <w:rFonts w:ascii="Times New Roman" w:hAnsi="Times New Roman"/>
                <w:bCs/>
                <w:color w:val="auto"/>
                <w:kern w:val="0"/>
                <w:sz w:val="21"/>
                <w:szCs w:val="21"/>
                <w:highlight w:val="none"/>
              </w:rPr>
              <w:t>规格</w:t>
            </w:r>
            <w:r>
              <w:rPr>
                <w:rFonts w:hint="eastAsia"/>
                <w:bCs/>
                <w:color w:val="auto"/>
                <w:kern w:val="0"/>
                <w:sz w:val="21"/>
                <w:szCs w:val="21"/>
                <w:highlight w:val="none"/>
                <w:lang w:val="en-US" w:eastAsia="zh-CN"/>
              </w:rPr>
              <w:t>6</w:t>
            </w:r>
            <w:r>
              <w:rPr>
                <w:rFonts w:ascii="Times New Roman" w:hAnsi="Times New Roman"/>
                <w:bCs/>
                <w:color w:val="auto"/>
                <w:kern w:val="0"/>
                <w:sz w:val="21"/>
                <w:szCs w:val="21"/>
                <w:highlight w:val="none"/>
              </w:rPr>
              <w:t>×</w:t>
            </w:r>
            <w:r>
              <w:rPr>
                <w:rFonts w:hint="eastAsia"/>
                <w:bCs/>
                <w:color w:val="auto"/>
                <w:kern w:val="0"/>
                <w:sz w:val="21"/>
                <w:szCs w:val="21"/>
                <w:highlight w:val="none"/>
                <w:lang w:val="en-US" w:eastAsia="zh-CN"/>
              </w:rPr>
              <w:t>5</w:t>
            </w:r>
            <w:r>
              <w:rPr>
                <w:rFonts w:ascii="Times New Roman" w:hAnsi="Times New Roman"/>
                <w:bCs/>
                <w:color w:val="auto"/>
                <w:kern w:val="0"/>
                <w:sz w:val="21"/>
                <w:szCs w:val="21"/>
                <w:highlight w:val="none"/>
              </w:rPr>
              <w:t>m，总建筑面积</w:t>
            </w:r>
            <w:r>
              <w:rPr>
                <w:rFonts w:hint="eastAsia"/>
                <w:bCs/>
                <w:color w:val="auto"/>
                <w:kern w:val="0"/>
                <w:sz w:val="21"/>
                <w:szCs w:val="21"/>
                <w:highlight w:val="none"/>
                <w:lang w:val="en-US" w:eastAsia="zh-CN"/>
              </w:rPr>
              <w:t>30</w:t>
            </w:r>
            <w:r>
              <w:rPr>
                <w:rFonts w:ascii="Times New Roman" w:hAnsi="Times New Roman"/>
                <w:bCs/>
                <w:color w:val="auto"/>
                <w:kern w:val="0"/>
                <w:sz w:val="21"/>
                <w:szCs w:val="21"/>
                <w:highlight w:val="none"/>
              </w:rPr>
              <w:t>m</w:t>
            </w:r>
            <w:r>
              <w:rPr>
                <w:rFonts w:ascii="Times New Roman" w:hAnsi="Times New Roman"/>
                <w:bCs/>
                <w:color w:val="auto"/>
                <w:kern w:val="0"/>
                <w:sz w:val="21"/>
                <w:szCs w:val="21"/>
                <w:highlight w:val="none"/>
                <w:vertAlign w:val="superscript"/>
              </w:rPr>
              <w:t>2</w:t>
            </w:r>
            <w:r>
              <w:rPr>
                <w:rFonts w:hint="eastAsia"/>
                <w:bCs/>
                <w:color w:val="auto"/>
                <w:kern w:val="0"/>
                <w:sz w:val="21"/>
                <w:szCs w:val="21"/>
                <w:highlight w:val="none"/>
                <w:vertAlign w:val="baseline"/>
                <w:lang w:eastAsia="zh-CN"/>
              </w:rPr>
              <w:t>，</w:t>
            </w:r>
            <w:r>
              <w:rPr>
                <w:rFonts w:hint="eastAsia"/>
                <w:color w:val="auto"/>
                <w:sz w:val="21"/>
                <w:szCs w:val="21"/>
                <w:highlight w:val="none"/>
              </w:rPr>
              <w:t>暂存当日病死猪</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color w:val="auto"/>
                <w:sz w:val="21"/>
                <w:szCs w:val="21"/>
                <w:highlight w:val="none"/>
              </w:rPr>
            </w:pPr>
          </w:p>
        </w:tc>
        <w:tc>
          <w:tcPr>
            <w:tcW w:w="1778" w:type="dxa"/>
            <w:gridSpan w:val="2"/>
            <w:tcBorders>
              <w:tl2br w:val="nil"/>
              <w:tr2bl w:val="nil"/>
            </w:tcBorders>
            <w:shd w:val="clear" w:color="auto" w:fill="auto"/>
            <w:vAlign w:val="center"/>
          </w:tcPr>
          <w:p>
            <w:pPr>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医废暂存间</w:t>
            </w:r>
          </w:p>
        </w:tc>
        <w:tc>
          <w:tcPr>
            <w:tcW w:w="5898" w:type="dxa"/>
            <w:tcBorders>
              <w:tl2br w:val="nil"/>
              <w:tr2bl w:val="nil"/>
            </w:tcBorders>
            <w:shd w:val="clear" w:color="auto" w:fill="auto"/>
            <w:vAlign w:val="center"/>
          </w:tcPr>
          <w:p>
            <w:pPr>
              <w:spacing w:line="240" w:lineRule="auto"/>
              <w:ind w:firstLine="420" w:firstLineChars="20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1个，</w:t>
            </w:r>
            <w:r>
              <w:rPr>
                <w:rFonts w:ascii="Times New Roman" w:hAnsi="Times New Roman"/>
                <w:bCs/>
                <w:color w:val="auto"/>
                <w:kern w:val="0"/>
                <w:sz w:val="21"/>
                <w:szCs w:val="21"/>
                <w:highlight w:val="none"/>
              </w:rPr>
              <w:t>规格</w:t>
            </w:r>
            <w:r>
              <w:rPr>
                <w:rFonts w:hint="eastAsia"/>
                <w:bCs/>
                <w:color w:val="auto"/>
                <w:kern w:val="0"/>
                <w:sz w:val="21"/>
                <w:szCs w:val="21"/>
                <w:highlight w:val="none"/>
                <w:lang w:val="en-US" w:eastAsia="zh-CN"/>
              </w:rPr>
              <w:t>6</w:t>
            </w:r>
            <w:r>
              <w:rPr>
                <w:rFonts w:ascii="Times New Roman" w:hAnsi="Times New Roman"/>
                <w:bCs/>
                <w:color w:val="auto"/>
                <w:kern w:val="0"/>
                <w:sz w:val="21"/>
                <w:szCs w:val="21"/>
                <w:highlight w:val="none"/>
              </w:rPr>
              <w:t>×</w:t>
            </w:r>
            <w:r>
              <w:rPr>
                <w:rFonts w:hint="eastAsia"/>
                <w:bCs/>
                <w:color w:val="auto"/>
                <w:kern w:val="0"/>
                <w:sz w:val="21"/>
                <w:szCs w:val="21"/>
                <w:highlight w:val="none"/>
                <w:lang w:val="en-US" w:eastAsia="zh-CN"/>
              </w:rPr>
              <w:t>5</w:t>
            </w:r>
            <w:r>
              <w:rPr>
                <w:rFonts w:ascii="Times New Roman" w:hAnsi="Times New Roman"/>
                <w:bCs/>
                <w:color w:val="auto"/>
                <w:kern w:val="0"/>
                <w:sz w:val="21"/>
                <w:szCs w:val="21"/>
                <w:highlight w:val="none"/>
              </w:rPr>
              <w:t>m，总建筑面积</w:t>
            </w:r>
            <w:r>
              <w:rPr>
                <w:rFonts w:hint="eastAsia"/>
                <w:bCs/>
                <w:color w:val="auto"/>
                <w:kern w:val="0"/>
                <w:sz w:val="21"/>
                <w:szCs w:val="21"/>
                <w:highlight w:val="none"/>
                <w:lang w:val="en-US" w:eastAsia="zh-CN"/>
              </w:rPr>
              <w:t>30</w:t>
            </w:r>
            <w:r>
              <w:rPr>
                <w:rFonts w:ascii="Times New Roman" w:hAnsi="Times New Roman"/>
                <w:bCs/>
                <w:color w:val="auto"/>
                <w:kern w:val="0"/>
                <w:sz w:val="21"/>
                <w:szCs w:val="21"/>
                <w:highlight w:val="none"/>
              </w:rPr>
              <w:t>m</w:t>
            </w:r>
            <w:r>
              <w:rPr>
                <w:rFonts w:ascii="Times New Roman" w:hAnsi="Times New Roman"/>
                <w:bCs/>
                <w:color w:val="auto"/>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color w:val="auto"/>
                <w:sz w:val="21"/>
                <w:szCs w:val="21"/>
                <w:highlight w:val="none"/>
              </w:rPr>
            </w:pPr>
          </w:p>
        </w:tc>
        <w:tc>
          <w:tcPr>
            <w:tcW w:w="1778" w:type="dxa"/>
            <w:gridSpan w:val="2"/>
            <w:tcBorders>
              <w:tl2br w:val="nil"/>
              <w:tr2bl w:val="nil"/>
            </w:tcBorders>
            <w:shd w:val="clear" w:color="auto" w:fill="auto"/>
            <w:vAlign w:val="center"/>
          </w:tcPr>
          <w:p>
            <w:pPr>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无害化处理车间</w:t>
            </w:r>
          </w:p>
        </w:tc>
        <w:tc>
          <w:tcPr>
            <w:tcW w:w="5898" w:type="dxa"/>
            <w:tcBorders>
              <w:tl2br w:val="nil"/>
              <w:tr2bl w:val="nil"/>
            </w:tcBorders>
            <w:shd w:val="clear" w:color="auto" w:fill="auto"/>
            <w:vAlign w:val="center"/>
          </w:tcPr>
          <w:p>
            <w:pPr>
              <w:spacing w:line="240" w:lineRule="auto"/>
              <w:ind w:firstLine="0" w:firstLineChars="0"/>
              <w:jc w:val="center"/>
              <w:rPr>
                <w:rFonts w:hint="eastAsia" w:eastAsia="宋体"/>
                <w:color w:val="auto"/>
                <w:sz w:val="21"/>
                <w:szCs w:val="21"/>
                <w:highlight w:val="none"/>
                <w:vertAlign w:val="baseline"/>
                <w:lang w:eastAsia="zh-CN"/>
              </w:rPr>
            </w:pPr>
            <w:r>
              <w:rPr>
                <w:rFonts w:hint="eastAsia"/>
                <w:color w:val="auto"/>
                <w:sz w:val="21"/>
                <w:szCs w:val="21"/>
                <w:highlight w:val="none"/>
                <w:lang w:val="en-US" w:eastAsia="zh-CN"/>
              </w:rPr>
              <w:t>1个，</w:t>
            </w:r>
            <w:r>
              <w:rPr>
                <w:rFonts w:ascii="Times New Roman" w:hAnsi="Times New Roman"/>
                <w:bCs/>
                <w:color w:val="auto"/>
                <w:kern w:val="0"/>
                <w:sz w:val="21"/>
                <w:szCs w:val="21"/>
                <w:highlight w:val="none"/>
              </w:rPr>
              <w:t>规格</w:t>
            </w:r>
            <w:r>
              <w:rPr>
                <w:rFonts w:hint="eastAsia"/>
                <w:bCs/>
                <w:color w:val="auto"/>
                <w:kern w:val="0"/>
                <w:sz w:val="21"/>
                <w:szCs w:val="21"/>
                <w:highlight w:val="none"/>
                <w:lang w:val="en-US" w:eastAsia="zh-CN"/>
              </w:rPr>
              <w:t>16.3</w:t>
            </w:r>
            <w:r>
              <w:rPr>
                <w:rFonts w:ascii="Times New Roman" w:hAnsi="Times New Roman"/>
                <w:bCs/>
                <w:color w:val="auto"/>
                <w:kern w:val="0"/>
                <w:sz w:val="21"/>
                <w:szCs w:val="21"/>
                <w:highlight w:val="none"/>
              </w:rPr>
              <w:t>×</w:t>
            </w:r>
            <w:r>
              <w:rPr>
                <w:rFonts w:hint="eastAsia"/>
                <w:bCs/>
                <w:color w:val="auto"/>
                <w:kern w:val="0"/>
                <w:sz w:val="21"/>
                <w:szCs w:val="21"/>
                <w:highlight w:val="none"/>
                <w:lang w:val="en-US" w:eastAsia="zh-CN"/>
              </w:rPr>
              <w:t>15.3</w:t>
            </w:r>
            <w:r>
              <w:rPr>
                <w:rFonts w:ascii="Times New Roman" w:hAnsi="Times New Roman"/>
                <w:bCs/>
                <w:color w:val="auto"/>
                <w:kern w:val="0"/>
                <w:sz w:val="21"/>
                <w:szCs w:val="21"/>
                <w:highlight w:val="none"/>
              </w:rPr>
              <w:t>m，总建筑面积</w:t>
            </w:r>
            <w:r>
              <w:rPr>
                <w:rFonts w:hint="eastAsia"/>
                <w:bCs/>
                <w:color w:val="auto"/>
                <w:kern w:val="0"/>
                <w:sz w:val="21"/>
                <w:szCs w:val="21"/>
                <w:highlight w:val="none"/>
                <w:lang w:val="en-US" w:eastAsia="zh-CN"/>
              </w:rPr>
              <w:t>249.39</w:t>
            </w:r>
            <w:r>
              <w:rPr>
                <w:rFonts w:ascii="Times New Roman" w:hAnsi="Times New Roman"/>
                <w:bCs/>
                <w:color w:val="auto"/>
                <w:kern w:val="0"/>
                <w:sz w:val="21"/>
                <w:szCs w:val="21"/>
                <w:highlight w:val="none"/>
              </w:rPr>
              <w:t>m</w:t>
            </w:r>
            <w:r>
              <w:rPr>
                <w:rFonts w:ascii="Times New Roman" w:hAnsi="Times New Roman"/>
                <w:bCs/>
                <w:color w:val="auto"/>
                <w:kern w:val="0"/>
                <w:sz w:val="21"/>
                <w:szCs w:val="21"/>
                <w:highlight w:val="none"/>
                <w:vertAlign w:val="superscript"/>
              </w:rPr>
              <w:t>2</w:t>
            </w:r>
            <w:r>
              <w:rPr>
                <w:rFonts w:hint="eastAsia"/>
                <w:bCs/>
                <w:color w:val="auto"/>
                <w:kern w:val="0"/>
                <w:sz w:val="21"/>
                <w:szCs w:val="21"/>
                <w:highlight w:val="none"/>
                <w:vertAlign w:val="baseline"/>
                <w:lang w:eastAsia="zh-CN"/>
              </w:rPr>
              <w:t>；车间内设置无害化高温化制机，采用沼气加热，处理能力为每次2吨，处置场区内的病死猪</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color w:val="auto"/>
                <w:sz w:val="21"/>
                <w:szCs w:val="21"/>
                <w:highlight w:val="none"/>
              </w:rPr>
            </w:pPr>
          </w:p>
        </w:tc>
        <w:tc>
          <w:tcPr>
            <w:tcW w:w="1778" w:type="dxa"/>
            <w:gridSpan w:val="2"/>
            <w:tcBorders>
              <w:tl2br w:val="nil"/>
              <w:tr2bl w:val="nil"/>
            </w:tcBorders>
            <w:shd w:val="clear" w:color="auto" w:fill="auto"/>
            <w:vAlign w:val="center"/>
          </w:tcPr>
          <w:p>
            <w:pPr>
              <w:spacing w:line="240" w:lineRule="auto"/>
              <w:ind w:firstLine="0" w:firstLineChars="0"/>
              <w:jc w:val="center"/>
              <w:rPr>
                <w:rFonts w:hint="eastAsia"/>
                <w:color w:val="auto"/>
                <w:sz w:val="21"/>
                <w:szCs w:val="21"/>
                <w:highlight w:val="none"/>
                <w:lang w:eastAsia="zh-CN"/>
              </w:rPr>
            </w:pPr>
            <w:r>
              <w:rPr>
                <w:rFonts w:hint="eastAsia"/>
                <w:color w:val="auto"/>
                <w:sz w:val="21"/>
                <w:szCs w:val="21"/>
                <w:highlight w:val="none"/>
                <w:lang w:eastAsia="zh-CN"/>
              </w:rPr>
              <w:t>销售区</w:t>
            </w:r>
          </w:p>
        </w:tc>
        <w:tc>
          <w:tcPr>
            <w:tcW w:w="5898" w:type="dxa"/>
            <w:tcBorders>
              <w:tl2br w:val="nil"/>
              <w:tr2bl w:val="nil"/>
            </w:tcBorders>
            <w:shd w:val="clear" w:color="auto" w:fill="auto"/>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2个，</w:t>
            </w:r>
            <w:r>
              <w:rPr>
                <w:rFonts w:ascii="Times New Roman" w:hAnsi="Times New Roman"/>
                <w:bCs/>
                <w:color w:val="auto"/>
                <w:kern w:val="0"/>
                <w:sz w:val="21"/>
                <w:szCs w:val="21"/>
                <w:highlight w:val="none"/>
              </w:rPr>
              <w:t>规格</w:t>
            </w:r>
            <w:r>
              <w:rPr>
                <w:rFonts w:hint="eastAsia"/>
                <w:bCs/>
                <w:color w:val="auto"/>
                <w:kern w:val="0"/>
                <w:sz w:val="21"/>
                <w:szCs w:val="21"/>
                <w:highlight w:val="none"/>
                <w:lang w:val="en-US" w:eastAsia="zh-CN"/>
              </w:rPr>
              <w:t>22</w:t>
            </w:r>
            <w:r>
              <w:rPr>
                <w:rFonts w:ascii="Times New Roman" w:hAnsi="Times New Roman"/>
                <w:bCs/>
                <w:color w:val="auto"/>
                <w:kern w:val="0"/>
                <w:sz w:val="21"/>
                <w:szCs w:val="21"/>
                <w:highlight w:val="none"/>
              </w:rPr>
              <w:t>×</w:t>
            </w:r>
            <w:r>
              <w:rPr>
                <w:rFonts w:hint="eastAsia"/>
                <w:bCs/>
                <w:color w:val="auto"/>
                <w:kern w:val="0"/>
                <w:sz w:val="21"/>
                <w:szCs w:val="21"/>
                <w:highlight w:val="none"/>
                <w:lang w:val="en-US" w:eastAsia="zh-CN"/>
              </w:rPr>
              <w:t>10</w:t>
            </w:r>
            <w:r>
              <w:rPr>
                <w:rFonts w:ascii="Times New Roman" w:hAnsi="Times New Roman"/>
                <w:bCs/>
                <w:color w:val="auto"/>
                <w:kern w:val="0"/>
                <w:sz w:val="21"/>
                <w:szCs w:val="21"/>
                <w:highlight w:val="none"/>
              </w:rPr>
              <w:t>m，总建筑面积</w:t>
            </w:r>
            <w:r>
              <w:rPr>
                <w:rFonts w:hint="eastAsia"/>
                <w:bCs/>
                <w:color w:val="auto"/>
                <w:kern w:val="0"/>
                <w:sz w:val="21"/>
                <w:szCs w:val="21"/>
                <w:highlight w:val="none"/>
                <w:lang w:val="en-US" w:eastAsia="zh-CN"/>
              </w:rPr>
              <w:t>440</w:t>
            </w:r>
            <w:r>
              <w:rPr>
                <w:rFonts w:ascii="Times New Roman" w:hAnsi="Times New Roman"/>
                <w:bCs/>
                <w:color w:val="auto"/>
                <w:kern w:val="0"/>
                <w:sz w:val="21"/>
                <w:szCs w:val="21"/>
                <w:highlight w:val="none"/>
              </w:rPr>
              <w:t>m</w:t>
            </w:r>
            <w:r>
              <w:rPr>
                <w:rFonts w:ascii="Times New Roman" w:hAnsi="Times New Roman"/>
                <w:bCs/>
                <w:color w:val="auto"/>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color w:val="auto"/>
                <w:sz w:val="21"/>
                <w:szCs w:val="21"/>
                <w:highlight w:val="none"/>
              </w:rPr>
            </w:pPr>
          </w:p>
        </w:tc>
        <w:tc>
          <w:tcPr>
            <w:tcW w:w="1778" w:type="dxa"/>
            <w:gridSpan w:val="2"/>
            <w:tcBorders>
              <w:tl2br w:val="nil"/>
              <w:tr2bl w:val="nil"/>
            </w:tcBorders>
            <w:shd w:val="clear" w:color="auto" w:fill="auto"/>
            <w:vAlign w:val="center"/>
          </w:tcPr>
          <w:p>
            <w:pPr>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烘干房</w:t>
            </w:r>
          </w:p>
        </w:tc>
        <w:tc>
          <w:tcPr>
            <w:tcW w:w="5898" w:type="dxa"/>
            <w:tcBorders>
              <w:tl2br w:val="nil"/>
              <w:tr2bl w:val="nil"/>
            </w:tcBorders>
            <w:shd w:val="clear" w:color="auto" w:fill="auto"/>
            <w:vAlign w:val="center"/>
          </w:tcPr>
          <w:p>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2个，</w:t>
            </w:r>
            <w:r>
              <w:rPr>
                <w:rFonts w:ascii="Times New Roman" w:hAnsi="Times New Roman"/>
                <w:bCs/>
                <w:color w:val="auto"/>
                <w:kern w:val="0"/>
                <w:sz w:val="21"/>
                <w:szCs w:val="21"/>
                <w:highlight w:val="none"/>
              </w:rPr>
              <w:t>规格</w:t>
            </w:r>
            <w:r>
              <w:rPr>
                <w:rFonts w:hint="eastAsia"/>
                <w:bCs/>
                <w:color w:val="auto"/>
                <w:kern w:val="0"/>
                <w:sz w:val="21"/>
                <w:szCs w:val="21"/>
                <w:highlight w:val="none"/>
                <w:lang w:val="en-US" w:eastAsia="zh-CN"/>
              </w:rPr>
              <w:t>9.9</w:t>
            </w:r>
            <w:r>
              <w:rPr>
                <w:rFonts w:ascii="Times New Roman" w:hAnsi="Times New Roman"/>
                <w:bCs/>
                <w:color w:val="auto"/>
                <w:kern w:val="0"/>
                <w:sz w:val="21"/>
                <w:szCs w:val="21"/>
                <w:highlight w:val="none"/>
              </w:rPr>
              <w:t>×</w:t>
            </w:r>
            <w:r>
              <w:rPr>
                <w:rFonts w:hint="eastAsia"/>
                <w:bCs/>
                <w:color w:val="auto"/>
                <w:kern w:val="0"/>
                <w:sz w:val="21"/>
                <w:szCs w:val="21"/>
                <w:highlight w:val="none"/>
                <w:lang w:val="en-US" w:eastAsia="zh-CN"/>
              </w:rPr>
              <w:t>8.24</w:t>
            </w:r>
            <w:r>
              <w:rPr>
                <w:rFonts w:ascii="Times New Roman" w:hAnsi="Times New Roman"/>
                <w:bCs/>
                <w:color w:val="auto"/>
                <w:kern w:val="0"/>
                <w:sz w:val="21"/>
                <w:szCs w:val="21"/>
                <w:highlight w:val="none"/>
              </w:rPr>
              <w:t>m，总建筑面积</w:t>
            </w:r>
            <w:r>
              <w:rPr>
                <w:rFonts w:hint="eastAsia"/>
                <w:bCs/>
                <w:color w:val="auto"/>
                <w:kern w:val="0"/>
                <w:sz w:val="21"/>
                <w:szCs w:val="21"/>
                <w:highlight w:val="none"/>
                <w:lang w:val="en-US" w:eastAsia="zh-CN"/>
              </w:rPr>
              <w:t>163.152</w:t>
            </w:r>
            <w:r>
              <w:rPr>
                <w:rFonts w:ascii="Times New Roman" w:hAnsi="Times New Roman"/>
                <w:bCs/>
                <w:color w:val="auto"/>
                <w:kern w:val="0"/>
                <w:sz w:val="21"/>
                <w:szCs w:val="21"/>
                <w:highlight w:val="none"/>
              </w:rPr>
              <w:t>m</w:t>
            </w:r>
            <w:r>
              <w:rPr>
                <w:rFonts w:ascii="Times New Roman" w:hAnsi="Times New Roman"/>
                <w:bCs/>
                <w:color w:val="auto"/>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color w:val="auto"/>
                <w:sz w:val="21"/>
                <w:szCs w:val="21"/>
                <w:highlight w:val="none"/>
              </w:rPr>
            </w:pPr>
          </w:p>
        </w:tc>
        <w:tc>
          <w:tcPr>
            <w:tcW w:w="1778" w:type="dxa"/>
            <w:gridSpan w:val="2"/>
            <w:tcBorders>
              <w:tl2br w:val="nil"/>
              <w:tr2bl w:val="nil"/>
            </w:tcBorders>
            <w:shd w:val="clear" w:color="auto" w:fill="auto"/>
            <w:vAlign w:val="center"/>
          </w:tcPr>
          <w:p>
            <w:pPr>
              <w:spacing w:line="240" w:lineRule="auto"/>
              <w:ind w:firstLine="0" w:firstLineChars="0"/>
              <w:jc w:val="center"/>
              <w:rPr>
                <w:rFonts w:hint="eastAsia"/>
                <w:color w:val="auto"/>
                <w:sz w:val="21"/>
                <w:szCs w:val="21"/>
                <w:highlight w:val="none"/>
                <w:lang w:eastAsia="zh-CN"/>
              </w:rPr>
            </w:pPr>
            <w:r>
              <w:rPr>
                <w:rFonts w:hint="eastAsia"/>
                <w:color w:val="auto"/>
                <w:sz w:val="21"/>
                <w:szCs w:val="21"/>
                <w:highlight w:val="none"/>
                <w:lang w:val="en-US" w:eastAsia="zh-CN"/>
              </w:rPr>
              <w:t>固粪处理区</w:t>
            </w:r>
          </w:p>
        </w:tc>
        <w:tc>
          <w:tcPr>
            <w:tcW w:w="5898" w:type="dxa"/>
            <w:tcBorders>
              <w:tl2br w:val="nil"/>
              <w:tr2bl w:val="nil"/>
            </w:tcBorders>
            <w:shd w:val="clear" w:color="auto" w:fill="auto"/>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1个，规格66×14m，总建筑面积924m</w:t>
            </w:r>
            <w:r>
              <w:rPr>
                <w:rFonts w:hint="eastAsia"/>
                <w:color w:val="auto"/>
                <w:sz w:val="21"/>
                <w:szCs w:val="21"/>
                <w:highlight w:val="none"/>
                <w:vertAlign w:val="superscript"/>
                <w:lang w:val="en-US" w:eastAsia="zh-CN"/>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color w:val="auto"/>
                <w:sz w:val="21"/>
                <w:szCs w:val="21"/>
                <w:highlight w:val="none"/>
              </w:rPr>
            </w:pPr>
          </w:p>
        </w:tc>
        <w:tc>
          <w:tcPr>
            <w:tcW w:w="1778" w:type="dxa"/>
            <w:gridSpan w:val="2"/>
            <w:tcBorders>
              <w:tl2br w:val="nil"/>
              <w:tr2bl w:val="nil"/>
            </w:tcBorders>
            <w:shd w:val="clear" w:color="auto" w:fill="auto"/>
            <w:vAlign w:val="center"/>
          </w:tcPr>
          <w:p>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环保值班室</w:t>
            </w:r>
          </w:p>
        </w:tc>
        <w:tc>
          <w:tcPr>
            <w:tcW w:w="5898" w:type="dxa"/>
            <w:tcBorders>
              <w:tl2br w:val="nil"/>
              <w:tr2bl w:val="nil"/>
            </w:tcBorders>
            <w:shd w:val="clear" w:color="auto" w:fill="auto"/>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1栋，</w:t>
            </w:r>
            <w:r>
              <w:rPr>
                <w:rFonts w:ascii="Times New Roman" w:hAnsi="Times New Roman"/>
                <w:bCs/>
                <w:color w:val="auto"/>
                <w:kern w:val="0"/>
                <w:sz w:val="21"/>
                <w:szCs w:val="21"/>
                <w:highlight w:val="none"/>
              </w:rPr>
              <w:t>规格</w:t>
            </w:r>
            <w:r>
              <w:rPr>
                <w:rFonts w:hint="eastAsia"/>
                <w:bCs/>
                <w:color w:val="auto"/>
                <w:kern w:val="0"/>
                <w:sz w:val="21"/>
                <w:szCs w:val="21"/>
                <w:highlight w:val="none"/>
                <w:lang w:val="en-US" w:eastAsia="zh-CN"/>
              </w:rPr>
              <w:t>28</w:t>
            </w:r>
            <w:r>
              <w:rPr>
                <w:rFonts w:ascii="Times New Roman" w:hAnsi="Times New Roman"/>
                <w:bCs/>
                <w:color w:val="auto"/>
                <w:kern w:val="0"/>
                <w:sz w:val="21"/>
                <w:szCs w:val="21"/>
                <w:highlight w:val="none"/>
              </w:rPr>
              <w:t>×</w:t>
            </w:r>
            <w:r>
              <w:rPr>
                <w:rFonts w:hint="eastAsia"/>
                <w:bCs/>
                <w:color w:val="auto"/>
                <w:kern w:val="0"/>
                <w:sz w:val="21"/>
                <w:szCs w:val="21"/>
                <w:highlight w:val="none"/>
                <w:lang w:val="en-US" w:eastAsia="zh-CN"/>
              </w:rPr>
              <w:t>7</w:t>
            </w:r>
            <w:r>
              <w:rPr>
                <w:rFonts w:ascii="Times New Roman" w:hAnsi="Times New Roman"/>
                <w:bCs/>
                <w:color w:val="auto"/>
                <w:kern w:val="0"/>
                <w:sz w:val="21"/>
                <w:szCs w:val="21"/>
                <w:highlight w:val="none"/>
              </w:rPr>
              <w:t>m，总建筑面积</w:t>
            </w:r>
            <w:r>
              <w:rPr>
                <w:rFonts w:hint="eastAsia"/>
                <w:bCs/>
                <w:color w:val="auto"/>
                <w:kern w:val="0"/>
                <w:sz w:val="21"/>
                <w:szCs w:val="21"/>
                <w:highlight w:val="none"/>
                <w:lang w:val="en-US" w:eastAsia="zh-CN"/>
              </w:rPr>
              <w:t>196</w:t>
            </w:r>
            <w:r>
              <w:rPr>
                <w:rFonts w:ascii="Times New Roman" w:hAnsi="Times New Roman"/>
                <w:bCs/>
                <w:color w:val="auto"/>
                <w:kern w:val="0"/>
                <w:sz w:val="21"/>
                <w:szCs w:val="21"/>
                <w:highlight w:val="none"/>
              </w:rPr>
              <w:t>m</w:t>
            </w:r>
            <w:r>
              <w:rPr>
                <w:rFonts w:ascii="Times New Roman" w:hAnsi="Times New Roman"/>
                <w:bCs/>
                <w:color w:val="auto"/>
                <w:kern w:val="0"/>
                <w:sz w:val="21"/>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color w:val="auto"/>
                <w:sz w:val="21"/>
                <w:szCs w:val="21"/>
                <w:highlight w:val="none"/>
              </w:rPr>
            </w:pPr>
          </w:p>
        </w:tc>
        <w:tc>
          <w:tcPr>
            <w:tcW w:w="1778" w:type="dxa"/>
            <w:gridSpan w:val="2"/>
            <w:tcBorders>
              <w:tl2br w:val="nil"/>
              <w:tr2bl w:val="nil"/>
            </w:tcBorders>
            <w:shd w:val="clear" w:color="auto" w:fill="auto"/>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沼液储存池</w:t>
            </w:r>
          </w:p>
        </w:tc>
        <w:tc>
          <w:tcPr>
            <w:tcW w:w="5898" w:type="dxa"/>
            <w:tcBorders>
              <w:tl2br w:val="nil"/>
              <w:tr2bl w:val="nil"/>
            </w:tcBorders>
            <w:shd w:val="clear" w:color="auto" w:fill="auto"/>
            <w:vAlign w:val="center"/>
          </w:tcPr>
          <w:p>
            <w:pPr>
              <w:spacing w:line="240" w:lineRule="auto"/>
              <w:ind w:firstLine="420" w:firstLineChars="200"/>
              <w:jc w:val="center"/>
              <w:rPr>
                <w:rFonts w:hint="eastAsia"/>
                <w:color w:val="auto"/>
                <w:sz w:val="21"/>
                <w:szCs w:val="21"/>
                <w:highlight w:val="none"/>
                <w:lang w:val="en-US" w:eastAsia="zh-CN"/>
              </w:rPr>
            </w:pPr>
            <w:r>
              <w:rPr>
                <w:rFonts w:hint="eastAsia"/>
                <w:color w:val="auto"/>
                <w:sz w:val="21"/>
                <w:szCs w:val="21"/>
                <w:highlight w:val="none"/>
                <w:lang w:val="en-US" w:eastAsia="zh-CN"/>
              </w:rPr>
              <w:t>1个，</w:t>
            </w:r>
            <w:r>
              <w:rPr>
                <w:rFonts w:hint="eastAsia" w:ascii="Times New Roman" w:hAnsi="Times New Roman"/>
                <w:color w:val="auto"/>
                <w:sz w:val="21"/>
                <w:highlight w:val="none"/>
              </w:rPr>
              <w:t>容积为</w:t>
            </w:r>
            <w:r>
              <w:rPr>
                <w:rFonts w:hint="eastAsia"/>
                <w:color w:val="auto"/>
                <w:sz w:val="21"/>
                <w:highlight w:val="none"/>
                <w:lang w:val="en-US" w:eastAsia="zh-CN"/>
              </w:rPr>
              <w:t>60480</w:t>
            </w:r>
            <w:r>
              <w:rPr>
                <w:rFonts w:hint="eastAsia" w:ascii="Times New Roman" w:hAnsi="Times New Roman"/>
                <w:color w:val="auto"/>
                <w:sz w:val="21"/>
                <w:highlight w:val="none"/>
              </w:rPr>
              <w:t>m</w:t>
            </w:r>
            <w:r>
              <w:rPr>
                <w:rFonts w:hint="eastAsia"/>
                <w:color w:val="auto"/>
                <w:sz w:val="21"/>
                <w:highlight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shd w:val="clear" w:color="auto" w:fill="auto"/>
            <w:vAlign w:val="center"/>
          </w:tcPr>
          <w:p>
            <w:pPr>
              <w:spacing w:line="240" w:lineRule="auto"/>
              <w:ind w:firstLine="0" w:firstLineChars="0"/>
              <w:jc w:val="center"/>
              <w:rPr>
                <w:color w:val="auto"/>
                <w:sz w:val="21"/>
                <w:szCs w:val="21"/>
                <w:highlight w:val="none"/>
              </w:rPr>
            </w:pPr>
          </w:p>
        </w:tc>
        <w:tc>
          <w:tcPr>
            <w:tcW w:w="1778" w:type="dxa"/>
            <w:gridSpan w:val="2"/>
            <w:tcBorders>
              <w:tl2br w:val="nil"/>
              <w:tr2bl w:val="nil"/>
            </w:tcBorders>
            <w:shd w:val="clear" w:color="auto" w:fill="auto"/>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黑膜沼气池</w:t>
            </w:r>
          </w:p>
        </w:tc>
        <w:tc>
          <w:tcPr>
            <w:tcW w:w="5898" w:type="dxa"/>
            <w:tcBorders>
              <w:tl2br w:val="nil"/>
              <w:tr2bl w:val="nil"/>
            </w:tcBorders>
            <w:shd w:val="clear" w:color="auto" w:fill="auto"/>
            <w:vAlign w:val="center"/>
          </w:tcPr>
          <w:p>
            <w:pPr>
              <w:spacing w:line="240" w:lineRule="auto"/>
              <w:ind w:firstLine="420" w:firstLineChars="200"/>
              <w:jc w:val="center"/>
              <w:rPr>
                <w:rFonts w:hint="eastAsia" w:eastAsia="宋体"/>
                <w:color w:val="auto"/>
                <w:sz w:val="21"/>
                <w:szCs w:val="21"/>
                <w:highlight w:val="none"/>
                <w:vertAlign w:val="baseline"/>
                <w:lang w:val="en-US" w:eastAsia="zh-CN"/>
              </w:rPr>
            </w:pPr>
            <w:r>
              <w:rPr>
                <w:rFonts w:hint="eastAsia"/>
                <w:color w:val="auto"/>
                <w:sz w:val="21"/>
                <w:szCs w:val="21"/>
                <w:highlight w:val="none"/>
                <w:lang w:val="en-US" w:eastAsia="zh-CN"/>
              </w:rPr>
              <w:t>1个，</w:t>
            </w:r>
            <w:r>
              <w:rPr>
                <w:rFonts w:hint="eastAsia" w:ascii="Times New Roman" w:hAnsi="Times New Roman"/>
                <w:color w:val="auto"/>
                <w:sz w:val="21"/>
                <w:highlight w:val="none"/>
              </w:rPr>
              <w:t>容积为</w:t>
            </w:r>
            <w:r>
              <w:rPr>
                <w:rFonts w:hint="eastAsia"/>
                <w:color w:val="auto"/>
                <w:sz w:val="21"/>
                <w:highlight w:val="none"/>
                <w:lang w:val="en-US" w:eastAsia="zh-CN"/>
              </w:rPr>
              <w:t>10680</w:t>
            </w:r>
            <w:r>
              <w:rPr>
                <w:rFonts w:hint="eastAsia" w:ascii="Times New Roman" w:hAnsi="Times New Roman"/>
                <w:color w:val="auto"/>
                <w:sz w:val="21"/>
                <w:highlight w:val="none"/>
              </w:rPr>
              <w:t>m</w:t>
            </w:r>
            <w:r>
              <w:rPr>
                <w:rFonts w:hint="eastAsia"/>
                <w:color w:val="auto"/>
                <w:sz w:val="21"/>
                <w:highlight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restart"/>
            <w:tcBorders>
              <w:tl2br w:val="nil"/>
              <w:tr2bl w:val="nil"/>
            </w:tcBorders>
            <w:vAlign w:val="center"/>
          </w:tcPr>
          <w:p>
            <w:pPr>
              <w:pStyle w:val="101"/>
              <w:spacing w:line="240" w:lineRule="auto"/>
              <w:ind w:left="69" w:hanging="69" w:hangingChars="33"/>
              <w:jc w:val="center"/>
              <w:rPr>
                <w:color w:val="auto"/>
                <w:sz w:val="21"/>
                <w:szCs w:val="21"/>
                <w:highlight w:val="none"/>
              </w:rPr>
            </w:pPr>
            <w:r>
              <w:rPr>
                <w:color w:val="auto"/>
                <w:sz w:val="21"/>
                <w:szCs w:val="21"/>
                <w:highlight w:val="none"/>
              </w:rPr>
              <w:t>公用工程</w:t>
            </w:r>
          </w:p>
        </w:tc>
        <w:tc>
          <w:tcPr>
            <w:tcW w:w="1778" w:type="dxa"/>
            <w:gridSpan w:val="2"/>
            <w:tcBorders>
              <w:tl2br w:val="nil"/>
              <w:tr2bl w:val="nil"/>
            </w:tcBorders>
            <w:vAlign w:val="center"/>
          </w:tcPr>
          <w:p>
            <w:pPr>
              <w:spacing w:line="240" w:lineRule="auto"/>
              <w:ind w:firstLine="0" w:firstLineChars="0"/>
              <w:jc w:val="center"/>
              <w:rPr>
                <w:bCs/>
                <w:color w:val="auto"/>
                <w:sz w:val="21"/>
                <w:szCs w:val="21"/>
                <w:highlight w:val="none"/>
              </w:rPr>
            </w:pPr>
            <w:r>
              <w:rPr>
                <w:bCs/>
                <w:color w:val="auto"/>
                <w:sz w:val="21"/>
                <w:szCs w:val="21"/>
                <w:highlight w:val="none"/>
              </w:rPr>
              <w:t>供水系统</w:t>
            </w:r>
          </w:p>
        </w:tc>
        <w:tc>
          <w:tcPr>
            <w:tcW w:w="5898" w:type="dxa"/>
            <w:tcBorders>
              <w:tl2br w:val="nil"/>
              <w:tr2bl w:val="nil"/>
            </w:tcBorders>
            <w:vAlign w:val="center"/>
          </w:tcPr>
          <w:p>
            <w:pPr>
              <w:spacing w:line="240" w:lineRule="auto"/>
              <w:ind w:firstLine="0" w:firstLineChars="0"/>
              <w:jc w:val="center"/>
              <w:rPr>
                <w:bCs/>
                <w:color w:val="auto"/>
                <w:sz w:val="21"/>
                <w:szCs w:val="21"/>
                <w:highlight w:val="none"/>
              </w:rPr>
            </w:pPr>
            <w:r>
              <w:rPr>
                <w:rFonts w:hint="eastAsia"/>
                <w:bCs/>
                <w:color w:val="auto"/>
                <w:sz w:val="21"/>
                <w:szCs w:val="21"/>
                <w:highlight w:val="none"/>
              </w:rPr>
              <w:t>本项目用水由场区1口自备井供应</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01"/>
              <w:spacing w:line="240" w:lineRule="auto"/>
              <w:ind w:left="69" w:hanging="69" w:hangingChars="33"/>
              <w:jc w:val="center"/>
              <w:rPr>
                <w:color w:val="auto"/>
                <w:sz w:val="21"/>
                <w:szCs w:val="21"/>
                <w:highlight w:val="none"/>
              </w:rPr>
            </w:pPr>
          </w:p>
        </w:tc>
        <w:tc>
          <w:tcPr>
            <w:tcW w:w="1778" w:type="dxa"/>
            <w:gridSpan w:val="2"/>
            <w:tcBorders>
              <w:tl2br w:val="nil"/>
              <w:tr2bl w:val="nil"/>
            </w:tcBorders>
            <w:vAlign w:val="center"/>
          </w:tcPr>
          <w:p>
            <w:pPr>
              <w:spacing w:line="240" w:lineRule="auto"/>
              <w:ind w:firstLine="0" w:firstLineChars="0"/>
              <w:jc w:val="center"/>
              <w:rPr>
                <w:bCs/>
                <w:color w:val="auto"/>
                <w:sz w:val="21"/>
                <w:szCs w:val="21"/>
                <w:highlight w:val="none"/>
              </w:rPr>
            </w:pPr>
            <w:r>
              <w:rPr>
                <w:color w:val="auto"/>
                <w:sz w:val="21"/>
                <w:szCs w:val="21"/>
                <w:highlight w:val="none"/>
              </w:rPr>
              <w:t>排水系统</w:t>
            </w:r>
          </w:p>
        </w:tc>
        <w:tc>
          <w:tcPr>
            <w:tcW w:w="5898" w:type="dxa"/>
            <w:tcBorders>
              <w:tl2br w:val="nil"/>
              <w:tr2bl w:val="nil"/>
            </w:tcBorders>
            <w:vAlign w:val="center"/>
          </w:tcPr>
          <w:p>
            <w:pPr>
              <w:spacing w:line="240" w:lineRule="auto"/>
              <w:ind w:firstLine="0" w:firstLineChars="0"/>
              <w:jc w:val="center"/>
              <w:rPr>
                <w:rFonts w:hint="eastAsia"/>
                <w:bCs/>
                <w:color w:val="auto"/>
                <w:sz w:val="21"/>
                <w:szCs w:val="21"/>
                <w:highlight w:val="none"/>
              </w:rPr>
            </w:pPr>
            <w:r>
              <w:rPr>
                <w:color w:val="auto"/>
                <w:sz w:val="21"/>
                <w:szCs w:val="21"/>
                <w:highlight w:val="none"/>
              </w:rPr>
              <w:t>项目排水采用雨污分流制</w:t>
            </w:r>
            <w:r>
              <w:rPr>
                <w:rFonts w:hint="eastAsia"/>
                <w:color w:val="auto"/>
                <w:sz w:val="21"/>
                <w:szCs w:val="21"/>
                <w:highlight w:val="none"/>
                <w:lang w:eastAsia="zh-CN"/>
              </w:rPr>
              <w:t>，</w:t>
            </w:r>
            <w:r>
              <w:rPr>
                <w:rFonts w:hint="eastAsia"/>
                <w:color w:val="auto"/>
                <w:sz w:val="21"/>
                <w:szCs w:val="21"/>
                <w:highlight w:val="none"/>
              </w:rPr>
              <w:t>养殖废水</w:t>
            </w:r>
            <w:r>
              <w:rPr>
                <w:rFonts w:hint="eastAsia"/>
                <w:color w:val="auto"/>
                <w:sz w:val="21"/>
                <w:szCs w:val="21"/>
                <w:highlight w:val="none"/>
                <w:lang w:eastAsia="zh-CN"/>
              </w:rPr>
              <w:t>、无害化处理车间废水、</w:t>
            </w:r>
            <w:r>
              <w:rPr>
                <w:rFonts w:hint="eastAsia"/>
                <w:color w:val="auto"/>
                <w:sz w:val="21"/>
                <w:szCs w:val="21"/>
                <w:highlight w:val="none"/>
              </w:rPr>
              <w:t>生活污水经场区</w:t>
            </w:r>
            <w:r>
              <w:rPr>
                <w:rFonts w:hint="eastAsia"/>
                <w:color w:val="auto"/>
                <w:sz w:val="21"/>
                <w:szCs w:val="21"/>
                <w:highlight w:val="none"/>
                <w:lang w:eastAsia="zh-CN"/>
              </w:rPr>
              <w:t>黑膜沼气池</w:t>
            </w:r>
            <w:r>
              <w:rPr>
                <w:rFonts w:hint="eastAsia"/>
                <w:color w:val="auto"/>
                <w:sz w:val="21"/>
                <w:szCs w:val="21"/>
                <w:highlight w:val="none"/>
              </w:rPr>
              <w:t>处理后，作为农肥综合利用</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02"/>
              <w:spacing w:line="240" w:lineRule="auto"/>
              <w:ind w:firstLine="420"/>
              <w:jc w:val="center"/>
              <w:rPr>
                <w:rFonts w:ascii="Times New Roman" w:hAnsi="Times New Roman"/>
                <w:color w:val="auto"/>
                <w:sz w:val="21"/>
                <w:highlight w:val="none"/>
              </w:rPr>
            </w:pPr>
          </w:p>
        </w:tc>
        <w:tc>
          <w:tcPr>
            <w:tcW w:w="1778" w:type="dxa"/>
            <w:gridSpan w:val="2"/>
            <w:tcBorders>
              <w:tl2br w:val="nil"/>
              <w:tr2bl w:val="nil"/>
            </w:tcBorders>
            <w:vAlign w:val="center"/>
          </w:tcPr>
          <w:p>
            <w:pPr>
              <w:spacing w:line="240" w:lineRule="auto"/>
              <w:ind w:firstLine="0" w:firstLineChars="0"/>
              <w:jc w:val="center"/>
              <w:rPr>
                <w:color w:val="auto"/>
                <w:sz w:val="21"/>
                <w:szCs w:val="21"/>
                <w:highlight w:val="none"/>
              </w:rPr>
            </w:pPr>
            <w:r>
              <w:rPr>
                <w:color w:val="auto"/>
                <w:sz w:val="21"/>
                <w:szCs w:val="21"/>
                <w:highlight w:val="none"/>
              </w:rPr>
              <w:t>供电系统</w:t>
            </w:r>
          </w:p>
        </w:tc>
        <w:tc>
          <w:tcPr>
            <w:tcW w:w="5898" w:type="dxa"/>
            <w:tcBorders>
              <w:tl2br w:val="nil"/>
              <w:tr2bl w:val="nil"/>
            </w:tcBorders>
            <w:vAlign w:val="center"/>
          </w:tcPr>
          <w:p>
            <w:pPr>
              <w:spacing w:line="240" w:lineRule="auto"/>
              <w:ind w:firstLine="0" w:firstLineChars="0"/>
              <w:jc w:val="center"/>
              <w:rPr>
                <w:rFonts w:hint="eastAsia" w:eastAsia="宋体"/>
                <w:color w:val="auto"/>
                <w:sz w:val="21"/>
                <w:szCs w:val="21"/>
                <w:highlight w:val="none"/>
                <w:lang w:eastAsia="zh-CN"/>
              </w:rPr>
            </w:pPr>
            <w:r>
              <w:rPr>
                <w:color w:val="auto"/>
                <w:sz w:val="21"/>
                <w:szCs w:val="21"/>
                <w:highlight w:val="none"/>
              </w:rPr>
              <w:t>依托当地供电电网</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02"/>
              <w:spacing w:line="240" w:lineRule="auto"/>
              <w:ind w:firstLine="420"/>
              <w:jc w:val="center"/>
              <w:rPr>
                <w:rFonts w:ascii="Times New Roman" w:hAnsi="Times New Roman"/>
                <w:color w:val="auto"/>
                <w:sz w:val="21"/>
                <w:highlight w:val="none"/>
              </w:rPr>
            </w:pPr>
          </w:p>
        </w:tc>
        <w:tc>
          <w:tcPr>
            <w:tcW w:w="1778" w:type="dxa"/>
            <w:gridSpan w:val="2"/>
            <w:tcBorders>
              <w:tl2br w:val="nil"/>
              <w:tr2bl w:val="nil"/>
            </w:tcBorders>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lang w:eastAsia="zh-CN"/>
              </w:rPr>
              <w:t>供热系统</w:t>
            </w:r>
          </w:p>
        </w:tc>
        <w:tc>
          <w:tcPr>
            <w:tcW w:w="5898" w:type="dxa"/>
            <w:tcBorders>
              <w:tl2br w:val="nil"/>
              <w:tr2bl w:val="nil"/>
            </w:tcBorders>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猪舍墙体为保温材料，可以减少猪舍热量损失；人员冬季取暖采用空调制暖</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restart"/>
            <w:tcBorders>
              <w:tl2br w:val="nil"/>
              <w:tr2bl w:val="nil"/>
            </w:tcBorders>
            <w:vAlign w:val="center"/>
          </w:tcPr>
          <w:p>
            <w:pPr>
              <w:pStyle w:val="11"/>
              <w:spacing w:before="83" w:after="83"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环保工程</w:t>
            </w:r>
          </w:p>
        </w:tc>
        <w:tc>
          <w:tcPr>
            <w:tcW w:w="670" w:type="dxa"/>
            <w:vMerge w:val="restart"/>
            <w:tcBorders>
              <w:tl2br w:val="nil"/>
              <w:tr2bl w:val="nil"/>
            </w:tcBorders>
            <w:vAlign w:val="center"/>
          </w:tcPr>
          <w:p>
            <w:pPr>
              <w:spacing w:line="240" w:lineRule="auto"/>
              <w:ind w:firstLine="0" w:firstLineChars="0"/>
              <w:jc w:val="center"/>
              <w:rPr>
                <w:color w:val="auto"/>
                <w:sz w:val="21"/>
                <w:szCs w:val="21"/>
                <w:highlight w:val="none"/>
              </w:rPr>
            </w:pPr>
            <w:r>
              <w:rPr>
                <w:color w:val="auto"/>
                <w:sz w:val="21"/>
                <w:szCs w:val="21"/>
                <w:highlight w:val="none"/>
              </w:rPr>
              <w:t>废气处理</w:t>
            </w:r>
          </w:p>
        </w:tc>
        <w:tc>
          <w:tcPr>
            <w:tcW w:w="1108" w:type="dxa"/>
            <w:tcBorders>
              <w:tl2br w:val="nil"/>
              <w:tr2bl w:val="nil"/>
            </w:tcBorders>
            <w:vAlign w:val="center"/>
          </w:tcPr>
          <w:p>
            <w:pPr>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沼气锅炉燃烧废气</w:t>
            </w:r>
          </w:p>
        </w:tc>
        <w:tc>
          <w:tcPr>
            <w:tcW w:w="5898" w:type="dxa"/>
            <w:tcBorders>
              <w:tl2br w:val="nil"/>
              <w:tr2bl w:val="nil"/>
            </w:tcBorders>
            <w:vAlign w:val="center"/>
          </w:tcPr>
          <w:p>
            <w:pPr>
              <w:pStyle w:val="103"/>
              <w:spacing w:line="240" w:lineRule="auto"/>
              <w:ind w:firstLine="0" w:firstLineChars="0"/>
              <w:jc w:val="center"/>
              <w:rPr>
                <w:color w:val="auto"/>
                <w:sz w:val="21"/>
                <w:highlight w:val="none"/>
              </w:rPr>
            </w:pPr>
            <w:r>
              <w:rPr>
                <w:rFonts w:hint="eastAsia"/>
                <w:color w:val="auto"/>
                <w:sz w:val="21"/>
                <w:highlight w:val="none"/>
              </w:rPr>
              <w:t>本项目</w:t>
            </w:r>
            <w:r>
              <w:rPr>
                <w:rFonts w:hint="eastAsia"/>
                <w:color w:val="auto"/>
                <w:sz w:val="21"/>
                <w:szCs w:val="21"/>
                <w:highlight w:val="none"/>
                <w:lang w:val="en-US" w:eastAsia="zh-CN"/>
              </w:rPr>
              <w:t>黑膜</w:t>
            </w:r>
            <w:r>
              <w:rPr>
                <w:rFonts w:hint="eastAsia"/>
                <w:color w:val="auto"/>
                <w:sz w:val="21"/>
                <w:highlight w:val="none"/>
              </w:rPr>
              <w:t>沼气池产生的沼气经配套的沼气净化装置净化后用于</w:t>
            </w:r>
            <w:r>
              <w:rPr>
                <w:rFonts w:hint="eastAsia"/>
                <w:color w:val="auto"/>
                <w:sz w:val="21"/>
                <w:highlight w:val="none"/>
                <w:lang w:eastAsia="zh-CN"/>
              </w:rPr>
              <w:t>伙房燃料，多余部分用于无害化处理车间沼气导热油锅炉供热</w:t>
            </w:r>
            <w:r>
              <w:rPr>
                <w:rFonts w:hint="eastAsia"/>
                <w:color w:val="auto"/>
                <w:sz w:val="21"/>
                <w:highlight w:val="none"/>
              </w:rPr>
              <w:t>，配套沼气净化装置1套</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1"/>
              <w:spacing w:before="83" w:after="83" w:line="240" w:lineRule="auto"/>
              <w:ind w:firstLine="0" w:firstLineChars="0"/>
              <w:jc w:val="center"/>
              <w:rPr>
                <w:rFonts w:ascii="Times New Roman" w:hAnsi="Times New Roman"/>
                <w:color w:val="auto"/>
                <w:sz w:val="21"/>
                <w:szCs w:val="21"/>
                <w:highlight w:val="none"/>
              </w:rPr>
            </w:pPr>
          </w:p>
        </w:tc>
        <w:tc>
          <w:tcPr>
            <w:tcW w:w="670" w:type="dxa"/>
            <w:vMerge w:val="continue"/>
            <w:tcBorders>
              <w:tl2br w:val="nil"/>
              <w:tr2bl w:val="nil"/>
            </w:tcBorders>
            <w:vAlign w:val="center"/>
          </w:tcPr>
          <w:p>
            <w:pPr>
              <w:spacing w:line="240" w:lineRule="auto"/>
              <w:ind w:firstLine="0" w:firstLineChars="0"/>
              <w:jc w:val="center"/>
              <w:rPr>
                <w:color w:val="auto"/>
                <w:sz w:val="21"/>
                <w:szCs w:val="21"/>
                <w:highlight w:val="none"/>
              </w:rPr>
            </w:pPr>
          </w:p>
        </w:tc>
        <w:tc>
          <w:tcPr>
            <w:tcW w:w="1108" w:type="dxa"/>
            <w:tcBorders>
              <w:tl2br w:val="nil"/>
              <w:tr2bl w:val="nil"/>
            </w:tcBorders>
            <w:vAlign w:val="center"/>
          </w:tcPr>
          <w:p>
            <w:pPr>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油烟废气</w:t>
            </w:r>
          </w:p>
        </w:tc>
        <w:tc>
          <w:tcPr>
            <w:tcW w:w="5898" w:type="dxa"/>
            <w:tcBorders>
              <w:tl2br w:val="nil"/>
              <w:tr2bl w:val="nil"/>
            </w:tcBorders>
            <w:vAlign w:val="center"/>
          </w:tcPr>
          <w:p>
            <w:pPr>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经</w:t>
            </w:r>
            <w:r>
              <w:rPr>
                <w:rFonts w:hint="eastAsia"/>
                <w:color w:val="auto"/>
                <w:sz w:val="21"/>
                <w:szCs w:val="21"/>
                <w:highlight w:val="none"/>
              </w:rPr>
              <w:t>油烟净化装置</w:t>
            </w:r>
            <w:r>
              <w:rPr>
                <w:rFonts w:hint="eastAsia"/>
                <w:color w:val="auto"/>
                <w:sz w:val="21"/>
                <w:szCs w:val="21"/>
                <w:highlight w:val="none"/>
                <w:lang w:eastAsia="zh-CN"/>
              </w:rPr>
              <w:t>处理后排放</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1"/>
              <w:spacing w:before="83" w:after="83" w:line="240" w:lineRule="auto"/>
              <w:ind w:firstLine="0" w:firstLineChars="0"/>
              <w:jc w:val="center"/>
              <w:rPr>
                <w:rFonts w:ascii="Times New Roman" w:hAnsi="Times New Roman"/>
                <w:color w:val="auto"/>
                <w:sz w:val="21"/>
                <w:szCs w:val="21"/>
                <w:highlight w:val="none"/>
              </w:rPr>
            </w:pPr>
          </w:p>
        </w:tc>
        <w:tc>
          <w:tcPr>
            <w:tcW w:w="670" w:type="dxa"/>
            <w:vMerge w:val="continue"/>
            <w:tcBorders>
              <w:tl2br w:val="nil"/>
              <w:tr2bl w:val="nil"/>
            </w:tcBorders>
            <w:vAlign w:val="center"/>
          </w:tcPr>
          <w:p>
            <w:pPr>
              <w:spacing w:line="240" w:lineRule="auto"/>
              <w:ind w:firstLine="0" w:firstLineChars="0"/>
              <w:jc w:val="center"/>
              <w:rPr>
                <w:color w:val="auto"/>
                <w:sz w:val="21"/>
                <w:szCs w:val="21"/>
                <w:highlight w:val="none"/>
              </w:rPr>
            </w:pPr>
          </w:p>
        </w:tc>
        <w:tc>
          <w:tcPr>
            <w:tcW w:w="1108" w:type="dxa"/>
            <w:tcBorders>
              <w:tl2br w:val="nil"/>
              <w:tr2bl w:val="nil"/>
            </w:tcBorders>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污水处理站恶臭</w:t>
            </w:r>
          </w:p>
        </w:tc>
        <w:tc>
          <w:tcPr>
            <w:tcW w:w="5898" w:type="dxa"/>
            <w:tcBorders>
              <w:tl2br w:val="nil"/>
              <w:tr2bl w:val="nil"/>
            </w:tcBorders>
            <w:vAlign w:val="center"/>
          </w:tcPr>
          <w:p>
            <w:pPr>
              <w:pStyle w:val="103"/>
              <w:spacing w:line="240" w:lineRule="auto"/>
              <w:ind w:firstLine="0" w:firstLineChars="0"/>
              <w:jc w:val="center"/>
              <w:rPr>
                <w:rFonts w:hint="eastAsia"/>
                <w:color w:val="auto"/>
                <w:sz w:val="21"/>
                <w:highlight w:val="none"/>
                <w:lang w:val="en-US" w:eastAsia="zh-CN"/>
              </w:rPr>
            </w:pPr>
            <w:r>
              <w:rPr>
                <w:rFonts w:hint="eastAsia"/>
                <w:color w:val="auto"/>
                <w:sz w:val="21"/>
                <w:highlight w:val="none"/>
                <w:lang w:val="en-US" w:eastAsia="zh-CN"/>
              </w:rPr>
              <w:t>喷洒除臭剂，并加强厂区绿化</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1"/>
              <w:spacing w:before="83" w:after="83" w:line="240" w:lineRule="auto"/>
              <w:ind w:firstLine="0" w:firstLineChars="0"/>
              <w:jc w:val="center"/>
              <w:rPr>
                <w:rFonts w:ascii="Times New Roman" w:hAnsi="Times New Roman"/>
                <w:color w:val="auto"/>
                <w:sz w:val="21"/>
                <w:szCs w:val="21"/>
                <w:highlight w:val="none"/>
              </w:rPr>
            </w:pPr>
          </w:p>
        </w:tc>
        <w:tc>
          <w:tcPr>
            <w:tcW w:w="670" w:type="dxa"/>
            <w:vMerge w:val="continue"/>
            <w:tcBorders>
              <w:tl2br w:val="nil"/>
              <w:tr2bl w:val="nil"/>
            </w:tcBorders>
            <w:vAlign w:val="center"/>
          </w:tcPr>
          <w:p>
            <w:pPr>
              <w:spacing w:line="240" w:lineRule="auto"/>
              <w:ind w:firstLine="0" w:firstLineChars="0"/>
              <w:jc w:val="center"/>
              <w:rPr>
                <w:color w:val="auto"/>
                <w:sz w:val="21"/>
                <w:szCs w:val="21"/>
                <w:highlight w:val="none"/>
              </w:rPr>
            </w:pPr>
          </w:p>
        </w:tc>
        <w:tc>
          <w:tcPr>
            <w:tcW w:w="1108" w:type="dxa"/>
            <w:tcBorders>
              <w:tl2br w:val="nil"/>
              <w:tr2bl w:val="nil"/>
            </w:tcBorders>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无害化处理区恶臭</w:t>
            </w:r>
          </w:p>
        </w:tc>
        <w:tc>
          <w:tcPr>
            <w:tcW w:w="5898" w:type="dxa"/>
            <w:tcBorders>
              <w:tl2br w:val="nil"/>
              <w:tr2bl w:val="nil"/>
            </w:tcBorders>
            <w:vAlign w:val="center"/>
          </w:tcPr>
          <w:p>
            <w:pPr>
              <w:pStyle w:val="103"/>
              <w:spacing w:line="240" w:lineRule="auto"/>
              <w:ind w:firstLine="0" w:firstLineChars="0"/>
              <w:jc w:val="center"/>
              <w:rPr>
                <w:rFonts w:hint="eastAsia"/>
                <w:color w:val="auto"/>
                <w:sz w:val="21"/>
                <w:highlight w:val="none"/>
                <w:lang w:val="en-US" w:eastAsia="zh-CN"/>
              </w:rPr>
            </w:pPr>
            <w:r>
              <w:rPr>
                <w:rFonts w:hint="eastAsia"/>
                <w:color w:val="auto"/>
                <w:sz w:val="21"/>
                <w:highlight w:val="none"/>
                <w:lang w:eastAsia="zh-CN"/>
              </w:rPr>
              <w:t>喷洒除臭剂，</w:t>
            </w:r>
            <w:r>
              <w:rPr>
                <w:rFonts w:hint="eastAsia"/>
                <w:color w:val="auto"/>
                <w:sz w:val="21"/>
                <w:highlight w:val="none"/>
                <w:lang w:val="en-US" w:eastAsia="zh-CN"/>
              </w:rPr>
              <w:t>配备除臭墙除臭</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1"/>
              <w:spacing w:before="83" w:after="83" w:line="240" w:lineRule="auto"/>
              <w:ind w:firstLine="0" w:firstLineChars="0"/>
              <w:jc w:val="center"/>
              <w:rPr>
                <w:rFonts w:ascii="Times New Roman" w:hAnsi="Times New Roman"/>
                <w:color w:val="auto"/>
                <w:sz w:val="21"/>
                <w:szCs w:val="21"/>
                <w:highlight w:val="none"/>
              </w:rPr>
            </w:pPr>
          </w:p>
        </w:tc>
        <w:tc>
          <w:tcPr>
            <w:tcW w:w="670" w:type="dxa"/>
            <w:vMerge w:val="continue"/>
            <w:tcBorders>
              <w:tl2br w:val="nil"/>
              <w:tr2bl w:val="nil"/>
            </w:tcBorders>
            <w:vAlign w:val="center"/>
          </w:tcPr>
          <w:p>
            <w:pPr>
              <w:spacing w:line="240" w:lineRule="auto"/>
              <w:ind w:firstLine="0" w:firstLineChars="0"/>
              <w:jc w:val="center"/>
              <w:rPr>
                <w:color w:val="auto"/>
                <w:sz w:val="21"/>
                <w:szCs w:val="21"/>
                <w:highlight w:val="none"/>
              </w:rPr>
            </w:pPr>
          </w:p>
        </w:tc>
        <w:tc>
          <w:tcPr>
            <w:tcW w:w="1108" w:type="dxa"/>
            <w:vMerge w:val="restart"/>
            <w:tcBorders>
              <w:tl2br w:val="nil"/>
              <w:tr2bl w:val="nil"/>
            </w:tcBorders>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养殖恶臭</w:t>
            </w:r>
          </w:p>
        </w:tc>
        <w:tc>
          <w:tcPr>
            <w:tcW w:w="5898" w:type="dxa"/>
            <w:vMerge w:val="restart"/>
            <w:tcBorders>
              <w:tl2br w:val="nil"/>
              <w:tr2bl w:val="nil"/>
            </w:tcBorders>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调整日粮结构，喷洒除臭剂，加强通风，设置绿化带，配备除臭墙除臭</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12" w:hRule="atLeast"/>
          <w:jc w:val="center"/>
        </w:trPr>
        <w:tc>
          <w:tcPr>
            <w:tcW w:w="0" w:type="auto"/>
            <w:vMerge w:val="continue"/>
            <w:tcBorders>
              <w:tl2br w:val="nil"/>
              <w:tr2bl w:val="nil"/>
            </w:tcBorders>
            <w:vAlign w:val="center"/>
          </w:tcPr>
          <w:p>
            <w:pPr>
              <w:pStyle w:val="11"/>
              <w:spacing w:before="83" w:after="83" w:line="240" w:lineRule="auto"/>
              <w:ind w:left="69" w:hanging="69" w:hangingChars="33"/>
              <w:jc w:val="center"/>
              <w:rPr>
                <w:rFonts w:ascii="Times New Roman" w:hAnsi="Times New Roman"/>
                <w:color w:val="auto"/>
                <w:sz w:val="21"/>
                <w:szCs w:val="21"/>
                <w:highlight w:val="none"/>
              </w:rPr>
            </w:pPr>
          </w:p>
        </w:tc>
        <w:tc>
          <w:tcPr>
            <w:tcW w:w="670" w:type="dxa"/>
            <w:vMerge w:val="continue"/>
            <w:tcBorders>
              <w:tl2br w:val="nil"/>
              <w:tr2bl w:val="nil"/>
            </w:tcBorders>
            <w:vAlign w:val="center"/>
          </w:tcPr>
          <w:p>
            <w:pPr>
              <w:spacing w:line="240" w:lineRule="auto"/>
              <w:ind w:firstLine="420"/>
              <w:jc w:val="center"/>
              <w:rPr>
                <w:color w:val="auto"/>
                <w:sz w:val="21"/>
                <w:szCs w:val="21"/>
                <w:highlight w:val="none"/>
              </w:rPr>
            </w:pPr>
          </w:p>
        </w:tc>
        <w:tc>
          <w:tcPr>
            <w:tcW w:w="1108" w:type="dxa"/>
            <w:vMerge w:val="continue"/>
            <w:tcBorders>
              <w:tl2br w:val="nil"/>
              <w:tr2bl w:val="nil"/>
            </w:tcBorders>
            <w:vAlign w:val="center"/>
          </w:tcPr>
          <w:p>
            <w:pPr>
              <w:spacing w:line="240" w:lineRule="auto"/>
              <w:ind w:firstLine="0" w:firstLineChars="0"/>
              <w:jc w:val="center"/>
              <w:rPr>
                <w:rFonts w:hint="eastAsia"/>
                <w:color w:val="auto"/>
                <w:sz w:val="21"/>
                <w:szCs w:val="21"/>
                <w:highlight w:val="none"/>
                <w:lang w:val="en-US" w:eastAsia="zh-CN"/>
              </w:rPr>
            </w:pPr>
          </w:p>
        </w:tc>
        <w:tc>
          <w:tcPr>
            <w:tcW w:w="5898" w:type="dxa"/>
            <w:vMerge w:val="continue"/>
            <w:tcBorders>
              <w:tl2br w:val="nil"/>
              <w:tr2bl w:val="nil"/>
            </w:tcBorders>
            <w:vAlign w:val="center"/>
          </w:tcPr>
          <w:p>
            <w:pPr>
              <w:spacing w:line="240" w:lineRule="auto"/>
              <w:ind w:firstLine="0" w:firstLineChars="0"/>
              <w:jc w:val="center"/>
              <w:rPr>
                <w:rFonts w:hint="eastAsia"/>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1"/>
              <w:spacing w:before="83" w:after="83" w:line="240" w:lineRule="auto"/>
              <w:ind w:left="69" w:hanging="69" w:hangingChars="33"/>
              <w:jc w:val="center"/>
              <w:rPr>
                <w:rFonts w:ascii="Times New Roman" w:hAnsi="Times New Roman"/>
                <w:color w:val="auto"/>
                <w:sz w:val="21"/>
                <w:szCs w:val="21"/>
                <w:highlight w:val="none"/>
              </w:rPr>
            </w:pPr>
          </w:p>
        </w:tc>
        <w:tc>
          <w:tcPr>
            <w:tcW w:w="670" w:type="dxa"/>
            <w:vMerge w:val="continue"/>
            <w:tcBorders>
              <w:tl2br w:val="nil"/>
              <w:tr2bl w:val="nil"/>
            </w:tcBorders>
            <w:vAlign w:val="center"/>
          </w:tcPr>
          <w:p>
            <w:pPr>
              <w:spacing w:line="240" w:lineRule="auto"/>
              <w:ind w:firstLine="420"/>
              <w:jc w:val="center"/>
              <w:rPr>
                <w:color w:val="auto"/>
                <w:sz w:val="21"/>
                <w:szCs w:val="21"/>
                <w:highlight w:val="none"/>
              </w:rPr>
            </w:pPr>
          </w:p>
        </w:tc>
        <w:tc>
          <w:tcPr>
            <w:tcW w:w="1108" w:type="dxa"/>
            <w:tcBorders>
              <w:tl2br w:val="nil"/>
              <w:tr2bl w:val="nil"/>
            </w:tcBorders>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固粪处理区恶臭</w:t>
            </w:r>
          </w:p>
        </w:tc>
        <w:tc>
          <w:tcPr>
            <w:tcW w:w="5898" w:type="dxa"/>
            <w:tcBorders>
              <w:tl2br w:val="nil"/>
              <w:tr2bl w:val="nil"/>
            </w:tcBorders>
            <w:vAlign w:val="center"/>
          </w:tcPr>
          <w:p>
            <w:pPr>
              <w:spacing w:line="240" w:lineRule="auto"/>
              <w:ind w:firstLine="0" w:firstLineChars="0"/>
              <w:jc w:val="center"/>
              <w:rPr>
                <w:rFonts w:hint="eastAsia"/>
                <w:color w:val="auto"/>
                <w:sz w:val="21"/>
                <w:szCs w:val="21"/>
                <w:highlight w:val="none"/>
                <w:lang w:eastAsia="zh-CN"/>
              </w:rPr>
            </w:pPr>
            <w:r>
              <w:rPr>
                <w:rFonts w:hint="eastAsia"/>
                <w:color w:val="auto"/>
                <w:sz w:val="21"/>
                <w:szCs w:val="21"/>
                <w:highlight w:val="none"/>
                <w:lang w:eastAsia="zh-CN"/>
              </w:rPr>
              <w:t>喷洒除臭剂，</w:t>
            </w:r>
            <w:r>
              <w:rPr>
                <w:rFonts w:hint="eastAsia"/>
                <w:color w:val="auto"/>
                <w:sz w:val="21"/>
                <w:szCs w:val="21"/>
                <w:highlight w:val="none"/>
                <w:lang w:val="en-US" w:eastAsia="zh-CN"/>
              </w:rPr>
              <w:t>配备除臭墙除臭</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1"/>
              <w:spacing w:before="83" w:after="83" w:line="240" w:lineRule="auto"/>
              <w:ind w:left="69" w:hanging="69" w:hangingChars="33"/>
              <w:jc w:val="center"/>
              <w:rPr>
                <w:rFonts w:ascii="Times New Roman" w:hAnsi="Times New Roman"/>
                <w:color w:val="auto"/>
                <w:sz w:val="21"/>
                <w:szCs w:val="21"/>
                <w:highlight w:val="none"/>
              </w:rPr>
            </w:pPr>
          </w:p>
        </w:tc>
        <w:tc>
          <w:tcPr>
            <w:tcW w:w="1778" w:type="dxa"/>
            <w:gridSpan w:val="2"/>
            <w:tcBorders>
              <w:tl2br w:val="nil"/>
              <w:tr2bl w:val="nil"/>
            </w:tcBorders>
            <w:vAlign w:val="center"/>
          </w:tcPr>
          <w:p>
            <w:pPr>
              <w:spacing w:line="240" w:lineRule="auto"/>
              <w:ind w:firstLine="0" w:firstLineChars="0"/>
              <w:jc w:val="center"/>
              <w:rPr>
                <w:color w:val="auto"/>
                <w:sz w:val="21"/>
                <w:szCs w:val="21"/>
                <w:highlight w:val="none"/>
              </w:rPr>
            </w:pPr>
            <w:r>
              <w:rPr>
                <w:color w:val="auto"/>
                <w:sz w:val="21"/>
                <w:szCs w:val="21"/>
                <w:highlight w:val="none"/>
              </w:rPr>
              <w:t>废水处理</w:t>
            </w:r>
          </w:p>
        </w:tc>
        <w:tc>
          <w:tcPr>
            <w:tcW w:w="5898" w:type="dxa"/>
            <w:tcBorders>
              <w:tl2br w:val="nil"/>
              <w:tr2bl w:val="nil"/>
            </w:tcBorders>
            <w:vAlign w:val="center"/>
          </w:tcPr>
          <w:p>
            <w:pPr>
              <w:spacing w:line="240" w:lineRule="auto"/>
              <w:ind w:firstLine="0" w:firstLineChars="0"/>
              <w:jc w:val="center"/>
              <w:rPr>
                <w:rFonts w:hint="eastAsia" w:eastAsia="宋体"/>
                <w:color w:val="auto"/>
                <w:sz w:val="21"/>
                <w:szCs w:val="21"/>
                <w:highlight w:val="none"/>
                <w:vertAlign w:val="baseline"/>
                <w:lang w:eastAsia="zh-CN"/>
              </w:rPr>
            </w:pPr>
            <w:r>
              <w:rPr>
                <w:color w:val="auto"/>
                <w:sz w:val="21"/>
                <w:szCs w:val="21"/>
                <w:highlight w:val="none"/>
              </w:rPr>
              <w:t>雨污分流；</w:t>
            </w:r>
            <w:r>
              <w:rPr>
                <w:rFonts w:hint="eastAsia"/>
                <w:color w:val="auto"/>
                <w:sz w:val="21"/>
                <w:szCs w:val="21"/>
                <w:highlight w:val="none"/>
              </w:rPr>
              <w:t>污水处理系统1套，黑膜沼气池1</w:t>
            </w:r>
            <w:r>
              <w:rPr>
                <w:rFonts w:hint="eastAsia"/>
                <w:color w:val="auto"/>
                <w:sz w:val="21"/>
                <w:szCs w:val="21"/>
                <w:highlight w:val="none"/>
                <w:lang w:eastAsia="zh-CN"/>
              </w:rPr>
              <w:t>个</w:t>
            </w:r>
            <w:r>
              <w:rPr>
                <w:rFonts w:hint="eastAsia"/>
                <w:color w:val="auto"/>
                <w:sz w:val="21"/>
                <w:szCs w:val="21"/>
                <w:highlight w:val="none"/>
                <w:lang w:val="en-US" w:eastAsia="zh-CN"/>
              </w:rPr>
              <w:t>10680</w:t>
            </w:r>
            <w:r>
              <w:rPr>
                <w:rFonts w:hint="eastAsia"/>
                <w:color w:val="auto"/>
                <w:sz w:val="21"/>
                <w:szCs w:val="21"/>
                <w:highlight w:val="none"/>
              </w:rPr>
              <w:t>m</w:t>
            </w:r>
            <w:r>
              <w:rPr>
                <w:rFonts w:hint="eastAsia"/>
                <w:color w:val="auto"/>
                <w:sz w:val="21"/>
                <w:szCs w:val="21"/>
                <w:highlight w:val="none"/>
                <w:vertAlign w:val="superscript"/>
              </w:rPr>
              <w:t>3</w:t>
            </w:r>
            <w:r>
              <w:rPr>
                <w:rFonts w:hint="eastAsia"/>
                <w:color w:val="auto"/>
                <w:sz w:val="21"/>
                <w:szCs w:val="21"/>
                <w:highlight w:val="none"/>
                <w:vertAlign w:val="baseline"/>
                <w:lang w:eastAsia="zh-CN"/>
              </w:rPr>
              <w:t>，</w:t>
            </w:r>
            <w:r>
              <w:rPr>
                <w:rFonts w:hint="eastAsia"/>
                <w:color w:val="auto"/>
                <w:sz w:val="21"/>
                <w:szCs w:val="21"/>
                <w:highlight w:val="none"/>
                <w:lang w:val="en-US" w:eastAsia="zh-CN"/>
              </w:rPr>
              <w:t>沼液储存池</w:t>
            </w:r>
            <w:r>
              <w:rPr>
                <w:rFonts w:hint="eastAsia"/>
                <w:color w:val="auto"/>
                <w:sz w:val="21"/>
                <w:szCs w:val="21"/>
                <w:highlight w:val="none"/>
              </w:rPr>
              <w:t>1</w:t>
            </w:r>
            <w:r>
              <w:rPr>
                <w:rFonts w:hint="eastAsia"/>
                <w:color w:val="auto"/>
                <w:sz w:val="21"/>
                <w:szCs w:val="21"/>
                <w:highlight w:val="none"/>
                <w:lang w:eastAsia="zh-CN"/>
              </w:rPr>
              <w:t>个</w:t>
            </w:r>
            <w:r>
              <w:rPr>
                <w:rFonts w:hint="eastAsia"/>
                <w:color w:val="auto"/>
                <w:sz w:val="21"/>
                <w:highlight w:val="none"/>
                <w:lang w:val="en-US" w:eastAsia="zh-CN"/>
              </w:rPr>
              <w:t>60480</w:t>
            </w:r>
            <w:r>
              <w:rPr>
                <w:rFonts w:hint="eastAsia"/>
                <w:color w:val="auto"/>
                <w:sz w:val="21"/>
                <w:szCs w:val="21"/>
                <w:highlight w:val="none"/>
              </w:rPr>
              <w:t>m</w:t>
            </w:r>
            <w:r>
              <w:rPr>
                <w:rFonts w:hint="eastAsia"/>
                <w:color w:val="auto"/>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1"/>
              <w:spacing w:before="83" w:after="83" w:line="240" w:lineRule="auto"/>
              <w:ind w:left="69" w:hanging="69" w:hangingChars="33"/>
              <w:jc w:val="center"/>
              <w:rPr>
                <w:rFonts w:ascii="Times New Roman" w:hAnsi="Times New Roman"/>
                <w:color w:val="auto"/>
                <w:sz w:val="21"/>
                <w:szCs w:val="21"/>
                <w:highlight w:val="none"/>
              </w:rPr>
            </w:pPr>
          </w:p>
        </w:tc>
        <w:tc>
          <w:tcPr>
            <w:tcW w:w="1778" w:type="dxa"/>
            <w:gridSpan w:val="2"/>
            <w:tcBorders>
              <w:tl2br w:val="nil"/>
              <w:tr2bl w:val="nil"/>
            </w:tcBorders>
            <w:vAlign w:val="center"/>
          </w:tcPr>
          <w:p>
            <w:pPr>
              <w:spacing w:line="240" w:lineRule="auto"/>
              <w:ind w:firstLine="0" w:firstLineChars="0"/>
              <w:jc w:val="center"/>
              <w:rPr>
                <w:color w:val="auto"/>
                <w:sz w:val="21"/>
                <w:szCs w:val="21"/>
                <w:highlight w:val="none"/>
              </w:rPr>
            </w:pPr>
            <w:r>
              <w:rPr>
                <w:color w:val="auto"/>
                <w:sz w:val="21"/>
                <w:szCs w:val="21"/>
                <w:highlight w:val="none"/>
              </w:rPr>
              <w:t>铺设管网</w:t>
            </w:r>
          </w:p>
        </w:tc>
        <w:tc>
          <w:tcPr>
            <w:tcW w:w="5898" w:type="dxa"/>
            <w:tcBorders>
              <w:tl2br w:val="nil"/>
              <w:tr2bl w:val="nil"/>
            </w:tcBorders>
            <w:vAlign w:val="center"/>
          </w:tcPr>
          <w:p>
            <w:pPr>
              <w:spacing w:line="240" w:lineRule="auto"/>
              <w:ind w:firstLine="0" w:firstLineChars="0"/>
              <w:jc w:val="center"/>
              <w:rPr>
                <w:color w:val="auto"/>
                <w:sz w:val="21"/>
                <w:szCs w:val="21"/>
                <w:highlight w:val="none"/>
              </w:rPr>
            </w:pPr>
            <w:r>
              <w:rPr>
                <w:color w:val="auto"/>
                <w:sz w:val="21"/>
                <w:szCs w:val="21"/>
                <w:highlight w:val="none"/>
              </w:rPr>
              <w:t>沼液输送管网长度为</w:t>
            </w:r>
            <w:r>
              <w:rPr>
                <w:rFonts w:hint="eastAsia"/>
                <w:color w:val="auto"/>
                <w:sz w:val="21"/>
                <w:szCs w:val="21"/>
                <w:highlight w:val="none"/>
                <w:lang w:val="en-US" w:eastAsia="zh-CN"/>
              </w:rPr>
              <w:t>10672m</w:t>
            </w:r>
            <w:r>
              <w:rPr>
                <w:color w:val="auto"/>
                <w:sz w:val="21"/>
                <w:szCs w:val="21"/>
                <w:highlight w:val="none"/>
              </w:rPr>
              <w:t>，其中干管长度</w:t>
            </w:r>
            <w:r>
              <w:rPr>
                <w:rFonts w:hint="eastAsia"/>
                <w:color w:val="auto"/>
                <w:sz w:val="21"/>
                <w:szCs w:val="21"/>
                <w:highlight w:val="none"/>
                <w:lang w:val="en-US" w:eastAsia="zh-CN"/>
              </w:rPr>
              <w:t>3200</w:t>
            </w:r>
            <w:r>
              <w:rPr>
                <w:color w:val="auto"/>
                <w:sz w:val="21"/>
                <w:szCs w:val="21"/>
                <w:highlight w:val="none"/>
              </w:rPr>
              <w:t>m，支管</w:t>
            </w:r>
            <w:r>
              <w:rPr>
                <w:rFonts w:hint="eastAsia"/>
                <w:color w:val="auto"/>
                <w:sz w:val="21"/>
                <w:szCs w:val="21"/>
                <w:highlight w:val="none"/>
                <w:lang w:val="en-US" w:eastAsia="zh-CN"/>
              </w:rPr>
              <w:t>7472</w:t>
            </w:r>
            <w:r>
              <w:rPr>
                <w:color w:val="auto"/>
                <w:sz w:val="21"/>
                <w:szCs w:val="21"/>
                <w:highlight w:val="none"/>
              </w:rPr>
              <w:t>m；主干管直径为110mm，支管直径为75mm</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1"/>
              <w:spacing w:before="83" w:after="83" w:line="240" w:lineRule="auto"/>
              <w:ind w:left="69" w:hanging="69" w:hangingChars="33"/>
              <w:jc w:val="center"/>
              <w:rPr>
                <w:rFonts w:ascii="Times New Roman" w:hAnsi="Times New Roman"/>
                <w:color w:val="auto"/>
                <w:sz w:val="21"/>
                <w:szCs w:val="21"/>
                <w:highlight w:val="none"/>
              </w:rPr>
            </w:pPr>
          </w:p>
        </w:tc>
        <w:tc>
          <w:tcPr>
            <w:tcW w:w="670" w:type="dxa"/>
            <w:vMerge w:val="restart"/>
            <w:tcBorders>
              <w:tl2br w:val="nil"/>
              <w:tr2bl w:val="nil"/>
            </w:tcBorders>
            <w:vAlign w:val="center"/>
          </w:tcPr>
          <w:p>
            <w:pPr>
              <w:spacing w:line="240" w:lineRule="auto"/>
              <w:ind w:firstLine="0" w:firstLineChars="0"/>
              <w:jc w:val="center"/>
              <w:rPr>
                <w:color w:val="auto"/>
                <w:sz w:val="21"/>
                <w:szCs w:val="21"/>
                <w:highlight w:val="none"/>
              </w:rPr>
            </w:pPr>
            <w:r>
              <w:rPr>
                <w:color w:val="auto"/>
                <w:sz w:val="21"/>
                <w:szCs w:val="21"/>
                <w:highlight w:val="none"/>
              </w:rPr>
              <w:t>固废处理</w:t>
            </w:r>
          </w:p>
        </w:tc>
        <w:tc>
          <w:tcPr>
            <w:tcW w:w="1108" w:type="dxa"/>
            <w:tcBorders>
              <w:tl2br w:val="nil"/>
              <w:tr2bl w:val="nil"/>
            </w:tcBorders>
            <w:vAlign w:val="center"/>
          </w:tcPr>
          <w:p>
            <w:pPr>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医疗废物</w:t>
            </w:r>
          </w:p>
        </w:tc>
        <w:tc>
          <w:tcPr>
            <w:tcW w:w="5898" w:type="dxa"/>
            <w:tcBorders>
              <w:tl2br w:val="nil"/>
              <w:tr2bl w:val="nil"/>
            </w:tcBorders>
            <w:vAlign w:val="center"/>
          </w:tcPr>
          <w:p>
            <w:pPr>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rPr>
              <w:t>设置</w:t>
            </w:r>
            <w:r>
              <w:rPr>
                <w:rFonts w:hint="eastAsia"/>
                <w:color w:val="auto"/>
                <w:sz w:val="21"/>
                <w:szCs w:val="21"/>
                <w:highlight w:val="none"/>
                <w:lang w:eastAsia="zh-CN"/>
              </w:rPr>
              <w:t>医废</w:t>
            </w:r>
            <w:r>
              <w:rPr>
                <w:rFonts w:hint="eastAsia"/>
                <w:color w:val="auto"/>
                <w:sz w:val="21"/>
                <w:szCs w:val="21"/>
                <w:highlight w:val="none"/>
              </w:rPr>
              <w:t>暂存间1间，建筑面积为</w:t>
            </w:r>
            <w:r>
              <w:rPr>
                <w:rFonts w:hint="eastAsia"/>
                <w:color w:val="auto"/>
                <w:sz w:val="21"/>
                <w:szCs w:val="21"/>
                <w:highlight w:val="none"/>
                <w:lang w:val="en-US" w:eastAsia="zh-CN"/>
              </w:rPr>
              <w:t>30</w:t>
            </w:r>
            <w:r>
              <w:rPr>
                <w:rFonts w:hint="eastAsia"/>
                <w:color w:val="auto"/>
                <w:sz w:val="21"/>
                <w:szCs w:val="21"/>
                <w:highlight w:val="none"/>
              </w:rPr>
              <w:t>m</w:t>
            </w:r>
            <w:r>
              <w:rPr>
                <w:rFonts w:hint="eastAsia"/>
                <w:color w:val="auto"/>
                <w:sz w:val="21"/>
                <w:szCs w:val="21"/>
                <w:highlight w:val="none"/>
                <w:vertAlign w:val="superscript"/>
              </w:rPr>
              <w:t>2</w:t>
            </w:r>
            <w:r>
              <w:rPr>
                <w:rFonts w:hint="eastAsia"/>
                <w:color w:val="auto"/>
                <w:sz w:val="21"/>
                <w:szCs w:val="21"/>
                <w:highlight w:val="none"/>
              </w:rPr>
              <w:t>，用于存放医疗废物和危险废物，按照《危险废物贮存污染控制标准》（GB18597-2001）及其修改单要求设计</w:t>
            </w:r>
            <w:r>
              <w:rPr>
                <w:rFonts w:hint="eastAsia"/>
                <w:color w:val="auto"/>
                <w:sz w:val="21"/>
                <w:szCs w:val="21"/>
                <w:highlight w:val="none"/>
                <w:lang w:eastAsia="zh-CN"/>
              </w:rPr>
              <w:t>，交由新蔡县中绿环保有限公司处置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1"/>
              <w:spacing w:before="83" w:after="83" w:line="240" w:lineRule="auto"/>
              <w:ind w:left="69" w:hanging="69" w:hangingChars="33"/>
              <w:jc w:val="center"/>
              <w:rPr>
                <w:rFonts w:ascii="Times New Roman" w:hAnsi="Times New Roman"/>
                <w:color w:val="auto"/>
                <w:sz w:val="21"/>
                <w:szCs w:val="21"/>
                <w:highlight w:val="none"/>
              </w:rPr>
            </w:pPr>
          </w:p>
        </w:tc>
        <w:tc>
          <w:tcPr>
            <w:tcW w:w="670" w:type="dxa"/>
            <w:vMerge w:val="continue"/>
            <w:tcBorders>
              <w:tl2br w:val="nil"/>
              <w:tr2bl w:val="nil"/>
            </w:tcBorders>
            <w:vAlign w:val="center"/>
          </w:tcPr>
          <w:p>
            <w:pPr>
              <w:spacing w:line="240" w:lineRule="auto"/>
              <w:ind w:firstLine="0" w:firstLineChars="0"/>
              <w:jc w:val="center"/>
              <w:rPr>
                <w:color w:val="auto"/>
                <w:sz w:val="21"/>
                <w:szCs w:val="21"/>
                <w:highlight w:val="none"/>
              </w:rPr>
            </w:pPr>
          </w:p>
        </w:tc>
        <w:tc>
          <w:tcPr>
            <w:tcW w:w="1108" w:type="dxa"/>
            <w:tcBorders>
              <w:tl2br w:val="nil"/>
              <w:tr2bl w:val="nil"/>
            </w:tcBorders>
            <w:vAlign w:val="center"/>
          </w:tcPr>
          <w:p>
            <w:pPr>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病死猪</w:t>
            </w:r>
          </w:p>
        </w:tc>
        <w:tc>
          <w:tcPr>
            <w:tcW w:w="5898" w:type="dxa"/>
            <w:tcBorders>
              <w:tl2br w:val="nil"/>
              <w:tr2bl w:val="nil"/>
            </w:tcBorders>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病死猪厂区暂存后送至场区配套建设的</w:t>
            </w:r>
            <w:r>
              <w:rPr>
                <w:rFonts w:hint="eastAsia"/>
                <w:color w:val="auto"/>
                <w:sz w:val="21"/>
                <w:szCs w:val="21"/>
                <w:highlight w:val="none"/>
                <w:lang w:eastAsia="zh-CN"/>
              </w:rPr>
              <w:t>无害化处理车间</w:t>
            </w:r>
            <w:r>
              <w:rPr>
                <w:rFonts w:hint="eastAsia"/>
                <w:color w:val="auto"/>
                <w:sz w:val="21"/>
                <w:szCs w:val="21"/>
                <w:highlight w:val="none"/>
              </w:rPr>
              <w:t>的高温化制机处理设施处置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1"/>
              <w:spacing w:before="83" w:after="83" w:line="240" w:lineRule="auto"/>
              <w:ind w:left="69" w:hanging="69" w:hangingChars="33"/>
              <w:jc w:val="center"/>
              <w:rPr>
                <w:rFonts w:ascii="Times New Roman" w:hAnsi="Times New Roman"/>
                <w:color w:val="auto"/>
                <w:sz w:val="21"/>
                <w:szCs w:val="21"/>
                <w:highlight w:val="none"/>
              </w:rPr>
            </w:pPr>
          </w:p>
        </w:tc>
        <w:tc>
          <w:tcPr>
            <w:tcW w:w="670" w:type="dxa"/>
            <w:vMerge w:val="continue"/>
            <w:tcBorders>
              <w:tl2br w:val="nil"/>
              <w:tr2bl w:val="nil"/>
            </w:tcBorders>
            <w:vAlign w:val="center"/>
          </w:tcPr>
          <w:p>
            <w:pPr>
              <w:spacing w:line="240" w:lineRule="auto"/>
              <w:ind w:firstLine="0" w:firstLineChars="0"/>
              <w:jc w:val="center"/>
              <w:rPr>
                <w:color w:val="auto"/>
                <w:sz w:val="21"/>
                <w:szCs w:val="21"/>
                <w:highlight w:val="none"/>
              </w:rPr>
            </w:pPr>
          </w:p>
        </w:tc>
        <w:tc>
          <w:tcPr>
            <w:tcW w:w="1108" w:type="dxa"/>
            <w:tcBorders>
              <w:tl2br w:val="nil"/>
              <w:tr2bl w:val="nil"/>
            </w:tcBorders>
            <w:vAlign w:val="center"/>
          </w:tcPr>
          <w:p>
            <w:pPr>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固粪</w:t>
            </w:r>
          </w:p>
        </w:tc>
        <w:tc>
          <w:tcPr>
            <w:tcW w:w="5898" w:type="dxa"/>
            <w:tcBorders>
              <w:tl2br w:val="nil"/>
              <w:tr2bl w:val="nil"/>
            </w:tcBorders>
            <w:vAlign w:val="center"/>
          </w:tcPr>
          <w:p>
            <w:pPr>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设置固粪处理区</w:t>
            </w:r>
            <w:r>
              <w:rPr>
                <w:rFonts w:hint="eastAsia"/>
                <w:color w:val="auto"/>
                <w:sz w:val="21"/>
                <w:szCs w:val="21"/>
                <w:highlight w:val="none"/>
                <w:lang w:val="en-US" w:eastAsia="zh-CN"/>
              </w:rPr>
              <w:t>1</w:t>
            </w:r>
            <w:r>
              <w:rPr>
                <w:rFonts w:hint="eastAsia"/>
                <w:color w:val="auto"/>
                <w:sz w:val="21"/>
                <w:szCs w:val="21"/>
                <w:highlight w:val="none"/>
                <w:lang w:eastAsia="zh-CN"/>
              </w:rPr>
              <w:t>个，生产有机肥基料；按“三防”要求设计，设置顶棚，底部防渗，四周有围挡，占地面积</w:t>
            </w:r>
            <w:r>
              <w:rPr>
                <w:rFonts w:hint="eastAsia"/>
                <w:color w:val="auto"/>
                <w:sz w:val="21"/>
                <w:szCs w:val="21"/>
                <w:highlight w:val="none"/>
                <w:lang w:val="en-US" w:eastAsia="zh-CN"/>
              </w:rPr>
              <w:t>924</w:t>
            </w:r>
            <w:r>
              <w:rPr>
                <w:rFonts w:hint="eastAsia"/>
                <w:color w:val="auto"/>
                <w:sz w:val="21"/>
                <w:szCs w:val="21"/>
                <w:highlight w:val="none"/>
                <w:lang w:eastAsia="zh-CN"/>
              </w:rPr>
              <w:t>m</w:t>
            </w:r>
            <w:r>
              <w:rPr>
                <w:rFonts w:hint="eastAsia"/>
                <w:color w:val="auto"/>
                <w:sz w:val="21"/>
                <w:szCs w:val="21"/>
                <w:highlight w:val="none"/>
                <w:vertAlign w:val="superscript"/>
                <w:lang w:eastAsia="zh-CN"/>
              </w:rPr>
              <w:t>2</w:t>
            </w:r>
            <w:r>
              <w:rPr>
                <w:rFonts w:hint="eastAsia"/>
                <w:color w:val="auto"/>
                <w:sz w:val="21"/>
                <w:szCs w:val="21"/>
                <w:highlight w:val="none"/>
                <w:lang w:eastAsia="zh-CN"/>
              </w:rPr>
              <w:t xml:space="preserve">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tl2br w:val="nil"/>
              <w:tr2bl w:val="nil"/>
            </w:tcBorders>
            <w:vAlign w:val="center"/>
          </w:tcPr>
          <w:p>
            <w:pPr>
              <w:pStyle w:val="11"/>
              <w:spacing w:before="83" w:after="83" w:line="240" w:lineRule="auto"/>
              <w:ind w:left="69" w:hanging="69" w:hangingChars="33"/>
              <w:jc w:val="center"/>
              <w:rPr>
                <w:rFonts w:ascii="Times New Roman" w:hAnsi="Times New Roman"/>
                <w:color w:val="auto"/>
                <w:sz w:val="21"/>
                <w:szCs w:val="21"/>
                <w:highlight w:val="none"/>
              </w:rPr>
            </w:pPr>
          </w:p>
        </w:tc>
        <w:tc>
          <w:tcPr>
            <w:tcW w:w="670" w:type="dxa"/>
            <w:vMerge w:val="continue"/>
            <w:tcBorders>
              <w:tl2br w:val="nil"/>
              <w:tr2bl w:val="nil"/>
            </w:tcBorders>
            <w:vAlign w:val="center"/>
          </w:tcPr>
          <w:p>
            <w:pPr>
              <w:spacing w:line="240" w:lineRule="auto"/>
              <w:ind w:firstLine="0" w:firstLineChars="0"/>
              <w:jc w:val="center"/>
              <w:rPr>
                <w:color w:val="auto"/>
                <w:sz w:val="21"/>
                <w:szCs w:val="21"/>
                <w:highlight w:val="none"/>
              </w:rPr>
            </w:pPr>
          </w:p>
        </w:tc>
        <w:tc>
          <w:tcPr>
            <w:tcW w:w="1108" w:type="dxa"/>
            <w:tcBorders>
              <w:tl2br w:val="nil"/>
              <w:tr2bl w:val="nil"/>
            </w:tcBorders>
            <w:vAlign w:val="center"/>
          </w:tcPr>
          <w:p>
            <w:pPr>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生活垃圾</w:t>
            </w:r>
          </w:p>
        </w:tc>
        <w:tc>
          <w:tcPr>
            <w:tcW w:w="5898" w:type="dxa"/>
            <w:tcBorders>
              <w:tl2br w:val="nil"/>
              <w:tr2bl w:val="nil"/>
            </w:tcBorders>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场区内暂存，定期交由环卫部门清理</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51" w:type="dxa"/>
            <w:bottom w:w="0" w:type="dxa"/>
            <w:right w:w="51" w:type="dxa"/>
          </w:tblCellMar>
        </w:tblPrEx>
        <w:trPr>
          <w:trHeight w:val="340" w:hRule="atLeast"/>
          <w:jc w:val="center"/>
        </w:trPr>
        <w:tc>
          <w:tcPr>
            <w:tcW w:w="0" w:type="auto"/>
            <w:vMerge w:val="continue"/>
            <w:tcBorders>
              <w:bottom w:val="single" w:color="auto" w:sz="12" w:space="0"/>
              <w:tl2br w:val="nil"/>
              <w:tr2bl w:val="nil"/>
            </w:tcBorders>
            <w:vAlign w:val="center"/>
          </w:tcPr>
          <w:p>
            <w:pPr>
              <w:pStyle w:val="11"/>
              <w:spacing w:before="83" w:after="83" w:line="240" w:lineRule="auto"/>
              <w:ind w:left="69" w:hanging="69" w:hangingChars="33"/>
              <w:jc w:val="center"/>
              <w:rPr>
                <w:rFonts w:ascii="Times New Roman" w:hAnsi="Times New Roman"/>
                <w:color w:val="auto"/>
                <w:sz w:val="21"/>
                <w:szCs w:val="21"/>
                <w:highlight w:val="none"/>
              </w:rPr>
            </w:pPr>
          </w:p>
        </w:tc>
        <w:tc>
          <w:tcPr>
            <w:tcW w:w="1778" w:type="dxa"/>
            <w:gridSpan w:val="2"/>
            <w:tcBorders>
              <w:tl2br w:val="nil"/>
              <w:tr2bl w:val="nil"/>
            </w:tcBorders>
            <w:vAlign w:val="center"/>
          </w:tcPr>
          <w:p>
            <w:pPr>
              <w:spacing w:line="240" w:lineRule="auto"/>
              <w:ind w:firstLine="0" w:firstLineChars="0"/>
              <w:jc w:val="center"/>
              <w:rPr>
                <w:color w:val="auto"/>
                <w:sz w:val="21"/>
                <w:szCs w:val="21"/>
                <w:highlight w:val="none"/>
              </w:rPr>
            </w:pPr>
            <w:r>
              <w:rPr>
                <w:color w:val="auto"/>
                <w:sz w:val="21"/>
                <w:szCs w:val="21"/>
                <w:highlight w:val="none"/>
              </w:rPr>
              <w:t>噪声处理</w:t>
            </w:r>
          </w:p>
        </w:tc>
        <w:tc>
          <w:tcPr>
            <w:tcW w:w="5898" w:type="dxa"/>
            <w:tcBorders>
              <w:tl2br w:val="nil"/>
              <w:tr2bl w:val="nil"/>
            </w:tcBorders>
            <w:vAlign w:val="center"/>
          </w:tcPr>
          <w:p>
            <w:pPr>
              <w:spacing w:line="240" w:lineRule="auto"/>
              <w:ind w:firstLine="0" w:firstLineChars="0"/>
              <w:jc w:val="center"/>
              <w:rPr>
                <w:color w:val="auto"/>
                <w:sz w:val="21"/>
                <w:szCs w:val="21"/>
                <w:highlight w:val="none"/>
              </w:rPr>
            </w:pPr>
            <w:r>
              <w:rPr>
                <w:color w:val="auto"/>
                <w:sz w:val="21"/>
                <w:szCs w:val="21"/>
                <w:highlight w:val="none"/>
              </w:rPr>
              <w:t>选用低噪声设备、采取设备减振、风机消声、隔声等措施</w:t>
            </w:r>
          </w:p>
        </w:tc>
      </w:tr>
    </w:tbl>
    <w:p>
      <w:pPr>
        <w:pStyle w:val="4"/>
        <w:spacing w:beforeLines="0"/>
        <w:rPr>
          <w:rFonts w:hint="eastAsia" w:eastAsia="宋体" w:cs="Times New Roman"/>
          <w:color w:val="auto"/>
          <w:highlight w:val="none"/>
          <w:lang w:eastAsia="zh-CN"/>
        </w:rPr>
      </w:pPr>
      <w:bookmarkStart w:id="15" w:name="_Toc32065"/>
      <w:r>
        <w:rPr>
          <w:rFonts w:hint="eastAsia" w:cs="Times New Roman"/>
          <w:color w:val="auto"/>
          <w:highlight w:val="none"/>
        </w:rPr>
        <w:t>2.2产品</w:t>
      </w:r>
      <w:r>
        <w:rPr>
          <w:rFonts w:hint="eastAsia" w:cs="Times New Roman"/>
          <w:color w:val="auto"/>
          <w:highlight w:val="none"/>
          <w:lang w:eastAsia="zh-CN"/>
        </w:rPr>
        <w:t>方案</w:t>
      </w:r>
      <w:bookmarkEnd w:id="15"/>
    </w:p>
    <w:p>
      <w:pPr>
        <w:pStyle w:val="5"/>
        <w:spacing w:before="66"/>
        <w:ind w:firstLine="0" w:firstLineChars="0"/>
        <w:rPr>
          <w:rFonts w:hint="eastAsia" w:eastAsia="宋体" w:cs="Times New Roman"/>
          <w:color w:val="auto"/>
          <w:highlight w:val="none"/>
          <w:lang w:eastAsia="zh-CN"/>
        </w:rPr>
      </w:pPr>
      <w:r>
        <w:rPr>
          <w:rFonts w:hint="eastAsia" w:cs="Times New Roman"/>
          <w:color w:val="auto"/>
          <w:highlight w:val="none"/>
          <w:lang w:val="en-US" w:eastAsia="zh-CN"/>
        </w:rPr>
        <w:t>2</w:t>
      </w:r>
      <w:r>
        <w:rPr>
          <w:rFonts w:cs="Times New Roman"/>
          <w:color w:val="auto"/>
          <w:highlight w:val="none"/>
        </w:rPr>
        <w:t>.</w:t>
      </w:r>
      <w:r>
        <w:rPr>
          <w:rFonts w:hint="eastAsia" w:cs="Times New Roman"/>
          <w:color w:val="auto"/>
          <w:highlight w:val="none"/>
          <w:lang w:val="en-US" w:eastAsia="zh-CN"/>
        </w:rPr>
        <w:t>2</w:t>
      </w:r>
      <w:r>
        <w:rPr>
          <w:rFonts w:hint="eastAsia" w:cs="Times New Roman"/>
          <w:color w:val="auto"/>
          <w:highlight w:val="none"/>
        </w:rPr>
        <w:t>.1</w:t>
      </w:r>
      <w:r>
        <w:rPr>
          <w:rFonts w:hint="eastAsia" w:cs="Times New Roman"/>
          <w:color w:val="auto"/>
          <w:highlight w:val="none"/>
          <w:lang w:eastAsia="zh-CN"/>
        </w:rPr>
        <w:t>产品规模</w:t>
      </w:r>
    </w:p>
    <w:p>
      <w:pPr>
        <w:adjustRightInd w:val="0"/>
        <w:snapToGrid w:val="0"/>
        <w:ind w:firstLine="480"/>
        <w:rPr>
          <w:bCs/>
          <w:color w:val="auto"/>
          <w:highlight w:val="none"/>
        </w:rPr>
      </w:pPr>
      <w:r>
        <w:rPr>
          <w:rFonts w:hint="eastAsia"/>
          <w:bCs/>
          <w:color w:val="auto"/>
          <w:highlight w:val="none"/>
          <w:lang w:eastAsia="zh-CN"/>
        </w:rPr>
        <w:t>本</w:t>
      </w:r>
      <w:r>
        <w:rPr>
          <w:rFonts w:hint="eastAsia"/>
          <w:bCs/>
          <w:color w:val="auto"/>
          <w:highlight w:val="none"/>
        </w:rPr>
        <w:t>项目为</w:t>
      </w:r>
      <w:r>
        <w:rPr>
          <w:rFonts w:hint="eastAsia"/>
          <w:bCs/>
          <w:color w:val="auto"/>
          <w:highlight w:val="none"/>
          <w:lang w:eastAsia="zh-CN"/>
        </w:rPr>
        <w:t>保育</w:t>
      </w:r>
      <w:r>
        <w:rPr>
          <w:rFonts w:hint="eastAsia"/>
          <w:bCs/>
          <w:color w:val="auto"/>
          <w:highlight w:val="none"/>
        </w:rPr>
        <w:t>育肥</w:t>
      </w:r>
      <w:r>
        <w:rPr>
          <w:rFonts w:hint="eastAsia"/>
          <w:bCs/>
          <w:color w:val="auto"/>
          <w:highlight w:val="none"/>
          <w:lang w:eastAsia="zh-CN"/>
        </w:rPr>
        <w:t>一体舍</w:t>
      </w:r>
      <w:r>
        <w:rPr>
          <w:rFonts w:hint="eastAsia"/>
          <w:bCs/>
          <w:color w:val="auto"/>
          <w:highlight w:val="none"/>
        </w:rPr>
        <w:t>猪场，包括保育阶段、育肥阶段。工程设计养殖规模为年出栏</w:t>
      </w:r>
      <w:r>
        <w:rPr>
          <w:rFonts w:hint="eastAsia"/>
          <w:bCs/>
          <w:color w:val="auto"/>
          <w:highlight w:val="none"/>
          <w:lang w:val="en-US" w:eastAsia="zh-CN"/>
        </w:rPr>
        <w:t>17.2</w:t>
      </w:r>
      <w:r>
        <w:rPr>
          <w:rFonts w:hint="eastAsia"/>
          <w:bCs/>
          <w:color w:val="auto"/>
          <w:highlight w:val="none"/>
        </w:rPr>
        <w:t>万头</w:t>
      </w:r>
      <w:r>
        <w:rPr>
          <w:rFonts w:hint="eastAsia"/>
          <w:bCs/>
          <w:color w:val="auto"/>
          <w:highlight w:val="none"/>
          <w:lang w:eastAsia="zh-CN"/>
        </w:rPr>
        <w:t>商品</w:t>
      </w:r>
      <w:r>
        <w:rPr>
          <w:rFonts w:hint="eastAsia"/>
          <w:bCs/>
          <w:color w:val="auto"/>
          <w:highlight w:val="none"/>
        </w:rPr>
        <w:t>猪，设计养殖方案及养殖规模见</w:t>
      </w:r>
      <w:r>
        <w:rPr>
          <w:bCs/>
          <w:color w:val="auto"/>
          <w:highlight w:val="none"/>
        </w:rPr>
        <w:t>表</w:t>
      </w:r>
      <w:r>
        <w:rPr>
          <w:rFonts w:hint="eastAsia"/>
          <w:bCs/>
          <w:color w:val="auto"/>
          <w:highlight w:val="none"/>
        </w:rPr>
        <w:t>2.2-1</w:t>
      </w:r>
      <w:r>
        <w:rPr>
          <w:bCs/>
          <w:color w:val="auto"/>
          <w:highlight w:val="none"/>
        </w:rPr>
        <w:t>。</w:t>
      </w:r>
    </w:p>
    <w:p>
      <w:pPr>
        <w:pStyle w:val="40"/>
        <w:rPr>
          <w:rFonts w:hint="eastAsia" w:cs="Times New Roman"/>
          <w:color w:val="auto"/>
          <w:highlight w:val="none"/>
          <w:lang w:eastAsia="zh-CN"/>
        </w:rPr>
      </w:pPr>
      <w:r>
        <w:rPr>
          <w:rFonts w:hint="eastAsia" w:cs="Times New Roman"/>
          <w:color w:val="auto"/>
          <w:highlight w:val="none"/>
        </w:rPr>
        <w:t>表2.2-1 本项目产品方案</w:t>
      </w:r>
      <w:r>
        <w:rPr>
          <w:rFonts w:hint="eastAsia" w:cs="Times New Roman"/>
          <w:color w:val="auto"/>
          <w:highlight w:val="none"/>
          <w:lang w:eastAsia="zh-CN"/>
        </w:rPr>
        <w:t>及养殖规模</w:t>
      </w:r>
    </w:p>
    <w:tbl>
      <w:tblPr>
        <w:tblStyle w:val="24"/>
        <w:tblW w:w="4998"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1781"/>
        <w:gridCol w:w="1549"/>
        <w:gridCol w:w="2200"/>
        <w:gridCol w:w="2233"/>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4" w:type="pct"/>
            <w:vAlign w:val="center"/>
          </w:tcPr>
          <w:p>
            <w:pPr>
              <w:spacing w:line="240" w:lineRule="auto"/>
              <w:ind w:firstLine="0" w:firstLineChars="0"/>
              <w:jc w:val="center"/>
              <w:rPr>
                <w:rFonts w:hint="eastAsia"/>
                <w:color w:val="auto"/>
                <w:sz w:val="21"/>
                <w:szCs w:val="21"/>
                <w:highlight w:val="none"/>
                <w:lang w:eastAsia="zh-CN"/>
              </w:rPr>
            </w:pPr>
            <w:r>
              <w:rPr>
                <w:rFonts w:hint="eastAsia" w:eastAsia="宋体"/>
                <w:color w:val="auto"/>
                <w:sz w:val="21"/>
                <w:szCs w:val="21"/>
                <w:highlight w:val="none"/>
                <w:lang w:eastAsia="zh-CN"/>
              </w:rPr>
              <w:t>序号</w:t>
            </w:r>
          </w:p>
        </w:tc>
        <w:tc>
          <w:tcPr>
            <w:tcW w:w="1020" w:type="pct"/>
            <w:vAlign w:val="center"/>
          </w:tcPr>
          <w:p>
            <w:pPr>
              <w:spacing w:line="240" w:lineRule="auto"/>
              <w:ind w:firstLine="0" w:firstLineChars="0"/>
              <w:jc w:val="center"/>
              <w:rPr>
                <w:rFonts w:hint="eastAsia"/>
                <w:color w:val="auto"/>
                <w:sz w:val="21"/>
                <w:szCs w:val="21"/>
                <w:highlight w:val="none"/>
                <w:lang w:eastAsia="zh-CN"/>
              </w:rPr>
            </w:pPr>
            <w:r>
              <w:rPr>
                <w:rFonts w:hint="eastAsia" w:eastAsia="宋体"/>
                <w:color w:val="auto"/>
                <w:sz w:val="21"/>
                <w:szCs w:val="21"/>
                <w:highlight w:val="none"/>
                <w:lang w:eastAsia="zh-CN"/>
              </w:rPr>
              <w:t>产品名称</w:t>
            </w:r>
          </w:p>
        </w:tc>
        <w:tc>
          <w:tcPr>
            <w:tcW w:w="887" w:type="pct"/>
            <w:vAlign w:val="center"/>
          </w:tcPr>
          <w:p>
            <w:pPr>
              <w:spacing w:line="240" w:lineRule="auto"/>
              <w:ind w:firstLine="0" w:firstLineChars="0"/>
              <w:jc w:val="center"/>
              <w:rPr>
                <w:rFonts w:hint="eastAsia"/>
                <w:color w:val="auto"/>
                <w:sz w:val="21"/>
                <w:szCs w:val="21"/>
                <w:highlight w:val="none"/>
                <w:lang w:eastAsia="zh-CN"/>
              </w:rPr>
            </w:pPr>
            <w:r>
              <w:rPr>
                <w:rFonts w:hint="eastAsia" w:eastAsia="宋体"/>
                <w:color w:val="auto"/>
                <w:sz w:val="21"/>
                <w:szCs w:val="21"/>
                <w:highlight w:val="none"/>
                <w:lang w:eastAsia="zh-CN"/>
              </w:rPr>
              <w:t>实际存栏量（头）</w:t>
            </w:r>
          </w:p>
        </w:tc>
        <w:tc>
          <w:tcPr>
            <w:tcW w:w="1260" w:type="pct"/>
            <w:vAlign w:val="center"/>
          </w:tcPr>
          <w:p>
            <w:pPr>
              <w:spacing w:line="240" w:lineRule="auto"/>
              <w:ind w:firstLine="0" w:firstLineChars="0"/>
              <w:jc w:val="center"/>
              <w:rPr>
                <w:rFonts w:hint="eastAsia"/>
                <w:color w:val="auto"/>
                <w:sz w:val="21"/>
                <w:szCs w:val="21"/>
                <w:highlight w:val="none"/>
                <w:lang w:eastAsia="zh-CN"/>
              </w:rPr>
            </w:pPr>
            <w:r>
              <w:rPr>
                <w:rFonts w:hint="eastAsia" w:eastAsia="宋体"/>
                <w:color w:val="auto"/>
                <w:sz w:val="21"/>
                <w:szCs w:val="21"/>
                <w:highlight w:val="none"/>
                <w:lang w:eastAsia="zh-CN"/>
              </w:rPr>
              <w:t>存栏周期（</w:t>
            </w:r>
            <w:r>
              <w:rPr>
                <w:rFonts w:hint="eastAsia" w:ascii="Times New Roman" w:eastAsia="宋体"/>
                <w:color w:val="auto"/>
                <w:sz w:val="21"/>
                <w:szCs w:val="21"/>
                <w:highlight w:val="none"/>
                <w:lang w:val="en-US" w:eastAsia="zh-CN"/>
              </w:rPr>
              <w:t>d</w:t>
            </w:r>
            <w:r>
              <w:rPr>
                <w:rFonts w:hint="eastAsia" w:eastAsia="宋体"/>
                <w:color w:val="auto"/>
                <w:sz w:val="21"/>
                <w:szCs w:val="21"/>
                <w:highlight w:val="none"/>
                <w:lang w:eastAsia="zh-CN"/>
              </w:rPr>
              <w:t>）</w:t>
            </w:r>
          </w:p>
        </w:tc>
        <w:tc>
          <w:tcPr>
            <w:tcW w:w="1277" w:type="pct"/>
            <w:vAlign w:val="center"/>
          </w:tcPr>
          <w:p>
            <w:pPr>
              <w:spacing w:line="240" w:lineRule="auto"/>
              <w:ind w:firstLine="0" w:firstLineChars="0"/>
              <w:jc w:val="center"/>
              <w:rPr>
                <w:rFonts w:hint="default"/>
                <w:color w:val="auto"/>
                <w:sz w:val="21"/>
                <w:szCs w:val="21"/>
                <w:highlight w:val="none"/>
                <w:lang w:val="en-US" w:eastAsia="zh-CN"/>
              </w:rPr>
            </w:pPr>
            <w:r>
              <w:rPr>
                <w:rFonts w:hint="eastAsia" w:ascii="Times New Roman" w:eastAsia="宋体"/>
                <w:color w:val="auto"/>
                <w:sz w:val="21"/>
                <w:szCs w:val="21"/>
                <w:highlight w:val="none"/>
                <w:lang w:val="en-US" w:eastAsia="zh-CN"/>
              </w:rPr>
              <w:t>备注</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vAlign w:val="center"/>
          </w:tcPr>
          <w:p>
            <w:pPr>
              <w:spacing w:line="360" w:lineRule="exact"/>
              <w:ind w:firstLine="420" w:firstLineChars="200"/>
              <w:jc w:val="center"/>
              <w:rPr>
                <w:rFonts w:hint="default" w:ascii="Times New Roman" w:hAnsi="Times New Roman" w:eastAsia="宋体"/>
                <w:bCs/>
                <w:color w:val="auto"/>
                <w:sz w:val="21"/>
                <w:szCs w:val="21"/>
                <w:highlight w:val="none"/>
                <w:lang w:val="en-US" w:eastAsia="zh-CN"/>
              </w:rPr>
            </w:pPr>
            <w:r>
              <w:rPr>
                <w:rFonts w:hint="eastAsia" w:ascii="Times New Roman" w:eastAsia="宋体"/>
                <w:bCs/>
                <w:color w:val="auto"/>
                <w:sz w:val="21"/>
                <w:szCs w:val="21"/>
                <w:highlight w:val="none"/>
                <w:lang w:val="en-US" w:eastAsia="zh-CN"/>
              </w:rPr>
              <w:t>生猪养殖线</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4" w:type="pct"/>
            <w:vAlign w:val="center"/>
          </w:tcPr>
          <w:p>
            <w:pPr>
              <w:spacing w:line="240" w:lineRule="auto"/>
              <w:ind w:firstLine="0" w:firstLineChars="0"/>
              <w:jc w:val="center"/>
              <w:rPr>
                <w:rFonts w:hint="eastAsia"/>
                <w:color w:val="auto"/>
                <w:sz w:val="21"/>
                <w:szCs w:val="21"/>
                <w:highlight w:val="none"/>
                <w:lang w:eastAsia="zh-CN"/>
              </w:rPr>
            </w:pPr>
            <w:r>
              <w:rPr>
                <w:rFonts w:hint="eastAsia"/>
                <w:color w:val="auto"/>
                <w:sz w:val="21"/>
                <w:szCs w:val="21"/>
                <w:highlight w:val="none"/>
                <w:lang w:val="en-US" w:eastAsia="zh-CN"/>
              </w:rPr>
              <w:t>1</w:t>
            </w:r>
          </w:p>
        </w:tc>
        <w:tc>
          <w:tcPr>
            <w:tcW w:w="1020" w:type="pct"/>
            <w:vAlign w:val="center"/>
          </w:tcPr>
          <w:p>
            <w:pPr>
              <w:spacing w:line="240" w:lineRule="auto"/>
              <w:ind w:firstLine="0" w:firstLineChars="0"/>
              <w:jc w:val="center"/>
              <w:rPr>
                <w:rFonts w:hint="eastAsia"/>
                <w:color w:val="auto"/>
                <w:sz w:val="21"/>
                <w:szCs w:val="21"/>
                <w:highlight w:val="none"/>
                <w:lang w:eastAsia="zh-CN"/>
              </w:rPr>
            </w:pPr>
            <w:r>
              <w:rPr>
                <w:rFonts w:hint="eastAsia" w:eastAsia="宋体"/>
                <w:color w:val="auto"/>
                <w:sz w:val="21"/>
                <w:szCs w:val="21"/>
                <w:highlight w:val="none"/>
                <w:lang w:eastAsia="zh-CN"/>
              </w:rPr>
              <w:t>保育猪</w:t>
            </w:r>
          </w:p>
        </w:tc>
        <w:tc>
          <w:tcPr>
            <w:tcW w:w="887" w:type="pct"/>
            <w:vAlign w:val="center"/>
          </w:tcPr>
          <w:p>
            <w:pPr>
              <w:spacing w:line="240" w:lineRule="auto"/>
              <w:ind w:firstLine="0" w:firstLineChars="0"/>
              <w:jc w:val="center"/>
              <w:rPr>
                <w:rFonts w:hint="default"/>
                <w:color w:val="auto"/>
                <w:sz w:val="21"/>
                <w:szCs w:val="21"/>
                <w:highlight w:val="none"/>
                <w:lang w:val="en-US" w:eastAsia="zh-CN"/>
              </w:rPr>
            </w:pPr>
            <w:r>
              <w:rPr>
                <w:rFonts w:hint="eastAsia" w:ascii="Times New Roman" w:eastAsia="宋体"/>
                <w:color w:val="auto"/>
                <w:sz w:val="21"/>
                <w:szCs w:val="21"/>
                <w:highlight w:val="none"/>
                <w:lang w:val="en-US" w:eastAsia="zh-CN"/>
              </w:rPr>
              <w:t>2</w:t>
            </w:r>
            <w:r>
              <w:rPr>
                <w:rFonts w:hint="eastAsia"/>
                <w:color w:val="auto"/>
                <w:sz w:val="21"/>
                <w:szCs w:val="21"/>
                <w:highlight w:val="none"/>
                <w:lang w:val="en-US" w:eastAsia="zh-CN"/>
              </w:rPr>
              <w:t>0</w:t>
            </w:r>
            <w:r>
              <w:rPr>
                <w:rFonts w:hint="eastAsia" w:ascii="Times New Roman" w:eastAsia="宋体"/>
                <w:color w:val="auto"/>
                <w:sz w:val="21"/>
                <w:szCs w:val="21"/>
                <w:highlight w:val="none"/>
                <w:lang w:val="en-US" w:eastAsia="zh-CN"/>
              </w:rPr>
              <w:t>208</w:t>
            </w:r>
          </w:p>
        </w:tc>
        <w:tc>
          <w:tcPr>
            <w:tcW w:w="1260" w:type="pct"/>
            <w:vAlign w:val="center"/>
          </w:tcPr>
          <w:p>
            <w:pPr>
              <w:spacing w:line="240" w:lineRule="auto"/>
              <w:ind w:firstLine="0" w:firstLineChars="0"/>
              <w:jc w:val="center"/>
              <w:rPr>
                <w:rFonts w:hint="default"/>
                <w:color w:val="auto"/>
                <w:sz w:val="21"/>
                <w:szCs w:val="21"/>
                <w:highlight w:val="none"/>
                <w:lang w:val="en-US" w:eastAsia="zh-CN"/>
              </w:rPr>
            </w:pPr>
            <w:r>
              <w:rPr>
                <w:rFonts w:hint="eastAsia" w:ascii="Times New Roman" w:eastAsia="宋体"/>
                <w:color w:val="auto"/>
                <w:sz w:val="21"/>
                <w:szCs w:val="21"/>
                <w:highlight w:val="none"/>
                <w:lang w:val="en-US" w:eastAsia="zh-CN"/>
              </w:rPr>
              <w:t>4</w:t>
            </w:r>
            <w:r>
              <w:rPr>
                <w:rFonts w:hint="eastAsia"/>
                <w:color w:val="auto"/>
                <w:sz w:val="21"/>
                <w:szCs w:val="21"/>
                <w:highlight w:val="none"/>
                <w:lang w:val="en-US" w:eastAsia="zh-CN"/>
              </w:rPr>
              <w:t>1</w:t>
            </w:r>
          </w:p>
        </w:tc>
        <w:tc>
          <w:tcPr>
            <w:tcW w:w="1277" w:type="pct"/>
            <w:vAlign w:val="center"/>
          </w:tcPr>
          <w:p>
            <w:pPr>
              <w:topLinePunct/>
              <w:spacing w:line="320" w:lineRule="exact"/>
              <w:ind w:firstLine="420" w:firstLineChars="200"/>
              <w:jc w:val="center"/>
              <w:rPr>
                <w:rFonts w:hint="eastAsia"/>
                <w:color w:val="auto"/>
                <w:sz w:val="21"/>
                <w:szCs w:val="21"/>
                <w:highlight w:val="none"/>
                <w:lang w:eastAsia="zh-CN"/>
              </w:rPr>
            </w:pPr>
            <w:r>
              <w:rPr>
                <w:rFonts w:ascii="Times New Roman" w:hAnsi="Times New Roman"/>
                <w:bCs/>
                <w:color w:val="auto"/>
                <w:sz w:val="21"/>
                <w:szCs w:val="21"/>
                <w:highlight w:val="none"/>
              </w:rPr>
              <w:t>保育</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4"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w:t>
            </w:r>
          </w:p>
        </w:tc>
        <w:tc>
          <w:tcPr>
            <w:tcW w:w="1020" w:type="pct"/>
            <w:vAlign w:val="center"/>
          </w:tcPr>
          <w:p>
            <w:pPr>
              <w:spacing w:line="240" w:lineRule="auto"/>
              <w:ind w:firstLine="0" w:firstLineChars="0"/>
              <w:jc w:val="center"/>
              <w:rPr>
                <w:rFonts w:hint="eastAsia"/>
                <w:color w:val="auto"/>
                <w:sz w:val="21"/>
                <w:szCs w:val="21"/>
                <w:highlight w:val="none"/>
                <w:lang w:eastAsia="zh-CN"/>
              </w:rPr>
            </w:pPr>
            <w:r>
              <w:rPr>
                <w:rFonts w:hint="eastAsia" w:eastAsia="宋体"/>
                <w:color w:val="auto"/>
                <w:sz w:val="21"/>
                <w:szCs w:val="21"/>
                <w:highlight w:val="none"/>
                <w:lang w:eastAsia="zh-CN"/>
              </w:rPr>
              <w:t>育肥猪</w:t>
            </w:r>
          </w:p>
        </w:tc>
        <w:tc>
          <w:tcPr>
            <w:tcW w:w="887" w:type="pct"/>
            <w:vAlign w:val="center"/>
          </w:tcPr>
          <w:p>
            <w:pPr>
              <w:spacing w:line="240" w:lineRule="auto"/>
              <w:ind w:firstLine="0" w:firstLineChars="0"/>
              <w:jc w:val="center"/>
              <w:rPr>
                <w:rFonts w:hint="default"/>
                <w:color w:val="auto"/>
                <w:sz w:val="21"/>
                <w:szCs w:val="21"/>
                <w:highlight w:val="none"/>
                <w:lang w:val="en-US" w:eastAsia="zh-CN"/>
              </w:rPr>
            </w:pPr>
            <w:r>
              <w:rPr>
                <w:rFonts w:hint="eastAsia" w:ascii="Times New Roman" w:eastAsia="宋体"/>
                <w:color w:val="auto"/>
                <w:sz w:val="21"/>
                <w:szCs w:val="21"/>
                <w:highlight w:val="none"/>
                <w:lang w:val="en-US" w:eastAsia="zh-CN"/>
              </w:rPr>
              <w:t>4</w:t>
            </w:r>
            <w:r>
              <w:rPr>
                <w:rFonts w:hint="eastAsia"/>
                <w:color w:val="auto"/>
                <w:sz w:val="21"/>
                <w:szCs w:val="21"/>
                <w:highlight w:val="none"/>
                <w:lang w:val="en-US" w:eastAsia="zh-CN"/>
              </w:rPr>
              <w:t>8</w:t>
            </w:r>
            <w:r>
              <w:rPr>
                <w:rFonts w:hint="eastAsia" w:ascii="Times New Roman" w:eastAsia="宋体"/>
                <w:color w:val="auto"/>
                <w:sz w:val="21"/>
                <w:szCs w:val="21"/>
                <w:highlight w:val="none"/>
                <w:lang w:val="en-US" w:eastAsia="zh-CN"/>
              </w:rPr>
              <w:t>592</w:t>
            </w:r>
          </w:p>
        </w:tc>
        <w:tc>
          <w:tcPr>
            <w:tcW w:w="1260" w:type="pct"/>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100</w:t>
            </w:r>
          </w:p>
        </w:tc>
        <w:tc>
          <w:tcPr>
            <w:tcW w:w="1277" w:type="pct"/>
            <w:vAlign w:val="center"/>
          </w:tcPr>
          <w:p>
            <w:pPr>
              <w:topLinePunct/>
              <w:spacing w:line="320" w:lineRule="exact"/>
              <w:ind w:firstLine="420" w:firstLineChars="200"/>
              <w:jc w:val="center"/>
              <w:rPr>
                <w:rFonts w:hint="eastAsia"/>
                <w:color w:val="auto"/>
                <w:sz w:val="21"/>
                <w:szCs w:val="21"/>
                <w:highlight w:val="none"/>
                <w:lang w:eastAsia="zh-CN"/>
              </w:rPr>
            </w:pPr>
            <w:r>
              <w:rPr>
                <w:rFonts w:ascii="Times New Roman" w:hAnsi="Times New Roman"/>
                <w:bCs/>
                <w:color w:val="auto"/>
                <w:sz w:val="21"/>
                <w:szCs w:val="21"/>
                <w:highlight w:val="none"/>
              </w:rPr>
              <w:t>育肥</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4" w:type="pct"/>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1020" w:type="pct"/>
            <w:vAlign w:val="center"/>
          </w:tcPr>
          <w:p>
            <w:pPr>
              <w:spacing w:line="240" w:lineRule="auto"/>
              <w:ind w:firstLine="0" w:firstLineChars="0"/>
              <w:jc w:val="center"/>
              <w:rPr>
                <w:rFonts w:hint="eastAsia"/>
                <w:color w:val="auto"/>
                <w:sz w:val="21"/>
                <w:szCs w:val="21"/>
                <w:highlight w:val="none"/>
                <w:lang w:eastAsia="zh-CN"/>
              </w:rPr>
            </w:pPr>
            <w:r>
              <w:rPr>
                <w:rFonts w:hint="eastAsia" w:eastAsia="宋体"/>
                <w:color w:val="auto"/>
                <w:sz w:val="21"/>
                <w:szCs w:val="21"/>
                <w:highlight w:val="none"/>
                <w:lang w:eastAsia="zh-CN"/>
              </w:rPr>
              <w:t>合计</w:t>
            </w:r>
          </w:p>
        </w:tc>
        <w:tc>
          <w:tcPr>
            <w:tcW w:w="887" w:type="pct"/>
            <w:vAlign w:val="center"/>
          </w:tcPr>
          <w:p>
            <w:pPr>
              <w:spacing w:line="240" w:lineRule="auto"/>
              <w:ind w:firstLine="0" w:firstLineChars="0"/>
              <w:jc w:val="center"/>
              <w:rPr>
                <w:rFonts w:hint="default"/>
                <w:color w:val="auto"/>
                <w:sz w:val="21"/>
                <w:szCs w:val="21"/>
                <w:highlight w:val="none"/>
                <w:lang w:val="en-US" w:eastAsia="zh-CN"/>
              </w:rPr>
            </w:pPr>
            <w:r>
              <w:rPr>
                <w:rFonts w:hint="eastAsia" w:ascii="Times New Roman" w:eastAsia="宋体"/>
                <w:color w:val="auto"/>
                <w:sz w:val="21"/>
                <w:szCs w:val="21"/>
                <w:highlight w:val="none"/>
                <w:lang w:val="en-US" w:eastAsia="zh-CN"/>
              </w:rPr>
              <w:t>6</w:t>
            </w:r>
            <w:r>
              <w:rPr>
                <w:rFonts w:hint="eastAsia"/>
                <w:color w:val="auto"/>
                <w:sz w:val="21"/>
                <w:szCs w:val="21"/>
                <w:highlight w:val="none"/>
                <w:lang w:val="en-US" w:eastAsia="zh-CN"/>
              </w:rPr>
              <w:t>8800</w:t>
            </w:r>
          </w:p>
        </w:tc>
        <w:tc>
          <w:tcPr>
            <w:tcW w:w="1260" w:type="pct"/>
            <w:vAlign w:val="center"/>
          </w:tcPr>
          <w:p>
            <w:pPr>
              <w:spacing w:line="240" w:lineRule="auto"/>
              <w:ind w:firstLine="0" w:firstLineChars="0"/>
              <w:jc w:val="center"/>
              <w:rPr>
                <w:rFonts w:hint="default"/>
                <w:color w:val="auto"/>
                <w:sz w:val="21"/>
                <w:szCs w:val="21"/>
                <w:highlight w:val="none"/>
                <w:lang w:val="en-US" w:eastAsia="zh-CN"/>
              </w:rPr>
            </w:pPr>
            <w:r>
              <w:rPr>
                <w:rFonts w:hint="eastAsia" w:ascii="Times New Roman" w:eastAsia="宋体"/>
                <w:color w:val="auto"/>
                <w:sz w:val="21"/>
                <w:szCs w:val="21"/>
                <w:highlight w:val="none"/>
                <w:lang w:val="en-US" w:eastAsia="zh-CN"/>
              </w:rPr>
              <w:t>/</w:t>
            </w:r>
          </w:p>
        </w:tc>
        <w:tc>
          <w:tcPr>
            <w:tcW w:w="1277" w:type="pct"/>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年出栏17.2万头商品猪</w:t>
            </w:r>
          </w:p>
        </w:tc>
      </w:tr>
    </w:tbl>
    <w:p>
      <w:pPr>
        <w:pStyle w:val="5"/>
        <w:spacing w:before="66"/>
        <w:ind w:firstLine="0" w:firstLineChars="0"/>
        <w:rPr>
          <w:rFonts w:hint="eastAsia" w:eastAsia="宋体" w:cs="Times New Roman"/>
          <w:color w:val="auto"/>
          <w:highlight w:val="none"/>
          <w:lang w:eastAsia="zh-CN"/>
        </w:rPr>
      </w:pPr>
      <w:r>
        <w:rPr>
          <w:rFonts w:hint="eastAsia" w:cs="Times New Roman"/>
          <w:color w:val="auto"/>
          <w:highlight w:val="none"/>
          <w:lang w:val="en-US" w:eastAsia="zh-CN"/>
        </w:rPr>
        <w:t>2</w:t>
      </w:r>
      <w:r>
        <w:rPr>
          <w:rFonts w:cs="Times New Roman"/>
          <w:color w:val="auto"/>
          <w:highlight w:val="none"/>
        </w:rPr>
        <w:t>.</w:t>
      </w:r>
      <w:r>
        <w:rPr>
          <w:rFonts w:hint="eastAsia" w:cs="Times New Roman"/>
          <w:color w:val="auto"/>
          <w:highlight w:val="none"/>
          <w:lang w:val="en-US" w:eastAsia="zh-CN"/>
        </w:rPr>
        <w:t>2</w:t>
      </w:r>
      <w:r>
        <w:rPr>
          <w:rFonts w:hint="eastAsia" w:cs="Times New Roman"/>
          <w:color w:val="auto"/>
          <w:highlight w:val="none"/>
        </w:rPr>
        <w:t>.</w:t>
      </w:r>
      <w:r>
        <w:rPr>
          <w:rFonts w:hint="eastAsia" w:cs="Times New Roman"/>
          <w:color w:val="auto"/>
          <w:highlight w:val="none"/>
          <w:lang w:val="en-US" w:eastAsia="zh-CN"/>
        </w:rPr>
        <w:t>2</w:t>
      </w:r>
      <w:r>
        <w:rPr>
          <w:rFonts w:hint="eastAsia" w:cs="Times New Roman"/>
          <w:color w:val="auto"/>
          <w:highlight w:val="none"/>
          <w:lang w:eastAsia="zh-CN"/>
        </w:rPr>
        <w:t>设计养殖能力</w:t>
      </w:r>
    </w:p>
    <w:p>
      <w:pPr>
        <w:spacing w:line="520" w:lineRule="exact"/>
        <w:ind w:firstLine="480" w:firstLineChars="200"/>
        <w:rPr>
          <w:rFonts w:ascii="Times New Roman" w:hAnsi="Times New Roman"/>
          <w:color w:val="auto"/>
          <w:highlight w:val="none"/>
        </w:rPr>
      </w:pPr>
      <w:r>
        <w:rPr>
          <w:rFonts w:ascii="Times New Roman" w:hAnsi="Times New Roman"/>
          <w:color w:val="auto"/>
          <w:sz w:val="24"/>
          <w:szCs w:val="24"/>
          <w:highlight w:val="none"/>
        </w:rPr>
        <w:t>本项目设计养殖能力见表2</w:t>
      </w:r>
      <w:r>
        <w:rPr>
          <w:rFonts w:hint="eastAsia"/>
          <w:color w:val="auto"/>
          <w:sz w:val="24"/>
          <w:szCs w:val="24"/>
          <w:highlight w:val="none"/>
          <w:lang w:val="en-US" w:eastAsia="zh-CN"/>
        </w:rPr>
        <w:t>.2</w:t>
      </w:r>
      <w:r>
        <w:rPr>
          <w:rFonts w:ascii="Times New Roman" w:hAnsi="Times New Roman"/>
          <w:color w:val="auto"/>
          <w:sz w:val="24"/>
          <w:szCs w:val="24"/>
          <w:highlight w:val="none"/>
        </w:rPr>
        <w:t>-</w:t>
      </w:r>
      <w:r>
        <w:rPr>
          <w:rFonts w:hint="eastAsia"/>
          <w:color w:val="auto"/>
          <w:sz w:val="24"/>
          <w:szCs w:val="24"/>
          <w:highlight w:val="none"/>
          <w:lang w:val="en-US" w:eastAsia="zh-CN"/>
        </w:rPr>
        <w:t>2</w:t>
      </w:r>
      <w:r>
        <w:rPr>
          <w:rFonts w:ascii="Times New Roman" w:hAnsi="Times New Roman"/>
          <w:color w:val="auto"/>
          <w:sz w:val="24"/>
          <w:szCs w:val="24"/>
          <w:highlight w:val="none"/>
        </w:rPr>
        <w:t>。</w:t>
      </w:r>
    </w:p>
    <w:p>
      <w:pPr>
        <w:pStyle w:val="40"/>
        <w:rPr>
          <w:rFonts w:hint="eastAsia" w:cs="Times New Roman"/>
          <w:color w:val="auto"/>
          <w:highlight w:val="none"/>
        </w:rPr>
      </w:pPr>
      <w:r>
        <w:rPr>
          <w:rFonts w:hint="eastAsia" w:cs="Times New Roman"/>
          <w:color w:val="auto"/>
          <w:highlight w:val="none"/>
        </w:rPr>
        <w:t>表2</w:t>
      </w:r>
      <w:r>
        <w:rPr>
          <w:rFonts w:hint="eastAsia" w:cs="Times New Roman"/>
          <w:color w:val="auto"/>
          <w:highlight w:val="none"/>
          <w:lang w:val="en-US" w:eastAsia="zh-CN"/>
        </w:rPr>
        <w:t>.2</w:t>
      </w:r>
      <w:r>
        <w:rPr>
          <w:rFonts w:hint="eastAsia" w:cs="Times New Roman"/>
          <w:color w:val="auto"/>
          <w:highlight w:val="none"/>
        </w:rPr>
        <w:t>-</w:t>
      </w:r>
      <w:r>
        <w:rPr>
          <w:rFonts w:hint="eastAsia" w:cs="Times New Roman"/>
          <w:color w:val="auto"/>
          <w:highlight w:val="none"/>
          <w:lang w:val="en-US" w:eastAsia="zh-CN"/>
        </w:rPr>
        <w:t>2</w:t>
      </w:r>
      <w:r>
        <w:rPr>
          <w:rFonts w:hint="eastAsia" w:cs="Times New Roman"/>
          <w:color w:val="auto"/>
          <w:highlight w:val="none"/>
        </w:rPr>
        <w:t xml:space="preserve"> 设计养殖能力一览表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911"/>
        <w:gridCol w:w="2909"/>
        <w:gridCol w:w="29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667" w:type="pct"/>
            <w:tcBorders>
              <w:top w:val="single" w:color="auto" w:sz="12" w:space="0"/>
              <w:left w:val="single" w:color="auto" w:sz="12" w:space="0"/>
              <w:bottom w:val="single" w:color="auto" w:sz="4" w:space="0"/>
              <w:right w:val="single" w:color="auto" w:sz="4" w:space="0"/>
              <w:tl2br w:val="nil"/>
              <w:tr2bl w:val="nil"/>
            </w:tcBorders>
            <w:noWrap w:val="0"/>
            <w:vAlign w:val="center"/>
          </w:tcPr>
          <w:p>
            <w:pPr>
              <w:spacing w:beforeLines="0" w:afterLines="0" w:line="240" w:lineRule="auto"/>
              <w:ind w:firstLine="0" w:firstLineChars="0"/>
              <w:jc w:val="center"/>
              <w:rPr>
                <w:rFonts w:hint="eastAsia"/>
                <w:color w:val="auto"/>
                <w:sz w:val="21"/>
                <w:highlight w:val="none"/>
              </w:rPr>
            </w:pPr>
            <w:r>
              <w:rPr>
                <w:rFonts w:hint="eastAsia"/>
                <w:color w:val="auto"/>
                <w:sz w:val="21"/>
                <w:highlight w:val="none"/>
              </w:rPr>
              <w:t>养殖单元名称</w:t>
            </w:r>
          </w:p>
        </w:tc>
        <w:tc>
          <w:tcPr>
            <w:tcW w:w="1666" w:type="pct"/>
            <w:tcBorders>
              <w:top w:val="single" w:color="auto" w:sz="12" w:space="0"/>
              <w:left w:val="single" w:color="auto" w:sz="4" w:space="0"/>
              <w:bottom w:val="single" w:color="auto" w:sz="4" w:space="0"/>
              <w:right w:val="single" w:color="auto" w:sz="4" w:space="0"/>
              <w:tl2br w:val="nil"/>
              <w:tr2bl w:val="nil"/>
            </w:tcBorders>
            <w:noWrap w:val="0"/>
            <w:vAlign w:val="center"/>
          </w:tcPr>
          <w:p>
            <w:pPr>
              <w:spacing w:beforeLines="0" w:afterLines="0" w:line="240" w:lineRule="auto"/>
              <w:ind w:firstLine="0" w:firstLineChars="0"/>
              <w:jc w:val="center"/>
              <w:rPr>
                <w:rFonts w:hint="eastAsia"/>
                <w:color w:val="auto"/>
                <w:sz w:val="21"/>
                <w:highlight w:val="none"/>
              </w:rPr>
            </w:pPr>
            <w:r>
              <w:rPr>
                <w:rFonts w:hint="eastAsia"/>
                <w:color w:val="auto"/>
                <w:sz w:val="21"/>
                <w:highlight w:val="none"/>
              </w:rPr>
              <w:t>单元数量（舍）</w:t>
            </w:r>
          </w:p>
        </w:tc>
        <w:tc>
          <w:tcPr>
            <w:tcW w:w="1666" w:type="pct"/>
            <w:tcBorders>
              <w:top w:val="single" w:color="auto" w:sz="12" w:space="0"/>
              <w:left w:val="single" w:color="auto" w:sz="4" w:space="0"/>
              <w:bottom w:val="single" w:color="auto" w:sz="4" w:space="0"/>
              <w:right w:val="single" w:color="auto" w:sz="12" w:space="0"/>
              <w:tl2br w:val="nil"/>
              <w:tr2bl w:val="nil"/>
            </w:tcBorders>
            <w:noWrap w:val="0"/>
            <w:vAlign w:val="center"/>
          </w:tcPr>
          <w:p>
            <w:pPr>
              <w:spacing w:beforeLines="0" w:afterLines="0" w:line="240" w:lineRule="auto"/>
              <w:ind w:firstLine="0" w:firstLineChars="0"/>
              <w:jc w:val="center"/>
              <w:rPr>
                <w:rFonts w:hint="eastAsia"/>
                <w:color w:val="auto"/>
                <w:sz w:val="21"/>
                <w:highlight w:val="none"/>
              </w:rPr>
            </w:pPr>
            <w:r>
              <w:rPr>
                <w:rFonts w:hint="eastAsia"/>
                <w:color w:val="auto"/>
                <w:sz w:val="21"/>
                <w:highlight w:val="none"/>
              </w:rPr>
              <w:t>设计日常存栏总量（头）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667" w:type="pct"/>
            <w:tcBorders>
              <w:top w:val="single" w:color="auto" w:sz="4" w:space="0"/>
              <w:left w:val="single" w:color="auto" w:sz="12" w:space="0"/>
              <w:bottom w:val="single" w:color="auto" w:sz="12" w:space="0"/>
              <w:right w:val="single" w:color="auto" w:sz="4" w:space="0"/>
              <w:tl2br w:val="nil"/>
              <w:tr2bl w:val="nil"/>
            </w:tcBorders>
            <w:noWrap w:val="0"/>
            <w:vAlign w:val="center"/>
          </w:tcPr>
          <w:p>
            <w:pPr>
              <w:spacing w:beforeLines="0" w:afterLines="0" w:line="240" w:lineRule="auto"/>
              <w:ind w:firstLine="0" w:firstLineChars="0"/>
              <w:jc w:val="center"/>
              <w:rPr>
                <w:rFonts w:hint="eastAsia"/>
                <w:color w:val="auto"/>
                <w:sz w:val="21"/>
                <w:highlight w:val="none"/>
              </w:rPr>
            </w:pPr>
            <w:r>
              <w:rPr>
                <w:rFonts w:hint="eastAsia"/>
                <w:color w:val="auto"/>
                <w:sz w:val="21"/>
                <w:highlight w:val="none"/>
              </w:rPr>
              <w:t>保育育肥一体舍</w:t>
            </w:r>
          </w:p>
        </w:tc>
        <w:tc>
          <w:tcPr>
            <w:tcW w:w="1666" w:type="pct"/>
            <w:tcBorders>
              <w:top w:val="single" w:color="auto" w:sz="4" w:space="0"/>
              <w:left w:val="single" w:color="auto" w:sz="4" w:space="0"/>
              <w:bottom w:val="single" w:color="auto" w:sz="12" w:space="0"/>
              <w:right w:val="single" w:color="auto" w:sz="4" w:space="0"/>
              <w:tl2br w:val="nil"/>
              <w:tr2bl w:val="nil"/>
            </w:tcBorders>
            <w:noWrap w:val="0"/>
            <w:vAlign w:val="center"/>
          </w:tcPr>
          <w:p>
            <w:pPr>
              <w:spacing w:beforeLines="0" w:afterLines="0" w:line="240" w:lineRule="auto"/>
              <w:ind w:firstLine="0" w:firstLineChars="0"/>
              <w:jc w:val="center"/>
              <w:rPr>
                <w:rFonts w:hint="default"/>
                <w:color w:val="auto"/>
                <w:sz w:val="21"/>
                <w:highlight w:val="none"/>
              </w:rPr>
            </w:pPr>
            <w:r>
              <w:rPr>
                <w:rFonts w:hint="eastAsia"/>
                <w:color w:val="auto"/>
                <w:sz w:val="21"/>
                <w:highlight w:val="none"/>
              </w:rPr>
              <w:t>124</w:t>
            </w:r>
          </w:p>
        </w:tc>
        <w:tc>
          <w:tcPr>
            <w:tcW w:w="1666" w:type="pct"/>
            <w:tcBorders>
              <w:top w:val="single" w:color="auto" w:sz="4" w:space="0"/>
              <w:left w:val="single" w:color="auto" w:sz="4" w:space="0"/>
              <w:bottom w:val="single" w:color="auto" w:sz="12" w:space="0"/>
              <w:right w:val="single" w:color="auto" w:sz="12" w:space="0"/>
              <w:tl2br w:val="nil"/>
              <w:tr2bl w:val="nil"/>
            </w:tcBorders>
            <w:noWrap w:val="0"/>
            <w:vAlign w:val="center"/>
          </w:tcPr>
          <w:p>
            <w:pPr>
              <w:spacing w:beforeLines="0" w:afterLines="0" w:line="240" w:lineRule="auto"/>
              <w:ind w:firstLine="0" w:firstLineChars="0"/>
              <w:jc w:val="center"/>
              <w:rPr>
                <w:rFonts w:hint="default"/>
                <w:color w:val="auto"/>
                <w:sz w:val="21"/>
                <w:highlight w:val="none"/>
              </w:rPr>
            </w:pPr>
            <w:r>
              <w:rPr>
                <w:rFonts w:hint="eastAsia"/>
                <w:color w:val="auto"/>
                <w:sz w:val="21"/>
                <w:highlight w:val="none"/>
              </w:rPr>
              <w:t>68800</w:t>
            </w:r>
          </w:p>
        </w:tc>
      </w:tr>
    </w:tbl>
    <w:p>
      <w:pPr>
        <w:pStyle w:val="4"/>
        <w:spacing w:beforeLines="0"/>
        <w:rPr>
          <w:rFonts w:cs="Times New Roman"/>
          <w:color w:val="auto"/>
          <w:highlight w:val="none"/>
        </w:rPr>
      </w:pPr>
      <w:bookmarkStart w:id="16" w:name="_Toc30947"/>
      <w:r>
        <w:rPr>
          <w:rFonts w:cs="Times New Roman"/>
          <w:color w:val="auto"/>
          <w:highlight w:val="none"/>
        </w:rPr>
        <w:t>2.</w:t>
      </w:r>
      <w:r>
        <w:rPr>
          <w:rFonts w:hint="eastAsia" w:cs="Times New Roman"/>
          <w:color w:val="auto"/>
          <w:highlight w:val="none"/>
        </w:rPr>
        <w:t>3</w:t>
      </w:r>
      <w:r>
        <w:rPr>
          <w:rFonts w:cs="Times New Roman"/>
          <w:color w:val="auto"/>
          <w:highlight w:val="none"/>
        </w:rPr>
        <w:t>原辅材料</w:t>
      </w:r>
      <w:bookmarkEnd w:id="16"/>
    </w:p>
    <w:p>
      <w:pPr>
        <w:pStyle w:val="5"/>
        <w:spacing w:before="66"/>
        <w:ind w:firstLine="0" w:firstLineChars="0"/>
        <w:rPr>
          <w:rFonts w:hint="eastAsia" w:cs="Times New Roman"/>
          <w:color w:val="auto"/>
          <w:highlight w:val="none"/>
          <w:lang w:val="en-US" w:eastAsia="zh-CN"/>
        </w:rPr>
      </w:pPr>
      <w:r>
        <w:rPr>
          <w:rFonts w:hint="eastAsia" w:cs="Times New Roman"/>
          <w:color w:val="auto"/>
          <w:highlight w:val="none"/>
          <w:lang w:val="en-US" w:eastAsia="zh-CN"/>
        </w:rPr>
        <w:t>2.3.1饲料</w:t>
      </w:r>
    </w:p>
    <w:p>
      <w:pPr>
        <w:ind w:firstLine="480"/>
        <w:rPr>
          <w:rFonts w:hint="eastAsia" w:eastAsia="宋体"/>
          <w:color w:val="auto"/>
          <w:highlight w:val="none"/>
          <w:lang w:eastAsia="zh-CN"/>
        </w:rPr>
      </w:pPr>
      <w:r>
        <w:rPr>
          <w:rFonts w:hint="eastAsia"/>
          <w:color w:val="auto"/>
          <w:highlight w:val="none"/>
          <w:lang w:eastAsia="zh-CN"/>
        </w:rPr>
        <w:t>本项目场区内不设饲料制作车间，全部饲料均由牧原食品有限公司配套的饲料加工厂统一配送，饲料运送至场区后，采用全自动配送上料系统和限位猪槽，机械化操作，定时定量供应饲料，保证生猪饮食需求</w:t>
      </w:r>
      <w:r>
        <w:rPr>
          <w:rFonts w:hint="eastAsia"/>
          <w:color w:val="auto"/>
          <w:sz w:val="24"/>
          <w:highlight w:val="none"/>
          <w:lang w:eastAsia="zh-CN"/>
        </w:rPr>
        <w:t>。</w:t>
      </w:r>
    </w:p>
    <w:p>
      <w:pPr>
        <w:ind w:firstLine="480"/>
        <w:rPr>
          <w:color w:val="auto"/>
          <w:highlight w:val="none"/>
        </w:rPr>
      </w:pPr>
      <w:r>
        <w:rPr>
          <w:rFonts w:hint="eastAsia"/>
          <w:color w:val="auto"/>
          <w:highlight w:val="none"/>
        </w:rPr>
        <w:t>项目</w:t>
      </w:r>
      <w:r>
        <w:rPr>
          <w:rFonts w:hint="eastAsia"/>
          <w:color w:val="auto"/>
          <w:highlight w:val="none"/>
          <w:lang w:eastAsia="zh-CN"/>
        </w:rPr>
        <w:t>饲料</w:t>
      </w:r>
      <w:r>
        <w:rPr>
          <w:color w:val="auto"/>
          <w:highlight w:val="none"/>
        </w:rPr>
        <w:t>消耗情况见表2.</w:t>
      </w:r>
      <w:r>
        <w:rPr>
          <w:rFonts w:hint="eastAsia"/>
          <w:color w:val="auto"/>
          <w:highlight w:val="none"/>
        </w:rPr>
        <w:t>3-1。</w:t>
      </w:r>
    </w:p>
    <w:p>
      <w:pPr>
        <w:pStyle w:val="40"/>
        <w:rPr>
          <w:rFonts w:hint="eastAsia" w:cs="Times New Roman"/>
          <w:color w:val="auto"/>
          <w:highlight w:val="none"/>
        </w:rPr>
      </w:pPr>
      <w:r>
        <w:rPr>
          <w:rFonts w:hint="eastAsia" w:cs="Times New Roman"/>
          <w:color w:val="auto"/>
          <w:highlight w:val="none"/>
        </w:rPr>
        <w:t>表2.3-1 项目</w:t>
      </w:r>
      <w:r>
        <w:rPr>
          <w:rFonts w:hint="eastAsia" w:cs="Times New Roman"/>
          <w:color w:val="auto"/>
          <w:highlight w:val="none"/>
          <w:lang w:eastAsia="zh-CN"/>
        </w:rPr>
        <w:t>饲料消耗</w:t>
      </w:r>
      <w:r>
        <w:rPr>
          <w:rFonts w:hint="eastAsia" w:cs="Times New Roman"/>
          <w:color w:val="auto"/>
          <w:highlight w:val="none"/>
        </w:rPr>
        <w:t>一览表</w:t>
      </w:r>
    </w:p>
    <w:tbl>
      <w:tblPr>
        <w:tblStyle w:val="24"/>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67"/>
        <w:gridCol w:w="1114"/>
        <w:gridCol w:w="931"/>
        <w:gridCol w:w="2352"/>
        <w:gridCol w:w="1706"/>
        <w:gridCol w:w="195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5" w:hRule="atLeast"/>
          <w:jc w:val="center"/>
        </w:trPr>
        <w:tc>
          <w:tcPr>
            <w:tcW w:w="382" w:type="pct"/>
            <w:vMerge w:val="restar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序号</w:t>
            </w:r>
          </w:p>
        </w:tc>
        <w:tc>
          <w:tcPr>
            <w:tcW w:w="637" w:type="pct"/>
            <w:vMerge w:val="restar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名称</w:t>
            </w:r>
          </w:p>
        </w:tc>
        <w:tc>
          <w:tcPr>
            <w:tcW w:w="533" w:type="pct"/>
            <w:vMerge w:val="restar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数量（头）</w:t>
            </w:r>
          </w:p>
        </w:tc>
        <w:tc>
          <w:tcPr>
            <w:tcW w:w="3446" w:type="pct"/>
            <w:gridSpan w:val="3"/>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饲料消耗量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382" w:type="pct"/>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637" w:type="pct"/>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533" w:type="pct"/>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1347"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单头猪饲料定额（kg/d）</w:t>
            </w:r>
          </w:p>
        </w:tc>
        <w:tc>
          <w:tcPr>
            <w:tcW w:w="977"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日消耗量（t/d）</w:t>
            </w:r>
          </w:p>
        </w:tc>
        <w:tc>
          <w:tcPr>
            <w:tcW w:w="1122"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年消耗量（t/a）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0" w:hRule="atLeast"/>
          <w:jc w:val="center"/>
        </w:trPr>
        <w:tc>
          <w:tcPr>
            <w:tcW w:w="382"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w:t>
            </w:r>
          </w:p>
        </w:tc>
        <w:tc>
          <w:tcPr>
            <w:tcW w:w="637"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保育猪</w:t>
            </w:r>
          </w:p>
        </w:tc>
        <w:tc>
          <w:tcPr>
            <w:tcW w:w="931" w:type="dxa"/>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ascii="Times New Roman" w:eastAsia="宋体"/>
                <w:color w:val="auto"/>
                <w:sz w:val="21"/>
                <w:szCs w:val="21"/>
                <w:highlight w:val="none"/>
                <w:lang w:val="en-US" w:eastAsia="zh-CN"/>
              </w:rPr>
              <w:t>2</w:t>
            </w:r>
            <w:r>
              <w:rPr>
                <w:rFonts w:hint="eastAsia"/>
                <w:color w:val="auto"/>
                <w:sz w:val="21"/>
                <w:szCs w:val="21"/>
                <w:highlight w:val="none"/>
                <w:lang w:val="en-US" w:eastAsia="zh-CN"/>
              </w:rPr>
              <w:t>0</w:t>
            </w:r>
            <w:r>
              <w:rPr>
                <w:rFonts w:hint="eastAsia" w:ascii="Times New Roman" w:eastAsia="宋体"/>
                <w:color w:val="auto"/>
                <w:sz w:val="21"/>
                <w:szCs w:val="21"/>
                <w:highlight w:val="none"/>
                <w:lang w:val="en-US" w:eastAsia="zh-CN"/>
              </w:rPr>
              <w:t>208</w:t>
            </w:r>
          </w:p>
        </w:tc>
        <w:tc>
          <w:tcPr>
            <w:tcW w:w="1347" w:type="pct"/>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0.78</w:t>
            </w:r>
          </w:p>
        </w:tc>
        <w:tc>
          <w:tcPr>
            <w:tcW w:w="1706" w:type="dxa"/>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15.76</w:t>
            </w:r>
          </w:p>
        </w:tc>
        <w:tc>
          <w:tcPr>
            <w:tcW w:w="1959" w:type="dxa"/>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5753.22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0" w:hRule="atLeast"/>
          <w:jc w:val="center"/>
        </w:trPr>
        <w:tc>
          <w:tcPr>
            <w:tcW w:w="382" w:type="pct"/>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637"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育肥猪</w:t>
            </w:r>
          </w:p>
        </w:tc>
        <w:tc>
          <w:tcPr>
            <w:tcW w:w="931" w:type="dxa"/>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ascii="Times New Roman" w:eastAsia="宋体"/>
                <w:color w:val="auto"/>
                <w:sz w:val="21"/>
                <w:szCs w:val="21"/>
                <w:highlight w:val="none"/>
                <w:lang w:val="en-US" w:eastAsia="zh-CN"/>
              </w:rPr>
              <w:t>4</w:t>
            </w:r>
            <w:r>
              <w:rPr>
                <w:rFonts w:hint="eastAsia"/>
                <w:color w:val="auto"/>
                <w:sz w:val="21"/>
                <w:szCs w:val="21"/>
                <w:highlight w:val="none"/>
                <w:lang w:val="en-US" w:eastAsia="zh-CN"/>
              </w:rPr>
              <w:t>8</w:t>
            </w:r>
            <w:r>
              <w:rPr>
                <w:rFonts w:hint="eastAsia" w:ascii="Times New Roman" w:eastAsia="宋体"/>
                <w:color w:val="auto"/>
                <w:sz w:val="21"/>
                <w:szCs w:val="21"/>
                <w:highlight w:val="none"/>
                <w:lang w:val="en-US" w:eastAsia="zh-CN"/>
              </w:rPr>
              <w:t>592</w:t>
            </w:r>
          </w:p>
        </w:tc>
        <w:tc>
          <w:tcPr>
            <w:tcW w:w="1347" w:type="pct"/>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1706" w:type="dxa"/>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97.18</w:t>
            </w:r>
          </w:p>
        </w:tc>
        <w:tc>
          <w:tcPr>
            <w:tcW w:w="1959" w:type="dxa"/>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35472.16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0" w:hRule="atLeast"/>
          <w:jc w:val="center"/>
        </w:trPr>
        <w:tc>
          <w:tcPr>
            <w:tcW w:w="1020" w:type="pct"/>
            <w:gridSpan w:val="2"/>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合计</w:t>
            </w:r>
          </w:p>
        </w:tc>
        <w:tc>
          <w:tcPr>
            <w:tcW w:w="533" w:type="pct"/>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68800</w:t>
            </w:r>
          </w:p>
        </w:tc>
        <w:tc>
          <w:tcPr>
            <w:tcW w:w="1347" w:type="pct"/>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2.78</w:t>
            </w:r>
          </w:p>
        </w:tc>
        <w:tc>
          <w:tcPr>
            <w:tcW w:w="1706" w:type="dxa"/>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112.95</w:t>
            </w:r>
          </w:p>
        </w:tc>
        <w:tc>
          <w:tcPr>
            <w:tcW w:w="1959" w:type="dxa"/>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41225.38</w:t>
            </w:r>
          </w:p>
        </w:tc>
      </w:tr>
    </w:tbl>
    <w:p>
      <w:pPr>
        <w:pStyle w:val="5"/>
        <w:spacing w:before="66"/>
        <w:ind w:firstLine="0" w:firstLineChars="0"/>
        <w:rPr>
          <w:rFonts w:hint="eastAsia" w:cs="Times New Roman"/>
          <w:color w:val="auto"/>
          <w:highlight w:val="none"/>
          <w:lang w:val="en-US" w:eastAsia="zh-CN"/>
        </w:rPr>
      </w:pPr>
      <w:r>
        <w:rPr>
          <w:rFonts w:hint="eastAsia" w:cs="Times New Roman"/>
          <w:color w:val="auto"/>
          <w:highlight w:val="none"/>
          <w:lang w:val="en-US" w:eastAsia="zh-CN"/>
        </w:rPr>
        <w:t>2.3.2辅助材料及能源消耗</w:t>
      </w:r>
    </w:p>
    <w:p>
      <w:pPr>
        <w:pStyle w:val="134"/>
        <w:spacing w:line="520" w:lineRule="exact"/>
        <w:ind w:firstLine="480"/>
        <w:rPr>
          <w:rFonts w:cs="Times New Roman"/>
          <w:color w:val="auto"/>
          <w:highlight w:val="none"/>
        </w:rPr>
      </w:pPr>
      <w:r>
        <w:rPr>
          <w:rFonts w:cs="Times New Roman"/>
          <w:color w:val="auto"/>
          <w:highlight w:val="none"/>
        </w:rPr>
        <w:t>项目辅助材料主要包括</w:t>
      </w:r>
      <w:r>
        <w:rPr>
          <w:rFonts w:hint="eastAsia" w:cs="Times New Roman"/>
          <w:color w:val="auto"/>
          <w:highlight w:val="none"/>
        </w:rPr>
        <w:t>植物除臭剂、</w:t>
      </w:r>
      <w:r>
        <w:rPr>
          <w:rFonts w:cs="Times New Roman"/>
          <w:color w:val="auto"/>
          <w:highlight w:val="none"/>
        </w:rPr>
        <w:t>消毒药品、脱硫剂及防疫药品。其中植物型除臭剂喷洒在猪舍、沼气工程、固粪处理区和</w:t>
      </w:r>
      <w:r>
        <w:rPr>
          <w:rFonts w:hint="eastAsia" w:cs="Times New Roman"/>
          <w:color w:val="auto"/>
          <w:highlight w:val="none"/>
          <w:lang w:eastAsia="zh-CN"/>
        </w:rPr>
        <w:t>污水处理站</w:t>
      </w:r>
      <w:r>
        <w:rPr>
          <w:rFonts w:cs="Times New Roman"/>
          <w:color w:val="auto"/>
          <w:highlight w:val="none"/>
        </w:rPr>
        <w:t>等区域，用来抑制恶臭的产生，植物除臭剂1kg可喷洒500m</w:t>
      </w:r>
      <w:r>
        <w:rPr>
          <w:rFonts w:cs="Times New Roman"/>
          <w:color w:val="auto"/>
          <w:highlight w:val="none"/>
          <w:vertAlign w:val="superscript"/>
        </w:rPr>
        <w:t>2</w:t>
      </w:r>
      <w:r>
        <w:rPr>
          <w:rFonts w:cs="Times New Roman"/>
          <w:color w:val="auto"/>
          <w:highlight w:val="none"/>
        </w:rPr>
        <w:t>，项目植物除臭剂总用量约为</w:t>
      </w:r>
      <w:r>
        <w:rPr>
          <w:rFonts w:hint="eastAsia" w:cs="Times New Roman"/>
          <w:color w:val="auto"/>
          <w:highlight w:val="none"/>
          <w:lang w:val="en-US" w:eastAsia="zh-CN"/>
        </w:rPr>
        <w:t>1.08</w:t>
      </w:r>
      <w:r>
        <w:rPr>
          <w:rFonts w:cs="Times New Roman"/>
          <w:color w:val="auto"/>
          <w:highlight w:val="none"/>
        </w:rPr>
        <w:t>t/a；脱硫剂为氧化铁，用来对沼气净化脱硫，项目脱硫剂总用量为0.</w:t>
      </w:r>
      <w:r>
        <w:rPr>
          <w:rFonts w:hint="eastAsia" w:cs="Times New Roman"/>
          <w:color w:val="auto"/>
          <w:highlight w:val="none"/>
          <w:lang w:val="en-US" w:eastAsia="zh-CN"/>
        </w:rPr>
        <w:t>5</w:t>
      </w:r>
      <w:r>
        <w:rPr>
          <w:rFonts w:cs="Times New Roman"/>
          <w:color w:val="auto"/>
          <w:highlight w:val="none"/>
        </w:rPr>
        <w:t>t/a；消毒剂（烧碱、高锰酸钾及季铵盐消毒剂等）主要用于公司日常对人员，猪舍及进出厂区的车辆进行消毒，总用量为</w:t>
      </w:r>
      <w:r>
        <w:rPr>
          <w:rFonts w:hint="eastAsia" w:cs="Times New Roman"/>
          <w:color w:val="auto"/>
          <w:highlight w:val="none"/>
          <w:lang w:val="en-US" w:eastAsia="zh-CN"/>
        </w:rPr>
        <w:t>4</w:t>
      </w:r>
      <w:r>
        <w:rPr>
          <w:rFonts w:cs="Times New Roman"/>
          <w:color w:val="auto"/>
          <w:highlight w:val="none"/>
        </w:rPr>
        <w:t>t/a；项目防疫药品的种类为伪狂犬疫苗、猪瘟疫苗、口蹄疫疫苗、蓝耳病疫苗4种，出栏的商品猪每头各需1份，年共需防疫药品</w:t>
      </w:r>
      <w:r>
        <w:rPr>
          <w:rFonts w:hint="eastAsia" w:cs="Times New Roman"/>
          <w:color w:val="auto"/>
          <w:highlight w:val="none"/>
          <w:lang w:val="en-US" w:eastAsia="zh-CN"/>
        </w:rPr>
        <w:t>0.86</w:t>
      </w:r>
      <w:r>
        <w:rPr>
          <w:rFonts w:cs="Times New Roman"/>
          <w:color w:val="auto"/>
          <w:highlight w:val="none"/>
        </w:rPr>
        <w:t>t/a。</w:t>
      </w:r>
      <w:r>
        <w:rPr>
          <w:rFonts w:cs="Times New Roman"/>
          <w:bCs/>
          <w:color w:val="auto"/>
          <w:highlight w:val="none"/>
        </w:rPr>
        <w:t>建设项目原辅材料及资源、能源消耗情况见表2</w:t>
      </w:r>
      <w:r>
        <w:rPr>
          <w:rFonts w:hint="eastAsia" w:cs="Times New Roman"/>
          <w:bCs/>
          <w:color w:val="auto"/>
          <w:highlight w:val="none"/>
          <w:lang w:val="en-US" w:eastAsia="zh-CN"/>
        </w:rPr>
        <w:t>.3</w:t>
      </w:r>
      <w:r>
        <w:rPr>
          <w:rFonts w:cs="Times New Roman"/>
          <w:bCs/>
          <w:color w:val="auto"/>
          <w:highlight w:val="none"/>
        </w:rPr>
        <w:t>-</w:t>
      </w:r>
      <w:r>
        <w:rPr>
          <w:rFonts w:hint="eastAsia" w:cs="Times New Roman"/>
          <w:bCs/>
          <w:color w:val="auto"/>
          <w:highlight w:val="none"/>
          <w:lang w:val="en-US" w:eastAsia="zh-CN"/>
        </w:rPr>
        <w:t>2</w:t>
      </w:r>
      <w:r>
        <w:rPr>
          <w:rFonts w:cs="Times New Roman"/>
          <w:color w:val="auto"/>
          <w:highlight w:val="none"/>
        </w:rPr>
        <w:t>。</w:t>
      </w:r>
    </w:p>
    <w:p>
      <w:pPr>
        <w:pStyle w:val="40"/>
        <w:rPr>
          <w:rFonts w:hint="eastAsia" w:cs="Times New Roman"/>
          <w:color w:val="auto"/>
          <w:highlight w:val="none"/>
        </w:rPr>
      </w:pPr>
      <w:r>
        <w:rPr>
          <w:rFonts w:hint="eastAsia" w:cs="Times New Roman"/>
          <w:color w:val="auto"/>
          <w:highlight w:val="none"/>
        </w:rPr>
        <w:t>表2</w:t>
      </w:r>
      <w:r>
        <w:rPr>
          <w:rFonts w:hint="eastAsia" w:cs="Times New Roman"/>
          <w:color w:val="auto"/>
          <w:highlight w:val="none"/>
          <w:lang w:val="en-US" w:eastAsia="zh-CN"/>
        </w:rPr>
        <w:t>.3</w:t>
      </w:r>
      <w:r>
        <w:rPr>
          <w:rFonts w:hint="eastAsia" w:cs="Times New Roman"/>
          <w:color w:val="auto"/>
          <w:highlight w:val="none"/>
        </w:rPr>
        <w:t>-</w:t>
      </w:r>
      <w:r>
        <w:rPr>
          <w:rFonts w:hint="eastAsia" w:cs="Times New Roman"/>
          <w:color w:val="auto"/>
          <w:highlight w:val="none"/>
          <w:lang w:val="en-US" w:eastAsia="zh-CN"/>
        </w:rPr>
        <w:t>2</w:t>
      </w:r>
      <w:r>
        <w:rPr>
          <w:rFonts w:hint="eastAsia" w:cs="Times New Roman"/>
          <w:color w:val="auto"/>
          <w:highlight w:val="none"/>
        </w:rPr>
        <w:t xml:space="preserve">  项目主要原辅材料及能源、资源消耗一览表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499"/>
        <w:gridCol w:w="1156"/>
        <w:gridCol w:w="1386"/>
        <w:gridCol w:w="39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3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序号</w:t>
            </w:r>
          </w:p>
        </w:tc>
        <w:tc>
          <w:tcPr>
            <w:tcW w:w="858"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项目名称</w:t>
            </w:r>
          </w:p>
        </w:tc>
        <w:tc>
          <w:tcPr>
            <w:tcW w:w="66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单位</w:t>
            </w:r>
          </w:p>
        </w:tc>
        <w:tc>
          <w:tcPr>
            <w:tcW w:w="794"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消耗量</w:t>
            </w:r>
          </w:p>
        </w:tc>
        <w:tc>
          <w:tcPr>
            <w:tcW w:w="224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3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1</w:t>
            </w:r>
          </w:p>
        </w:tc>
        <w:tc>
          <w:tcPr>
            <w:tcW w:w="858"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脱硫剂</w:t>
            </w:r>
          </w:p>
        </w:tc>
        <w:tc>
          <w:tcPr>
            <w:tcW w:w="66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t/a</w:t>
            </w:r>
          </w:p>
        </w:tc>
        <w:tc>
          <w:tcPr>
            <w:tcW w:w="794"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Times New Roman"/>
                <w:color w:val="auto"/>
                <w:sz w:val="21"/>
                <w:szCs w:val="24"/>
                <w:highlight w:val="none"/>
                <w:lang w:val="en-US" w:eastAsia="zh-CN"/>
              </w:rPr>
            </w:pPr>
            <w:r>
              <w:rPr>
                <w:rFonts w:ascii="Times New Roman" w:hAnsi="Times New Roman" w:cs="Times New Roman"/>
                <w:color w:val="auto"/>
                <w:sz w:val="21"/>
                <w:szCs w:val="24"/>
                <w:highlight w:val="none"/>
              </w:rPr>
              <w:t>0.</w:t>
            </w:r>
            <w:r>
              <w:rPr>
                <w:rFonts w:hint="eastAsia" w:cs="Times New Roman"/>
                <w:color w:val="auto"/>
                <w:sz w:val="21"/>
                <w:szCs w:val="24"/>
                <w:highlight w:val="none"/>
                <w:lang w:val="en-US" w:eastAsia="zh-CN"/>
              </w:rPr>
              <w:t>5</w:t>
            </w:r>
          </w:p>
        </w:tc>
        <w:tc>
          <w:tcPr>
            <w:tcW w:w="224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color w:val="auto"/>
                <w:sz w:val="21"/>
                <w:szCs w:val="24"/>
                <w:highlight w:val="none"/>
              </w:rPr>
            </w:pPr>
            <w:r>
              <w:rPr>
                <w:rFonts w:ascii="Times New Roman" w:hAnsi="Times New Roman" w:cs="Times New Roman"/>
                <w:color w:val="auto"/>
                <w:sz w:val="21"/>
                <w:szCs w:val="24"/>
                <w:highlight w:val="none"/>
              </w:rPr>
              <w:t>沼气净化脱硫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3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2</w:t>
            </w:r>
          </w:p>
        </w:tc>
        <w:tc>
          <w:tcPr>
            <w:tcW w:w="858"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药品疫苗</w:t>
            </w:r>
          </w:p>
        </w:tc>
        <w:tc>
          <w:tcPr>
            <w:tcW w:w="66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t/a</w:t>
            </w:r>
          </w:p>
        </w:tc>
        <w:tc>
          <w:tcPr>
            <w:tcW w:w="794"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Times New Roman"/>
                <w:color w:val="auto"/>
                <w:sz w:val="21"/>
                <w:szCs w:val="24"/>
                <w:highlight w:val="none"/>
                <w:lang w:val="en-US" w:eastAsia="zh-CN"/>
              </w:rPr>
            </w:pPr>
            <w:r>
              <w:rPr>
                <w:rFonts w:ascii="Times New Roman" w:hAnsi="Times New Roman" w:cs="Times New Roman"/>
                <w:color w:val="auto"/>
                <w:sz w:val="21"/>
                <w:szCs w:val="24"/>
                <w:highlight w:val="none"/>
              </w:rPr>
              <w:t>0.</w:t>
            </w:r>
            <w:r>
              <w:rPr>
                <w:rFonts w:hint="eastAsia" w:cs="Times New Roman"/>
                <w:color w:val="auto"/>
                <w:sz w:val="21"/>
                <w:szCs w:val="24"/>
                <w:highlight w:val="none"/>
                <w:lang w:val="en-US" w:eastAsia="zh-CN"/>
              </w:rPr>
              <w:t>86</w:t>
            </w:r>
          </w:p>
        </w:tc>
        <w:tc>
          <w:tcPr>
            <w:tcW w:w="224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color w:val="auto"/>
                <w:sz w:val="21"/>
                <w:szCs w:val="24"/>
                <w:highlight w:val="none"/>
              </w:rPr>
            </w:pPr>
            <w:r>
              <w:rPr>
                <w:rFonts w:ascii="Times New Roman" w:hAnsi="Times New Roman" w:cs="Times New Roman"/>
                <w:color w:val="auto"/>
                <w:sz w:val="21"/>
                <w:szCs w:val="24"/>
                <w:highlight w:val="none"/>
              </w:rPr>
              <w:t>防疫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37"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w:t>
            </w:r>
          </w:p>
        </w:tc>
        <w:tc>
          <w:tcPr>
            <w:tcW w:w="858"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植物除臭剂</w:t>
            </w:r>
          </w:p>
        </w:tc>
        <w:tc>
          <w:tcPr>
            <w:tcW w:w="66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t/a</w:t>
            </w:r>
          </w:p>
        </w:tc>
        <w:tc>
          <w:tcPr>
            <w:tcW w:w="794"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1.08</w:t>
            </w:r>
          </w:p>
        </w:tc>
        <w:tc>
          <w:tcPr>
            <w:tcW w:w="2247"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color w:val="auto"/>
                <w:sz w:val="21"/>
                <w:szCs w:val="24"/>
                <w:highlight w:val="none"/>
                <w:lang w:eastAsia="zh-CN"/>
              </w:rPr>
            </w:pPr>
            <w:r>
              <w:rPr>
                <w:rFonts w:hint="eastAsia" w:cs="Times New Roman"/>
                <w:color w:val="auto"/>
                <w:sz w:val="21"/>
                <w:szCs w:val="24"/>
                <w:highlight w:val="none"/>
                <w:lang w:eastAsia="zh-CN"/>
              </w:rPr>
              <w:t>除臭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37"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val="en-US" w:eastAsia="zh-CN"/>
              </w:rPr>
              <w:t>4</w:t>
            </w:r>
          </w:p>
        </w:tc>
        <w:tc>
          <w:tcPr>
            <w:tcW w:w="858"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消毒剂</w:t>
            </w:r>
          </w:p>
        </w:tc>
        <w:tc>
          <w:tcPr>
            <w:tcW w:w="66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t/a</w:t>
            </w:r>
          </w:p>
        </w:tc>
        <w:tc>
          <w:tcPr>
            <w:tcW w:w="794"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224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对人员，猪舍及进出厂区的车辆进行消毒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5000" w:type="pct"/>
            <w:gridSpan w:val="5"/>
            <w:tcBorders>
              <w:tl2br w:val="nil"/>
              <w:tr2bl w:val="nil"/>
            </w:tcBorders>
            <w:noWrap w:val="0"/>
            <w:vAlign w:val="center"/>
          </w:tcPr>
          <w:p>
            <w:pPr>
              <w:widowControl w:val="0"/>
              <w:spacing w:line="360" w:lineRule="exact"/>
              <w:ind w:firstLine="0" w:firstLineChars="0"/>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能源消耗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37" w:type="pct"/>
            <w:tcBorders>
              <w:tl2br w:val="nil"/>
              <w:tr2bl w:val="nil"/>
            </w:tcBorders>
            <w:noWrap w:val="0"/>
            <w:vAlign w:val="center"/>
          </w:tcPr>
          <w:p>
            <w:pPr>
              <w:widowControl w:val="0"/>
              <w:spacing w:line="360" w:lineRule="exact"/>
              <w:ind w:firstLine="0" w:firstLine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5</w:t>
            </w:r>
          </w:p>
        </w:tc>
        <w:tc>
          <w:tcPr>
            <w:tcW w:w="858"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Cs/>
                <w:color w:val="auto"/>
                <w:sz w:val="21"/>
                <w:szCs w:val="21"/>
                <w:highlight w:val="none"/>
                <w:lang w:eastAsia="zh-CN"/>
              </w:rPr>
            </w:pPr>
            <w:r>
              <w:rPr>
                <w:rFonts w:ascii="Times New Roman" w:hAnsi="Times New Roman" w:cs="Times New Roman"/>
                <w:bCs/>
                <w:color w:val="auto"/>
                <w:sz w:val="21"/>
                <w:szCs w:val="21"/>
                <w:highlight w:val="none"/>
              </w:rPr>
              <w:t>新鲜水</w:t>
            </w:r>
          </w:p>
        </w:tc>
        <w:tc>
          <w:tcPr>
            <w:tcW w:w="66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m</w:t>
            </w:r>
            <w:r>
              <w:rPr>
                <w:rFonts w:ascii="Times New Roman" w:hAnsi="Times New Roman" w:cs="Times New Roman"/>
                <w:bCs/>
                <w:color w:val="auto"/>
                <w:sz w:val="21"/>
                <w:szCs w:val="21"/>
                <w:highlight w:val="none"/>
                <w:vertAlign w:val="superscript"/>
              </w:rPr>
              <w:t>3</w:t>
            </w:r>
            <w:r>
              <w:rPr>
                <w:rFonts w:ascii="Times New Roman" w:hAnsi="Times New Roman" w:cs="Times New Roman"/>
                <w:bCs/>
                <w:color w:val="auto"/>
                <w:sz w:val="21"/>
                <w:szCs w:val="21"/>
                <w:highlight w:val="none"/>
              </w:rPr>
              <w:t>/a</w:t>
            </w:r>
          </w:p>
        </w:tc>
        <w:tc>
          <w:tcPr>
            <w:tcW w:w="794" w:type="pct"/>
            <w:tcBorders>
              <w:tl2br w:val="nil"/>
              <w:tr2bl w:val="nil"/>
            </w:tcBorders>
            <w:noWrap w:val="0"/>
            <w:vAlign w:val="center"/>
          </w:tcPr>
          <w:p>
            <w:pPr>
              <w:widowControl w:val="0"/>
              <w:spacing w:line="360" w:lineRule="exact"/>
              <w:ind w:firstLine="0" w:firstLineChars="0"/>
              <w:jc w:val="center"/>
              <w:rPr>
                <w:rFonts w:hint="default" w:eastAsia="宋体" w:cs="Times New Roman"/>
                <w:color w:val="auto"/>
                <w:sz w:val="21"/>
                <w:szCs w:val="21"/>
                <w:highlight w:val="none"/>
                <w:lang w:val="en-US" w:eastAsia="zh-CN"/>
              </w:rPr>
            </w:pPr>
            <w:r>
              <w:rPr>
                <w:rFonts w:hint="eastAsia" w:cs="Times New Roman"/>
                <w:bCs/>
                <w:color w:val="auto"/>
                <w:sz w:val="21"/>
                <w:szCs w:val="21"/>
                <w:highlight w:val="none"/>
                <w:lang w:val="en-US" w:eastAsia="zh-CN"/>
              </w:rPr>
              <w:t>225991.028</w:t>
            </w:r>
          </w:p>
        </w:tc>
        <w:tc>
          <w:tcPr>
            <w:tcW w:w="2247" w:type="pct"/>
            <w:tcBorders>
              <w:tl2br w:val="nil"/>
              <w:tr2bl w:val="nil"/>
            </w:tcBorders>
            <w:noWrap w:val="0"/>
            <w:vAlign w:val="center"/>
          </w:tcPr>
          <w:p>
            <w:pPr>
              <w:widowControl w:val="0"/>
              <w:spacing w:line="360" w:lineRule="exact"/>
              <w:ind w:firstLine="0" w:firstLineChars="0"/>
              <w:jc w:val="center"/>
              <w:rPr>
                <w:rFonts w:hint="eastAsia" w:cs="Times New Roman"/>
                <w:color w:val="auto"/>
                <w:kern w:val="0"/>
                <w:sz w:val="21"/>
                <w:szCs w:val="21"/>
                <w:highlight w:val="none"/>
                <w:lang w:eastAsia="zh-CN"/>
              </w:rPr>
            </w:pPr>
            <w:r>
              <w:rPr>
                <w:rFonts w:ascii="Times New Roman" w:hAnsi="Times New Roman" w:cs="Times New Roman"/>
                <w:bCs/>
                <w:color w:val="auto"/>
                <w:sz w:val="21"/>
                <w:szCs w:val="21"/>
                <w:highlight w:val="none"/>
              </w:rPr>
              <w:t>场区自备井水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37" w:type="pct"/>
            <w:tcBorders>
              <w:tl2br w:val="nil"/>
              <w:tr2bl w:val="nil"/>
            </w:tcBorders>
            <w:noWrap w:val="0"/>
            <w:vAlign w:val="center"/>
          </w:tcPr>
          <w:p>
            <w:pPr>
              <w:widowControl w:val="0"/>
              <w:spacing w:line="360" w:lineRule="exact"/>
              <w:ind w:firstLine="0" w:firstLineChars="0"/>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6</w:t>
            </w:r>
          </w:p>
        </w:tc>
        <w:tc>
          <w:tcPr>
            <w:tcW w:w="858" w:type="pct"/>
            <w:tcBorders>
              <w:tl2br w:val="nil"/>
              <w:tr2bl w:val="nil"/>
            </w:tcBorders>
            <w:noWrap w:val="0"/>
            <w:vAlign w:val="center"/>
          </w:tcPr>
          <w:p>
            <w:pPr>
              <w:widowControl w:val="0"/>
              <w:spacing w:line="360" w:lineRule="exact"/>
              <w:ind w:firstLine="0" w:firstLineChars="0"/>
              <w:jc w:val="center"/>
              <w:rPr>
                <w:rFonts w:hint="eastAsia" w:cs="Times New Roman"/>
                <w:bCs/>
                <w:color w:val="auto"/>
                <w:sz w:val="21"/>
                <w:szCs w:val="21"/>
                <w:highlight w:val="none"/>
                <w:lang w:eastAsia="zh-CN"/>
              </w:rPr>
            </w:pPr>
            <w:r>
              <w:rPr>
                <w:rFonts w:ascii="Times New Roman" w:hAnsi="Times New Roman" w:cs="Times New Roman"/>
                <w:bCs/>
                <w:color w:val="auto"/>
                <w:sz w:val="21"/>
                <w:szCs w:val="21"/>
                <w:highlight w:val="none"/>
              </w:rPr>
              <w:t>电</w:t>
            </w:r>
          </w:p>
        </w:tc>
        <w:tc>
          <w:tcPr>
            <w:tcW w:w="66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kW·h/a</w:t>
            </w:r>
          </w:p>
        </w:tc>
        <w:tc>
          <w:tcPr>
            <w:tcW w:w="794" w:type="pct"/>
            <w:tcBorders>
              <w:tl2br w:val="nil"/>
              <w:tr2bl w:val="nil"/>
            </w:tcBorders>
            <w:noWrap w:val="0"/>
            <w:vAlign w:val="center"/>
          </w:tcPr>
          <w:p>
            <w:pPr>
              <w:widowControl w:val="0"/>
              <w:spacing w:line="360" w:lineRule="exact"/>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300</w:t>
            </w:r>
            <w:r>
              <w:rPr>
                <w:rFonts w:ascii="Times New Roman" w:hAnsi="Times New Roman" w:cs="Times New Roman"/>
                <w:color w:val="auto"/>
                <w:sz w:val="21"/>
                <w:szCs w:val="21"/>
                <w:highlight w:val="none"/>
              </w:rPr>
              <w:t>万</w:t>
            </w:r>
          </w:p>
        </w:tc>
        <w:tc>
          <w:tcPr>
            <w:tcW w:w="2247" w:type="pct"/>
            <w:tcBorders>
              <w:tl2br w:val="nil"/>
              <w:tr2bl w:val="nil"/>
            </w:tcBorders>
            <w:noWrap w:val="0"/>
            <w:vAlign w:val="center"/>
          </w:tcPr>
          <w:p>
            <w:pPr>
              <w:widowControl w:val="0"/>
              <w:spacing w:line="360" w:lineRule="exact"/>
              <w:ind w:firstLine="0" w:firstLineChars="0"/>
              <w:jc w:val="center"/>
              <w:rPr>
                <w:rFonts w:hint="eastAsia" w:cs="Times New Roman"/>
                <w:color w:val="auto"/>
                <w:kern w:val="0"/>
                <w:sz w:val="21"/>
                <w:szCs w:val="21"/>
                <w:highlight w:val="none"/>
                <w:lang w:eastAsia="zh-CN"/>
              </w:rPr>
            </w:pPr>
            <w:r>
              <w:rPr>
                <w:rFonts w:hint="eastAsia" w:ascii="Times New Roman" w:hAnsi="Times New Roman" w:cs="Times New Roman"/>
                <w:color w:val="auto"/>
                <w:kern w:val="0"/>
                <w:sz w:val="21"/>
                <w:szCs w:val="21"/>
                <w:highlight w:val="none"/>
              </w:rPr>
              <w:t>当地供电电网</w:t>
            </w:r>
          </w:p>
        </w:tc>
      </w:tr>
    </w:tbl>
    <w:p>
      <w:pPr>
        <w:pStyle w:val="4"/>
        <w:spacing w:beforeLines="0"/>
        <w:rPr>
          <w:rFonts w:cs="Times New Roman"/>
          <w:color w:val="auto"/>
          <w:highlight w:val="none"/>
        </w:rPr>
      </w:pPr>
      <w:bookmarkStart w:id="17" w:name="_Toc27913"/>
      <w:r>
        <w:rPr>
          <w:rFonts w:cs="Times New Roman"/>
          <w:color w:val="auto"/>
          <w:highlight w:val="none"/>
        </w:rPr>
        <w:t>2.</w:t>
      </w:r>
      <w:r>
        <w:rPr>
          <w:rFonts w:hint="eastAsia" w:cs="Times New Roman"/>
          <w:color w:val="auto"/>
          <w:highlight w:val="none"/>
        </w:rPr>
        <w:t>4</w:t>
      </w:r>
      <w:r>
        <w:rPr>
          <w:rFonts w:cs="Times New Roman"/>
          <w:color w:val="auto"/>
          <w:highlight w:val="none"/>
        </w:rPr>
        <w:t>生产设备</w:t>
      </w:r>
      <w:bookmarkEnd w:id="17"/>
    </w:p>
    <w:p>
      <w:pPr>
        <w:ind w:firstLine="480"/>
        <w:rPr>
          <w:color w:val="auto"/>
          <w:highlight w:val="none"/>
        </w:rPr>
      </w:pPr>
      <w:r>
        <w:rPr>
          <w:rFonts w:hint="eastAsia"/>
          <w:color w:val="auto"/>
          <w:highlight w:val="none"/>
        </w:rPr>
        <w:t>项目</w:t>
      </w:r>
      <w:r>
        <w:rPr>
          <w:color w:val="auto"/>
          <w:highlight w:val="none"/>
        </w:rPr>
        <w:t>主要生产设备详见表2.</w:t>
      </w:r>
      <w:r>
        <w:rPr>
          <w:rFonts w:hint="eastAsia"/>
          <w:color w:val="auto"/>
          <w:highlight w:val="none"/>
        </w:rPr>
        <w:t>4</w:t>
      </w:r>
      <w:r>
        <w:rPr>
          <w:color w:val="auto"/>
          <w:highlight w:val="none"/>
        </w:rPr>
        <w:t>-</w:t>
      </w:r>
      <w:r>
        <w:rPr>
          <w:rFonts w:hint="eastAsia"/>
          <w:color w:val="auto"/>
          <w:highlight w:val="none"/>
        </w:rPr>
        <w:t>1。</w:t>
      </w:r>
    </w:p>
    <w:p>
      <w:pPr>
        <w:pStyle w:val="40"/>
        <w:rPr>
          <w:rFonts w:hint="eastAsia" w:cs="Times New Roman"/>
          <w:color w:val="auto"/>
          <w:highlight w:val="none"/>
        </w:rPr>
      </w:pPr>
      <w:r>
        <w:rPr>
          <w:rFonts w:hint="eastAsia" w:cs="Times New Roman"/>
          <w:color w:val="auto"/>
          <w:highlight w:val="none"/>
        </w:rPr>
        <w:t>表2.4-1 项目主要设备一览表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74"/>
        <w:gridCol w:w="868"/>
        <w:gridCol w:w="1639"/>
        <w:gridCol w:w="723"/>
        <w:gridCol w:w="836"/>
        <w:gridCol w:w="890"/>
        <w:gridCol w:w="17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628" w:type="pct"/>
            <w:gridSpan w:val="2"/>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1、养殖场舍构筑物</w:t>
            </w:r>
          </w:p>
        </w:tc>
        <w:tc>
          <w:tcPr>
            <w:tcW w:w="3371"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配套设备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4" w:hRule="atLeast"/>
          <w:tblHeader/>
        </w:trPr>
        <w:tc>
          <w:tcPr>
            <w:tcW w:w="1131" w:type="pct"/>
            <w:vMerge w:val="restar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名称</w:t>
            </w:r>
          </w:p>
        </w:tc>
        <w:tc>
          <w:tcPr>
            <w:tcW w:w="497" w:type="pct"/>
            <w:vMerge w:val="restar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数量（个）</w:t>
            </w:r>
          </w:p>
        </w:tc>
        <w:tc>
          <w:tcPr>
            <w:tcW w:w="939" w:type="pct"/>
            <w:vMerge w:val="restar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饲料罐（个）</w:t>
            </w:r>
          </w:p>
        </w:tc>
        <w:tc>
          <w:tcPr>
            <w:tcW w:w="893" w:type="pct"/>
            <w:gridSpan w:val="2"/>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风机（套）</w:t>
            </w:r>
          </w:p>
        </w:tc>
        <w:tc>
          <w:tcPr>
            <w:tcW w:w="1538" w:type="pct"/>
            <w:gridSpan w:val="2"/>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饮水器（个）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1131" w:type="pct"/>
            <w:vMerge w:val="continue"/>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p>
        </w:tc>
        <w:tc>
          <w:tcPr>
            <w:tcW w:w="497" w:type="pct"/>
            <w:vMerge w:val="continue"/>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p>
        </w:tc>
        <w:tc>
          <w:tcPr>
            <w:tcW w:w="939" w:type="pct"/>
            <w:vMerge w:val="continue"/>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p>
        </w:tc>
        <w:tc>
          <w:tcPr>
            <w:tcW w:w="414"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每舍</w:t>
            </w:r>
          </w:p>
        </w:tc>
        <w:tc>
          <w:tcPr>
            <w:tcW w:w="478"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总数</w:t>
            </w:r>
          </w:p>
        </w:tc>
        <w:tc>
          <w:tcPr>
            <w:tcW w:w="510"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每舍</w:t>
            </w:r>
          </w:p>
        </w:tc>
        <w:tc>
          <w:tcPr>
            <w:tcW w:w="1028"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总数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tblHeader/>
        </w:trPr>
        <w:tc>
          <w:tcPr>
            <w:tcW w:w="1131"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保育</w:t>
            </w:r>
            <w:r>
              <w:rPr>
                <w:rFonts w:hint="eastAsia" w:cs="Times New Roman"/>
                <w:b w:val="0"/>
                <w:bCs w:val="0"/>
                <w:color w:val="auto"/>
                <w:sz w:val="21"/>
                <w:szCs w:val="21"/>
                <w:highlight w:val="none"/>
                <w:lang w:val="en-US" w:eastAsia="zh-CN"/>
              </w:rPr>
              <w:t>育肥一体</w:t>
            </w:r>
            <w:r>
              <w:rPr>
                <w:rFonts w:hint="eastAsia" w:ascii="Times New Roman" w:hAnsi="Times New Roman" w:cs="Times New Roman"/>
                <w:b w:val="0"/>
                <w:bCs w:val="0"/>
                <w:color w:val="auto"/>
                <w:sz w:val="21"/>
                <w:szCs w:val="21"/>
                <w:highlight w:val="none"/>
                <w:lang w:val="en-US" w:eastAsia="zh-CN"/>
              </w:rPr>
              <w:t>舍</w:t>
            </w:r>
          </w:p>
        </w:tc>
        <w:tc>
          <w:tcPr>
            <w:tcW w:w="497"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124</w:t>
            </w:r>
          </w:p>
        </w:tc>
        <w:tc>
          <w:tcPr>
            <w:tcW w:w="939"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34</w:t>
            </w:r>
          </w:p>
        </w:tc>
        <w:tc>
          <w:tcPr>
            <w:tcW w:w="414"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w:t>
            </w:r>
          </w:p>
        </w:tc>
        <w:tc>
          <w:tcPr>
            <w:tcW w:w="478"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620</w:t>
            </w:r>
          </w:p>
        </w:tc>
        <w:tc>
          <w:tcPr>
            <w:tcW w:w="510"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w:t>
            </w:r>
            <w:r>
              <w:rPr>
                <w:rFonts w:hint="eastAsia" w:cs="Times New Roman"/>
                <w:b w:val="0"/>
                <w:bCs w:val="0"/>
                <w:color w:val="auto"/>
                <w:sz w:val="21"/>
                <w:szCs w:val="21"/>
                <w:highlight w:val="none"/>
                <w:lang w:val="en-US" w:eastAsia="zh-CN"/>
              </w:rPr>
              <w:t>4</w:t>
            </w:r>
          </w:p>
        </w:tc>
        <w:tc>
          <w:tcPr>
            <w:tcW w:w="1028"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1736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628" w:type="pct"/>
            <w:gridSpan w:val="2"/>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2、辅助设施构筑物</w:t>
            </w:r>
          </w:p>
        </w:tc>
        <w:tc>
          <w:tcPr>
            <w:tcW w:w="3371"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配套设备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31" w:type="pct"/>
            <w:tcBorders>
              <w:tl2br w:val="nil"/>
              <w:tr2bl w:val="nil"/>
            </w:tcBorders>
            <w:noWrap w:val="0"/>
            <w:vAlign w:val="center"/>
          </w:tcPr>
          <w:p>
            <w:pPr>
              <w:spacing w:line="240" w:lineRule="auto"/>
              <w:ind w:firstLine="0" w:firstLineChars="0"/>
              <w:jc w:val="center"/>
              <w:rPr>
                <w:rFonts w:ascii="Times New Roman" w:hAnsi="Times New Roman" w:cs="Times New Roman"/>
                <w:b w:val="0"/>
                <w:bCs w:val="0"/>
                <w:color w:val="auto"/>
                <w:sz w:val="21"/>
                <w:szCs w:val="21"/>
                <w:highlight w:val="none"/>
              </w:rPr>
            </w:pPr>
            <w:r>
              <w:rPr>
                <w:rFonts w:hint="eastAsia"/>
                <w:color w:val="auto"/>
                <w:sz w:val="21"/>
                <w:szCs w:val="21"/>
                <w:highlight w:val="none"/>
                <w:lang w:eastAsia="zh-CN"/>
              </w:rPr>
              <w:t>宿舍楼</w:t>
            </w:r>
          </w:p>
        </w:tc>
        <w:tc>
          <w:tcPr>
            <w:tcW w:w="497"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val="en-US" w:eastAsia="zh-CN"/>
              </w:rPr>
              <w:t>2</w:t>
            </w:r>
          </w:p>
        </w:tc>
        <w:tc>
          <w:tcPr>
            <w:tcW w:w="3371" w:type="pct"/>
            <w:gridSpan w:val="5"/>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val="en-US" w:eastAsia="zh-CN"/>
              </w:rPr>
              <w:t>2层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31" w:type="pct"/>
            <w:tcBorders>
              <w:tl2br w:val="nil"/>
              <w:tr2bl w:val="nil"/>
            </w:tcBorders>
            <w:noWrap w:val="0"/>
            <w:vAlign w:val="center"/>
          </w:tcPr>
          <w:p>
            <w:pPr>
              <w:spacing w:line="240" w:lineRule="auto"/>
              <w:ind w:firstLine="0" w:firstLineChars="0"/>
              <w:jc w:val="center"/>
              <w:rPr>
                <w:rFonts w:ascii="Times New Roman" w:hAnsi="Times New Roman" w:cs="Times New Roman"/>
                <w:b w:val="0"/>
                <w:bCs w:val="0"/>
                <w:color w:val="auto"/>
                <w:sz w:val="21"/>
                <w:szCs w:val="21"/>
                <w:highlight w:val="none"/>
              </w:rPr>
            </w:pPr>
            <w:r>
              <w:rPr>
                <w:rFonts w:hint="eastAsia"/>
                <w:color w:val="auto"/>
                <w:sz w:val="21"/>
                <w:szCs w:val="21"/>
                <w:highlight w:val="none"/>
                <w:lang w:eastAsia="zh-CN"/>
              </w:rPr>
              <w:t>销售区</w:t>
            </w:r>
          </w:p>
        </w:tc>
        <w:tc>
          <w:tcPr>
            <w:tcW w:w="497"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3371" w:type="pct"/>
            <w:gridSpan w:val="5"/>
            <w:tcBorders>
              <w:tl2br w:val="nil"/>
              <w:tr2bl w:val="nil"/>
            </w:tcBorders>
            <w:noWrap w:val="0"/>
            <w:vAlign w:val="center"/>
          </w:tcPr>
          <w:p>
            <w:pPr>
              <w:widowControl w:val="0"/>
              <w:spacing w:line="36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31"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eastAsia="zh-CN"/>
              </w:rPr>
            </w:pPr>
            <w:r>
              <w:rPr>
                <w:rFonts w:hint="eastAsia"/>
                <w:color w:val="auto"/>
                <w:sz w:val="21"/>
                <w:szCs w:val="21"/>
                <w:highlight w:val="none"/>
                <w:lang w:eastAsia="zh-CN"/>
              </w:rPr>
              <w:t>伙房</w:t>
            </w:r>
          </w:p>
        </w:tc>
        <w:tc>
          <w:tcPr>
            <w:tcW w:w="497" w:type="pct"/>
            <w:tcBorders>
              <w:tl2br w:val="nil"/>
              <w:tr2bl w:val="nil"/>
            </w:tcBorders>
            <w:noWrap w:val="0"/>
            <w:vAlign w:val="center"/>
          </w:tcPr>
          <w:p>
            <w:pPr>
              <w:widowControl w:val="0"/>
              <w:spacing w:line="36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3371" w:type="pct"/>
            <w:gridSpan w:val="5"/>
            <w:tcBorders>
              <w:tl2br w:val="nil"/>
              <w:tr2bl w:val="nil"/>
            </w:tcBorders>
            <w:noWrap w:val="0"/>
            <w:vAlign w:val="center"/>
          </w:tcPr>
          <w:p>
            <w:pPr>
              <w:widowControl w:val="0"/>
              <w:spacing w:line="36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31" w:type="pct"/>
            <w:tcBorders>
              <w:tl2br w:val="nil"/>
              <w:tr2bl w:val="nil"/>
            </w:tcBorders>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综合门卫</w:t>
            </w:r>
          </w:p>
        </w:tc>
        <w:tc>
          <w:tcPr>
            <w:tcW w:w="497" w:type="pct"/>
            <w:tcBorders>
              <w:tl2br w:val="nil"/>
              <w:tr2bl w:val="nil"/>
            </w:tcBorders>
            <w:noWrap w:val="0"/>
            <w:vAlign w:val="center"/>
          </w:tcPr>
          <w:p>
            <w:pPr>
              <w:widowControl w:val="0"/>
              <w:spacing w:line="36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3371" w:type="pct"/>
            <w:gridSpan w:val="5"/>
            <w:tcBorders>
              <w:tl2br w:val="nil"/>
              <w:tr2bl w:val="nil"/>
            </w:tcBorders>
            <w:noWrap w:val="0"/>
            <w:vAlign w:val="center"/>
          </w:tcPr>
          <w:p>
            <w:pPr>
              <w:widowControl w:val="0"/>
              <w:spacing w:line="36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31" w:type="pct"/>
            <w:tcBorders>
              <w:tl2br w:val="nil"/>
              <w:tr2bl w:val="nil"/>
            </w:tcBorders>
            <w:noWrap w:val="0"/>
            <w:vAlign w:val="center"/>
          </w:tcPr>
          <w:p>
            <w:pPr>
              <w:spacing w:line="240" w:lineRule="auto"/>
              <w:ind w:firstLine="0" w:firstLineChars="0"/>
              <w:jc w:val="center"/>
              <w:rPr>
                <w:rFonts w:ascii="Times New Roman" w:hAnsi="Times New Roman" w:cs="Times New Roman"/>
                <w:b w:val="0"/>
                <w:bCs w:val="0"/>
                <w:color w:val="auto"/>
                <w:sz w:val="21"/>
                <w:szCs w:val="21"/>
                <w:highlight w:val="none"/>
              </w:rPr>
            </w:pPr>
            <w:r>
              <w:rPr>
                <w:rFonts w:hint="eastAsia"/>
                <w:color w:val="auto"/>
                <w:sz w:val="21"/>
                <w:szCs w:val="21"/>
                <w:highlight w:val="none"/>
                <w:lang w:eastAsia="zh-CN"/>
              </w:rPr>
              <w:t>洗澡间</w:t>
            </w:r>
          </w:p>
        </w:tc>
        <w:tc>
          <w:tcPr>
            <w:tcW w:w="497"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3371" w:type="pct"/>
            <w:gridSpan w:val="5"/>
            <w:tcBorders>
              <w:tl2br w:val="nil"/>
              <w:tr2bl w:val="nil"/>
            </w:tcBorders>
            <w:noWrap w:val="0"/>
            <w:vAlign w:val="center"/>
          </w:tcPr>
          <w:p>
            <w:pPr>
              <w:widowControl w:val="0"/>
              <w:spacing w:line="36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628" w:type="pct"/>
            <w:gridSpan w:val="2"/>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3、污水处理构筑物</w:t>
            </w:r>
          </w:p>
        </w:tc>
        <w:tc>
          <w:tcPr>
            <w:tcW w:w="3371"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配套设备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tblHeader/>
        </w:trPr>
        <w:tc>
          <w:tcPr>
            <w:tcW w:w="113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hint="eastAsia" w:ascii="Times New Roman" w:hAnsi="Times New Roman" w:cs="Times New Roman"/>
                <w:b w:val="0"/>
                <w:bCs w:val="0"/>
                <w:color w:val="auto"/>
                <w:sz w:val="21"/>
                <w:szCs w:val="21"/>
                <w:highlight w:val="none"/>
              </w:rPr>
              <w:t>黑膜</w:t>
            </w:r>
            <w:r>
              <w:rPr>
                <w:rFonts w:ascii="Times New Roman" w:hAnsi="Times New Roman" w:cs="Times New Roman"/>
                <w:b w:val="0"/>
                <w:bCs w:val="0"/>
                <w:color w:val="auto"/>
                <w:sz w:val="21"/>
                <w:szCs w:val="21"/>
                <w:highlight w:val="none"/>
              </w:rPr>
              <w:t>沼气池</w:t>
            </w:r>
          </w:p>
        </w:tc>
        <w:tc>
          <w:tcPr>
            <w:tcW w:w="49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1</w:t>
            </w:r>
          </w:p>
        </w:tc>
        <w:tc>
          <w:tcPr>
            <w:tcW w:w="3371"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管道泵1个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tblHeader/>
        </w:trPr>
        <w:tc>
          <w:tcPr>
            <w:tcW w:w="1131"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沼液储存池</w:t>
            </w:r>
          </w:p>
        </w:tc>
        <w:tc>
          <w:tcPr>
            <w:tcW w:w="497"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3371"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hint="eastAsia" w:ascii="Times New Roman" w:hAnsi="Times New Roman" w:cs="Times New Roman"/>
                <w:b w:val="0"/>
                <w:bCs w:val="0"/>
                <w:color w:val="auto"/>
                <w:sz w:val="21"/>
                <w:szCs w:val="21"/>
                <w:highlight w:val="none"/>
              </w:rPr>
              <w:t>沼液储存池总容积60480m</w:t>
            </w:r>
            <w:r>
              <w:rPr>
                <w:rFonts w:hint="eastAsia" w:ascii="Times New Roman" w:hAnsi="Times New Roman" w:cs="Times New Roman"/>
                <w:b w:val="0"/>
                <w:bCs w:val="0"/>
                <w:color w:val="auto"/>
                <w:sz w:val="21"/>
                <w:szCs w:val="21"/>
                <w:highlight w:val="none"/>
                <w:vertAlign w:val="superscript"/>
              </w:rPr>
              <w:t>3</w:t>
            </w:r>
            <w:r>
              <w:rPr>
                <w:rFonts w:hint="eastAsia" w:ascii="Times New Roman" w:hAnsi="Times New Roman" w:cs="Times New Roman"/>
                <w:b w:val="0"/>
                <w:bCs w:val="0"/>
                <w:color w:val="auto"/>
                <w:sz w:val="21"/>
                <w:szCs w:val="21"/>
                <w:highlight w:val="none"/>
              </w:rPr>
              <w:t>，配套管网</w:t>
            </w:r>
            <w:r>
              <w:rPr>
                <w:rFonts w:hint="eastAsia" w:cs="Times New Roman"/>
                <w:b w:val="0"/>
                <w:bCs w:val="0"/>
                <w:color w:val="auto"/>
                <w:sz w:val="21"/>
                <w:szCs w:val="21"/>
                <w:highlight w:val="none"/>
                <w:lang w:val="en-US" w:eastAsia="zh-CN"/>
              </w:rPr>
              <w:t>10672</w:t>
            </w:r>
            <w:r>
              <w:rPr>
                <w:rFonts w:hint="eastAsia" w:ascii="Times New Roman" w:hAnsi="Times New Roman" w:cs="Times New Roman"/>
                <w:b w:val="0"/>
                <w:bCs w:val="0"/>
                <w:color w:val="auto"/>
                <w:sz w:val="21"/>
                <w:szCs w:val="21"/>
                <w:highlight w:val="none"/>
              </w:rPr>
              <w:t>m</w:t>
            </w:r>
            <w:r>
              <w:rPr>
                <w:rFonts w:hint="eastAsia" w:cs="Times New Roman"/>
                <w:b w:val="0"/>
                <w:bCs w:val="0"/>
                <w:color w:val="auto"/>
                <w:sz w:val="21"/>
                <w:szCs w:val="21"/>
                <w:highlight w:val="none"/>
                <w:lang w:eastAsia="zh-CN"/>
              </w:rPr>
              <w:t>，</w:t>
            </w:r>
            <w:r>
              <w:rPr>
                <w:rFonts w:hint="eastAsia"/>
                <w:color w:val="auto"/>
                <w:sz w:val="21"/>
                <w:szCs w:val="21"/>
                <w:highlight w:val="none"/>
              </w:rPr>
              <w:t>其中干管长度3200m，支管7472m</w:t>
            </w:r>
            <w:r>
              <w:rPr>
                <w:rFonts w:hint="eastAsia"/>
                <w:color w:val="auto"/>
                <w:sz w:val="21"/>
                <w:szCs w:val="21"/>
                <w:highlight w:val="none"/>
                <w:lang w:eastAsia="zh-CN"/>
              </w:rPr>
              <w:t>；</w:t>
            </w:r>
            <w:r>
              <w:rPr>
                <w:color w:val="auto"/>
                <w:sz w:val="21"/>
                <w:szCs w:val="21"/>
                <w:highlight w:val="none"/>
              </w:rPr>
              <w:t>主干管直径为110mm，支管直径为75mm</w:t>
            </w:r>
            <w:r>
              <w:rPr>
                <w:rFonts w:hint="eastAsia" w:ascii="Times New Roman" w:hAnsi="Times New Roman" w:cs="Times New Roman"/>
                <w:b w:val="0"/>
                <w:bCs w:val="0"/>
                <w:color w:val="auto"/>
                <w:sz w:val="21"/>
                <w:szCs w:val="21"/>
                <w:highlight w:val="none"/>
              </w:rPr>
              <w:t>；储存池配压力罐1个、潜污泵1个；配套消纳地面积</w:t>
            </w:r>
            <w:r>
              <w:rPr>
                <w:rFonts w:hint="eastAsia" w:cs="Times New Roman"/>
                <w:b w:val="0"/>
                <w:bCs w:val="0"/>
                <w:color w:val="auto"/>
                <w:sz w:val="21"/>
                <w:szCs w:val="21"/>
                <w:highlight w:val="none"/>
                <w:lang w:val="en-US" w:eastAsia="zh-CN"/>
              </w:rPr>
              <w:t>48</w:t>
            </w:r>
            <w:r>
              <w:rPr>
                <w:rFonts w:hint="eastAsia" w:ascii="Times New Roman" w:hAnsi="Times New Roman" w:cs="Times New Roman"/>
                <w:b w:val="0"/>
                <w:bCs w:val="0"/>
                <w:color w:val="auto"/>
                <w:sz w:val="21"/>
                <w:szCs w:val="21"/>
                <w:highlight w:val="none"/>
              </w:rPr>
              <w:t>00亩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3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沼气净化装置</w:t>
            </w:r>
          </w:p>
        </w:tc>
        <w:tc>
          <w:tcPr>
            <w:tcW w:w="49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1</w:t>
            </w:r>
          </w:p>
        </w:tc>
        <w:tc>
          <w:tcPr>
            <w:tcW w:w="3371"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沼气脱硫器1台、沼气脱水器1台、阻火器1台、沼气燃烧器1个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628" w:type="pct"/>
            <w:gridSpan w:val="2"/>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4、粪便处理构筑物</w:t>
            </w:r>
          </w:p>
        </w:tc>
        <w:tc>
          <w:tcPr>
            <w:tcW w:w="3371"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配套设备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3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固粪处理区</w:t>
            </w:r>
          </w:p>
        </w:tc>
        <w:tc>
          <w:tcPr>
            <w:tcW w:w="497"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val="en-US" w:eastAsia="zh-CN"/>
              </w:rPr>
              <w:t>1</w:t>
            </w:r>
          </w:p>
        </w:tc>
        <w:tc>
          <w:tcPr>
            <w:tcW w:w="3371" w:type="pct"/>
            <w:gridSpan w:val="5"/>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hint="eastAsia" w:ascii="Times New Roman" w:hAnsi="Times New Roman" w:eastAsia="宋体" w:cs="Times New Roman"/>
                <w:color w:val="auto"/>
                <w:sz w:val="21"/>
                <w:szCs w:val="21"/>
                <w:highlight w:val="none"/>
                <w:lang w:val="en-US" w:eastAsia="zh-CN"/>
              </w:rPr>
              <w:t>总建筑面积</w:t>
            </w:r>
            <w:r>
              <w:rPr>
                <w:rFonts w:hint="eastAsia" w:cs="Times New Roman"/>
                <w:color w:val="auto"/>
                <w:sz w:val="21"/>
                <w:szCs w:val="21"/>
                <w:highlight w:val="none"/>
                <w:lang w:val="en-US" w:eastAsia="zh-CN"/>
              </w:rPr>
              <w:t>924</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628" w:type="pct"/>
            <w:gridSpan w:val="2"/>
            <w:tcBorders>
              <w:tl2br w:val="nil"/>
              <w:tr2bl w:val="nil"/>
            </w:tcBorders>
            <w:noWrap w:val="0"/>
            <w:vAlign w:val="center"/>
          </w:tcPr>
          <w:p>
            <w:pPr>
              <w:widowControl w:val="0"/>
              <w:spacing w:line="36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5、无害化处理</w:t>
            </w:r>
            <w:r>
              <w:rPr>
                <w:rFonts w:ascii="Times New Roman" w:hAnsi="Times New Roman" w:cs="Times New Roman"/>
                <w:b w:val="0"/>
                <w:bCs w:val="0"/>
                <w:color w:val="auto"/>
                <w:sz w:val="21"/>
                <w:szCs w:val="21"/>
                <w:highlight w:val="none"/>
              </w:rPr>
              <w:t>构筑物</w:t>
            </w:r>
          </w:p>
        </w:tc>
        <w:tc>
          <w:tcPr>
            <w:tcW w:w="3371" w:type="pct"/>
            <w:gridSpan w:val="5"/>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配套设备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31"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hint="eastAsia" w:cs="Times New Roman"/>
                <w:b w:val="0"/>
                <w:bCs w:val="0"/>
                <w:color w:val="auto"/>
                <w:sz w:val="21"/>
                <w:szCs w:val="21"/>
                <w:highlight w:val="none"/>
                <w:lang w:val="en-US" w:eastAsia="zh-CN"/>
              </w:rPr>
              <w:t>无害化处理车间</w:t>
            </w:r>
          </w:p>
        </w:tc>
        <w:tc>
          <w:tcPr>
            <w:tcW w:w="497" w:type="pct"/>
            <w:tcBorders>
              <w:tl2br w:val="nil"/>
              <w:tr2bl w:val="nil"/>
            </w:tcBorders>
            <w:noWrap w:val="0"/>
            <w:vAlign w:val="center"/>
          </w:tcPr>
          <w:p>
            <w:pPr>
              <w:widowControl w:val="0"/>
              <w:spacing w:line="36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3371" w:type="pct"/>
            <w:gridSpan w:val="5"/>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总建筑面积249.39m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；车间内设置无害化高温化制机</w:t>
            </w:r>
          </w:p>
        </w:tc>
      </w:tr>
    </w:tbl>
    <w:p>
      <w:pPr>
        <w:pStyle w:val="4"/>
        <w:spacing w:beforeLines="0"/>
        <w:ind w:firstLine="281" w:firstLineChars="100"/>
        <w:rPr>
          <w:rFonts w:cs="Times New Roman"/>
          <w:color w:val="auto"/>
          <w:highlight w:val="none"/>
        </w:rPr>
      </w:pPr>
      <w:bookmarkStart w:id="18" w:name="_Toc6947"/>
      <w:r>
        <w:rPr>
          <w:rFonts w:hint="eastAsia" w:cs="Times New Roman"/>
          <w:color w:val="auto"/>
          <w:highlight w:val="none"/>
        </w:rPr>
        <w:t>2.5</w:t>
      </w:r>
      <w:r>
        <w:rPr>
          <w:rFonts w:cs="Times New Roman"/>
          <w:color w:val="auto"/>
          <w:highlight w:val="none"/>
        </w:rPr>
        <w:t>公用工程</w:t>
      </w:r>
      <w:r>
        <w:rPr>
          <w:rFonts w:hint="eastAsia" w:cs="Times New Roman"/>
          <w:color w:val="auto"/>
          <w:highlight w:val="none"/>
        </w:rPr>
        <w:t>及辅助设施</w:t>
      </w:r>
      <w:bookmarkEnd w:id="18"/>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color w:val="auto"/>
          <w:highlight w:val="none"/>
        </w:rPr>
      </w:pPr>
      <w:r>
        <w:rPr>
          <w:rFonts w:hint="eastAsia"/>
          <w:color w:val="auto"/>
          <w:highlight w:val="none"/>
        </w:rPr>
        <w:t>（1）给</w:t>
      </w:r>
      <w:r>
        <w:rPr>
          <w:color w:val="auto"/>
          <w:highlight w:val="none"/>
        </w:rPr>
        <w:t>水</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highlight w:val="none"/>
        </w:rPr>
      </w:pPr>
      <w:r>
        <w:rPr>
          <w:rFonts w:hint="eastAsia" w:ascii="Times New Roman" w:hAnsi="Times New Roman"/>
          <w:color w:val="auto"/>
          <w:sz w:val="24"/>
          <w:highlight w:val="none"/>
        </w:rPr>
        <w:t>本项目用水来源为厂区自备地下水井</w:t>
      </w:r>
      <w:r>
        <w:rPr>
          <w:rFonts w:ascii="Times New Roman" w:hAnsi="Times New Roman"/>
          <w:color w:val="auto"/>
          <w:sz w:val="24"/>
          <w:highlight w:val="none"/>
        </w:rPr>
        <w:t>。</w:t>
      </w:r>
      <w:r>
        <w:rPr>
          <w:color w:val="auto"/>
          <w:highlight w:val="none"/>
        </w:rPr>
        <w:t>主要用水为</w:t>
      </w:r>
      <w:r>
        <w:rPr>
          <w:rFonts w:hint="eastAsia"/>
          <w:color w:val="auto"/>
          <w:highlight w:val="none"/>
        </w:rPr>
        <w:t>生活用水</w:t>
      </w:r>
      <w:r>
        <w:rPr>
          <w:rFonts w:hint="eastAsia"/>
          <w:color w:val="auto"/>
          <w:highlight w:val="none"/>
          <w:lang w:eastAsia="zh-CN"/>
        </w:rPr>
        <w:t>和生产用水</w:t>
      </w:r>
      <w:r>
        <w:rPr>
          <w:color w:val="auto"/>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eastAsia="zh-CN"/>
        </w:rPr>
      </w:pPr>
      <w:r>
        <w:rPr>
          <w:rFonts w:hint="default" w:ascii="Times New Roman" w:hAnsi="Times New Roman" w:cs="Times New Roman"/>
          <w:color w:val="auto"/>
          <w:highlight w:val="none"/>
        </w:rPr>
        <w:t>①</w:t>
      </w:r>
      <w:r>
        <w:rPr>
          <w:rFonts w:hint="eastAsia"/>
          <w:color w:val="auto"/>
          <w:highlight w:val="none"/>
          <w:lang w:eastAsia="zh-CN"/>
        </w:rPr>
        <w:t>生活用水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4"/>
          <w:highlight w:val="none"/>
        </w:rPr>
      </w:pPr>
      <w:r>
        <w:rPr>
          <w:color w:val="auto"/>
          <w:highlight w:val="none"/>
        </w:rPr>
        <w:t>本项目劳动定</w:t>
      </w:r>
      <w:r>
        <w:rPr>
          <w:rFonts w:hint="eastAsia"/>
          <w:color w:val="auto"/>
          <w:highlight w:val="none"/>
          <w:lang w:val="en-US" w:eastAsia="zh-CN"/>
        </w:rPr>
        <w:t>96</w:t>
      </w:r>
      <w:r>
        <w:rPr>
          <w:color w:val="auto"/>
          <w:highlight w:val="none"/>
        </w:rPr>
        <w:t>人，</w:t>
      </w:r>
      <w:r>
        <w:rPr>
          <w:rFonts w:ascii="Times New Roman" w:hAnsi="Times New Roman" w:cs="Times New Roman"/>
          <w:color w:val="auto"/>
          <w:sz w:val="24"/>
          <w:szCs w:val="24"/>
          <w:highlight w:val="none"/>
        </w:rPr>
        <w:t>年工作时间365d，场区设置洗浴。</w:t>
      </w:r>
      <w:r>
        <w:rPr>
          <w:rFonts w:ascii="Times New Roman" w:hAnsi="Times New Roman" w:cs="Times New Roman"/>
          <w:color w:val="auto"/>
          <w:sz w:val="24"/>
          <w:szCs w:val="22"/>
          <w:highlight w:val="none"/>
        </w:rPr>
        <w:t>参考《河南省地方标准用水定额》中有给排水住宅且具备洗浴条件的用水定额为130L/人·d，调节系数0.9-1.1，本次</w:t>
      </w:r>
      <w:r>
        <w:rPr>
          <w:rFonts w:ascii="Times New Roman" w:hAnsi="Times New Roman" w:cs="Times New Roman"/>
          <w:color w:val="auto"/>
          <w:sz w:val="24"/>
          <w:szCs w:val="24"/>
          <w:highlight w:val="none"/>
        </w:rPr>
        <w:t>职工用水量平均按120L/人·d计，则项目生活用水量为</w:t>
      </w:r>
      <w:r>
        <w:rPr>
          <w:rFonts w:hint="eastAsia" w:cs="Times New Roman"/>
          <w:color w:val="auto"/>
          <w:sz w:val="24"/>
          <w:szCs w:val="24"/>
          <w:highlight w:val="none"/>
          <w:lang w:val="en-US" w:eastAsia="zh-CN"/>
        </w:rPr>
        <w:t>11.52</w:t>
      </w:r>
      <w:r>
        <w:rPr>
          <w:rFonts w:ascii="Times New Roman" w:hAnsi="Times New Roman" w:cs="Times New Roman"/>
          <w:color w:val="auto"/>
          <w:sz w:val="24"/>
          <w:szCs w:val="24"/>
          <w:highlight w:val="none"/>
        </w:rPr>
        <w:t>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/d、</w:t>
      </w:r>
      <w:r>
        <w:rPr>
          <w:rFonts w:hint="eastAsia" w:cs="Times New Roman"/>
          <w:color w:val="auto"/>
          <w:sz w:val="24"/>
          <w:szCs w:val="24"/>
          <w:highlight w:val="none"/>
          <w:lang w:val="en-US" w:eastAsia="zh-CN"/>
        </w:rPr>
        <w:t>4204.8</w:t>
      </w:r>
      <w:r>
        <w:rPr>
          <w:rFonts w:ascii="Times New Roman" w:hAnsi="Times New Roman" w:cs="Times New Roman"/>
          <w:color w:val="auto"/>
          <w:sz w:val="24"/>
          <w:szCs w:val="24"/>
          <w:highlight w:val="none"/>
        </w:rPr>
        <w:t>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/a。</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color w:val="auto"/>
          <w:highlight w:val="none"/>
          <w:lang w:eastAsia="zh-CN"/>
        </w:rPr>
      </w:pPr>
      <w:r>
        <w:rPr>
          <w:rFonts w:hint="default" w:ascii="Times New Roman" w:hAnsi="Times New Roman" w:cs="Times New Roman"/>
          <w:color w:val="auto"/>
          <w:highlight w:val="none"/>
        </w:rPr>
        <w:t>②</w:t>
      </w:r>
      <w:r>
        <w:rPr>
          <w:rFonts w:hint="eastAsia" w:cs="Times New Roman"/>
          <w:color w:val="auto"/>
          <w:highlight w:val="none"/>
          <w:lang w:eastAsia="zh-CN"/>
        </w:rPr>
        <w:t>生产用水</w:t>
      </w:r>
    </w:p>
    <w:p>
      <w:pPr>
        <w:pStyle w:val="2"/>
        <w:numPr>
          <w:ilvl w:val="0"/>
          <w:numId w:val="6"/>
        </w:numPr>
        <w:rPr>
          <w:rFonts w:hint="eastAsia" w:cs="Times New Roman"/>
          <w:color w:val="auto"/>
          <w:highlight w:val="none"/>
          <w:lang w:val="en-US" w:eastAsia="zh-CN"/>
        </w:rPr>
      </w:pPr>
      <w:r>
        <w:rPr>
          <w:rFonts w:hint="eastAsia" w:cs="Times New Roman"/>
          <w:color w:val="auto"/>
          <w:highlight w:val="none"/>
          <w:lang w:val="en-US" w:eastAsia="zh-CN"/>
        </w:rPr>
        <w:t>养殖用水</w:t>
      </w:r>
    </w:p>
    <w:p>
      <w:pPr>
        <w:pStyle w:val="2"/>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eastAsia" w:cs="Times New Roman"/>
          <w:color w:val="auto"/>
          <w:highlight w:val="none"/>
          <w:lang w:val="en-US" w:eastAsia="zh-CN"/>
        </w:rPr>
      </w:pPr>
      <w:r>
        <w:rPr>
          <w:rFonts w:hint="eastAsia" w:cs="Times New Roman"/>
          <w:color w:val="auto"/>
          <w:highlight w:val="none"/>
          <w:lang w:val="en-US" w:eastAsia="zh-CN"/>
        </w:rPr>
        <w:t>养殖过程用水主要分为猪舍冲洗水及猪饮用水两类，具体见下表2.5-1和表2.5-2。</w:t>
      </w:r>
    </w:p>
    <w:p>
      <w:pPr>
        <w:pStyle w:val="40"/>
        <w:rPr>
          <w:rFonts w:hint="eastAsia" w:cs="Times New Roman"/>
          <w:color w:val="auto"/>
          <w:highlight w:val="none"/>
        </w:rPr>
      </w:pPr>
      <w:r>
        <w:rPr>
          <w:rFonts w:hint="eastAsia" w:cs="Times New Roman"/>
          <w:color w:val="auto"/>
          <w:highlight w:val="none"/>
        </w:rPr>
        <w:t>表2</w:t>
      </w:r>
      <w:r>
        <w:rPr>
          <w:rFonts w:hint="eastAsia" w:cs="Times New Roman"/>
          <w:color w:val="auto"/>
          <w:highlight w:val="none"/>
          <w:lang w:val="en-US" w:eastAsia="zh-CN"/>
        </w:rPr>
        <w:t>.5</w:t>
      </w:r>
      <w:r>
        <w:rPr>
          <w:rFonts w:hint="eastAsia" w:cs="Times New Roman"/>
          <w:color w:val="auto"/>
          <w:highlight w:val="none"/>
        </w:rPr>
        <w:t>-</w:t>
      </w:r>
      <w:r>
        <w:rPr>
          <w:rFonts w:hint="eastAsia" w:cs="Times New Roman"/>
          <w:color w:val="auto"/>
          <w:highlight w:val="none"/>
          <w:lang w:val="en-US" w:eastAsia="zh-CN"/>
        </w:rPr>
        <w:t>1</w:t>
      </w:r>
      <w:r>
        <w:rPr>
          <w:rFonts w:hint="eastAsia" w:cs="Times New Roman"/>
          <w:color w:val="auto"/>
          <w:highlight w:val="none"/>
        </w:rPr>
        <w:t xml:space="preserve"> 项目养殖过程</w:t>
      </w:r>
      <w:r>
        <w:rPr>
          <w:rFonts w:hint="eastAsia" w:cs="Times New Roman"/>
          <w:color w:val="auto"/>
          <w:highlight w:val="none"/>
          <w:lang w:eastAsia="zh-CN"/>
        </w:rPr>
        <w:t>生猪</w:t>
      </w:r>
      <w:r>
        <w:rPr>
          <w:rFonts w:hint="eastAsia" w:cs="Times New Roman"/>
          <w:color w:val="auto"/>
          <w:highlight w:val="none"/>
        </w:rPr>
        <w:t>用水</w:t>
      </w:r>
      <w:r>
        <w:rPr>
          <w:rFonts w:hint="eastAsia" w:cs="Times New Roman"/>
          <w:color w:val="auto"/>
          <w:highlight w:val="none"/>
          <w:lang w:eastAsia="zh-CN"/>
        </w:rPr>
        <w:t>一览</w:t>
      </w:r>
      <w:r>
        <w:rPr>
          <w:rFonts w:hint="eastAsia" w:cs="Times New Roman"/>
          <w:color w:val="auto"/>
          <w:highlight w:val="none"/>
        </w:rPr>
        <w:t>表</w:t>
      </w:r>
    </w:p>
    <w:tbl>
      <w:tblPr>
        <w:tblStyle w:val="24"/>
        <w:tblW w:w="514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61"/>
        <w:gridCol w:w="2166"/>
        <w:gridCol w:w="1207"/>
        <w:gridCol w:w="1248"/>
        <w:gridCol w:w="1551"/>
        <w:gridCol w:w="11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tblHeader/>
          <w:jc w:val="center"/>
        </w:trPr>
        <w:tc>
          <w:tcPr>
            <w:tcW w:w="2096" w:type="pct"/>
            <w:gridSpan w:val="2"/>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种类</w:t>
            </w:r>
          </w:p>
        </w:tc>
        <w:tc>
          <w:tcPr>
            <w:tcW w:w="679"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eastAsia" w:ascii="Times New Roman" w:hAnsi="Times New Roman" w:eastAsia="宋体" w:cs="Times New Roman"/>
                <w:b w:val="0"/>
                <w:bCs w:val="0"/>
                <w:color w:val="auto"/>
                <w:sz w:val="21"/>
                <w:szCs w:val="21"/>
                <w:highlight w:val="none"/>
                <w:lang w:eastAsia="zh-CN"/>
              </w:rPr>
            </w:pPr>
            <w:r>
              <w:rPr>
                <w:rFonts w:ascii="Times New Roman" w:hAnsi="Times New Roman" w:cs="Times New Roman"/>
                <w:b w:val="0"/>
                <w:bCs w:val="0"/>
                <w:color w:val="auto"/>
                <w:sz w:val="21"/>
                <w:szCs w:val="21"/>
                <w:highlight w:val="none"/>
              </w:rPr>
              <w:t>保育</w:t>
            </w:r>
            <w:r>
              <w:rPr>
                <w:rFonts w:hint="eastAsia" w:cs="Times New Roman"/>
                <w:b w:val="0"/>
                <w:bCs w:val="0"/>
                <w:color w:val="auto"/>
                <w:sz w:val="21"/>
                <w:szCs w:val="21"/>
                <w:highlight w:val="none"/>
                <w:lang w:eastAsia="zh-CN"/>
              </w:rPr>
              <w:t>猪</w:t>
            </w:r>
          </w:p>
        </w:tc>
        <w:tc>
          <w:tcPr>
            <w:tcW w:w="702"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eastAsia" w:ascii="Times New Roman" w:hAnsi="Times New Roman" w:eastAsia="宋体" w:cs="Times New Roman"/>
                <w:b w:val="0"/>
                <w:bCs w:val="0"/>
                <w:color w:val="auto"/>
                <w:sz w:val="21"/>
                <w:szCs w:val="21"/>
                <w:highlight w:val="none"/>
                <w:lang w:eastAsia="zh-CN"/>
              </w:rPr>
            </w:pPr>
            <w:r>
              <w:rPr>
                <w:rFonts w:ascii="Times New Roman" w:hAnsi="Times New Roman" w:cs="Times New Roman"/>
                <w:b w:val="0"/>
                <w:bCs w:val="0"/>
                <w:color w:val="auto"/>
                <w:sz w:val="21"/>
                <w:szCs w:val="21"/>
                <w:highlight w:val="none"/>
              </w:rPr>
              <w:t>育肥</w:t>
            </w:r>
            <w:r>
              <w:rPr>
                <w:rFonts w:hint="eastAsia" w:cs="Times New Roman"/>
                <w:b w:val="0"/>
                <w:bCs w:val="0"/>
                <w:color w:val="auto"/>
                <w:sz w:val="21"/>
                <w:szCs w:val="21"/>
                <w:highlight w:val="none"/>
                <w:lang w:eastAsia="zh-CN"/>
              </w:rPr>
              <w:t>猪</w:t>
            </w:r>
          </w:p>
        </w:tc>
        <w:tc>
          <w:tcPr>
            <w:tcW w:w="872"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合计</w:t>
            </w:r>
          </w:p>
        </w:tc>
        <w:tc>
          <w:tcPr>
            <w:tcW w:w="648"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tblHeader/>
          <w:jc w:val="center"/>
        </w:trPr>
        <w:tc>
          <w:tcPr>
            <w:tcW w:w="2096" w:type="pct"/>
            <w:gridSpan w:val="2"/>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eastAsia"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数量（头）</w:t>
            </w:r>
          </w:p>
        </w:tc>
        <w:tc>
          <w:tcPr>
            <w:tcW w:w="679"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hint="eastAsia" w:ascii="Times New Roman" w:eastAsia="宋体"/>
                <w:color w:val="auto"/>
                <w:sz w:val="21"/>
                <w:szCs w:val="21"/>
                <w:highlight w:val="none"/>
                <w:lang w:val="en-US" w:eastAsia="zh-CN"/>
              </w:rPr>
              <w:t>2</w:t>
            </w:r>
            <w:r>
              <w:rPr>
                <w:rFonts w:hint="eastAsia"/>
                <w:color w:val="auto"/>
                <w:sz w:val="21"/>
                <w:szCs w:val="21"/>
                <w:highlight w:val="none"/>
                <w:lang w:val="en-US" w:eastAsia="zh-CN"/>
              </w:rPr>
              <w:t>0</w:t>
            </w:r>
            <w:r>
              <w:rPr>
                <w:rFonts w:hint="eastAsia" w:ascii="Times New Roman" w:eastAsia="宋体"/>
                <w:color w:val="auto"/>
                <w:sz w:val="21"/>
                <w:szCs w:val="21"/>
                <w:highlight w:val="none"/>
                <w:lang w:val="en-US" w:eastAsia="zh-CN"/>
              </w:rPr>
              <w:t>208</w:t>
            </w:r>
          </w:p>
        </w:tc>
        <w:tc>
          <w:tcPr>
            <w:tcW w:w="702"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hint="eastAsia" w:ascii="Times New Roman" w:hAnsi="Times New Roman" w:cs="Times New Roman"/>
                <w:b w:val="0"/>
                <w:bCs w:val="0"/>
                <w:color w:val="auto"/>
                <w:sz w:val="21"/>
                <w:szCs w:val="21"/>
                <w:highlight w:val="none"/>
              </w:rPr>
              <w:t>48592</w:t>
            </w:r>
          </w:p>
        </w:tc>
        <w:tc>
          <w:tcPr>
            <w:tcW w:w="872"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p>
        </w:tc>
        <w:tc>
          <w:tcPr>
            <w:tcW w:w="648" w:type="pct"/>
            <w:tcBorders>
              <w:tl2br w:val="nil"/>
              <w:tr2bl w:val="nil"/>
            </w:tcBorders>
            <w:noWrap w:val="0"/>
            <w:vAlign w:val="center"/>
          </w:tcPr>
          <w:p>
            <w:pPr>
              <w:widowControl w:val="0"/>
              <w:spacing w:line="360" w:lineRule="exact"/>
              <w:ind w:firstLine="0" w:firstLineChars="0"/>
              <w:jc w:val="center"/>
              <w:rPr>
                <w:rFonts w:hint="eastAsia" w:cs="Times New Roman"/>
                <w:b w:val="0"/>
                <w:bCs w:val="0"/>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78" w:type="pct"/>
            <w:vMerge w:val="restar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饮用水量</w:t>
            </w:r>
          </w:p>
        </w:tc>
        <w:tc>
          <w:tcPr>
            <w:tcW w:w="1218"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夏季（L/ d·头）</w:t>
            </w:r>
          </w:p>
        </w:tc>
        <w:tc>
          <w:tcPr>
            <w:tcW w:w="679"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5.5</w:t>
            </w:r>
          </w:p>
        </w:tc>
        <w:tc>
          <w:tcPr>
            <w:tcW w:w="702"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11</w:t>
            </w:r>
          </w:p>
        </w:tc>
        <w:tc>
          <w:tcPr>
            <w:tcW w:w="872"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w:t>
            </w:r>
          </w:p>
        </w:tc>
        <w:tc>
          <w:tcPr>
            <w:tcW w:w="648"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78" w:type="pct"/>
            <w:vMerge w:val="continue"/>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p>
        </w:tc>
        <w:tc>
          <w:tcPr>
            <w:tcW w:w="1218"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夏季（m</w:t>
            </w:r>
            <w:r>
              <w:rPr>
                <w:rFonts w:ascii="Times New Roman" w:hAnsi="Times New Roman" w:cs="Times New Roman"/>
                <w:b w:val="0"/>
                <w:bCs w:val="0"/>
                <w:color w:val="auto"/>
                <w:sz w:val="21"/>
                <w:szCs w:val="21"/>
                <w:highlight w:val="none"/>
                <w:vertAlign w:val="superscript"/>
              </w:rPr>
              <w:t>3</w:t>
            </w:r>
            <w:r>
              <w:rPr>
                <w:rFonts w:ascii="Times New Roman" w:hAnsi="Times New Roman" w:cs="Times New Roman"/>
                <w:b w:val="0"/>
                <w:bCs w:val="0"/>
                <w:color w:val="auto"/>
                <w:sz w:val="21"/>
                <w:szCs w:val="21"/>
                <w:highlight w:val="none"/>
              </w:rPr>
              <w:t>/d）</w:t>
            </w:r>
          </w:p>
        </w:tc>
        <w:tc>
          <w:tcPr>
            <w:tcW w:w="679"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111.144</w:t>
            </w:r>
          </w:p>
        </w:tc>
        <w:tc>
          <w:tcPr>
            <w:tcW w:w="702"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534.512</w:t>
            </w:r>
          </w:p>
        </w:tc>
        <w:tc>
          <w:tcPr>
            <w:tcW w:w="872" w:type="pct"/>
            <w:tcBorders>
              <w:tl2br w:val="nil"/>
              <w:tr2bl w:val="nil"/>
            </w:tcBorders>
            <w:noWrap w:val="0"/>
            <w:vAlign w:val="center"/>
          </w:tcPr>
          <w:p>
            <w:pPr>
              <w:widowControl w:val="0"/>
              <w:spacing w:line="36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645.656</w:t>
            </w:r>
          </w:p>
        </w:tc>
        <w:tc>
          <w:tcPr>
            <w:tcW w:w="648" w:type="pct"/>
            <w:tcBorders>
              <w:tl2br w:val="nil"/>
              <w:tr2bl w:val="nil"/>
            </w:tcBorders>
            <w:noWrap w:val="0"/>
            <w:vAlign w:val="center"/>
          </w:tcPr>
          <w:p>
            <w:pPr>
              <w:widowControl w:val="0"/>
              <w:spacing w:line="36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122天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878" w:type="pct"/>
            <w:vMerge w:val="continue"/>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p>
        </w:tc>
        <w:tc>
          <w:tcPr>
            <w:tcW w:w="1218"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其他季（L/d·头）</w:t>
            </w:r>
          </w:p>
        </w:tc>
        <w:tc>
          <w:tcPr>
            <w:tcW w:w="679"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color w:val="auto"/>
                <w:sz w:val="21"/>
                <w:szCs w:val="21"/>
                <w:highlight w:val="none"/>
                <w:lang w:val="en-US" w:eastAsia="zh-CN"/>
              </w:rPr>
            </w:pPr>
            <w:r>
              <w:rPr>
                <w:rFonts w:hint="default" w:cs="Times New Roman"/>
                <w:b w:val="0"/>
                <w:bCs w:val="0"/>
                <w:color w:val="auto"/>
                <w:sz w:val="21"/>
                <w:szCs w:val="21"/>
                <w:highlight w:val="none"/>
                <w:lang w:val="en-US" w:eastAsia="zh-CN"/>
              </w:rPr>
              <w:t>3</w:t>
            </w:r>
          </w:p>
        </w:tc>
        <w:tc>
          <w:tcPr>
            <w:tcW w:w="702"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color w:val="auto"/>
                <w:sz w:val="21"/>
                <w:szCs w:val="21"/>
                <w:highlight w:val="none"/>
                <w:lang w:val="en-US" w:eastAsia="zh-CN"/>
              </w:rPr>
            </w:pPr>
            <w:r>
              <w:rPr>
                <w:rFonts w:hint="default" w:cs="Times New Roman"/>
                <w:b w:val="0"/>
                <w:bCs w:val="0"/>
                <w:color w:val="auto"/>
                <w:sz w:val="21"/>
                <w:szCs w:val="21"/>
                <w:highlight w:val="none"/>
                <w:lang w:val="en-US" w:eastAsia="zh-CN"/>
              </w:rPr>
              <w:t>6.5</w:t>
            </w:r>
          </w:p>
        </w:tc>
        <w:tc>
          <w:tcPr>
            <w:tcW w:w="872" w:type="pct"/>
            <w:tcBorders>
              <w:tl2br w:val="nil"/>
              <w:tr2bl w:val="nil"/>
            </w:tcBorders>
            <w:noWrap w:val="0"/>
            <w:vAlign w:val="center"/>
          </w:tcPr>
          <w:p>
            <w:pPr>
              <w:widowControl w:val="0"/>
              <w:spacing w:line="360" w:lineRule="exact"/>
              <w:ind w:firstLine="0" w:firstLineChars="0"/>
              <w:jc w:val="center"/>
              <w:rPr>
                <w:rFonts w:hint="default" w:cs="Times New Roman"/>
                <w:b w:val="0"/>
                <w:bCs w:val="0"/>
                <w:color w:val="auto"/>
                <w:sz w:val="21"/>
                <w:szCs w:val="21"/>
                <w:highlight w:val="none"/>
                <w:lang w:val="en-US" w:eastAsia="zh-CN"/>
              </w:rPr>
            </w:pPr>
            <w:r>
              <w:rPr>
                <w:rFonts w:hint="default" w:cs="Times New Roman"/>
                <w:b w:val="0"/>
                <w:bCs w:val="0"/>
                <w:color w:val="auto"/>
                <w:sz w:val="21"/>
                <w:szCs w:val="21"/>
                <w:highlight w:val="none"/>
                <w:lang w:val="en-US" w:eastAsia="zh-CN"/>
              </w:rPr>
              <w:t>/</w:t>
            </w:r>
          </w:p>
        </w:tc>
        <w:tc>
          <w:tcPr>
            <w:tcW w:w="648" w:type="pct"/>
            <w:tcBorders>
              <w:tl2br w:val="nil"/>
              <w:tr2bl w:val="nil"/>
            </w:tcBorders>
            <w:noWrap w:val="0"/>
            <w:vAlign w:val="center"/>
          </w:tcPr>
          <w:p>
            <w:pPr>
              <w:widowControl w:val="0"/>
              <w:spacing w:line="360" w:lineRule="exact"/>
              <w:ind w:firstLine="0" w:firstLineChars="0"/>
              <w:jc w:val="center"/>
              <w:rPr>
                <w:rFonts w:hint="default" w:cs="Times New Roman"/>
                <w:b w:val="0"/>
                <w:bCs w:val="0"/>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878" w:type="pct"/>
            <w:vMerge w:val="continue"/>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p>
        </w:tc>
        <w:tc>
          <w:tcPr>
            <w:tcW w:w="1218"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其他季节（m</w:t>
            </w:r>
            <w:r>
              <w:rPr>
                <w:rFonts w:ascii="Times New Roman" w:hAnsi="Times New Roman" w:cs="Times New Roman"/>
                <w:b w:val="0"/>
                <w:bCs w:val="0"/>
                <w:color w:val="auto"/>
                <w:sz w:val="21"/>
                <w:szCs w:val="21"/>
                <w:highlight w:val="none"/>
                <w:vertAlign w:val="superscript"/>
              </w:rPr>
              <w:t>3</w:t>
            </w:r>
            <w:r>
              <w:rPr>
                <w:rFonts w:ascii="Times New Roman" w:hAnsi="Times New Roman" w:cs="Times New Roman"/>
                <w:b w:val="0"/>
                <w:bCs w:val="0"/>
                <w:color w:val="auto"/>
                <w:sz w:val="21"/>
                <w:szCs w:val="21"/>
                <w:highlight w:val="none"/>
              </w:rPr>
              <w:t>/d）</w:t>
            </w:r>
          </w:p>
        </w:tc>
        <w:tc>
          <w:tcPr>
            <w:tcW w:w="679"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60.624</w:t>
            </w:r>
          </w:p>
        </w:tc>
        <w:tc>
          <w:tcPr>
            <w:tcW w:w="702"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315.848</w:t>
            </w:r>
          </w:p>
        </w:tc>
        <w:tc>
          <w:tcPr>
            <w:tcW w:w="872" w:type="pct"/>
            <w:tcBorders>
              <w:tl2br w:val="nil"/>
              <w:tr2bl w:val="nil"/>
            </w:tcBorders>
            <w:noWrap w:val="0"/>
            <w:vAlign w:val="center"/>
          </w:tcPr>
          <w:p>
            <w:pPr>
              <w:widowControl w:val="0"/>
              <w:spacing w:line="36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376.472</w:t>
            </w:r>
          </w:p>
        </w:tc>
        <w:tc>
          <w:tcPr>
            <w:tcW w:w="648" w:type="pct"/>
            <w:tcBorders>
              <w:tl2br w:val="nil"/>
              <w:tr2bl w:val="nil"/>
            </w:tcBorders>
            <w:noWrap w:val="0"/>
            <w:vAlign w:val="center"/>
          </w:tcPr>
          <w:p>
            <w:pPr>
              <w:widowControl w:val="0"/>
              <w:spacing w:line="36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243天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878" w:type="pct"/>
            <w:vMerge w:val="continue"/>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p>
        </w:tc>
        <w:tc>
          <w:tcPr>
            <w:tcW w:w="1218"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总用水量（m</w:t>
            </w:r>
            <w:r>
              <w:rPr>
                <w:rFonts w:ascii="Times New Roman" w:hAnsi="Times New Roman" w:cs="Times New Roman"/>
                <w:b w:val="0"/>
                <w:bCs w:val="0"/>
                <w:color w:val="auto"/>
                <w:sz w:val="21"/>
                <w:szCs w:val="21"/>
                <w:highlight w:val="none"/>
                <w:vertAlign w:val="superscript"/>
              </w:rPr>
              <w:t>3</w:t>
            </w:r>
            <w:r>
              <w:rPr>
                <w:rFonts w:ascii="Times New Roman" w:hAnsi="Times New Roman" w:cs="Times New Roman"/>
                <w:b w:val="0"/>
                <w:bCs w:val="0"/>
                <w:color w:val="auto"/>
                <w:sz w:val="21"/>
                <w:szCs w:val="21"/>
                <w:highlight w:val="none"/>
              </w:rPr>
              <w:t>/a）</w:t>
            </w:r>
          </w:p>
        </w:tc>
        <w:tc>
          <w:tcPr>
            <w:tcW w:w="679"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color w:val="auto"/>
                <w:sz w:val="21"/>
                <w:szCs w:val="21"/>
                <w:highlight w:val="none"/>
                <w:lang w:val="en-US" w:eastAsia="zh-CN"/>
              </w:rPr>
            </w:pPr>
            <w:r>
              <w:rPr>
                <w:rFonts w:hint="default" w:cs="Times New Roman"/>
                <w:b w:val="0"/>
                <w:bCs w:val="0"/>
                <w:color w:val="auto"/>
                <w:sz w:val="21"/>
                <w:szCs w:val="21"/>
                <w:highlight w:val="none"/>
                <w:lang w:val="en-US" w:eastAsia="zh-CN"/>
              </w:rPr>
              <w:t>28291.2</w:t>
            </w:r>
          </w:p>
        </w:tc>
        <w:tc>
          <w:tcPr>
            <w:tcW w:w="702"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color w:val="auto"/>
                <w:sz w:val="21"/>
                <w:szCs w:val="21"/>
                <w:highlight w:val="none"/>
                <w:lang w:val="en-US" w:eastAsia="zh-CN"/>
              </w:rPr>
            </w:pPr>
            <w:r>
              <w:rPr>
                <w:rFonts w:hint="default" w:cs="Times New Roman"/>
                <w:b w:val="0"/>
                <w:bCs w:val="0"/>
                <w:color w:val="auto"/>
                <w:sz w:val="21"/>
                <w:szCs w:val="21"/>
                <w:highlight w:val="none"/>
                <w:lang w:val="en-US" w:eastAsia="zh-CN"/>
              </w:rPr>
              <w:t>141961.528</w:t>
            </w:r>
          </w:p>
        </w:tc>
        <w:tc>
          <w:tcPr>
            <w:tcW w:w="872" w:type="pct"/>
            <w:tcBorders>
              <w:tl2br w:val="nil"/>
              <w:tr2bl w:val="nil"/>
            </w:tcBorders>
            <w:noWrap w:val="0"/>
            <w:vAlign w:val="center"/>
          </w:tcPr>
          <w:p>
            <w:pPr>
              <w:widowControl w:val="0"/>
              <w:spacing w:line="360" w:lineRule="exact"/>
              <w:ind w:firstLine="0" w:firstLineChars="0"/>
              <w:jc w:val="center"/>
              <w:rPr>
                <w:rFonts w:hint="default" w:cs="Times New Roman"/>
                <w:b w:val="0"/>
                <w:bCs w:val="0"/>
                <w:color w:val="auto"/>
                <w:sz w:val="21"/>
                <w:szCs w:val="21"/>
                <w:highlight w:val="none"/>
                <w:lang w:val="en-US" w:eastAsia="zh-CN"/>
              </w:rPr>
            </w:pPr>
            <w:r>
              <w:rPr>
                <w:rFonts w:hint="default" w:cs="Times New Roman"/>
                <w:b w:val="0"/>
                <w:bCs w:val="0"/>
                <w:color w:val="auto"/>
                <w:sz w:val="21"/>
                <w:szCs w:val="21"/>
                <w:highlight w:val="none"/>
                <w:lang w:val="en-US" w:eastAsia="zh-CN"/>
              </w:rPr>
              <w:t>170252.728</w:t>
            </w:r>
          </w:p>
        </w:tc>
        <w:tc>
          <w:tcPr>
            <w:tcW w:w="648" w:type="pct"/>
            <w:tcBorders>
              <w:tl2br w:val="nil"/>
              <w:tr2bl w:val="nil"/>
            </w:tcBorders>
            <w:noWrap w:val="0"/>
            <w:vAlign w:val="center"/>
          </w:tcPr>
          <w:p>
            <w:pPr>
              <w:widowControl w:val="0"/>
              <w:spacing w:line="360" w:lineRule="exact"/>
              <w:ind w:firstLine="0" w:firstLineChars="0"/>
              <w:jc w:val="center"/>
              <w:rPr>
                <w:rFonts w:hint="default" w:cs="Times New Roman"/>
                <w:b w:val="0"/>
                <w:bCs w:val="0"/>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096" w:type="pct"/>
            <w:gridSpan w:val="2"/>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hint="eastAsia"/>
                <w:b w:val="0"/>
                <w:bCs/>
                <w:color w:val="auto"/>
                <w:sz w:val="21"/>
                <w:szCs w:val="21"/>
                <w:highlight w:val="none"/>
                <w:u w:val="none"/>
                <w:lang w:val="en-US" w:eastAsia="zh-CN"/>
              </w:rPr>
              <w:t>生猪</w:t>
            </w:r>
            <w:r>
              <w:rPr>
                <w:rFonts w:hint="eastAsia" w:ascii="Times New Roman" w:hAnsi="Times New Roman"/>
                <w:b w:val="0"/>
                <w:bCs/>
                <w:color w:val="auto"/>
                <w:sz w:val="21"/>
                <w:szCs w:val="21"/>
                <w:highlight w:val="none"/>
                <w:u w:val="none"/>
                <w:lang w:val="en-US" w:eastAsia="zh-CN"/>
              </w:rPr>
              <w:t>用水合计</w:t>
            </w:r>
            <w:r>
              <w:rPr>
                <w:rFonts w:ascii="Times New Roman" w:hAnsi="Times New Roman"/>
                <w:b w:val="0"/>
                <w:bCs/>
                <w:color w:val="auto"/>
                <w:sz w:val="21"/>
                <w:szCs w:val="21"/>
                <w:highlight w:val="none"/>
                <w:u w:val="none"/>
              </w:rPr>
              <w:t>（m</w:t>
            </w:r>
            <w:r>
              <w:rPr>
                <w:rFonts w:ascii="Times New Roman" w:hAnsi="Times New Roman"/>
                <w:b w:val="0"/>
                <w:bCs/>
                <w:color w:val="auto"/>
                <w:sz w:val="21"/>
                <w:szCs w:val="21"/>
                <w:highlight w:val="none"/>
                <w:u w:val="none"/>
                <w:vertAlign w:val="superscript"/>
              </w:rPr>
              <w:t>3</w:t>
            </w:r>
            <w:r>
              <w:rPr>
                <w:rFonts w:ascii="Times New Roman" w:hAnsi="Times New Roman"/>
                <w:b w:val="0"/>
                <w:bCs/>
                <w:color w:val="auto"/>
                <w:sz w:val="21"/>
                <w:szCs w:val="21"/>
                <w:highlight w:val="none"/>
                <w:u w:val="none"/>
              </w:rPr>
              <w:t>/a）</w:t>
            </w:r>
          </w:p>
        </w:tc>
        <w:tc>
          <w:tcPr>
            <w:tcW w:w="679"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color w:val="auto"/>
                <w:sz w:val="21"/>
                <w:szCs w:val="21"/>
                <w:highlight w:val="none"/>
                <w:lang w:val="en-US" w:eastAsia="zh-CN"/>
              </w:rPr>
            </w:pPr>
            <w:r>
              <w:rPr>
                <w:rFonts w:hint="default" w:cs="Times New Roman"/>
                <w:b w:val="0"/>
                <w:bCs w:val="0"/>
                <w:color w:val="auto"/>
                <w:sz w:val="21"/>
                <w:szCs w:val="21"/>
                <w:highlight w:val="none"/>
                <w:lang w:val="en-US" w:eastAsia="zh-CN"/>
              </w:rPr>
              <w:t>/</w:t>
            </w:r>
          </w:p>
        </w:tc>
        <w:tc>
          <w:tcPr>
            <w:tcW w:w="702"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color w:val="auto"/>
                <w:sz w:val="21"/>
                <w:szCs w:val="21"/>
                <w:highlight w:val="none"/>
                <w:lang w:val="en-US" w:eastAsia="zh-CN"/>
              </w:rPr>
            </w:pPr>
            <w:r>
              <w:rPr>
                <w:rFonts w:hint="default" w:cs="Times New Roman"/>
                <w:b w:val="0"/>
                <w:bCs w:val="0"/>
                <w:color w:val="auto"/>
                <w:sz w:val="21"/>
                <w:szCs w:val="21"/>
                <w:highlight w:val="none"/>
                <w:lang w:val="en-US" w:eastAsia="zh-CN"/>
              </w:rPr>
              <w:t>/</w:t>
            </w:r>
          </w:p>
        </w:tc>
        <w:tc>
          <w:tcPr>
            <w:tcW w:w="872" w:type="pct"/>
            <w:tcBorders>
              <w:tl2br w:val="nil"/>
              <w:tr2bl w:val="nil"/>
            </w:tcBorders>
            <w:noWrap w:val="0"/>
            <w:vAlign w:val="center"/>
          </w:tcPr>
          <w:p>
            <w:pPr>
              <w:widowControl w:val="0"/>
              <w:spacing w:line="360" w:lineRule="exact"/>
              <w:ind w:firstLine="0" w:firstLineChars="0"/>
              <w:jc w:val="center"/>
              <w:rPr>
                <w:rFonts w:hint="default" w:cs="Times New Roman"/>
                <w:b w:val="0"/>
                <w:bCs w:val="0"/>
                <w:color w:val="auto"/>
                <w:sz w:val="21"/>
                <w:szCs w:val="21"/>
                <w:highlight w:val="none"/>
                <w:lang w:val="en-US" w:eastAsia="zh-CN"/>
              </w:rPr>
            </w:pPr>
            <w:r>
              <w:rPr>
                <w:rFonts w:hint="default" w:cs="Times New Roman"/>
                <w:b w:val="0"/>
                <w:bCs w:val="0"/>
                <w:color w:val="auto"/>
                <w:sz w:val="21"/>
                <w:szCs w:val="21"/>
                <w:highlight w:val="none"/>
                <w:lang w:val="en-US" w:eastAsia="zh-CN"/>
              </w:rPr>
              <w:t>170252.728</w:t>
            </w:r>
          </w:p>
        </w:tc>
        <w:tc>
          <w:tcPr>
            <w:tcW w:w="648"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cs="Times New Roman"/>
                <w:b w:val="0"/>
                <w:bCs w:val="0"/>
                <w:color w:val="auto"/>
                <w:sz w:val="21"/>
                <w:szCs w:val="21"/>
                <w:highlight w:val="none"/>
                <w:lang w:val="en-US" w:eastAsia="zh-CN"/>
              </w:rPr>
            </w:pPr>
          </w:p>
        </w:tc>
      </w:tr>
    </w:tbl>
    <w:p>
      <w:pPr>
        <w:pStyle w:val="40"/>
        <w:rPr>
          <w:rFonts w:hint="eastAsia" w:cs="Times New Roman"/>
          <w:color w:val="auto"/>
          <w:highlight w:val="none"/>
        </w:rPr>
      </w:pPr>
      <w:r>
        <w:rPr>
          <w:rFonts w:hint="eastAsia" w:cs="Times New Roman"/>
          <w:color w:val="auto"/>
          <w:highlight w:val="none"/>
        </w:rPr>
        <w:t>表2</w:t>
      </w:r>
      <w:r>
        <w:rPr>
          <w:rFonts w:hint="eastAsia" w:cs="Times New Roman"/>
          <w:color w:val="auto"/>
          <w:highlight w:val="none"/>
          <w:lang w:val="en-US" w:eastAsia="zh-CN"/>
        </w:rPr>
        <w:t>.5</w:t>
      </w:r>
      <w:r>
        <w:rPr>
          <w:rFonts w:hint="eastAsia" w:cs="Times New Roman"/>
          <w:color w:val="auto"/>
          <w:highlight w:val="none"/>
        </w:rPr>
        <w:t>-</w:t>
      </w:r>
      <w:r>
        <w:rPr>
          <w:rFonts w:hint="eastAsia" w:cs="Times New Roman"/>
          <w:color w:val="auto"/>
          <w:highlight w:val="none"/>
          <w:lang w:val="en-US" w:eastAsia="zh-CN"/>
        </w:rPr>
        <w:t>2</w:t>
      </w:r>
      <w:r>
        <w:rPr>
          <w:rFonts w:hint="eastAsia" w:cs="Times New Roman"/>
          <w:color w:val="auto"/>
          <w:highlight w:val="none"/>
        </w:rPr>
        <w:t xml:space="preserve"> 项目养殖过程</w:t>
      </w:r>
      <w:r>
        <w:rPr>
          <w:rFonts w:hint="eastAsia" w:cs="Times New Roman"/>
          <w:color w:val="auto"/>
          <w:highlight w:val="none"/>
          <w:lang w:eastAsia="zh-CN"/>
        </w:rPr>
        <w:t>猪舍冲洗</w:t>
      </w:r>
      <w:r>
        <w:rPr>
          <w:rFonts w:hint="eastAsia" w:cs="Times New Roman"/>
          <w:color w:val="auto"/>
          <w:highlight w:val="none"/>
        </w:rPr>
        <w:t>用水</w:t>
      </w:r>
      <w:r>
        <w:rPr>
          <w:rFonts w:hint="eastAsia" w:cs="Times New Roman"/>
          <w:color w:val="auto"/>
          <w:highlight w:val="none"/>
          <w:lang w:eastAsia="zh-CN"/>
        </w:rPr>
        <w:t>一览</w:t>
      </w:r>
      <w:r>
        <w:rPr>
          <w:rFonts w:hint="eastAsia" w:cs="Times New Roman"/>
          <w:color w:val="auto"/>
          <w:highlight w:val="none"/>
        </w:rPr>
        <w:t>表</w:t>
      </w:r>
    </w:p>
    <w:tbl>
      <w:tblPr>
        <w:tblStyle w:val="24"/>
        <w:tblW w:w="507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38"/>
        <w:gridCol w:w="2429"/>
        <w:gridCol w:w="1327"/>
        <w:gridCol w:w="1974"/>
        <w:gridCol w:w="12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tblHeader/>
          <w:jc w:val="center"/>
        </w:trPr>
        <w:tc>
          <w:tcPr>
            <w:tcW w:w="2378" w:type="pct"/>
            <w:gridSpan w:val="2"/>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种类</w:t>
            </w:r>
          </w:p>
        </w:tc>
        <w:tc>
          <w:tcPr>
            <w:tcW w:w="757"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保育</w:t>
            </w:r>
            <w:r>
              <w:rPr>
                <w:rFonts w:hint="eastAsia" w:cs="Times New Roman"/>
                <w:b w:val="0"/>
                <w:bCs w:val="0"/>
                <w:color w:val="auto"/>
                <w:sz w:val="21"/>
                <w:szCs w:val="21"/>
                <w:highlight w:val="none"/>
                <w:lang w:eastAsia="zh-CN"/>
              </w:rPr>
              <w:t>育肥一体</w:t>
            </w:r>
            <w:r>
              <w:rPr>
                <w:rFonts w:ascii="Times New Roman" w:hAnsi="Times New Roman" w:cs="Times New Roman"/>
                <w:b w:val="0"/>
                <w:bCs w:val="0"/>
                <w:color w:val="auto"/>
                <w:sz w:val="21"/>
                <w:szCs w:val="21"/>
                <w:highlight w:val="none"/>
              </w:rPr>
              <w:t>舍</w:t>
            </w:r>
          </w:p>
        </w:tc>
        <w:tc>
          <w:tcPr>
            <w:tcW w:w="1126"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合计</w:t>
            </w:r>
          </w:p>
        </w:tc>
        <w:tc>
          <w:tcPr>
            <w:tcW w:w="737"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378" w:type="pct"/>
            <w:gridSpan w:val="2"/>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单元个数</w:t>
            </w:r>
          </w:p>
        </w:tc>
        <w:tc>
          <w:tcPr>
            <w:tcW w:w="757"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124</w:t>
            </w:r>
          </w:p>
        </w:tc>
        <w:tc>
          <w:tcPr>
            <w:tcW w:w="1126"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124</w:t>
            </w:r>
          </w:p>
        </w:tc>
        <w:tc>
          <w:tcPr>
            <w:tcW w:w="737" w:type="pct"/>
            <w:tcBorders>
              <w:tl2br w:val="nil"/>
              <w:tr2bl w:val="nil"/>
            </w:tcBorders>
            <w:noWrap w:val="0"/>
            <w:vAlign w:val="center"/>
          </w:tcPr>
          <w:p>
            <w:pPr>
              <w:widowControl w:val="0"/>
              <w:spacing w:line="360" w:lineRule="exact"/>
              <w:ind w:firstLine="0" w:firstLineChars="0"/>
              <w:jc w:val="center"/>
              <w:rPr>
                <w:rFonts w:hint="eastAsia" w:cs="Times New Roman"/>
                <w:b w:val="0"/>
                <w:bCs w:val="0"/>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378" w:type="pct"/>
            <w:gridSpan w:val="2"/>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清圈周期（d）</w:t>
            </w:r>
          </w:p>
        </w:tc>
        <w:tc>
          <w:tcPr>
            <w:tcW w:w="757"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141</w:t>
            </w:r>
          </w:p>
        </w:tc>
        <w:tc>
          <w:tcPr>
            <w:tcW w:w="1126"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w:t>
            </w:r>
          </w:p>
        </w:tc>
        <w:tc>
          <w:tcPr>
            <w:tcW w:w="73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378" w:type="pct"/>
            <w:gridSpan w:val="2"/>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清圈次数（次/a）</w:t>
            </w:r>
          </w:p>
        </w:tc>
        <w:tc>
          <w:tcPr>
            <w:tcW w:w="757"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2.5</w:t>
            </w:r>
          </w:p>
        </w:tc>
        <w:tc>
          <w:tcPr>
            <w:tcW w:w="1126"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w:t>
            </w:r>
          </w:p>
        </w:tc>
        <w:tc>
          <w:tcPr>
            <w:tcW w:w="73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92" w:type="pct"/>
            <w:vMerge w:val="restar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猪舍冲洗水</w:t>
            </w:r>
          </w:p>
        </w:tc>
        <w:tc>
          <w:tcPr>
            <w:tcW w:w="1386"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（m</w:t>
            </w:r>
            <w:r>
              <w:rPr>
                <w:rFonts w:ascii="Times New Roman" w:hAnsi="Times New Roman" w:cs="Times New Roman"/>
                <w:b w:val="0"/>
                <w:bCs w:val="0"/>
                <w:color w:val="auto"/>
                <w:sz w:val="21"/>
                <w:szCs w:val="21"/>
                <w:highlight w:val="none"/>
                <w:vertAlign w:val="superscript"/>
              </w:rPr>
              <w:t>3</w:t>
            </w:r>
            <w:r>
              <w:rPr>
                <w:rFonts w:ascii="Times New Roman" w:hAnsi="Times New Roman" w:cs="Times New Roman"/>
                <w:b w:val="0"/>
                <w:bCs w:val="0"/>
                <w:color w:val="auto"/>
                <w:sz w:val="21"/>
                <w:szCs w:val="21"/>
                <w:highlight w:val="none"/>
              </w:rPr>
              <w:t>/次·单元）</w:t>
            </w:r>
          </w:p>
        </w:tc>
        <w:tc>
          <w:tcPr>
            <w:tcW w:w="757"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18</w:t>
            </w:r>
          </w:p>
        </w:tc>
        <w:tc>
          <w:tcPr>
            <w:tcW w:w="1126"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w:t>
            </w:r>
          </w:p>
        </w:tc>
        <w:tc>
          <w:tcPr>
            <w:tcW w:w="73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92" w:type="pct"/>
            <w:vMerge w:val="continue"/>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p>
        </w:tc>
        <w:tc>
          <w:tcPr>
            <w:tcW w:w="1386"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总用水量（m</w:t>
            </w:r>
            <w:r>
              <w:rPr>
                <w:rFonts w:ascii="Times New Roman" w:hAnsi="Times New Roman" w:cs="Times New Roman"/>
                <w:b w:val="0"/>
                <w:bCs w:val="0"/>
                <w:color w:val="auto"/>
                <w:sz w:val="21"/>
                <w:szCs w:val="21"/>
                <w:highlight w:val="none"/>
                <w:vertAlign w:val="superscript"/>
              </w:rPr>
              <w:t>3</w:t>
            </w:r>
            <w:r>
              <w:rPr>
                <w:rFonts w:ascii="Times New Roman" w:hAnsi="Times New Roman" w:cs="Times New Roman"/>
                <w:b w:val="0"/>
                <w:bCs w:val="0"/>
                <w:color w:val="auto"/>
                <w:sz w:val="21"/>
                <w:szCs w:val="21"/>
                <w:highlight w:val="none"/>
              </w:rPr>
              <w:t>/a）</w:t>
            </w:r>
          </w:p>
        </w:tc>
        <w:tc>
          <w:tcPr>
            <w:tcW w:w="757"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5580</w:t>
            </w:r>
          </w:p>
        </w:tc>
        <w:tc>
          <w:tcPr>
            <w:tcW w:w="1126"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5580</w:t>
            </w:r>
          </w:p>
        </w:tc>
        <w:tc>
          <w:tcPr>
            <w:tcW w:w="737"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378" w:type="pct"/>
            <w:gridSpan w:val="2"/>
            <w:tcBorders>
              <w:tl2br w:val="nil"/>
              <w:tr2bl w:val="nil"/>
            </w:tcBorders>
            <w:noWrap w:val="0"/>
            <w:vAlign w:val="center"/>
          </w:tcPr>
          <w:p>
            <w:pPr>
              <w:widowControl w:val="0"/>
              <w:spacing w:line="360" w:lineRule="exact"/>
              <w:ind w:firstLine="0" w:firstLineChars="0"/>
              <w:jc w:val="center"/>
              <w:rPr>
                <w:rFonts w:ascii="Times New Roman" w:hAnsi="Times New Roman" w:cs="Times New Roman"/>
                <w:b w:val="0"/>
                <w:bCs w:val="0"/>
                <w:color w:val="auto"/>
                <w:sz w:val="21"/>
                <w:szCs w:val="21"/>
                <w:highlight w:val="none"/>
              </w:rPr>
            </w:pPr>
            <w:r>
              <w:rPr>
                <w:rFonts w:hint="eastAsia" w:ascii="Times New Roman" w:hAnsi="Times New Roman"/>
                <w:b w:val="0"/>
                <w:bCs/>
                <w:color w:val="auto"/>
                <w:sz w:val="21"/>
                <w:szCs w:val="21"/>
                <w:highlight w:val="none"/>
                <w:u w:val="none"/>
                <w:lang w:val="en-US" w:eastAsia="zh-CN"/>
              </w:rPr>
              <w:t>猪舍用水合计</w:t>
            </w:r>
            <w:r>
              <w:rPr>
                <w:rFonts w:ascii="Times New Roman" w:hAnsi="Times New Roman"/>
                <w:b w:val="0"/>
                <w:bCs/>
                <w:color w:val="auto"/>
                <w:sz w:val="21"/>
                <w:szCs w:val="21"/>
                <w:highlight w:val="none"/>
                <w:u w:val="none"/>
              </w:rPr>
              <w:t>（m</w:t>
            </w:r>
            <w:r>
              <w:rPr>
                <w:rFonts w:ascii="Times New Roman" w:hAnsi="Times New Roman"/>
                <w:b w:val="0"/>
                <w:bCs/>
                <w:color w:val="auto"/>
                <w:sz w:val="21"/>
                <w:szCs w:val="21"/>
                <w:highlight w:val="none"/>
                <w:u w:val="none"/>
                <w:vertAlign w:val="superscript"/>
              </w:rPr>
              <w:t>3</w:t>
            </w:r>
            <w:r>
              <w:rPr>
                <w:rFonts w:ascii="Times New Roman" w:hAnsi="Times New Roman"/>
                <w:b w:val="0"/>
                <w:bCs/>
                <w:color w:val="auto"/>
                <w:sz w:val="21"/>
                <w:szCs w:val="21"/>
                <w:highlight w:val="none"/>
                <w:u w:val="none"/>
              </w:rPr>
              <w:t>/a）</w:t>
            </w:r>
          </w:p>
        </w:tc>
        <w:tc>
          <w:tcPr>
            <w:tcW w:w="757" w:type="pct"/>
            <w:tcBorders>
              <w:tl2br w:val="nil"/>
              <w:tr2bl w:val="nil"/>
            </w:tcBorders>
            <w:noWrap w:val="0"/>
            <w:tcMar>
              <w:top w:w="0" w:type="dxa"/>
              <w:left w:w="0" w:type="dxa"/>
              <w:bottom w:w="0" w:type="dxa"/>
              <w:right w:w="0" w:type="dxa"/>
            </w:tcMar>
            <w:vAlign w:val="center"/>
          </w:tcPr>
          <w:p>
            <w:pPr>
              <w:widowControl w:val="0"/>
              <w:spacing w:line="360" w:lineRule="exact"/>
              <w:ind w:firstLine="0" w:firstLineChars="0"/>
              <w:jc w:val="center"/>
              <w:rPr>
                <w:rFonts w:hint="default" w:cs="Times New Roman"/>
                <w:b w:val="0"/>
                <w:bCs w:val="0"/>
                <w:color w:val="auto"/>
                <w:sz w:val="21"/>
                <w:szCs w:val="21"/>
                <w:highlight w:val="none"/>
                <w:lang w:val="en-US" w:eastAsia="zh-CN"/>
              </w:rPr>
            </w:pPr>
            <w:r>
              <w:rPr>
                <w:rFonts w:hint="default" w:cs="Times New Roman"/>
                <w:b w:val="0"/>
                <w:bCs w:val="0"/>
                <w:color w:val="auto"/>
                <w:sz w:val="21"/>
                <w:szCs w:val="21"/>
                <w:highlight w:val="none"/>
                <w:lang w:val="en-US" w:eastAsia="zh-CN"/>
              </w:rPr>
              <w:t>/</w:t>
            </w:r>
          </w:p>
        </w:tc>
        <w:tc>
          <w:tcPr>
            <w:tcW w:w="1126" w:type="pct"/>
            <w:tcBorders>
              <w:tl2br w:val="nil"/>
              <w:tr2bl w:val="nil"/>
            </w:tcBorders>
            <w:noWrap w:val="0"/>
            <w:vAlign w:val="center"/>
          </w:tcPr>
          <w:p>
            <w:pPr>
              <w:widowControl w:val="0"/>
              <w:spacing w:line="360" w:lineRule="exact"/>
              <w:ind w:firstLine="0" w:firstLineChars="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5580</w:t>
            </w:r>
          </w:p>
        </w:tc>
        <w:tc>
          <w:tcPr>
            <w:tcW w:w="737"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cs="Times New Roman"/>
                <w:b w:val="0"/>
                <w:bCs w:val="0"/>
                <w:color w:val="auto"/>
                <w:sz w:val="21"/>
                <w:szCs w:val="21"/>
                <w:highlight w:val="none"/>
                <w:lang w:val="en-US" w:eastAsia="zh-CN"/>
              </w:rPr>
            </w:pPr>
          </w:p>
        </w:tc>
      </w:tr>
    </w:tbl>
    <w:p>
      <w:pPr>
        <w:pStyle w:val="2"/>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eastAsia" w:eastAsia="宋体" w:cs="Times New Roman"/>
          <w:color w:val="auto"/>
          <w:highlight w:val="none"/>
          <w:lang w:val="en-US" w:eastAsia="zh-CN"/>
        </w:rPr>
      </w:pPr>
      <w:r>
        <w:rPr>
          <w:rFonts w:ascii="Times New Roman" w:hAnsi="Times New Roman"/>
          <w:color w:val="auto"/>
          <w:sz w:val="24"/>
          <w:szCs w:val="24"/>
          <w:highlight w:val="none"/>
        </w:rPr>
        <w:t>经计算，项目养殖过程用水总用水量为</w:t>
      </w:r>
      <w:r>
        <w:rPr>
          <w:rFonts w:hint="eastAsia"/>
          <w:color w:val="auto"/>
          <w:sz w:val="24"/>
          <w:szCs w:val="24"/>
          <w:highlight w:val="none"/>
          <w:lang w:val="en-US" w:eastAsia="zh-CN"/>
        </w:rPr>
        <w:t>175832.728</w:t>
      </w:r>
      <w:r>
        <w:rPr>
          <w:rFonts w:ascii="Times New Roman" w:hAnsi="Times New Roman"/>
          <w:color w:val="auto"/>
          <w:sz w:val="24"/>
          <w:szCs w:val="24"/>
          <w:highlight w:val="none"/>
        </w:rPr>
        <w:t>m</w:t>
      </w:r>
      <w:r>
        <w:rPr>
          <w:rFonts w:ascii="Times New Roman" w:hAnsi="Times New Roman"/>
          <w:color w:val="auto"/>
          <w:sz w:val="24"/>
          <w:szCs w:val="24"/>
          <w:highlight w:val="none"/>
          <w:vertAlign w:val="superscript"/>
        </w:rPr>
        <w:t>3</w:t>
      </w:r>
      <w:r>
        <w:rPr>
          <w:rFonts w:ascii="Times New Roman" w:hAnsi="Times New Roman"/>
          <w:color w:val="auto"/>
          <w:sz w:val="24"/>
          <w:szCs w:val="24"/>
          <w:highlight w:val="none"/>
        </w:rPr>
        <w:t>/a</w:t>
      </w:r>
      <w:r>
        <w:rPr>
          <w:rFonts w:hint="eastAsia"/>
          <w:color w:val="auto"/>
          <w:sz w:val="24"/>
          <w:szCs w:val="24"/>
          <w:highlight w:val="none"/>
          <w:lang w:eastAsia="zh-CN"/>
        </w:rPr>
        <w: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ascii="Times New Roman" w:hAnsi="Times New Roman"/>
          <w:color w:val="auto"/>
          <w:sz w:val="24"/>
          <w:highlight w:val="none"/>
        </w:rPr>
      </w:pPr>
      <w:r>
        <w:rPr>
          <w:rFonts w:ascii="Times New Roman" w:hAnsi="Times New Roman"/>
          <w:color w:val="auto"/>
          <w:sz w:val="24"/>
          <w:szCs w:val="24"/>
          <w:highlight w:val="none"/>
        </w:rPr>
        <w:t>夏季</w:t>
      </w:r>
      <w:r>
        <w:rPr>
          <w:rFonts w:ascii="Times New Roman" w:hAnsi="Times New Roman"/>
          <w:color w:val="auto"/>
          <w:sz w:val="24"/>
          <w:highlight w:val="none"/>
        </w:rPr>
        <w:t>猪舍降温喷雾降温用水</w:t>
      </w:r>
    </w:p>
    <w:p>
      <w:pPr>
        <w:keepNext w:val="0"/>
        <w:keepLines w:val="0"/>
        <w:pageBreakBefore w:val="0"/>
        <w:widowControl/>
        <w:kinsoku/>
        <w:wordWrap/>
        <w:overflowPunct/>
        <w:topLinePunct/>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hint="eastAsia" w:ascii="Times New Roman" w:hAnsi="Times New Roman"/>
          <w:color w:val="auto"/>
          <w:sz w:val="24"/>
          <w:szCs w:val="24"/>
          <w:highlight w:val="none"/>
        </w:rPr>
        <w:t>根据建设单位提供的资料，</w:t>
      </w:r>
      <w:r>
        <w:rPr>
          <w:rFonts w:hint="eastAsia"/>
          <w:color w:val="auto"/>
          <w:sz w:val="24"/>
          <w:szCs w:val="24"/>
          <w:highlight w:val="none"/>
          <w:lang w:eastAsia="zh-CN"/>
        </w:rPr>
        <w:t>项目保育育肥一体舍</w:t>
      </w:r>
      <w:r>
        <w:rPr>
          <w:rFonts w:ascii="Times New Roman" w:hAnsi="Times New Roman"/>
          <w:color w:val="auto"/>
          <w:sz w:val="24"/>
          <w:szCs w:val="24"/>
          <w:highlight w:val="none"/>
        </w:rPr>
        <w:t>夏季采用喷雾降温</w:t>
      </w:r>
      <w:r>
        <w:rPr>
          <w:rFonts w:hint="eastAsia"/>
          <w:color w:val="auto"/>
          <w:sz w:val="24"/>
          <w:szCs w:val="24"/>
          <w:highlight w:val="none"/>
          <w:lang w:eastAsia="zh-CN"/>
        </w:rPr>
        <w:t>，降温喷淋时间为</w:t>
      </w:r>
      <w:r>
        <w:rPr>
          <w:rFonts w:hint="eastAsia"/>
          <w:color w:val="auto"/>
          <w:sz w:val="24"/>
          <w:szCs w:val="24"/>
          <w:highlight w:val="none"/>
          <w:lang w:val="en-US" w:eastAsia="zh-CN"/>
        </w:rPr>
        <w:t>60天</w:t>
      </w:r>
      <w:r>
        <w:rPr>
          <w:rFonts w:ascii="Times New Roman" w:hAnsi="Times New Roman"/>
          <w:color w:val="auto"/>
          <w:sz w:val="24"/>
          <w:szCs w:val="24"/>
          <w:highlight w:val="none"/>
        </w:rPr>
        <w:t>。本工程</w:t>
      </w:r>
      <w:r>
        <w:rPr>
          <w:rFonts w:hint="eastAsia"/>
          <w:color w:val="auto"/>
          <w:sz w:val="24"/>
          <w:szCs w:val="24"/>
          <w:highlight w:val="none"/>
          <w:lang w:eastAsia="zh-CN"/>
        </w:rPr>
        <w:t>保育育肥一体舍</w:t>
      </w:r>
      <w:r>
        <w:rPr>
          <w:rFonts w:hint="eastAsia"/>
          <w:color w:val="auto"/>
          <w:sz w:val="24"/>
          <w:szCs w:val="24"/>
          <w:highlight w:val="none"/>
          <w:lang w:val="en-US" w:eastAsia="zh-CN"/>
        </w:rPr>
        <w:t>124个，</w:t>
      </w:r>
      <w:r>
        <w:rPr>
          <w:rFonts w:ascii="Times New Roman" w:hAnsi="Times New Roman"/>
          <w:color w:val="auto"/>
          <w:sz w:val="24"/>
          <w:highlight w:val="none"/>
        </w:rPr>
        <w:t>喷雾用水量按0.198m</w:t>
      </w:r>
      <w:r>
        <w:rPr>
          <w:rFonts w:ascii="Times New Roman" w:hAnsi="Times New Roman"/>
          <w:color w:val="auto"/>
          <w:sz w:val="24"/>
          <w:highlight w:val="none"/>
          <w:vertAlign w:val="superscript"/>
        </w:rPr>
        <w:t>3</w:t>
      </w:r>
      <w:r>
        <w:rPr>
          <w:rFonts w:ascii="Times New Roman" w:hAnsi="Times New Roman"/>
          <w:color w:val="auto"/>
          <w:sz w:val="24"/>
          <w:highlight w:val="none"/>
        </w:rPr>
        <w:t>/（d•</w:t>
      </w:r>
      <w:r>
        <w:rPr>
          <w:rFonts w:hint="eastAsia"/>
          <w:color w:val="auto"/>
          <w:sz w:val="24"/>
          <w:highlight w:val="none"/>
          <w:lang w:eastAsia="zh-CN"/>
        </w:rPr>
        <w:t>栋</w:t>
      </w:r>
      <w:r>
        <w:rPr>
          <w:rFonts w:ascii="Times New Roman" w:hAnsi="Times New Roman"/>
          <w:color w:val="auto"/>
          <w:sz w:val="24"/>
          <w:highlight w:val="none"/>
        </w:rPr>
        <w:t>）计，则用水量为</w:t>
      </w:r>
      <w:r>
        <w:rPr>
          <w:rFonts w:hint="eastAsia"/>
          <w:color w:val="auto"/>
          <w:sz w:val="24"/>
          <w:highlight w:val="none"/>
          <w:lang w:val="en-US" w:eastAsia="zh-CN"/>
        </w:rPr>
        <w:t>24.552</w:t>
      </w:r>
      <w:r>
        <w:rPr>
          <w:rFonts w:ascii="Times New Roman" w:hAnsi="Times New Roman"/>
          <w:color w:val="auto"/>
          <w:sz w:val="24"/>
          <w:highlight w:val="none"/>
        </w:rPr>
        <w:t>m</w:t>
      </w:r>
      <w:r>
        <w:rPr>
          <w:rFonts w:ascii="Times New Roman" w:hAnsi="Times New Roman"/>
          <w:color w:val="auto"/>
          <w:sz w:val="24"/>
          <w:highlight w:val="none"/>
          <w:vertAlign w:val="superscript"/>
        </w:rPr>
        <w:t>3</w:t>
      </w:r>
      <w:r>
        <w:rPr>
          <w:rFonts w:ascii="Times New Roman" w:hAnsi="Times New Roman"/>
          <w:color w:val="auto"/>
          <w:sz w:val="24"/>
          <w:highlight w:val="none"/>
        </w:rPr>
        <w:t>/d，</w:t>
      </w:r>
      <w:r>
        <w:rPr>
          <w:rFonts w:hint="eastAsia"/>
          <w:color w:val="auto"/>
          <w:sz w:val="24"/>
          <w:highlight w:val="none"/>
          <w:lang w:eastAsia="zh-CN"/>
        </w:rPr>
        <w:t>则夏季猪舍降温用水量为</w:t>
      </w:r>
      <w:r>
        <w:rPr>
          <w:rFonts w:hint="eastAsia"/>
          <w:color w:val="auto"/>
          <w:sz w:val="24"/>
          <w:highlight w:val="none"/>
          <w:lang w:val="en-US" w:eastAsia="zh-CN"/>
        </w:rPr>
        <w:t>1473.12</w:t>
      </w:r>
      <w:r>
        <w:rPr>
          <w:rFonts w:ascii="Times New Roman" w:hAnsi="Times New Roman"/>
          <w:color w:val="auto"/>
          <w:sz w:val="24"/>
          <w:highlight w:val="none"/>
        </w:rPr>
        <w:t>m</w:t>
      </w:r>
      <w:r>
        <w:rPr>
          <w:rFonts w:ascii="Times New Roman" w:hAnsi="Times New Roman"/>
          <w:color w:val="auto"/>
          <w:sz w:val="24"/>
          <w:highlight w:val="none"/>
          <w:vertAlign w:val="superscript"/>
        </w:rPr>
        <w:t>3</w:t>
      </w:r>
      <w:r>
        <w:rPr>
          <w:rFonts w:hint="eastAsia"/>
          <w:color w:val="auto"/>
          <w:sz w:val="24"/>
          <w:highlight w:val="none"/>
          <w:lang w:eastAsia="zh-CN"/>
        </w:rPr>
        <w:t>。</w:t>
      </w:r>
      <w:r>
        <w:rPr>
          <w:rFonts w:ascii="Times New Roman" w:hAnsi="Times New Roman"/>
          <w:color w:val="auto"/>
          <w:sz w:val="24"/>
          <w:highlight w:val="none"/>
        </w:rPr>
        <w:t>喷雾水全部蒸发，损失量、新鲜水补充量为</w:t>
      </w:r>
      <w:r>
        <w:rPr>
          <w:rFonts w:hint="eastAsia"/>
          <w:color w:val="auto"/>
          <w:sz w:val="24"/>
          <w:highlight w:val="none"/>
          <w:lang w:val="en-US" w:eastAsia="zh-CN"/>
        </w:rPr>
        <w:t>24.552</w:t>
      </w:r>
      <w:r>
        <w:rPr>
          <w:rFonts w:ascii="Times New Roman" w:hAnsi="Times New Roman"/>
          <w:color w:val="auto"/>
          <w:sz w:val="24"/>
          <w:highlight w:val="none"/>
        </w:rPr>
        <w:t>m</w:t>
      </w:r>
      <w:r>
        <w:rPr>
          <w:rFonts w:ascii="Times New Roman" w:hAnsi="Times New Roman"/>
          <w:color w:val="auto"/>
          <w:sz w:val="24"/>
          <w:highlight w:val="none"/>
          <w:vertAlign w:val="superscript"/>
        </w:rPr>
        <w:t>3</w:t>
      </w:r>
      <w:r>
        <w:rPr>
          <w:rFonts w:ascii="Times New Roman" w:hAnsi="Times New Roman"/>
          <w:color w:val="auto"/>
          <w:sz w:val="24"/>
          <w:highlight w:val="none"/>
        </w:rPr>
        <w:t>/d，</w:t>
      </w:r>
      <w:r>
        <w:rPr>
          <w:rFonts w:hint="eastAsia"/>
          <w:color w:val="auto"/>
          <w:sz w:val="24"/>
          <w:highlight w:val="none"/>
          <w:lang w:val="en-US" w:eastAsia="zh-CN"/>
        </w:rPr>
        <w:t>1473.12</w:t>
      </w:r>
      <w:r>
        <w:rPr>
          <w:rFonts w:ascii="Times New Roman" w:hAnsi="Times New Roman"/>
          <w:color w:val="auto"/>
          <w:sz w:val="24"/>
          <w:highlight w:val="none"/>
        </w:rPr>
        <w:t>m</w:t>
      </w:r>
      <w:r>
        <w:rPr>
          <w:rFonts w:ascii="Times New Roman" w:hAnsi="Times New Roman"/>
          <w:color w:val="auto"/>
          <w:sz w:val="24"/>
          <w:highlight w:val="none"/>
          <w:vertAlign w:val="superscript"/>
        </w:rPr>
        <w:t>3</w:t>
      </w:r>
      <w:r>
        <w:rPr>
          <w:rFonts w:ascii="Times New Roman" w:hAnsi="Times New Roman"/>
          <w:color w:val="auto"/>
          <w:sz w:val="24"/>
          <w:highlight w:val="none"/>
        </w:rPr>
        <w:t>/a。</w:t>
      </w:r>
    </w:p>
    <w:p>
      <w:pPr>
        <w:pStyle w:val="37"/>
        <w:keepNext w:val="0"/>
        <w:keepLines w:val="0"/>
        <w:pageBreakBefore w:val="0"/>
        <w:widowControl w:val="0"/>
        <w:numPr>
          <w:ilvl w:val="0"/>
          <w:numId w:val="6"/>
        </w:numPr>
        <w:kinsoku/>
        <w:wordWrap/>
        <w:overflowPunct/>
        <w:topLinePunct w:val="0"/>
        <w:autoSpaceDE w:val="0"/>
        <w:autoSpaceDN w:val="0"/>
        <w:bidi w:val="0"/>
        <w:adjustRightInd/>
        <w:snapToGrid/>
        <w:ind w:left="0" w:leftChars="0" w:firstLine="480" w:firstLineChars="200"/>
        <w:textAlignment w:val="auto"/>
        <w:rPr>
          <w:rFonts w:hint="eastAsia" w:ascii="Times New Roman" w:hAnsi="Times New Roman" w:cs="Times New Roman"/>
          <w:bCs/>
          <w:color w:val="auto"/>
          <w:sz w:val="24"/>
          <w:szCs w:val="28"/>
          <w:highlight w:val="none"/>
          <w:lang w:val="en-US" w:eastAsia="zh-CN"/>
        </w:rPr>
      </w:pPr>
      <w:r>
        <w:rPr>
          <w:rFonts w:hint="eastAsia" w:ascii="Times New Roman" w:hAnsi="Times New Roman" w:cs="Times New Roman"/>
          <w:bCs/>
          <w:color w:val="auto"/>
          <w:sz w:val="24"/>
          <w:szCs w:val="28"/>
          <w:highlight w:val="none"/>
          <w:lang w:val="en-US" w:eastAsia="zh-CN"/>
        </w:rPr>
        <w:t>无害化处理车间用水</w:t>
      </w:r>
    </w:p>
    <w:p>
      <w:pPr>
        <w:pStyle w:val="2"/>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olor w:val="auto"/>
          <w:highlight w:val="none"/>
          <w:lang w:val="en-US" w:eastAsia="zh-CN"/>
        </w:rPr>
      </w:pPr>
      <w:r>
        <w:rPr>
          <w:rFonts w:hint="default" w:ascii="Times New Roman" w:hAnsi="Times New Roman" w:eastAsia="宋体" w:cstheme="minorBidi"/>
          <w:color w:val="auto"/>
          <w:kern w:val="2"/>
          <w:sz w:val="24"/>
          <w:szCs w:val="24"/>
          <w:highlight w:val="none"/>
          <w:lang w:val="en-US" w:eastAsia="zh-CN" w:bidi="ar-SA"/>
        </w:rPr>
        <w:t>本项目</w:t>
      </w:r>
      <w:r>
        <w:rPr>
          <w:rFonts w:hint="eastAsia" w:cstheme="minorBidi"/>
          <w:color w:val="auto"/>
          <w:kern w:val="2"/>
          <w:sz w:val="24"/>
          <w:szCs w:val="24"/>
          <w:highlight w:val="none"/>
          <w:lang w:val="en-US" w:eastAsia="zh-CN" w:bidi="ar-SA"/>
        </w:rPr>
        <w:t>无害化处理车间</w:t>
      </w:r>
      <w:r>
        <w:rPr>
          <w:rFonts w:hint="default" w:ascii="Times New Roman" w:hAnsi="Times New Roman" w:eastAsia="宋体" w:cstheme="minorBidi"/>
          <w:color w:val="auto"/>
          <w:kern w:val="2"/>
          <w:sz w:val="24"/>
          <w:szCs w:val="24"/>
          <w:highlight w:val="none"/>
          <w:lang w:val="en-US" w:eastAsia="zh-CN" w:bidi="ar-SA"/>
        </w:rPr>
        <w:t>热源采用</w:t>
      </w:r>
      <w:r>
        <w:rPr>
          <w:rFonts w:hint="eastAsia" w:cstheme="minorBidi"/>
          <w:color w:val="auto"/>
          <w:kern w:val="2"/>
          <w:sz w:val="24"/>
          <w:szCs w:val="24"/>
          <w:highlight w:val="none"/>
          <w:lang w:val="en-US" w:eastAsia="zh-CN" w:bidi="ar-SA"/>
        </w:rPr>
        <w:t>沼气锅炉</w:t>
      </w:r>
      <w:r>
        <w:rPr>
          <w:rFonts w:hint="default" w:ascii="Times New Roman" w:hAnsi="Times New Roman" w:eastAsia="宋体" w:cstheme="minorBidi"/>
          <w:color w:val="auto"/>
          <w:kern w:val="2"/>
          <w:sz w:val="24"/>
          <w:szCs w:val="24"/>
          <w:highlight w:val="none"/>
          <w:lang w:val="en-US" w:eastAsia="zh-CN" w:bidi="ar-SA"/>
        </w:rPr>
        <w:t>加热。</w:t>
      </w:r>
      <w:r>
        <w:rPr>
          <w:rFonts w:hint="eastAsia"/>
          <w:color w:val="auto"/>
          <w:highlight w:val="none"/>
          <w:lang w:val="en-US" w:eastAsia="zh-CN"/>
        </w:rPr>
        <w:t>按照卫生防疫的需要，每日需对车间地面进行一次冲洗，车间冲洗水量按照3.75L/m</w:t>
      </w:r>
      <w:r>
        <w:rPr>
          <w:rFonts w:hint="eastAsia"/>
          <w:color w:val="auto"/>
          <w:highlight w:val="none"/>
          <w:vertAlign w:val="superscript"/>
          <w:lang w:val="en-US" w:eastAsia="zh-CN"/>
        </w:rPr>
        <w:t>2</w:t>
      </w:r>
      <w:r>
        <w:rPr>
          <w:rFonts w:hint="eastAsia"/>
          <w:color w:val="auto"/>
          <w:highlight w:val="none"/>
          <w:lang w:val="en-US" w:eastAsia="zh-CN"/>
        </w:rPr>
        <w:t>计算，无害化车间总占地面积249.39m</w:t>
      </w:r>
      <w:r>
        <w:rPr>
          <w:rFonts w:hint="eastAsia"/>
          <w:color w:val="auto"/>
          <w:highlight w:val="none"/>
          <w:vertAlign w:val="superscript"/>
          <w:lang w:val="en-US" w:eastAsia="zh-CN"/>
        </w:rPr>
        <w:t>2</w:t>
      </w:r>
      <w:r>
        <w:rPr>
          <w:rFonts w:hint="eastAsia"/>
          <w:color w:val="auto"/>
          <w:highlight w:val="none"/>
          <w:lang w:val="en-US" w:eastAsia="zh-CN"/>
        </w:rPr>
        <w:t>，则冲洗水量为0.9m</w:t>
      </w:r>
      <w:r>
        <w:rPr>
          <w:rFonts w:hint="eastAsia"/>
          <w:color w:val="auto"/>
          <w:highlight w:val="none"/>
          <w:vertAlign w:val="superscript"/>
          <w:lang w:val="en-US" w:eastAsia="zh-CN"/>
        </w:rPr>
        <w:t>3</w:t>
      </w:r>
      <w:r>
        <w:rPr>
          <w:rFonts w:hint="eastAsia"/>
          <w:color w:val="auto"/>
          <w:highlight w:val="none"/>
          <w:lang w:val="en-US" w:eastAsia="zh-CN"/>
        </w:rPr>
        <w:t>/d，328.5m</w:t>
      </w:r>
      <w:r>
        <w:rPr>
          <w:rFonts w:hint="eastAsia"/>
          <w:color w:val="auto"/>
          <w:highlight w:val="none"/>
          <w:vertAlign w:val="superscript"/>
          <w:lang w:val="en-US" w:eastAsia="zh-CN"/>
        </w:rPr>
        <w:t>3</w:t>
      </w:r>
      <w:r>
        <w:rPr>
          <w:rFonts w:hint="eastAsia"/>
          <w:color w:val="auto"/>
          <w:highlight w:val="none"/>
          <w:lang w:val="en-US" w:eastAsia="zh-CN"/>
        </w:rPr>
        <w:t>/a。</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bCs/>
          <w:color w:val="auto"/>
          <w:sz w:val="24"/>
          <w:szCs w:val="28"/>
          <w:highlight w:val="none"/>
          <w:lang w:val="en-US" w:eastAsia="zh-CN"/>
        </w:rPr>
      </w:pPr>
      <w:r>
        <w:rPr>
          <w:rFonts w:hint="eastAsia" w:cs="Times New Roman"/>
          <w:bCs/>
          <w:color w:val="auto"/>
          <w:sz w:val="24"/>
          <w:szCs w:val="28"/>
          <w:highlight w:val="none"/>
          <w:lang w:val="en-US" w:eastAsia="zh-CN"/>
        </w:rPr>
        <w:t>除臭墙用水</w:t>
      </w:r>
    </w:p>
    <w:p>
      <w:pPr>
        <w:pStyle w:val="23"/>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color w:val="auto"/>
          <w:highlight w:val="none"/>
          <w:lang w:val="en-US" w:eastAsia="zh-CN"/>
        </w:rPr>
      </w:pPr>
      <w:r>
        <w:rPr>
          <w:rFonts w:hint="eastAsia"/>
          <w:color w:val="auto"/>
          <w:highlight w:val="none"/>
          <w:lang w:val="en-US" w:eastAsia="zh-CN"/>
        </w:rPr>
        <w:t>本项目在猪舍和固粪处理区、无害化场处理车间设置除臭墙，由喷淋装置向该除臭装置喷洒添加除臭剂的水雾，猪舍和固粪处理区内的空气由风机抽出通过除臭装置时，除臭装置对猪舍区的臭气进行吸附处理。</w:t>
      </w:r>
    </w:p>
    <w:p>
      <w:pPr>
        <w:pStyle w:val="23"/>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color w:val="auto"/>
          <w:highlight w:val="none"/>
          <w:lang w:val="en-US" w:eastAsia="zh-CN"/>
        </w:rPr>
      </w:pPr>
      <w:r>
        <w:rPr>
          <w:rFonts w:hint="eastAsia"/>
          <w:color w:val="auto"/>
          <w:highlight w:val="none"/>
          <w:lang w:val="en-US" w:eastAsia="zh-CN"/>
        </w:rPr>
        <w:t>根据建设单位提供资料，项目拟在每栋猪舍单元出风口处、固粪处理区、无害化场处理车间设置除臭墙，猪舍和固粪处理区、无害化场处理车间内的空气由风机抽出通过除臭墙喷淋含除臭剂的水对臭气进行吸附处理，每栋猪舍单元（共计124个猪舍单元）每天喷淋除臭用水量为1m</w:t>
      </w:r>
      <w:r>
        <w:rPr>
          <w:rFonts w:hint="eastAsia"/>
          <w:color w:val="auto"/>
          <w:highlight w:val="none"/>
          <w:vertAlign w:val="superscript"/>
          <w:lang w:val="en-US" w:eastAsia="zh-CN"/>
        </w:rPr>
        <w:t>3</w:t>
      </w:r>
      <w:r>
        <w:rPr>
          <w:rFonts w:hint="eastAsia"/>
          <w:color w:val="auto"/>
          <w:highlight w:val="none"/>
          <w:lang w:val="en-US" w:eastAsia="zh-CN"/>
        </w:rPr>
        <w:t>，无害化处理车间、固粪处理区每天喷淋除臭用水量分别为1m</w:t>
      </w:r>
      <w:r>
        <w:rPr>
          <w:rFonts w:hint="eastAsia"/>
          <w:color w:val="auto"/>
          <w:highlight w:val="none"/>
          <w:vertAlign w:val="superscript"/>
          <w:lang w:val="en-US" w:eastAsia="zh-CN"/>
        </w:rPr>
        <w:t>3</w:t>
      </w:r>
      <w:r>
        <w:rPr>
          <w:rFonts w:hint="eastAsia"/>
          <w:color w:val="auto"/>
          <w:highlight w:val="none"/>
          <w:lang w:val="en-US" w:eastAsia="zh-CN"/>
        </w:rPr>
        <w:t>，则猪舍和固粪处理区除臭装置总用水量为126m</w:t>
      </w:r>
      <w:r>
        <w:rPr>
          <w:rFonts w:hint="eastAsia"/>
          <w:color w:val="auto"/>
          <w:highlight w:val="none"/>
          <w:vertAlign w:val="superscript"/>
          <w:lang w:val="en-US" w:eastAsia="zh-CN"/>
        </w:rPr>
        <w:t>3</w:t>
      </w:r>
      <w:r>
        <w:rPr>
          <w:rFonts w:hint="eastAsia"/>
          <w:color w:val="auto"/>
          <w:highlight w:val="none"/>
          <w:lang w:val="en-US" w:eastAsia="zh-CN"/>
        </w:rPr>
        <w:t>/d（45990m</w:t>
      </w:r>
      <w:r>
        <w:rPr>
          <w:rFonts w:hint="eastAsia"/>
          <w:color w:val="auto"/>
          <w:highlight w:val="none"/>
          <w:vertAlign w:val="superscript"/>
          <w:lang w:val="en-US" w:eastAsia="zh-CN"/>
        </w:rPr>
        <w:t>3</w:t>
      </w:r>
      <w:r>
        <w:rPr>
          <w:rFonts w:hint="eastAsia"/>
          <w:color w:val="auto"/>
          <w:highlight w:val="none"/>
          <w:lang w:val="en-US" w:eastAsia="zh-CN"/>
        </w:rPr>
        <w:t>/a）。除臭装置用水全部蒸发，不外排。</w:t>
      </w:r>
    </w:p>
    <w:p>
      <w:pPr>
        <w:pStyle w:val="37"/>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default" w:ascii="Times New Roman" w:hAnsi="Times New Roman" w:cs="Times New Roman"/>
          <w:bCs/>
          <w:color w:val="auto"/>
          <w:sz w:val="24"/>
          <w:szCs w:val="28"/>
          <w:highlight w:val="none"/>
          <w:lang w:val="en-US" w:eastAsia="zh-CN"/>
        </w:rPr>
      </w:pPr>
      <w:r>
        <w:rPr>
          <w:rFonts w:hint="default" w:ascii="Times New Roman" w:hAnsi="Times New Roman" w:cs="Times New Roman"/>
          <w:bCs/>
          <w:color w:val="auto"/>
          <w:sz w:val="24"/>
          <w:szCs w:val="28"/>
          <w:highlight w:val="none"/>
          <w:lang w:val="en-US" w:eastAsia="zh-CN"/>
        </w:rPr>
        <w:t>综上，本项目生活用水、</w:t>
      </w:r>
      <w:r>
        <w:rPr>
          <w:rFonts w:hint="eastAsia" w:ascii="Times New Roman" w:hAnsi="Times New Roman" w:cs="Times New Roman"/>
          <w:bCs/>
          <w:color w:val="auto"/>
          <w:sz w:val="24"/>
          <w:szCs w:val="28"/>
          <w:highlight w:val="none"/>
          <w:lang w:val="en-US" w:eastAsia="zh-CN"/>
        </w:rPr>
        <w:t>生产</w:t>
      </w:r>
      <w:r>
        <w:rPr>
          <w:rFonts w:hint="default" w:ascii="Times New Roman" w:hAnsi="Times New Roman" w:cs="Times New Roman"/>
          <w:bCs/>
          <w:color w:val="auto"/>
          <w:sz w:val="24"/>
          <w:szCs w:val="28"/>
          <w:highlight w:val="none"/>
          <w:lang w:val="en-US" w:eastAsia="zh-CN"/>
        </w:rPr>
        <w:t>用水合计后项目总用水量为226356.028m</w:t>
      </w:r>
      <w:r>
        <w:rPr>
          <w:rFonts w:hint="default" w:ascii="Times New Roman" w:hAnsi="Times New Roman" w:cs="Times New Roman"/>
          <w:bCs/>
          <w:color w:val="auto"/>
          <w:sz w:val="24"/>
          <w:szCs w:val="28"/>
          <w:highlight w:val="none"/>
          <w:vertAlign w:val="superscript"/>
          <w:lang w:val="en-US" w:eastAsia="zh-CN"/>
        </w:rPr>
        <w:t>3</w:t>
      </w:r>
      <w:r>
        <w:rPr>
          <w:rFonts w:hint="default" w:ascii="Times New Roman" w:hAnsi="Times New Roman" w:cs="Times New Roman"/>
          <w:bCs/>
          <w:color w:val="auto"/>
          <w:sz w:val="24"/>
          <w:szCs w:val="28"/>
          <w:highlight w:val="none"/>
          <w:lang w:val="en-US" w:eastAsia="zh-CN"/>
        </w:rPr>
        <w:t>/a。</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color w:val="auto"/>
          <w:highlight w:val="none"/>
        </w:rPr>
      </w:pPr>
      <w:r>
        <w:rPr>
          <w:rFonts w:hint="eastAsia"/>
          <w:color w:val="auto"/>
          <w:highlight w:val="none"/>
        </w:rPr>
        <w:t>（2）</w:t>
      </w:r>
      <w:r>
        <w:rPr>
          <w:color w:val="auto"/>
          <w:highlight w:val="none"/>
        </w:rPr>
        <w:t>排水</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color w:val="auto"/>
          <w:highlight w:val="none"/>
        </w:rPr>
      </w:pPr>
      <w:r>
        <w:rPr>
          <w:color w:val="auto"/>
          <w:highlight w:val="none"/>
        </w:rPr>
        <w:t>本项目主要排水为生活污水</w:t>
      </w:r>
      <w:r>
        <w:rPr>
          <w:rFonts w:hint="eastAsia"/>
          <w:color w:val="auto"/>
          <w:highlight w:val="none"/>
          <w:lang w:eastAsia="zh-CN"/>
        </w:rPr>
        <w:t>和生产废水</w:t>
      </w:r>
      <w:r>
        <w:rPr>
          <w:color w:val="auto"/>
          <w:highlight w:val="none"/>
        </w:rPr>
        <w: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eastAsia="zh-CN"/>
        </w:rPr>
      </w:pPr>
      <w:r>
        <w:rPr>
          <w:rFonts w:hint="eastAsia"/>
          <w:color w:val="auto"/>
          <w:highlight w:val="none"/>
          <w:lang w:val="en-US" w:eastAsia="zh-CN"/>
        </w:rPr>
        <w:t>生产废水</w:t>
      </w:r>
    </w:p>
    <w:p>
      <w:pPr>
        <w:pStyle w:val="2"/>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default"/>
          <w:color w:val="auto"/>
          <w:highlight w:val="none"/>
          <w:lang w:val="en-US" w:eastAsia="zh-CN"/>
        </w:rPr>
      </w:pPr>
      <w:r>
        <w:rPr>
          <w:rFonts w:hint="eastAsia"/>
          <w:color w:val="auto"/>
          <w:highlight w:val="none"/>
          <w:lang w:val="en-US" w:eastAsia="zh-CN"/>
        </w:rPr>
        <w:t>项目产生的生产废水主要是养殖废水和无害化处理车间冲洗废水，养殖废水含猪尿液、猪舍冲洗废水、猪粪固液分离产生的废水。</w:t>
      </w:r>
    </w:p>
    <w:p>
      <w:pPr>
        <w:keepNext w:val="0"/>
        <w:keepLines w:val="0"/>
        <w:pageBreakBefore w:val="0"/>
        <w:widowControl/>
        <w:numPr>
          <w:ilvl w:val="0"/>
          <w:numId w:val="8"/>
        </w:numPr>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eastAsia="zh-CN"/>
        </w:rPr>
      </w:pPr>
      <w:r>
        <w:rPr>
          <w:rFonts w:hint="eastAsia"/>
          <w:color w:val="auto"/>
          <w:highlight w:val="none"/>
          <w:lang w:val="en-US" w:eastAsia="zh-CN"/>
        </w:rPr>
        <w:t>猪尿液</w:t>
      </w:r>
    </w:p>
    <w:p>
      <w:pPr>
        <w:pStyle w:val="2"/>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根据环保部《规模畜禽养殖场污染防治最佳可行技术指南（试行）》（HJ-BAT-10），猪尿排泄量计算公式为：Yu=0.205+0.438W（kg）</w:t>
      </w:r>
    </w:p>
    <w:p>
      <w:pPr>
        <w:pStyle w:val="2"/>
        <w:rPr>
          <w:rFonts w:hint="eastAsia"/>
          <w:color w:val="auto"/>
          <w:highlight w:val="none"/>
          <w:lang w:val="en-US" w:eastAsia="zh-CN"/>
        </w:rPr>
      </w:pPr>
      <w:r>
        <w:rPr>
          <w:rFonts w:hint="eastAsia"/>
          <w:color w:val="auto"/>
          <w:highlight w:val="none"/>
          <w:lang w:val="en-US" w:eastAsia="zh-CN"/>
        </w:rPr>
        <w:t>式中，Y------为猪尿排泄量（kg/头猪·d），W-----为猪的饮水量</w:t>
      </w:r>
      <w:r>
        <w:rPr>
          <w:rFonts w:hint="eastAsia" w:ascii="Times New Roman" w:hAnsi="Times New Roman"/>
          <w:color w:val="auto"/>
          <w:highlight w:val="none"/>
          <w:lang w:val="en-US" w:eastAsia="zh-CN"/>
        </w:rPr>
        <w:t>（kg/</w:t>
      </w:r>
      <w:r>
        <w:rPr>
          <w:rFonts w:hint="eastAsia"/>
          <w:color w:val="auto"/>
          <w:highlight w:val="none"/>
          <w:lang w:val="en-US" w:eastAsia="zh-CN"/>
        </w:rPr>
        <w:t>头猪·d</w:t>
      </w:r>
      <w:r>
        <w:rPr>
          <w:rFonts w:hint="eastAsia" w:ascii="Times New Roman" w:hAnsi="Times New Roman"/>
          <w:color w:val="auto"/>
          <w:highlight w:val="none"/>
          <w:lang w:val="en-US" w:eastAsia="zh-CN"/>
        </w:rPr>
        <w:t>）</w:t>
      </w:r>
      <w:r>
        <w:rPr>
          <w:rFonts w:hint="eastAsia"/>
          <w:color w:val="auto"/>
          <w:highlight w:val="none"/>
          <w:lang w:val="en-US" w:eastAsia="zh-CN"/>
        </w:rPr>
        <w:t>。</w:t>
      </w:r>
    </w:p>
    <w:p>
      <w:pPr>
        <w:pStyle w:val="2"/>
        <w:rPr>
          <w:rFonts w:hint="eastAsia"/>
          <w:color w:val="auto"/>
          <w:highlight w:val="none"/>
          <w:lang w:val="en-US" w:eastAsia="zh-CN"/>
        </w:rPr>
      </w:pPr>
      <w:r>
        <w:rPr>
          <w:rFonts w:hint="eastAsia"/>
          <w:color w:val="auto"/>
          <w:highlight w:val="none"/>
          <w:lang w:val="en-US" w:eastAsia="zh-CN"/>
        </w:rPr>
        <w:t>则猪尿的产生量如下表所示。</w:t>
      </w:r>
    </w:p>
    <w:p>
      <w:pPr>
        <w:pStyle w:val="40"/>
        <w:rPr>
          <w:rFonts w:hint="eastAsia" w:cs="Times New Roman"/>
          <w:color w:val="auto"/>
          <w:highlight w:val="none"/>
        </w:rPr>
      </w:pPr>
      <w:r>
        <w:rPr>
          <w:rFonts w:hint="eastAsia" w:cs="Times New Roman"/>
          <w:color w:val="auto"/>
          <w:highlight w:val="none"/>
        </w:rPr>
        <w:t>表2</w:t>
      </w:r>
      <w:r>
        <w:rPr>
          <w:rFonts w:hint="eastAsia" w:cs="Times New Roman"/>
          <w:color w:val="auto"/>
          <w:highlight w:val="none"/>
          <w:lang w:val="en-US" w:eastAsia="zh-CN"/>
        </w:rPr>
        <w:t>.5</w:t>
      </w:r>
      <w:r>
        <w:rPr>
          <w:rFonts w:hint="eastAsia" w:cs="Times New Roman"/>
          <w:color w:val="auto"/>
          <w:highlight w:val="none"/>
        </w:rPr>
        <w:t>-</w:t>
      </w:r>
      <w:r>
        <w:rPr>
          <w:rFonts w:hint="eastAsia" w:cs="Times New Roman"/>
          <w:color w:val="auto"/>
          <w:highlight w:val="none"/>
          <w:lang w:val="en-US" w:eastAsia="zh-CN"/>
        </w:rPr>
        <w:t>3</w:t>
      </w:r>
      <w:r>
        <w:rPr>
          <w:rFonts w:hint="eastAsia" w:cs="Times New Roman"/>
          <w:color w:val="auto"/>
          <w:highlight w:val="none"/>
        </w:rPr>
        <w:t xml:space="preserve"> </w:t>
      </w:r>
      <w:r>
        <w:rPr>
          <w:rFonts w:hint="eastAsia" w:cs="Times New Roman"/>
          <w:color w:val="auto"/>
          <w:highlight w:val="none"/>
          <w:lang w:val="en-US" w:eastAsia="zh-CN"/>
        </w:rPr>
        <w:t>项目</w:t>
      </w:r>
      <w:r>
        <w:rPr>
          <w:rFonts w:hint="eastAsia" w:cs="Times New Roman"/>
          <w:color w:val="auto"/>
          <w:highlight w:val="none"/>
        </w:rPr>
        <w:t>猪尿排放参数一览表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854"/>
        <w:gridCol w:w="1313"/>
        <w:gridCol w:w="1266"/>
        <w:gridCol w:w="1472"/>
        <w:gridCol w:w="1729"/>
        <w:gridCol w:w="11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8" w:type="pct"/>
            <w:vMerge w:val="restart"/>
            <w:noWrap w:val="0"/>
            <w:vAlign w:val="center"/>
          </w:tcPr>
          <w:p>
            <w:pPr>
              <w:widowControl w:val="0"/>
              <w:spacing w:line="240" w:lineRule="auto"/>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用水</w:t>
            </w:r>
          </w:p>
          <w:p>
            <w:pPr>
              <w:widowControl w:val="0"/>
              <w:spacing w:line="240" w:lineRule="auto"/>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性质</w:t>
            </w:r>
          </w:p>
        </w:tc>
        <w:tc>
          <w:tcPr>
            <w:tcW w:w="1241" w:type="pct"/>
            <w:gridSpan w:val="2"/>
            <w:noWrap w:val="0"/>
            <w:vAlign w:val="center"/>
          </w:tcPr>
          <w:p>
            <w:pPr>
              <w:widowControl w:val="0"/>
              <w:spacing w:line="240" w:lineRule="auto"/>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排尿量（L/头·d）</w:t>
            </w:r>
          </w:p>
        </w:tc>
        <w:tc>
          <w:tcPr>
            <w:tcW w:w="725" w:type="pct"/>
            <w:vMerge w:val="restart"/>
            <w:noWrap w:val="0"/>
            <w:vAlign w:val="center"/>
          </w:tcPr>
          <w:p>
            <w:pPr>
              <w:widowControl w:val="0"/>
              <w:spacing w:line="240" w:lineRule="auto"/>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排尿单位</w:t>
            </w:r>
          </w:p>
          <w:p>
            <w:pPr>
              <w:widowControl w:val="0"/>
              <w:spacing w:line="240" w:lineRule="auto"/>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（头）</w:t>
            </w:r>
          </w:p>
        </w:tc>
        <w:tc>
          <w:tcPr>
            <w:tcW w:w="2465" w:type="pct"/>
            <w:gridSpan w:val="3"/>
            <w:noWrap w:val="0"/>
            <w:vAlign w:val="center"/>
          </w:tcPr>
          <w:p>
            <w:pPr>
              <w:widowControl w:val="0"/>
              <w:spacing w:line="240" w:lineRule="auto"/>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排尿总量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8" w:type="pct"/>
            <w:vMerge w:val="continue"/>
            <w:noWrap w:val="0"/>
            <w:vAlign w:val="center"/>
          </w:tcPr>
          <w:p>
            <w:pPr>
              <w:widowControl w:val="0"/>
              <w:spacing w:line="240" w:lineRule="auto"/>
              <w:ind w:firstLine="0" w:firstLineChars="0"/>
              <w:jc w:val="center"/>
              <w:rPr>
                <w:rFonts w:ascii="Times New Roman" w:hAnsi="Times New Roman" w:cs="Times New Roman"/>
                <w:b w:val="0"/>
                <w:bCs w:val="0"/>
                <w:color w:val="auto"/>
                <w:sz w:val="21"/>
                <w:szCs w:val="21"/>
                <w:highlight w:val="none"/>
              </w:rPr>
            </w:pPr>
          </w:p>
        </w:tc>
        <w:tc>
          <w:tcPr>
            <w:tcW w:w="489" w:type="pct"/>
            <w:noWrap w:val="0"/>
            <w:vAlign w:val="center"/>
          </w:tcPr>
          <w:p>
            <w:pPr>
              <w:widowControl w:val="0"/>
              <w:spacing w:line="240" w:lineRule="auto"/>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夏季</w:t>
            </w:r>
          </w:p>
        </w:tc>
        <w:tc>
          <w:tcPr>
            <w:tcW w:w="752" w:type="pct"/>
            <w:noWrap w:val="0"/>
            <w:vAlign w:val="center"/>
          </w:tcPr>
          <w:p>
            <w:pPr>
              <w:widowControl w:val="0"/>
              <w:spacing w:line="240" w:lineRule="auto"/>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其他季节</w:t>
            </w:r>
          </w:p>
        </w:tc>
        <w:tc>
          <w:tcPr>
            <w:tcW w:w="725" w:type="pct"/>
            <w:vMerge w:val="continue"/>
            <w:noWrap w:val="0"/>
            <w:vAlign w:val="center"/>
          </w:tcPr>
          <w:p>
            <w:pPr>
              <w:widowControl w:val="0"/>
              <w:spacing w:line="240" w:lineRule="auto"/>
              <w:ind w:firstLine="0" w:firstLineChars="0"/>
              <w:jc w:val="center"/>
              <w:rPr>
                <w:rFonts w:ascii="Times New Roman" w:hAnsi="Times New Roman" w:cs="Times New Roman"/>
                <w:b w:val="0"/>
                <w:bCs w:val="0"/>
                <w:color w:val="auto"/>
                <w:sz w:val="21"/>
                <w:szCs w:val="21"/>
                <w:highlight w:val="none"/>
              </w:rPr>
            </w:pPr>
          </w:p>
        </w:tc>
        <w:tc>
          <w:tcPr>
            <w:tcW w:w="843" w:type="pct"/>
            <w:noWrap w:val="0"/>
            <w:vAlign w:val="center"/>
          </w:tcPr>
          <w:p>
            <w:pPr>
              <w:widowControl w:val="0"/>
              <w:spacing w:line="240" w:lineRule="auto"/>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夏季122d</w:t>
            </w:r>
          </w:p>
          <w:p>
            <w:pPr>
              <w:widowControl w:val="0"/>
              <w:spacing w:line="240" w:lineRule="auto"/>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（m</w:t>
            </w:r>
            <w:r>
              <w:rPr>
                <w:rFonts w:ascii="Times New Roman" w:hAnsi="Times New Roman" w:cs="Times New Roman"/>
                <w:b w:val="0"/>
                <w:bCs w:val="0"/>
                <w:color w:val="auto"/>
                <w:sz w:val="21"/>
                <w:szCs w:val="21"/>
                <w:highlight w:val="none"/>
                <w:vertAlign w:val="superscript"/>
              </w:rPr>
              <w:t>3</w:t>
            </w:r>
            <w:r>
              <w:rPr>
                <w:rFonts w:hint="eastAsia" w:ascii="Times New Roman" w:hAnsi="Times New Roman" w:cs="Times New Roman"/>
                <w:b w:val="0"/>
                <w:bCs w:val="0"/>
                <w:color w:val="auto"/>
                <w:sz w:val="21"/>
                <w:szCs w:val="21"/>
                <w:highlight w:val="none"/>
                <w:vertAlign w:val="baseline"/>
                <w:lang w:val="en-US" w:eastAsia="zh-CN"/>
              </w:rPr>
              <w:t>/d</w:t>
            </w:r>
            <w:r>
              <w:rPr>
                <w:rFonts w:ascii="Times New Roman" w:hAnsi="Times New Roman" w:cs="Times New Roman"/>
                <w:b w:val="0"/>
                <w:bCs w:val="0"/>
                <w:color w:val="auto"/>
                <w:sz w:val="21"/>
                <w:szCs w:val="21"/>
                <w:highlight w:val="none"/>
              </w:rPr>
              <w:t>）</w:t>
            </w:r>
          </w:p>
        </w:tc>
        <w:tc>
          <w:tcPr>
            <w:tcW w:w="990" w:type="pct"/>
            <w:noWrap w:val="0"/>
            <w:vAlign w:val="center"/>
          </w:tcPr>
          <w:p>
            <w:pPr>
              <w:widowControl w:val="0"/>
              <w:spacing w:line="240" w:lineRule="auto"/>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其他季节243d</w:t>
            </w:r>
          </w:p>
          <w:p>
            <w:pPr>
              <w:widowControl w:val="0"/>
              <w:spacing w:line="240" w:lineRule="auto"/>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（m</w:t>
            </w:r>
            <w:r>
              <w:rPr>
                <w:rFonts w:ascii="Times New Roman" w:hAnsi="Times New Roman" w:cs="Times New Roman"/>
                <w:b w:val="0"/>
                <w:bCs w:val="0"/>
                <w:color w:val="auto"/>
                <w:sz w:val="21"/>
                <w:szCs w:val="21"/>
                <w:highlight w:val="none"/>
                <w:vertAlign w:val="superscript"/>
              </w:rPr>
              <w:t>3</w:t>
            </w:r>
            <w:r>
              <w:rPr>
                <w:rFonts w:hint="eastAsia" w:ascii="Times New Roman" w:hAnsi="Times New Roman" w:cs="Times New Roman"/>
                <w:b w:val="0"/>
                <w:bCs w:val="0"/>
                <w:color w:val="auto"/>
                <w:sz w:val="21"/>
                <w:szCs w:val="21"/>
                <w:highlight w:val="none"/>
                <w:vertAlign w:val="baseline"/>
                <w:lang w:val="en-US" w:eastAsia="zh-CN"/>
              </w:rPr>
              <w:t>/d</w:t>
            </w:r>
            <w:r>
              <w:rPr>
                <w:rFonts w:ascii="Times New Roman" w:hAnsi="Times New Roman" w:cs="Times New Roman"/>
                <w:b w:val="0"/>
                <w:bCs w:val="0"/>
                <w:color w:val="auto"/>
                <w:sz w:val="21"/>
                <w:szCs w:val="21"/>
                <w:highlight w:val="none"/>
              </w:rPr>
              <w:t>）</w:t>
            </w:r>
          </w:p>
        </w:tc>
        <w:tc>
          <w:tcPr>
            <w:tcW w:w="631" w:type="pct"/>
            <w:noWrap w:val="0"/>
            <w:vAlign w:val="center"/>
          </w:tcPr>
          <w:p>
            <w:pPr>
              <w:widowControl w:val="0"/>
              <w:spacing w:line="240" w:lineRule="auto"/>
              <w:ind w:firstLine="0" w:firstLineChars="0"/>
              <w:jc w:val="center"/>
              <w:rPr>
                <w:rFonts w:ascii="Times New Roman" w:hAnsi="Times New Roman" w:cs="Times New Roman"/>
                <w:b w:val="0"/>
                <w:bCs w:val="0"/>
                <w:color w:val="auto"/>
                <w:sz w:val="21"/>
                <w:szCs w:val="21"/>
                <w:highlight w:val="none"/>
              </w:rPr>
            </w:pPr>
            <w:r>
              <w:rPr>
                <w:rFonts w:ascii="Times New Roman" w:hAnsi="Times New Roman" w:cs="Times New Roman"/>
                <w:b w:val="0"/>
                <w:bCs w:val="0"/>
                <w:color w:val="auto"/>
                <w:sz w:val="21"/>
                <w:szCs w:val="21"/>
                <w:highlight w:val="none"/>
              </w:rPr>
              <w:t>（m</w:t>
            </w:r>
            <w:r>
              <w:rPr>
                <w:rFonts w:ascii="Times New Roman" w:hAnsi="Times New Roman" w:cs="Times New Roman"/>
                <w:b w:val="0"/>
                <w:bCs w:val="0"/>
                <w:color w:val="auto"/>
                <w:sz w:val="21"/>
                <w:szCs w:val="21"/>
                <w:highlight w:val="none"/>
                <w:vertAlign w:val="superscript"/>
              </w:rPr>
              <w:t>3</w:t>
            </w:r>
            <w:r>
              <w:rPr>
                <w:rFonts w:ascii="Times New Roman" w:hAnsi="Times New Roman" w:cs="Times New Roman"/>
                <w:b w:val="0"/>
                <w:bCs w:val="0"/>
                <w:color w:val="auto"/>
                <w:sz w:val="21"/>
                <w:szCs w:val="21"/>
                <w:highlight w:val="none"/>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8" w:type="pct"/>
            <w:noWrap w:val="0"/>
            <w:vAlign w:val="center"/>
          </w:tcPr>
          <w:p>
            <w:pPr>
              <w:widowControl w:val="0"/>
              <w:spacing w:line="240" w:lineRule="auto"/>
              <w:ind w:firstLine="0" w:firstLineChars="0"/>
              <w:jc w:val="center"/>
              <w:rPr>
                <w:rFonts w:hint="eastAsia"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育肥</w:t>
            </w:r>
            <w:r>
              <w:rPr>
                <w:rFonts w:hint="eastAsia" w:ascii="Times New Roman" w:hAnsi="Times New Roman" w:cs="Times New Roman"/>
                <w:b w:val="0"/>
                <w:bCs w:val="0"/>
                <w:color w:val="auto"/>
                <w:sz w:val="21"/>
                <w:szCs w:val="21"/>
                <w:highlight w:val="none"/>
                <w:lang w:val="en-US" w:eastAsia="zh-CN"/>
              </w:rPr>
              <w:t>猪</w:t>
            </w:r>
          </w:p>
        </w:tc>
        <w:tc>
          <w:tcPr>
            <w:tcW w:w="489" w:type="pct"/>
            <w:noWrap w:val="0"/>
            <w:vAlign w:val="center"/>
          </w:tcPr>
          <w:p>
            <w:pPr>
              <w:widowControl w:val="0"/>
              <w:spacing w:line="24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5.023</w:t>
            </w:r>
          </w:p>
        </w:tc>
        <w:tc>
          <w:tcPr>
            <w:tcW w:w="752" w:type="pct"/>
            <w:noWrap w:val="0"/>
            <w:vAlign w:val="center"/>
          </w:tcPr>
          <w:p>
            <w:pPr>
              <w:widowControl w:val="0"/>
              <w:spacing w:line="24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3.052</w:t>
            </w:r>
          </w:p>
        </w:tc>
        <w:tc>
          <w:tcPr>
            <w:tcW w:w="725" w:type="pct"/>
            <w:noWrap w:val="0"/>
            <w:vAlign w:val="center"/>
          </w:tcPr>
          <w:p>
            <w:pPr>
              <w:widowControl w:val="0"/>
              <w:spacing w:line="24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eastAsia="宋体"/>
                <w:color w:val="auto"/>
                <w:sz w:val="21"/>
                <w:szCs w:val="21"/>
                <w:highlight w:val="none"/>
                <w:lang w:val="en-US" w:eastAsia="zh-CN"/>
              </w:rPr>
              <w:t>4</w:t>
            </w:r>
            <w:r>
              <w:rPr>
                <w:rFonts w:hint="eastAsia"/>
                <w:color w:val="auto"/>
                <w:sz w:val="21"/>
                <w:szCs w:val="21"/>
                <w:highlight w:val="none"/>
                <w:lang w:val="en-US" w:eastAsia="zh-CN"/>
              </w:rPr>
              <w:t>8</w:t>
            </w:r>
            <w:r>
              <w:rPr>
                <w:rFonts w:hint="eastAsia" w:ascii="Times New Roman" w:eastAsia="宋体"/>
                <w:color w:val="auto"/>
                <w:sz w:val="21"/>
                <w:szCs w:val="21"/>
                <w:highlight w:val="none"/>
                <w:lang w:val="en-US" w:eastAsia="zh-CN"/>
              </w:rPr>
              <w:t>592</w:t>
            </w:r>
          </w:p>
        </w:tc>
        <w:tc>
          <w:tcPr>
            <w:tcW w:w="1472" w:type="dxa"/>
            <w:noWrap w:val="0"/>
            <w:vAlign w:val="center"/>
          </w:tcPr>
          <w:p>
            <w:pPr>
              <w:widowControl w:val="0"/>
              <w:spacing w:line="36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244.</w:t>
            </w:r>
            <w:r>
              <w:rPr>
                <w:rFonts w:hint="eastAsia" w:cs="Times New Roman"/>
                <w:b w:val="0"/>
                <w:bCs w:val="0"/>
                <w:color w:val="auto"/>
                <w:sz w:val="21"/>
                <w:szCs w:val="21"/>
                <w:highlight w:val="none"/>
                <w:lang w:val="en-US" w:eastAsia="zh-CN"/>
              </w:rPr>
              <w:t>1</w:t>
            </w:r>
          </w:p>
        </w:tc>
        <w:tc>
          <w:tcPr>
            <w:tcW w:w="1729" w:type="dxa"/>
            <w:noWrap w:val="0"/>
            <w:vAlign w:val="center"/>
          </w:tcPr>
          <w:p>
            <w:pPr>
              <w:widowControl w:val="0"/>
              <w:spacing w:line="36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148.3</w:t>
            </w:r>
          </w:p>
        </w:tc>
        <w:tc>
          <w:tcPr>
            <w:tcW w:w="1104" w:type="dxa"/>
            <w:noWrap w:val="0"/>
            <w:vAlign w:val="center"/>
          </w:tcPr>
          <w:p>
            <w:pPr>
              <w:widowControl w:val="0"/>
              <w:spacing w:line="36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65815.</w:t>
            </w:r>
            <w:r>
              <w:rPr>
                <w:rFonts w:hint="eastAsia" w:cs="Times New Roman"/>
                <w:b w:val="0"/>
                <w:bCs w:val="0"/>
                <w:color w:val="auto"/>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8" w:type="pct"/>
            <w:noWrap w:val="0"/>
            <w:vAlign w:val="center"/>
          </w:tcPr>
          <w:p>
            <w:pPr>
              <w:widowControl w:val="0"/>
              <w:spacing w:line="240" w:lineRule="auto"/>
              <w:ind w:firstLine="0" w:firstLineChars="0"/>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保育猪</w:t>
            </w:r>
          </w:p>
        </w:tc>
        <w:tc>
          <w:tcPr>
            <w:tcW w:w="489" w:type="pct"/>
            <w:noWrap w:val="0"/>
            <w:vAlign w:val="center"/>
          </w:tcPr>
          <w:p>
            <w:pPr>
              <w:widowControl w:val="0"/>
              <w:spacing w:line="360" w:lineRule="exact"/>
              <w:ind w:firstLine="0" w:firstLineChars="0"/>
              <w:jc w:val="center"/>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2.614</w:t>
            </w:r>
          </w:p>
        </w:tc>
        <w:tc>
          <w:tcPr>
            <w:tcW w:w="752" w:type="pct"/>
            <w:noWrap w:val="0"/>
            <w:vAlign w:val="center"/>
          </w:tcPr>
          <w:p>
            <w:pPr>
              <w:widowControl w:val="0"/>
              <w:spacing w:line="360" w:lineRule="exact"/>
              <w:ind w:firstLine="0" w:firstLineChars="0"/>
              <w:jc w:val="center"/>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1.519</w:t>
            </w:r>
          </w:p>
        </w:tc>
        <w:tc>
          <w:tcPr>
            <w:tcW w:w="725" w:type="pct"/>
            <w:noWrap w:val="0"/>
            <w:vAlign w:val="center"/>
          </w:tcPr>
          <w:p>
            <w:pPr>
              <w:widowControl w:val="0"/>
              <w:spacing w:line="240" w:lineRule="auto"/>
              <w:ind w:firstLine="0" w:firstLineChars="0"/>
              <w:jc w:val="center"/>
              <w:rPr>
                <w:rFonts w:hint="eastAsia" w:ascii="Times New Roman" w:hAnsi="Times New Roman" w:cs="Times New Roman"/>
                <w:b w:val="0"/>
                <w:bCs w:val="0"/>
                <w:color w:val="auto"/>
                <w:sz w:val="21"/>
                <w:szCs w:val="21"/>
                <w:highlight w:val="none"/>
                <w:lang w:val="en-US" w:eastAsia="zh-CN"/>
              </w:rPr>
            </w:pPr>
            <w:r>
              <w:rPr>
                <w:rFonts w:hint="eastAsia" w:ascii="Times New Roman" w:eastAsia="宋体"/>
                <w:color w:val="auto"/>
                <w:sz w:val="21"/>
                <w:szCs w:val="21"/>
                <w:highlight w:val="none"/>
                <w:lang w:val="en-US" w:eastAsia="zh-CN"/>
              </w:rPr>
              <w:t>2</w:t>
            </w:r>
            <w:r>
              <w:rPr>
                <w:rFonts w:hint="eastAsia"/>
                <w:color w:val="auto"/>
                <w:sz w:val="21"/>
                <w:szCs w:val="21"/>
                <w:highlight w:val="none"/>
                <w:lang w:val="en-US" w:eastAsia="zh-CN"/>
              </w:rPr>
              <w:t>0</w:t>
            </w:r>
            <w:r>
              <w:rPr>
                <w:rFonts w:hint="eastAsia" w:ascii="Times New Roman" w:eastAsia="宋体"/>
                <w:color w:val="auto"/>
                <w:sz w:val="21"/>
                <w:szCs w:val="21"/>
                <w:highlight w:val="none"/>
                <w:lang w:val="en-US" w:eastAsia="zh-CN"/>
              </w:rPr>
              <w:t>208</w:t>
            </w:r>
          </w:p>
        </w:tc>
        <w:tc>
          <w:tcPr>
            <w:tcW w:w="1472" w:type="dxa"/>
            <w:noWrap w:val="0"/>
            <w:vAlign w:val="center"/>
          </w:tcPr>
          <w:p>
            <w:pPr>
              <w:widowControl w:val="0"/>
              <w:spacing w:line="360" w:lineRule="exact"/>
              <w:ind w:firstLine="0" w:firstLineChars="0"/>
              <w:jc w:val="center"/>
              <w:rPr>
                <w:rFonts w:hint="eastAsia"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52.8</w:t>
            </w:r>
          </w:p>
        </w:tc>
        <w:tc>
          <w:tcPr>
            <w:tcW w:w="1729" w:type="dxa"/>
            <w:noWrap w:val="0"/>
            <w:vAlign w:val="center"/>
          </w:tcPr>
          <w:p>
            <w:pPr>
              <w:widowControl w:val="0"/>
              <w:spacing w:line="360" w:lineRule="exact"/>
              <w:ind w:firstLine="0" w:firstLineChars="0"/>
              <w:jc w:val="center"/>
              <w:rPr>
                <w:rFonts w:hint="eastAsia"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30.</w:t>
            </w:r>
            <w:r>
              <w:rPr>
                <w:rFonts w:hint="eastAsia" w:cs="Times New Roman"/>
                <w:b w:val="0"/>
                <w:bCs w:val="0"/>
                <w:color w:val="auto"/>
                <w:sz w:val="21"/>
                <w:szCs w:val="21"/>
                <w:highlight w:val="none"/>
                <w:lang w:val="en-US" w:eastAsia="zh-CN"/>
              </w:rPr>
              <w:t>7</w:t>
            </w:r>
          </w:p>
        </w:tc>
        <w:tc>
          <w:tcPr>
            <w:tcW w:w="1104" w:type="dxa"/>
            <w:noWrap w:val="0"/>
            <w:vAlign w:val="center"/>
          </w:tcPr>
          <w:p>
            <w:pPr>
              <w:widowControl w:val="0"/>
              <w:spacing w:line="360" w:lineRule="exact"/>
              <w:ind w:firstLine="0" w:firstLineChars="0"/>
              <w:jc w:val="center"/>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13903.6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4" w:type="pct"/>
            <w:gridSpan w:val="4"/>
            <w:noWrap w:val="0"/>
            <w:vAlign w:val="center"/>
          </w:tcPr>
          <w:p>
            <w:pPr>
              <w:widowControl/>
              <w:spacing w:line="240" w:lineRule="auto"/>
              <w:jc w:val="center"/>
              <w:textAlignment w:val="center"/>
              <w:rPr>
                <w:rFonts w:hint="eastAsia" w:ascii="Times New Roman" w:hAnsi="Times New Roman" w:eastAsia="宋体"/>
                <w:b w:val="0"/>
                <w:bCs w:val="0"/>
                <w:color w:val="auto"/>
                <w:kern w:val="0"/>
                <w:sz w:val="21"/>
                <w:szCs w:val="21"/>
                <w:highlight w:val="none"/>
                <w:u w:val="none"/>
                <w:lang w:eastAsia="zh-CN" w:bidi="ar"/>
              </w:rPr>
            </w:pPr>
            <w:r>
              <w:rPr>
                <w:rFonts w:ascii="Times New Roman" w:hAnsi="Times New Roman"/>
                <w:b w:val="0"/>
                <w:bCs w:val="0"/>
                <w:color w:val="auto"/>
                <w:kern w:val="0"/>
                <w:sz w:val="21"/>
                <w:szCs w:val="21"/>
                <w:highlight w:val="none"/>
                <w:u w:val="none"/>
                <w:lang w:bidi="ar"/>
              </w:rPr>
              <w:t>合    计</w:t>
            </w:r>
          </w:p>
        </w:tc>
        <w:tc>
          <w:tcPr>
            <w:tcW w:w="1472" w:type="dxa"/>
            <w:noWrap w:val="0"/>
            <w:vAlign w:val="center"/>
          </w:tcPr>
          <w:p>
            <w:pPr>
              <w:widowControl w:val="0"/>
              <w:spacing w:line="36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296.9</w:t>
            </w:r>
          </w:p>
        </w:tc>
        <w:tc>
          <w:tcPr>
            <w:tcW w:w="1729" w:type="dxa"/>
            <w:noWrap w:val="0"/>
            <w:vAlign w:val="center"/>
          </w:tcPr>
          <w:p>
            <w:pPr>
              <w:widowControl w:val="0"/>
              <w:spacing w:line="36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17</w:t>
            </w:r>
            <w:r>
              <w:rPr>
                <w:rFonts w:hint="eastAsia" w:cs="Times New Roman"/>
                <w:b w:val="0"/>
                <w:bCs w:val="0"/>
                <w:color w:val="auto"/>
                <w:sz w:val="21"/>
                <w:szCs w:val="21"/>
                <w:highlight w:val="none"/>
                <w:lang w:val="en-US" w:eastAsia="zh-CN"/>
              </w:rPr>
              <w:t>9.0</w:t>
            </w:r>
          </w:p>
        </w:tc>
        <w:tc>
          <w:tcPr>
            <w:tcW w:w="1104" w:type="dxa"/>
            <w:noWrap w:val="0"/>
            <w:vAlign w:val="center"/>
          </w:tcPr>
          <w:p>
            <w:pPr>
              <w:widowControl w:val="0"/>
              <w:spacing w:line="360" w:lineRule="exact"/>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79718.</w:t>
            </w:r>
            <w:r>
              <w:rPr>
                <w:rFonts w:hint="eastAsia" w:cs="Times New Roman"/>
                <w:b w:val="0"/>
                <w:bCs w:val="0"/>
                <w:color w:val="auto"/>
                <w:sz w:val="21"/>
                <w:szCs w:val="21"/>
                <w:highlight w:val="none"/>
                <w:lang w:val="en-US" w:eastAsia="zh-CN"/>
              </w:rPr>
              <w:t>7</w:t>
            </w:r>
          </w:p>
        </w:tc>
      </w:tr>
    </w:tbl>
    <w:p>
      <w:pPr>
        <w:pStyle w:val="2"/>
        <w:keepNext w:val="0"/>
        <w:keepLines w:val="0"/>
        <w:pageBreakBefore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rPr>
          <w:rFonts w:hint="eastAsia"/>
          <w:color w:val="auto"/>
          <w:highlight w:val="none"/>
          <w:lang w:val="en-US" w:eastAsia="zh-CN"/>
        </w:rPr>
      </w:pPr>
      <w:r>
        <w:rPr>
          <w:rFonts w:hint="eastAsia"/>
          <w:color w:val="auto"/>
          <w:highlight w:val="none"/>
          <w:lang w:val="en-US" w:eastAsia="zh-CN"/>
        </w:rPr>
        <w:t>猪舍冲洗废水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auto"/>
          <w:sz w:val="24"/>
          <w:szCs w:val="24"/>
          <w:highlight w:val="none"/>
        </w:rPr>
      </w:pPr>
      <w:r>
        <w:rPr>
          <w:rFonts w:ascii="Times New Roman" w:hAnsi="Times New Roman" w:cs="Times New Roman"/>
          <w:color w:val="auto"/>
          <w:sz w:val="24"/>
          <w:szCs w:val="22"/>
          <w:highlight w:val="none"/>
        </w:rPr>
        <w:t>本项目采用环保部认定的干清粪工艺：猪生活在漏缝地板上，猪舍内产生的猪粪由于猪的踩踏及重力作用离开猪舍进入猪舍底部的粪污储存池，</w:t>
      </w:r>
      <w:r>
        <w:rPr>
          <w:rFonts w:ascii="Times New Roman" w:hAnsi="Times New Roman" w:cs="Times New Roman"/>
          <w:color w:val="auto"/>
          <w:sz w:val="24"/>
          <w:szCs w:val="24"/>
          <w:highlight w:val="none"/>
        </w:rPr>
        <w:t>猪粪经猪脚踩踏及猪尿冲洗相对比较清洁，且采用高压水枪对猪舍进行冲洗，冲洗水量较小。</w:t>
      </w:r>
      <w:r>
        <w:rPr>
          <w:rFonts w:hint="eastAsia" w:cs="Times New Roman"/>
          <w:color w:val="auto"/>
          <w:sz w:val="24"/>
          <w:szCs w:val="24"/>
          <w:highlight w:val="none"/>
          <w:lang w:val="en-US" w:eastAsia="zh-CN"/>
        </w:rPr>
        <w:t xml:space="preserve">  </w:t>
      </w:r>
      <w:r>
        <w:rPr>
          <w:rFonts w:ascii="Times New Roman" w:hAnsi="Times New Roman" w:cs="Times New Roman"/>
          <w:color w:val="auto"/>
          <w:sz w:val="24"/>
          <w:szCs w:val="24"/>
          <w:highlight w:val="none"/>
        </w:rPr>
        <w:t>根据牧原食品股份有限公司统计及上表2</w:t>
      </w:r>
      <w:r>
        <w:rPr>
          <w:rFonts w:hint="eastAsia" w:cs="Times New Roman"/>
          <w:color w:val="auto"/>
          <w:sz w:val="24"/>
          <w:szCs w:val="24"/>
          <w:highlight w:val="none"/>
          <w:lang w:val="en-US" w:eastAsia="zh-CN"/>
        </w:rPr>
        <w:t>.5-2</w:t>
      </w:r>
      <w:r>
        <w:rPr>
          <w:rFonts w:ascii="Times New Roman" w:hAnsi="Times New Roman" w:cs="Times New Roman"/>
          <w:color w:val="auto"/>
          <w:sz w:val="24"/>
          <w:szCs w:val="24"/>
          <w:highlight w:val="none"/>
        </w:rPr>
        <w:t>可知，</w:t>
      </w:r>
      <w:r>
        <w:rPr>
          <w:rFonts w:ascii="Times New Roman" w:hAnsi="Times New Roman" w:cs="Times New Roman"/>
          <w:bCs/>
          <w:color w:val="auto"/>
          <w:sz w:val="24"/>
          <w:szCs w:val="22"/>
          <w:highlight w:val="none"/>
        </w:rPr>
        <w:t>项目猪舍冲洗水量总计</w:t>
      </w:r>
      <w:r>
        <w:rPr>
          <w:rFonts w:ascii="Times New Roman" w:hAnsi="Times New Roman" w:cs="Times New Roman"/>
          <w:color w:val="auto"/>
          <w:sz w:val="24"/>
          <w:szCs w:val="22"/>
          <w:highlight w:val="none"/>
        </w:rPr>
        <w:t>为</w:t>
      </w:r>
      <w:r>
        <w:rPr>
          <w:rFonts w:hint="eastAsia" w:ascii="Times New Roman" w:hAnsi="Times New Roman" w:cs="Times New Roman"/>
          <w:color w:val="auto"/>
          <w:sz w:val="24"/>
          <w:szCs w:val="22"/>
          <w:highlight w:val="none"/>
        </w:rPr>
        <w:t>5803.2</w:t>
      </w:r>
      <w:r>
        <w:rPr>
          <w:rFonts w:ascii="Times New Roman" w:hAnsi="Times New Roman" w:cs="Times New Roman"/>
          <w:color w:val="auto"/>
          <w:sz w:val="24"/>
          <w:szCs w:val="22"/>
          <w:highlight w:val="none"/>
        </w:rPr>
        <w:t>m</w:t>
      </w:r>
      <w:r>
        <w:rPr>
          <w:rFonts w:ascii="Times New Roman" w:hAnsi="Times New Roman" w:cs="Times New Roman"/>
          <w:color w:val="auto"/>
          <w:sz w:val="24"/>
          <w:szCs w:val="22"/>
          <w:highlight w:val="none"/>
          <w:vertAlign w:val="superscript"/>
        </w:rPr>
        <w:t>3</w:t>
      </w:r>
      <w:r>
        <w:rPr>
          <w:rFonts w:ascii="Times New Roman" w:hAnsi="Times New Roman" w:cs="Times New Roman"/>
          <w:color w:val="auto"/>
          <w:sz w:val="24"/>
          <w:szCs w:val="22"/>
          <w:highlight w:val="none"/>
        </w:rPr>
        <w:t>/a</w:t>
      </w:r>
      <w:r>
        <w:rPr>
          <w:rFonts w:hint="eastAsia" w:cs="Times New Roman"/>
          <w:color w:val="auto"/>
          <w:sz w:val="24"/>
          <w:szCs w:val="22"/>
          <w:highlight w:val="none"/>
          <w:lang w:eastAsia="zh-CN"/>
        </w:rPr>
        <w:t>，</w:t>
      </w:r>
      <w:r>
        <w:rPr>
          <w:rFonts w:ascii="Times New Roman" w:hAnsi="Times New Roman" w:cs="Times New Roman"/>
          <w:bCs/>
          <w:color w:val="auto"/>
          <w:sz w:val="24"/>
          <w:szCs w:val="24"/>
          <w:highlight w:val="none"/>
        </w:rPr>
        <w:t>冲洗过程损耗量按10%计，则猪舍冲洗废水产生量为</w:t>
      </w:r>
      <w:r>
        <w:rPr>
          <w:rFonts w:hint="eastAsia" w:cs="Times New Roman"/>
          <w:bCs/>
          <w:color w:val="auto"/>
          <w:sz w:val="24"/>
          <w:szCs w:val="24"/>
          <w:highlight w:val="none"/>
          <w:lang w:val="en-US" w:eastAsia="zh-CN"/>
        </w:rPr>
        <w:t>5222.88</w:t>
      </w:r>
      <w:r>
        <w:rPr>
          <w:rFonts w:ascii="Times New Roman" w:hAnsi="Times New Roman" w:cs="Times New Roman"/>
          <w:bCs/>
          <w:color w:val="auto"/>
          <w:sz w:val="24"/>
          <w:szCs w:val="24"/>
          <w:highlight w:val="none"/>
        </w:rPr>
        <w:t>m</w:t>
      </w:r>
      <w:r>
        <w:rPr>
          <w:rFonts w:ascii="Times New Roman" w:hAnsi="Times New Roman" w:cs="Times New Roman"/>
          <w:bCs/>
          <w:color w:val="auto"/>
          <w:sz w:val="24"/>
          <w:szCs w:val="24"/>
          <w:highlight w:val="none"/>
          <w:vertAlign w:val="superscript"/>
        </w:rPr>
        <w:t>3</w:t>
      </w:r>
      <w:r>
        <w:rPr>
          <w:rFonts w:ascii="Times New Roman" w:hAnsi="Times New Roman" w:cs="Times New Roman"/>
          <w:bCs/>
          <w:color w:val="auto"/>
          <w:sz w:val="24"/>
          <w:szCs w:val="24"/>
          <w:highlight w:val="none"/>
        </w:rPr>
        <w:t>/a。</w:t>
      </w:r>
    </w:p>
    <w:p>
      <w:pPr>
        <w:pStyle w:val="2"/>
        <w:keepNext w:val="0"/>
        <w:keepLines w:val="0"/>
        <w:pageBreakBefore w:val="0"/>
        <w:widowControl/>
        <w:numPr>
          <w:ilvl w:val="0"/>
          <w:numId w:val="8"/>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color w:val="auto"/>
          <w:highlight w:val="none"/>
          <w:lang w:val="en-US" w:eastAsia="zh-CN"/>
        </w:rPr>
      </w:pPr>
      <w:r>
        <w:rPr>
          <w:rFonts w:hint="eastAsia"/>
          <w:color w:val="auto"/>
          <w:highlight w:val="none"/>
          <w:lang w:val="en-US" w:eastAsia="zh-CN"/>
        </w:rPr>
        <w:t>猪粪固液分离废水</w:t>
      </w:r>
    </w:p>
    <w:p>
      <w:pPr>
        <w:pStyle w:val="2"/>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jc w:val="both"/>
        <w:textAlignment w:val="auto"/>
        <w:rPr>
          <w:rFonts w:hint="eastAsia"/>
          <w:color w:val="auto"/>
          <w:highlight w:val="none"/>
          <w:lang w:val="en-US" w:eastAsia="zh-CN"/>
        </w:rPr>
      </w:pPr>
      <w:r>
        <w:rPr>
          <w:rFonts w:hint="eastAsia"/>
          <w:color w:val="auto"/>
          <w:highlight w:val="none"/>
          <w:lang w:val="en-US" w:eastAsia="zh-CN"/>
        </w:rPr>
        <w:t>本项目采用环保部认定的干清粪工艺，粪尿产生后经粪污储存池暂存后用泵</w:t>
      </w:r>
    </w:p>
    <w:p>
      <w:pPr>
        <w:pStyle w:val="2"/>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eastAsia"/>
          <w:color w:val="auto"/>
          <w:highlight w:val="none"/>
          <w:lang w:val="en-US" w:eastAsia="zh-CN"/>
        </w:rPr>
      </w:pPr>
      <w:r>
        <w:rPr>
          <w:rFonts w:hint="eastAsia"/>
          <w:color w:val="auto"/>
          <w:highlight w:val="none"/>
          <w:lang w:val="en-US" w:eastAsia="zh-CN"/>
        </w:rPr>
        <w:t>运至污水前处理系统进行固液分离，经固液分离后，分离出的猪粪运至固粪处置区，污水进入黑膜沼气池进行处理。</w:t>
      </w:r>
    </w:p>
    <w:p>
      <w:pPr>
        <w:pStyle w:val="2"/>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olor w:val="auto"/>
          <w:highlight w:val="none"/>
          <w:lang w:val="en-US" w:eastAsia="zh-CN"/>
        </w:rPr>
      </w:pPr>
      <w:r>
        <w:rPr>
          <w:rFonts w:hint="eastAsia"/>
          <w:color w:val="auto"/>
          <w:highlight w:val="none"/>
          <w:lang w:val="en-US" w:eastAsia="zh-CN"/>
        </w:rPr>
        <w:t>猪粪总产生量为20616.01t/a，新鲜猪粪含水率约为80%，养殖粪污在污水处理前进行固液分离，固液分离效率按50%计，则</w:t>
      </w:r>
      <w:r>
        <w:rPr>
          <w:rFonts w:ascii="Times New Roman" w:hAnsi="Times New Roman"/>
          <w:color w:val="auto"/>
          <w:sz w:val="24"/>
          <w:szCs w:val="24"/>
          <w:highlight w:val="none"/>
        </w:rPr>
        <w:t>分离出来的</w:t>
      </w:r>
      <w:r>
        <w:rPr>
          <w:rFonts w:hint="eastAsia"/>
          <w:color w:val="auto"/>
          <w:highlight w:val="none"/>
          <w:lang w:val="en-US" w:eastAsia="zh-CN"/>
        </w:rPr>
        <w:t>猪粪</w:t>
      </w:r>
      <w:r>
        <w:rPr>
          <w:rFonts w:ascii="Times New Roman" w:hAnsi="Times New Roman"/>
          <w:color w:val="auto"/>
          <w:sz w:val="24"/>
          <w:szCs w:val="24"/>
          <w:highlight w:val="none"/>
        </w:rPr>
        <w:t>（以含水量65%计）</w:t>
      </w:r>
      <w:r>
        <w:rPr>
          <w:rFonts w:hint="eastAsia"/>
          <w:color w:val="auto"/>
          <w:highlight w:val="none"/>
          <w:lang w:val="en-US" w:eastAsia="zh-CN"/>
        </w:rPr>
        <w:t>总重为5890.3t/a（16.14t/d），在堆肥区发酵生产有机肥基肥，剩余溶解在废水里的猪粪进入黑膜沼气池进行处理，则经固液分离后猪粪带入黑膜沼气池的总水量为34.71m</w:t>
      </w:r>
      <w:r>
        <w:rPr>
          <w:rFonts w:hint="eastAsia"/>
          <w:color w:val="auto"/>
          <w:highlight w:val="none"/>
          <w:vertAlign w:val="superscript"/>
          <w:lang w:val="en-US" w:eastAsia="zh-CN"/>
        </w:rPr>
        <w:t>3</w:t>
      </w:r>
      <w:r>
        <w:rPr>
          <w:rFonts w:hint="eastAsia"/>
          <w:color w:val="auto"/>
          <w:highlight w:val="none"/>
          <w:lang w:val="en-US" w:eastAsia="zh-CN"/>
        </w:rPr>
        <w:t>/d、12669.15m</w:t>
      </w:r>
      <w:r>
        <w:rPr>
          <w:rFonts w:hint="eastAsia"/>
          <w:color w:val="auto"/>
          <w:highlight w:val="none"/>
          <w:vertAlign w:val="superscript"/>
          <w:lang w:val="en-US" w:eastAsia="zh-CN"/>
        </w:rPr>
        <w:t>3</w:t>
      </w:r>
      <w:r>
        <w:rPr>
          <w:rFonts w:hint="eastAsia"/>
          <w:color w:val="auto"/>
          <w:highlight w:val="none"/>
          <w:lang w:val="en-US" w:eastAsia="zh-CN"/>
        </w:rPr>
        <w:t>/a。</w:t>
      </w:r>
    </w:p>
    <w:p>
      <w:pPr>
        <w:pStyle w:val="2"/>
        <w:keepNext w:val="0"/>
        <w:keepLines w:val="0"/>
        <w:pageBreakBefore w:val="0"/>
        <w:widowControl/>
        <w:numPr>
          <w:ilvl w:val="0"/>
          <w:numId w:val="8"/>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color w:val="auto"/>
          <w:highlight w:val="none"/>
          <w:lang w:val="en-US" w:eastAsia="zh-CN"/>
        </w:rPr>
      </w:pPr>
      <w:r>
        <w:rPr>
          <w:rFonts w:hint="eastAsia"/>
          <w:color w:val="auto"/>
          <w:highlight w:val="none"/>
          <w:lang w:val="en-US" w:eastAsia="zh-CN"/>
        </w:rPr>
        <w:t>无害化处理车间废水</w:t>
      </w:r>
    </w:p>
    <w:p>
      <w:pPr>
        <w:pStyle w:val="2"/>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olor w:val="auto"/>
          <w:highlight w:val="none"/>
          <w:lang w:val="en-US" w:eastAsia="zh-CN"/>
        </w:rPr>
      </w:pPr>
      <w:r>
        <w:rPr>
          <w:rFonts w:hint="default"/>
          <w:color w:val="auto"/>
          <w:highlight w:val="none"/>
          <w:lang w:val="en-US" w:eastAsia="zh-CN"/>
        </w:rPr>
        <w:t>本项目</w:t>
      </w:r>
      <w:r>
        <w:rPr>
          <w:rFonts w:hint="eastAsia"/>
          <w:color w:val="auto"/>
          <w:highlight w:val="none"/>
          <w:lang w:val="en-US" w:eastAsia="zh-CN"/>
        </w:rPr>
        <w:t>无害化处理车间</w:t>
      </w:r>
      <w:r>
        <w:rPr>
          <w:rFonts w:hint="default"/>
          <w:color w:val="auto"/>
          <w:highlight w:val="none"/>
          <w:lang w:val="en-US" w:eastAsia="zh-CN"/>
        </w:rPr>
        <w:t>采用高温化制法处理本厂区病死猪，其化制过程中会产生一定量的冷凝废水，项目</w:t>
      </w:r>
      <w:r>
        <w:rPr>
          <w:rFonts w:hint="eastAsia"/>
          <w:color w:val="auto"/>
          <w:highlight w:val="none"/>
          <w:lang w:val="en-US" w:eastAsia="zh-CN"/>
        </w:rPr>
        <w:t>无害化处理车间</w:t>
      </w:r>
      <w:r>
        <w:rPr>
          <w:rFonts w:hint="default"/>
          <w:color w:val="auto"/>
          <w:highlight w:val="none"/>
          <w:lang w:val="en-US" w:eastAsia="zh-CN"/>
        </w:rPr>
        <w:t>废水主要为无害化车间清洗废水和冷凝废水。</w:t>
      </w:r>
    </w:p>
    <w:p>
      <w:pPr>
        <w:pStyle w:val="2"/>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olor w:val="auto"/>
          <w:highlight w:val="none"/>
          <w:lang w:val="en-US" w:eastAsia="zh-CN"/>
        </w:rPr>
      </w:pPr>
      <w:r>
        <w:rPr>
          <w:rFonts w:hint="default"/>
          <w:color w:val="auto"/>
          <w:highlight w:val="none"/>
          <w:lang w:val="en-US" w:eastAsia="zh-CN"/>
        </w:rPr>
        <w:t>本工程化制烘干过程通过高温高压真空对物料进行加热，化制烘干过程完成后，物料的含水量由70%降至10%。化制烘干过程温度为140℃，化制烘干过程中的水份以蒸汽形式排出，水蒸汽经冷凝后成为废水，通过真空泵送入污水处理站进行处理。按项目年处理本项目病死猪</w:t>
      </w:r>
      <w:r>
        <w:rPr>
          <w:rFonts w:hint="eastAsia"/>
          <w:color w:val="auto"/>
          <w:highlight w:val="none"/>
          <w:lang w:val="en-US" w:eastAsia="zh-CN"/>
        </w:rPr>
        <w:t>23.5</w:t>
      </w:r>
      <w:r>
        <w:rPr>
          <w:rFonts w:hint="default"/>
          <w:color w:val="auto"/>
          <w:highlight w:val="none"/>
          <w:lang w:val="en-US" w:eastAsia="zh-CN"/>
        </w:rPr>
        <w:t>t/a计，则冷凝废水产生量为1</w:t>
      </w:r>
      <w:r>
        <w:rPr>
          <w:rFonts w:hint="eastAsia"/>
          <w:color w:val="auto"/>
          <w:highlight w:val="none"/>
          <w:lang w:val="en-US" w:eastAsia="zh-CN"/>
        </w:rPr>
        <w:t>3.128</w:t>
      </w:r>
      <w:r>
        <w:rPr>
          <w:rFonts w:hint="default"/>
          <w:color w:val="auto"/>
          <w:highlight w:val="none"/>
          <w:lang w:val="en-US" w:eastAsia="zh-CN"/>
        </w:rPr>
        <w:t>m</w:t>
      </w:r>
      <w:r>
        <w:rPr>
          <w:rFonts w:hint="default"/>
          <w:color w:val="auto"/>
          <w:highlight w:val="none"/>
          <w:vertAlign w:val="superscript"/>
          <w:lang w:val="en-US" w:eastAsia="zh-CN"/>
        </w:rPr>
        <w:t>3</w:t>
      </w:r>
      <w:r>
        <w:rPr>
          <w:rFonts w:hint="default"/>
          <w:color w:val="auto"/>
          <w:highlight w:val="none"/>
          <w:lang w:val="en-US" w:eastAsia="zh-CN"/>
        </w:rPr>
        <w:t>/a</w:t>
      </w:r>
      <w:r>
        <w:rPr>
          <w:rFonts w:hint="eastAsia"/>
          <w:color w:val="auto"/>
          <w:highlight w:val="none"/>
          <w:lang w:val="en-US" w:eastAsia="zh-CN"/>
        </w:rPr>
        <w:t>。</w:t>
      </w:r>
    </w:p>
    <w:p>
      <w:pPr>
        <w:pStyle w:val="2"/>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olor w:val="auto"/>
          <w:highlight w:val="none"/>
          <w:lang w:val="en-US" w:eastAsia="zh-CN"/>
        </w:rPr>
      </w:pPr>
      <w:r>
        <w:rPr>
          <w:rFonts w:hint="eastAsia"/>
          <w:color w:val="auto"/>
          <w:highlight w:val="none"/>
          <w:lang w:val="en-US" w:eastAsia="zh-CN"/>
        </w:rPr>
        <w:t>按照卫生防疫的需要，每日需对车间地面进行一次冲洗，车间冲洗水量按照3.75L/m</w:t>
      </w:r>
      <w:r>
        <w:rPr>
          <w:rFonts w:hint="eastAsia"/>
          <w:color w:val="auto"/>
          <w:highlight w:val="none"/>
          <w:vertAlign w:val="superscript"/>
          <w:lang w:val="en-US" w:eastAsia="zh-CN"/>
        </w:rPr>
        <w:t>2</w:t>
      </w:r>
      <w:r>
        <w:rPr>
          <w:rFonts w:hint="eastAsia"/>
          <w:color w:val="auto"/>
          <w:highlight w:val="none"/>
          <w:lang w:val="en-US" w:eastAsia="zh-CN"/>
        </w:rPr>
        <w:t>计算，无害化车间总占地面积249.39m</w:t>
      </w:r>
      <w:r>
        <w:rPr>
          <w:rFonts w:hint="eastAsia"/>
          <w:color w:val="auto"/>
          <w:highlight w:val="none"/>
          <w:vertAlign w:val="superscript"/>
          <w:lang w:val="en-US" w:eastAsia="zh-CN"/>
        </w:rPr>
        <w:t>2</w:t>
      </w:r>
      <w:r>
        <w:rPr>
          <w:rFonts w:hint="eastAsia"/>
          <w:color w:val="auto"/>
          <w:highlight w:val="none"/>
          <w:lang w:val="en-US" w:eastAsia="zh-CN"/>
        </w:rPr>
        <w:t>，则冲洗废水量为0.9m</w:t>
      </w:r>
      <w:r>
        <w:rPr>
          <w:rFonts w:hint="eastAsia"/>
          <w:color w:val="auto"/>
          <w:highlight w:val="none"/>
          <w:vertAlign w:val="superscript"/>
          <w:lang w:val="en-US" w:eastAsia="zh-CN"/>
        </w:rPr>
        <w:t>3</w:t>
      </w:r>
      <w:r>
        <w:rPr>
          <w:rFonts w:hint="eastAsia"/>
          <w:color w:val="auto"/>
          <w:highlight w:val="none"/>
          <w:lang w:val="en-US" w:eastAsia="zh-CN"/>
        </w:rPr>
        <w:t>/d，328.5m</w:t>
      </w:r>
      <w:r>
        <w:rPr>
          <w:rFonts w:hint="eastAsia"/>
          <w:color w:val="auto"/>
          <w:highlight w:val="none"/>
          <w:vertAlign w:val="superscript"/>
          <w:lang w:val="en-US" w:eastAsia="zh-CN"/>
        </w:rPr>
        <w:t>3</w:t>
      </w:r>
      <w:r>
        <w:rPr>
          <w:rFonts w:hint="eastAsia"/>
          <w:color w:val="auto"/>
          <w:highlight w:val="none"/>
          <w:lang w:val="en-US" w:eastAsia="zh-CN"/>
        </w:rPr>
        <w:t>/a。</w:t>
      </w:r>
      <w:r>
        <w:rPr>
          <w:rFonts w:hint="default"/>
          <w:color w:val="auto"/>
          <w:highlight w:val="none"/>
          <w:lang w:val="en-US" w:eastAsia="zh-CN"/>
        </w:rPr>
        <w:t>项目无害化车间冲洗废水产生量按冲洗用水量的90%计，则无害化车间冲洗废水量为0.81m</w:t>
      </w:r>
      <w:r>
        <w:rPr>
          <w:rFonts w:hint="default"/>
          <w:color w:val="auto"/>
          <w:highlight w:val="none"/>
          <w:vertAlign w:val="superscript"/>
          <w:lang w:val="en-US" w:eastAsia="zh-CN"/>
        </w:rPr>
        <w:t>3</w:t>
      </w:r>
      <w:r>
        <w:rPr>
          <w:rFonts w:hint="default"/>
          <w:color w:val="auto"/>
          <w:highlight w:val="none"/>
          <w:lang w:val="en-US" w:eastAsia="zh-CN"/>
        </w:rPr>
        <w:t>/d，</w:t>
      </w:r>
      <w:r>
        <w:rPr>
          <w:rFonts w:hint="eastAsia"/>
          <w:color w:val="auto"/>
          <w:highlight w:val="none"/>
          <w:lang w:val="en-US" w:eastAsia="zh-CN"/>
        </w:rPr>
        <w:t>295.65</w:t>
      </w:r>
      <w:r>
        <w:rPr>
          <w:rFonts w:hint="default"/>
          <w:color w:val="auto"/>
          <w:highlight w:val="none"/>
          <w:lang w:val="en-US" w:eastAsia="zh-CN"/>
        </w:rPr>
        <w:t>m</w:t>
      </w:r>
      <w:r>
        <w:rPr>
          <w:rFonts w:hint="default"/>
          <w:color w:val="auto"/>
          <w:highlight w:val="none"/>
          <w:vertAlign w:val="superscript"/>
          <w:lang w:val="en-US" w:eastAsia="zh-CN"/>
        </w:rPr>
        <w:t>3</w:t>
      </w:r>
      <w:r>
        <w:rPr>
          <w:rFonts w:hint="default"/>
          <w:color w:val="auto"/>
          <w:highlight w:val="none"/>
          <w:lang w:val="en-US" w:eastAsia="zh-CN"/>
        </w:rPr>
        <w:t>/a</w:t>
      </w:r>
      <w:r>
        <w:rPr>
          <w:rFonts w:hint="eastAsia"/>
          <w:color w:val="auto"/>
          <w:highlight w:val="none"/>
          <w:lang w:val="en-US" w:eastAsia="zh-CN"/>
        </w:rPr>
        <w:t>。</w:t>
      </w:r>
    </w:p>
    <w:p>
      <w:pPr>
        <w:pStyle w:val="2"/>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olor w:val="auto"/>
          <w:highlight w:val="none"/>
          <w:lang w:val="en-US" w:eastAsia="zh-CN"/>
        </w:rPr>
      </w:pPr>
      <w:r>
        <w:rPr>
          <w:rFonts w:hint="default"/>
          <w:color w:val="auto"/>
          <w:highlight w:val="none"/>
          <w:lang w:val="en-US" w:eastAsia="zh-CN"/>
        </w:rPr>
        <w:t>项目无害化车间废水总量为3</w:t>
      </w:r>
      <w:r>
        <w:rPr>
          <w:rFonts w:hint="eastAsia"/>
          <w:color w:val="auto"/>
          <w:highlight w:val="none"/>
          <w:lang w:val="en-US" w:eastAsia="zh-CN"/>
        </w:rPr>
        <w:t>08.778</w:t>
      </w:r>
      <w:r>
        <w:rPr>
          <w:rFonts w:hint="default"/>
          <w:color w:val="auto"/>
          <w:highlight w:val="none"/>
          <w:lang w:val="en-US" w:eastAsia="zh-CN"/>
        </w:rPr>
        <w:t>m</w:t>
      </w:r>
      <w:r>
        <w:rPr>
          <w:rFonts w:hint="default"/>
          <w:color w:val="auto"/>
          <w:highlight w:val="none"/>
          <w:vertAlign w:val="superscript"/>
          <w:lang w:val="en-US" w:eastAsia="zh-CN"/>
        </w:rPr>
        <w:t>3</w:t>
      </w:r>
      <w:r>
        <w:rPr>
          <w:rFonts w:hint="default"/>
          <w:color w:val="auto"/>
          <w:highlight w:val="none"/>
          <w:lang w:val="en-US" w:eastAsia="zh-CN"/>
        </w:rPr>
        <w:t>/a，0.</w:t>
      </w:r>
      <w:r>
        <w:rPr>
          <w:rFonts w:hint="eastAsia"/>
          <w:color w:val="auto"/>
          <w:highlight w:val="none"/>
          <w:lang w:val="en-US" w:eastAsia="zh-CN"/>
        </w:rPr>
        <w:t>846</w:t>
      </w:r>
      <w:r>
        <w:rPr>
          <w:rFonts w:hint="default"/>
          <w:color w:val="auto"/>
          <w:highlight w:val="none"/>
          <w:lang w:val="en-US" w:eastAsia="zh-CN"/>
        </w:rPr>
        <w:t>m</w:t>
      </w:r>
      <w:r>
        <w:rPr>
          <w:rFonts w:hint="default"/>
          <w:color w:val="auto"/>
          <w:highlight w:val="none"/>
          <w:vertAlign w:val="superscript"/>
          <w:lang w:val="en-US" w:eastAsia="zh-CN"/>
        </w:rPr>
        <w:t>3</w:t>
      </w:r>
      <w:r>
        <w:rPr>
          <w:rFonts w:hint="default"/>
          <w:color w:val="auto"/>
          <w:highlight w:val="none"/>
          <w:lang w:val="en-US" w:eastAsia="zh-CN"/>
        </w:rPr>
        <w:t>/d，据类比牧原集团采用相同工艺同规模的无害化处理车间，项目无害化车间废水主要污染物浓度为COD700mg/L、BOD</w:t>
      </w:r>
      <w:r>
        <w:rPr>
          <w:rFonts w:hint="default"/>
          <w:color w:val="auto"/>
          <w:highlight w:val="none"/>
          <w:vertAlign w:val="subscript"/>
          <w:lang w:val="en-US" w:eastAsia="zh-CN"/>
        </w:rPr>
        <w:t>5</w:t>
      </w:r>
      <w:r>
        <w:rPr>
          <w:rFonts w:hint="eastAsia"/>
          <w:color w:val="auto"/>
          <w:highlight w:val="none"/>
          <w:vertAlign w:val="subscript"/>
          <w:lang w:val="en-US" w:eastAsia="zh-CN"/>
        </w:rPr>
        <w:t xml:space="preserve"> </w:t>
      </w:r>
      <w:r>
        <w:rPr>
          <w:rFonts w:hint="default"/>
          <w:color w:val="auto"/>
          <w:highlight w:val="none"/>
          <w:lang w:val="en-US" w:eastAsia="zh-CN"/>
        </w:rPr>
        <w:t>350mg/L、氨氮40mg/L、SS 200mg/L。</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hint="eastAsia"/>
          <w:color w:val="auto"/>
          <w:highlight w:val="none"/>
          <w:lang w:val="en-US" w:eastAsia="zh-CN"/>
        </w:rPr>
      </w:pPr>
      <w:r>
        <w:rPr>
          <w:rFonts w:hint="eastAsia"/>
          <w:color w:val="auto"/>
          <w:highlight w:val="none"/>
          <w:lang w:val="en-US" w:eastAsia="zh-CN"/>
        </w:rPr>
        <w:t>生活污水</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color w:val="auto"/>
          <w:highlight w:val="none"/>
        </w:rPr>
      </w:pPr>
      <w:r>
        <w:rPr>
          <w:color w:val="auto"/>
          <w:highlight w:val="none"/>
        </w:rPr>
        <w:t>项目生活用水量为</w:t>
      </w:r>
      <w:r>
        <w:rPr>
          <w:rFonts w:hint="eastAsia" w:cs="Times New Roman"/>
          <w:color w:val="auto"/>
          <w:sz w:val="24"/>
          <w:szCs w:val="24"/>
          <w:highlight w:val="none"/>
          <w:lang w:val="en-US" w:eastAsia="zh-CN"/>
        </w:rPr>
        <w:t>11.52</w:t>
      </w:r>
      <w:r>
        <w:rPr>
          <w:color w:val="auto"/>
          <w:highlight w:val="none"/>
        </w:rPr>
        <w:t>m</w:t>
      </w:r>
      <w:r>
        <w:rPr>
          <w:color w:val="auto"/>
          <w:highlight w:val="none"/>
          <w:vertAlign w:val="superscript"/>
        </w:rPr>
        <w:t>3</w:t>
      </w:r>
      <w:r>
        <w:rPr>
          <w:color w:val="auto"/>
          <w:highlight w:val="none"/>
        </w:rPr>
        <w:t>/d（</w:t>
      </w:r>
      <w:r>
        <w:rPr>
          <w:rFonts w:hint="eastAsia"/>
          <w:color w:val="auto"/>
          <w:highlight w:val="none"/>
          <w:lang w:val="en-US" w:eastAsia="zh-CN"/>
        </w:rPr>
        <w:t>4204.8</w:t>
      </w:r>
      <w:r>
        <w:rPr>
          <w:color w:val="auto"/>
          <w:highlight w:val="none"/>
        </w:rPr>
        <w:t>m</w:t>
      </w:r>
      <w:r>
        <w:rPr>
          <w:color w:val="auto"/>
          <w:highlight w:val="none"/>
          <w:vertAlign w:val="superscript"/>
        </w:rPr>
        <w:t>3</w:t>
      </w:r>
      <w:r>
        <w:rPr>
          <w:color w:val="auto"/>
          <w:highlight w:val="none"/>
        </w:rPr>
        <w:t>/a），污水排放系数取0.8，则生活污水产生量为</w:t>
      </w:r>
      <w:r>
        <w:rPr>
          <w:rFonts w:hint="eastAsia"/>
          <w:color w:val="auto"/>
          <w:highlight w:val="none"/>
          <w:lang w:val="en-US" w:eastAsia="zh-CN"/>
        </w:rPr>
        <w:t>9.216</w:t>
      </w:r>
      <w:r>
        <w:rPr>
          <w:color w:val="auto"/>
          <w:highlight w:val="none"/>
        </w:rPr>
        <w:t>m</w:t>
      </w:r>
      <w:r>
        <w:rPr>
          <w:color w:val="auto"/>
          <w:highlight w:val="none"/>
          <w:vertAlign w:val="superscript"/>
        </w:rPr>
        <w:t>3</w:t>
      </w:r>
      <w:r>
        <w:rPr>
          <w:color w:val="auto"/>
          <w:highlight w:val="none"/>
        </w:rPr>
        <w:t>/d（</w:t>
      </w:r>
      <w:r>
        <w:rPr>
          <w:rFonts w:hint="eastAsia"/>
          <w:color w:val="auto"/>
          <w:highlight w:val="none"/>
          <w:lang w:val="en-US" w:eastAsia="zh-CN"/>
        </w:rPr>
        <w:t>3363.84</w:t>
      </w:r>
      <w:r>
        <w:rPr>
          <w:color w:val="auto"/>
          <w:highlight w:val="none"/>
        </w:rPr>
        <w:t>m</w:t>
      </w:r>
      <w:r>
        <w:rPr>
          <w:color w:val="auto"/>
          <w:highlight w:val="none"/>
          <w:vertAlign w:val="superscript"/>
        </w:rPr>
        <w:t>3</w:t>
      </w:r>
      <w:r>
        <w:rPr>
          <w:color w:val="auto"/>
          <w:highlight w:val="none"/>
        </w:rPr>
        <w:t>/a）。</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color w:val="auto"/>
          <w:highlight w:val="none"/>
        </w:rPr>
      </w:pPr>
      <w:r>
        <w:rPr>
          <w:rFonts w:hint="eastAsia"/>
          <w:color w:val="auto"/>
          <w:highlight w:val="none"/>
        </w:rPr>
        <w:t>（3）</w:t>
      </w:r>
      <w:r>
        <w:rPr>
          <w:color w:val="auto"/>
          <w:highlight w:val="none"/>
        </w:rPr>
        <w:t>供电</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color w:val="auto"/>
          <w:highlight w:val="none"/>
        </w:rPr>
      </w:pPr>
      <w:r>
        <w:rPr>
          <w:rFonts w:hint="eastAsia"/>
          <w:color w:val="auto"/>
          <w:highlight w:val="none"/>
        </w:rPr>
        <w:t>依托当地供电电网</w:t>
      </w:r>
      <w:r>
        <w:rPr>
          <w:color w:val="auto"/>
          <w:highlight w:val="none"/>
        </w:rPr>
        <w:t>。</w:t>
      </w:r>
    </w:p>
    <w:p>
      <w:pPr>
        <w:keepNext w:val="0"/>
        <w:keepLines w:val="0"/>
        <w:pageBreakBefore w:val="0"/>
        <w:widowControl/>
        <w:kinsoku/>
        <w:wordWrap/>
        <w:overflowPunct/>
        <w:topLinePunct w:val="0"/>
        <w:autoSpaceDE/>
        <w:autoSpaceDN/>
        <w:bidi w:val="0"/>
        <w:adjustRightInd/>
        <w:snapToGrid/>
        <w:ind w:left="0" w:leftChars="0" w:firstLine="480" w:firstLineChars="200"/>
        <w:textAlignment w:val="auto"/>
        <w:rPr>
          <w:rFonts w:hint="eastAsia" w:eastAsia="宋体"/>
          <w:color w:val="auto"/>
          <w:highlight w:val="none"/>
          <w:lang w:eastAsia="zh-CN"/>
        </w:rPr>
      </w:pPr>
      <w:r>
        <w:rPr>
          <w:rFonts w:hint="eastAsia"/>
          <w:color w:val="auto"/>
          <w:highlight w:val="none"/>
        </w:rPr>
        <w:t>（4）</w:t>
      </w:r>
      <w:r>
        <w:rPr>
          <w:rFonts w:hint="eastAsia"/>
          <w:color w:val="auto"/>
          <w:highlight w:val="none"/>
          <w:lang w:eastAsia="zh-CN"/>
        </w:rPr>
        <w:t>供暖</w:t>
      </w:r>
    </w:p>
    <w:p>
      <w:pPr>
        <w:keepNext w:val="0"/>
        <w:keepLines w:val="0"/>
        <w:pageBreakBefore w:val="0"/>
        <w:widowControl/>
        <w:kinsoku/>
        <w:wordWrap/>
        <w:overflowPunct/>
        <w:topLinePunct w:val="0"/>
        <w:autoSpaceDE/>
        <w:autoSpaceDN/>
        <w:bidi w:val="0"/>
        <w:adjustRightInd/>
        <w:snapToGrid/>
        <w:ind w:left="0" w:leftChars="0" w:firstLine="480" w:firstLineChars="200"/>
        <w:textAlignment w:val="auto"/>
        <w:rPr>
          <w:color w:val="auto"/>
          <w:highlight w:val="none"/>
        </w:rPr>
      </w:pPr>
      <w:r>
        <w:rPr>
          <w:rFonts w:ascii="Times New Roman" w:hAnsi="Times New Roman"/>
          <w:color w:val="auto"/>
          <w:sz w:val="24"/>
          <w:highlight w:val="none"/>
        </w:rPr>
        <w:t>根据公司已建设项目运行实践和本次设计，猪舍冬季取暖采用保温为主辅助供暖的节能模式。通过猪舍墙体保温材料与外部绝热，猪舍通风采用全热交换器提高入舍新鲜空气温度</w:t>
      </w:r>
      <w:r>
        <w:rPr>
          <w:rFonts w:hint="eastAsia"/>
          <w:color w:val="auto"/>
          <w:highlight w:val="none"/>
        </w:rPr>
        <w:t>。</w:t>
      </w:r>
    </w:p>
    <w:p>
      <w:pPr>
        <w:pStyle w:val="4"/>
        <w:pageBreakBefore w:val="0"/>
        <w:widowControl/>
        <w:kinsoku/>
        <w:wordWrap/>
        <w:overflowPunct/>
        <w:topLinePunct w:val="0"/>
        <w:autoSpaceDE/>
        <w:autoSpaceDN/>
        <w:bidi w:val="0"/>
        <w:adjustRightInd/>
        <w:snapToGrid/>
        <w:spacing w:before="0" w:beforeLines="0"/>
        <w:textAlignment w:val="auto"/>
        <w:rPr>
          <w:rFonts w:cs="Times New Roman"/>
          <w:color w:val="auto"/>
          <w:highlight w:val="none"/>
        </w:rPr>
      </w:pPr>
      <w:bookmarkStart w:id="19" w:name="_Toc29219"/>
      <w:r>
        <w:rPr>
          <w:rFonts w:hint="eastAsia" w:cs="Times New Roman"/>
          <w:color w:val="auto"/>
          <w:highlight w:val="none"/>
        </w:rPr>
        <w:t>2.6</w:t>
      </w:r>
      <w:r>
        <w:rPr>
          <w:rFonts w:cs="Times New Roman"/>
          <w:color w:val="auto"/>
          <w:highlight w:val="none"/>
        </w:rPr>
        <w:t>总体</w:t>
      </w:r>
      <w:r>
        <w:rPr>
          <w:rFonts w:hint="eastAsia" w:cs="Times New Roman"/>
          <w:color w:val="auto"/>
          <w:highlight w:val="none"/>
        </w:rPr>
        <w:t>平面</w:t>
      </w:r>
      <w:r>
        <w:rPr>
          <w:rFonts w:cs="Times New Roman"/>
          <w:color w:val="auto"/>
          <w:highlight w:val="none"/>
        </w:rPr>
        <w:t>布置</w:t>
      </w:r>
      <w:bookmarkEnd w:id="19"/>
    </w:p>
    <w:p>
      <w:pPr>
        <w:adjustRightInd w:val="0"/>
        <w:snapToGrid w:val="0"/>
        <w:ind w:firstLine="480"/>
        <w:rPr>
          <w:rFonts w:hint="eastAsia"/>
          <w:color w:val="auto"/>
          <w:highlight w:val="none"/>
        </w:rPr>
      </w:pPr>
      <w:r>
        <w:rPr>
          <w:rFonts w:hint="eastAsia"/>
          <w:color w:val="auto"/>
          <w:highlight w:val="none"/>
        </w:rPr>
        <w:t>场区实行生产区、生活区与污染治理区的三区分离，项目共分为生活区、养殖区、治污区三部分。生活区包括宿舍楼、伙房等；养殖区主要包括保育育肥一体舍；治污区包括固粪处理区、病死猪暂存间、黑膜沼气池、沼液储存池、医疗废物暂存间等。</w:t>
      </w:r>
    </w:p>
    <w:p>
      <w:pPr>
        <w:adjustRightInd w:val="0"/>
        <w:snapToGrid w:val="0"/>
        <w:ind w:firstLine="480"/>
        <w:rPr>
          <w:rFonts w:hint="eastAsia"/>
          <w:color w:val="auto"/>
          <w:highlight w:val="none"/>
        </w:rPr>
      </w:pPr>
      <w:r>
        <w:rPr>
          <w:rFonts w:hint="eastAsia"/>
          <w:color w:val="auto"/>
          <w:highlight w:val="none"/>
        </w:rPr>
        <w:t>根据企业设计，生活区设置在养殖区南侧，和养殖区之间有绿化带相隔，生产人员进出场区时可以尽可能避开养殖区，有利于猪舍防疫，可最大程度减轻对场区内部的影响。污水处理区位于养殖区北侧，以便于养殖区污水通过管道直接输送至污水处理区，污水处理后可自流至黑膜沼气池中。黑膜沼气池、沼液储存池、固粪处理区、污水处理设施均位于养殖场、生活办公区的东北侧，在养殖场、生活办公区常年主导风向的侧风向处，减轻了对养殖区和办公生活区的不利影响，满足规定要求。养殖区设置消毒设施，场区各功能区之间都设有绿化带，道路和绿化带的设置可有效防止各区之间交叉污染影响，同时也可为员工的办公和生产营造一个良好的工作环境。</w:t>
      </w:r>
    </w:p>
    <w:p>
      <w:pPr>
        <w:adjustRightInd w:val="0"/>
        <w:snapToGrid w:val="0"/>
        <w:ind w:firstLine="480"/>
        <w:rPr>
          <w:rFonts w:hint="eastAsia"/>
          <w:color w:val="auto"/>
          <w:highlight w:val="none"/>
        </w:rPr>
      </w:pPr>
      <w:r>
        <w:rPr>
          <w:rFonts w:hint="eastAsia"/>
          <w:color w:val="auto"/>
          <w:highlight w:val="none"/>
        </w:rPr>
        <w:t>根据场区布置情况，项目平面布置功能分区明确，场址平面布置可行，同时，要求项目建设时应严格按照《畜禽养殖业污染防治技术规范》（HJ/T81-2001）要求进行布置。</w:t>
      </w:r>
    </w:p>
    <w:p>
      <w:pPr>
        <w:adjustRightInd w:val="0"/>
        <w:snapToGrid w:val="0"/>
        <w:ind w:firstLine="480"/>
        <w:rPr>
          <w:color w:val="auto"/>
          <w:highlight w:val="none"/>
        </w:rPr>
      </w:pPr>
      <w:r>
        <w:rPr>
          <w:color w:val="auto"/>
          <w:highlight w:val="none"/>
        </w:rPr>
        <w:t>项目厂区平面布置图</w:t>
      </w:r>
      <w:r>
        <w:rPr>
          <w:rFonts w:hint="eastAsia"/>
          <w:color w:val="auto"/>
          <w:highlight w:val="none"/>
        </w:rPr>
        <w:t>见附图二。</w:t>
      </w:r>
    </w:p>
    <w:p>
      <w:pPr>
        <w:pStyle w:val="4"/>
        <w:spacing w:beforeLines="0"/>
        <w:rPr>
          <w:rFonts w:cs="Times New Roman"/>
          <w:color w:val="auto"/>
          <w:highlight w:val="none"/>
        </w:rPr>
      </w:pPr>
      <w:bookmarkStart w:id="20" w:name="_Toc1643"/>
      <w:r>
        <w:rPr>
          <w:rFonts w:hint="eastAsia" w:cs="Times New Roman"/>
          <w:color w:val="auto"/>
          <w:highlight w:val="none"/>
        </w:rPr>
        <w:t>2.7劳动定员及工作制度</w:t>
      </w:r>
      <w:bookmarkEnd w:id="20"/>
    </w:p>
    <w:p>
      <w:pPr>
        <w:ind w:firstLine="480"/>
        <w:rPr>
          <w:color w:val="auto"/>
          <w:highlight w:val="none"/>
        </w:rPr>
      </w:pPr>
      <w:r>
        <w:rPr>
          <w:rFonts w:hint="eastAsia"/>
          <w:color w:val="auto"/>
          <w:highlight w:val="none"/>
        </w:rPr>
        <w:t>本项目劳动定员</w:t>
      </w:r>
      <w:r>
        <w:rPr>
          <w:rFonts w:hint="eastAsia"/>
          <w:color w:val="auto"/>
          <w:highlight w:val="none"/>
          <w:lang w:val="en-US" w:eastAsia="zh-CN"/>
        </w:rPr>
        <w:t>96</w:t>
      </w:r>
      <w:r>
        <w:rPr>
          <w:rFonts w:hint="eastAsia"/>
          <w:color w:val="auto"/>
          <w:highlight w:val="none"/>
        </w:rPr>
        <w:t>人，实行</w:t>
      </w:r>
      <w:r>
        <w:rPr>
          <w:rFonts w:hint="eastAsia"/>
          <w:color w:val="auto"/>
          <w:highlight w:val="none"/>
          <w:lang w:eastAsia="zh-CN"/>
        </w:rPr>
        <w:t>三</w:t>
      </w:r>
      <w:r>
        <w:rPr>
          <w:rFonts w:hint="eastAsia"/>
          <w:color w:val="auto"/>
          <w:highlight w:val="none"/>
        </w:rPr>
        <w:t>班制，每班8小时，年工作</w:t>
      </w:r>
      <w:r>
        <w:rPr>
          <w:rFonts w:hint="eastAsia"/>
          <w:color w:val="auto"/>
          <w:highlight w:val="none"/>
          <w:lang w:val="en-US" w:eastAsia="zh-CN"/>
        </w:rPr>
        <w:t>365</w:t>
      </w:r>
      <w:r>
        <w:rPr>
          <w:rFonts w:hint="eastAsia"/>
          <w:color w:val="auto"/>
          <w:highlight w:val="none"/>
        </w:rPr>
        <w:t>天。</w:t>
      </w:r>
    </w:p>
    <w:p>
      <w:pPr>
        <w:pStyle w:val="4"/>
        <w:spacing w:before="132"/>
        <w:rPr>
          <w:rStyle w:val="45"/>
          <w:b/>
          <w:color w:val="auto"/>
          <w:highlight w:val="none"/>
        </w:rPr>
      </w:pPr>
      <w:bookmarkStart w:id="21" w:name="_Toc1579"/>
      <w:r>
        <w:rPr>
          <w:rStyle w:val="45"/>
          <w:rFonts w:hint="eastAsia"/>
          <w:b/>
          <w:color w:val="auto"/>
          <w:highlight w:val="none"/>
          <w:lang w:val="en-US" w:eastAsia="zh-CN"/>
        </w:rPr>
        <w:t>2</w:t>
      </w:r>
      <w:r>
        <w:rPr>
          <w:rStyle w:val="45"/>
          <w:rFonts w:hint="eastAsia"/>
          <w:b/>
          <w:color w:val="auto"/>
          <w:highlight w:val="none"/>
        </w:rPr>
        <w:t>.</w:t>
      </w:r>
      <w:r>
        <w:rPr>
          <w:rStyle w:val="45"/>
          <w:rFonts w:hint="eastAsia"/>
          <w:b/>
          <w:color w:val="auto"/>
          <w:highlight w:val="none"/>
          <w:lang w:val="en-US" w:eastAsia="zh-CN"/>
        </w:rPr>
        <w:t>8</w:t>
      </w:r>
      <w:r>
        <w:rPr>
          <w:rStyle w:val="45"/>
          <w:b/>
          <w:color w:val="auto"/>
          <w:highlight w:val="none"/>
        </w:rPr>
        <w:t>工艺流程</w:t>
      </w:r>
      <w:bookmarkEnd w:id="21"/>
    </w:p>
    <w:p>
      <w:pPr>
        <w:pStyle w:val="5"/>
        <w:spacing w:before="66"/>
        <w:ind w:firstLine="0" w:firstLineChars="0"/>
        <w:rPr>
          <w:rFonts w:cs="Times New Roman"/>
          <w:color w:val="auto"/>
          <w:highlight w:val="none"/>
        </w:rPr>
      </w:pPr>
      <w:r>
        <w:rPr>
          <w:rFonts w:hint="eastAsia" w:cs="Times New Roman"/>
          <w:color w:val="auto"/>
          <w:highlight w:val="none"/>
          <w:lang w:val="en-US" w:eastAsia="zh-CN"/>
        </w:rPr>
        <w:t>2</w:t>
      </w:r>
      <w:r>
        <w:rPr>
          <w:rFonts w:cs="Times New Roman"/>
          <w:color w:val="auto"/>
          <w:highlight w:val="none"/>
        </w:rPr>
        <w:t>.</w:t>
      </w:r>
      <w:r>
        <w:rPr>
          <w:rFonts w:hint="eastAsia" w:cs="Times New Roman"/>
          <w:color w:val="auto"/>
          <w:highlight w:val="none"/>
          <w:lang w:val="en-US" w:eastAsia="zh-CN"/>
        </w:rPr>
        <w:t>8</w:t>
      </w:r>
      <w:r>
        <w:rPr>
          <w:rFonts w:hint="eastAsia" w:cs="Times New Roman"/>
          <w:color w:val="auto"/>
          <w:highlight w:val="none"/>
        </w:rPr>
        <w:t>.1施工期工艺流程及产排污情况</w:t>
      </w:r>
    </w:p>
    <w:p>
      <w:pPr>
        <w:ind w:firstLine="480"/>
        <w:rPr>
          <w:rFonts w:cs="Times New Roman"/>
          <w:color w:val="auto"/>
          <w:highlight w:val="none"/>
        </w:rPr>
      </w:pPr>
      <w:r>
        <w:rPr>
          <w:rFonts w:hint="eastAsia" w:cs="Times New Roman"/>
          <w:color w:val="auto"/>
          <w:highlight w:val="none"/>
        </w:rPr>
        <w:t>本项目为新建项目，施工期主要分为主体建筑与配套设施建设等土建施工、室内装修两个时段。在土建施工期间主要污染因子有建筑施工噪声、扬尘、建筑垃圾、建筑废水以及施工人员的生活污水与生活垃圾等。项目建成后，建筑室内装修过程中产生的装修垃圾、涂料废气以及装修噪声发生。</w:t>
      </w:r>
    </w:p>
    <w:p>
      <w:pPr>
        <w:spacing w:line="500" w:lineRule="exact"/>
        <w:ind w:firstLine="480"/>
        <w:rPr>
          <w:rFonts w:cs="Times New Roman"/>
          <w:color w:val="auto"/>
          <w:highlight w:val="none"/>
        </w:rPr>
      </w:pPr>
      <w:r>
        <w:rPr>
          <w:rFonts w:hint="eastAsia" w:cs="Times New Roman"/>
          <w:color w:val="auto"/>
          <w:highlight w:val="none"/>
        </w:rPr>
        <w:t>（1）废水</w:t>
      </w:r>
    </w:p>
    <w:p>
      <w:pPr>
        <w:spacing w:line="500" w:lineRule="exact"/>
        <w:ind w:firstLine="480"/>
        <w:rPr>
          <w:rFonts w:cs="Times New Roman"/>
          <w:color w:val="auto"/>
          <w:highlight w:val="none"/>
        </w:rPr>
      </w:pPr>
      <w:r>
        <w:rPr>
          <w:rFonts w:hint="eastAsia" w:cs="Times New Roman"/>
          <w:color w:val="auto"/>
          <w:highlight w:val="none"/>
        </w:rPr>
        <w:t>施工过程中产生的废水主要有施工作业废水以及施工人员生活污水。</w:t>
      </w:r>
    </w:p>
    <w:p>
      <w:pPr>
        <w:spacing w:line="500" w:lineRule="exact"/>
        <w:ind w:firstLine="480"/>
        <w:rPr>
          <w:rFonts w:cs="Times New Roman"/>
          <w:color w:val="auto"/>
          <w:highlight w:val="none"/>
        </w:rPr>
      </w:pPr>
      <w:r>
        <w:rPr>
          <w:rFonts w:hint="eastAsia" w:cs="Times New Roman"/>
          <w:color w:val="auto"/>
          <w:highlight w:val="none"/>
        </w:rPr>
        <w:t>①施工废水</w:t>
      </w:r>
    </w:p>
    <w:p>
      <w:pPr>
        <w:spacing w:line="500" w:lineRule="exact"/>
        <w:ind w:firstLine="480"/>
        <w:rPr>
          <w:rFonts w:cs="Times New Roman"/>
          <w:color w:val="auto"/>
          <w:highlight w:val="none"/>
        </w:rPr>
      </w:pPr>
      <w:r>
        <w:rPr>
          <w:rFonts w:hint="eastAsia" w:cs="Times New Roman"/>
          <w:color w:val="auto"/>
          <w:highlight w:val="none"/>
        </w:rPr>
        <w:t>施工作业废水主要为进出施工场地的运输车辆、施工机械和工具冲洗水、结构阶段混凝土养护排水、桩基施工产生的泥浆废水，以及雨水冲刷施工场地内裸露表土产生的含泥沙废水。水中污染因子主要为COD、SS、石油类，浓度分别为25~200mg/L、500~4000mg/L、10~30mg/L，施工废水经隔油沉淀后回用于施工或洒水抑尘。</w:t>
      </w:r>
    </w:p>
    <w:p>
      <w:pPr>
        <w:spacing w:line="500" w:lineRule="exact"/>
        <w:ind w:firstLine="480"/>
        <w:rPr>
          <w:rFonts w:cs="Times New Roman"/>
          <w:color w:val="auto"/>
          <w:highlight w:val="none"/>
        </w:rPr>
      </w:pPr>
      <w:r>
        <w:rPr>
          <w:rFonts w:hint="eastAsia" w:cs="Times New Roman"/>
          <w:color w:val="auto"/>
          <w:highlight w:val="none"/>
        </w:rPr>
        <w:t>②生活污水</w:t>
      </w:r>
    </w:p>
    <w:p>
      <w:pPr>
        <w:spacing w:line="500" w:lineRule="exact"/>
        <w:ind w:firstLine="480"/>
        <w:rPr>
          <w:rFonts w:cs="Times New Roman"/>
          <w:color w:val="auto"/>
          <w:highlight w:val="none"/>
        </w:rPr>
      </w:pPr>
      <w:r>
        <w:rPr>
          <w:rFonts w:hint="eastAsia" w:cs="Times New Roman"/>
          <w:color w:val="auto"/>
          <w:highlight w:val="none"/>
        </w:rPr>
        <w:t>本工程在施工过程中施工人员多为当地民工，食宿均不在厂内，生活用水多为清洗用水，水质简单。废水中主要污染物为SS、动植物油等。施工期生活污水经隔油沉淀后回用于施工或洒水抑尘。</w:t>
      </w:r>
    </w:p>
    <w:p>
      <w:pPr>
        <w:spacing w:line="500" w:lineRule="exact"/>
        <w:ind w:firstLine="480"/>
        <w:rPr>
          <w:rFonts w:cs="Times New Roman"/>
          <w:color w:val="auto"/>
          <w:highlight w:val="none"/>
        </w:rPr>
      </w:pPr>
      <w:r>
        <w:rPr>
          <w:rFonts w:hint="eastAsia" w:cs="Times New Roman"/>
          <w:color w:val="auto"/>
          <w:highlight w:val="none"/>
        </w:rPr>
        <w:t>（2）废气</w:t>
      </w:r>
    </w:p>
    <w:p>
      <w:pPr>
        <w:spacing w:line="500" w:lineRule="exact"/>
        <w:ind w:firstLine="480"/>
        <w:rPr>
          <w:rFonts w:cs="Times New Roman"/>
          <w:color w:val="auto"/>
          <w:highlight w:val="none"/>
        </w:rPr>
      </w:pPr>
      <w:r>
        <w:rPr>
          <w:rFonts w:hint="eastAsia" w:cs="Times New Roman"/>
          <w:color w:val="auto"/>
          <w:highlight w:val="none"/>
        </w:rPr>
        <w:t>项目施工过程中的气型污染源主要有施工扬尘、施工车辆机械排放的尾气、装修废气。</w:t>
      </w:r>
    </w:p>
    <w:p>
      <w:pPr>
        <w:spacing w:line="500" w:lineRule="exact"/>
        <w:ind w:firstLine="480"/>
        <w:rPr>
          <w:rFonts w:cs="Times New Roman"/>
          <w:color w:val="auto"/>
          <w:highlight w:val="none"/>
        </w:rPr>
      </w:pPr>
      <w:r>
        <w:rPr>
          <w:rFonts w:hint="eastAsia" w:cs="Times New Roman"/>
          <w:color w:val="auto"/>
          <w:highlight w:val="none"/>
        </w:rPr>
        <w:t>①施工扬尘</w:t>
      </w:r>
    </w:p>
    <w:p>
      <w:pPr>
        <w:spacing w:line="500" w:lineRule="exact"/>
        <w:ind w:firstLine="480"/>
        <w:rPr>
          <w:rFonts w:cs="Times New Roman"/>
          <w:color w:val="auto"/>
          <w:highlight w:val="none"/>
        </w:rPr>
      </w:pPr>
      <w:r>
        <w:rPr>
          <w:rFonts w:hint="eastAsia" w:cs="Times New Roman"/>
          <w:color w:val="auto"/>
          <w:highlight w:val="none"/>
        </w:rPr>
        <w:t>本项目扬尘主要来源于场地平整、主体建筑基础施工产生的扬尘，建筑材料运输进场装、卸及堆放过程产生的扬尘，施工车辆行驶过程中扬起的灰尘、渣土等装卸时产生的扬尘及裸露地面因风蚀而产生的扬尘。</w:t>
      </w:r>
    </w:p>
    <w:p>
      <w:pPr>
        <w:spacing w:line="500" w:lineRule="exact"/>
        <w:ind w:firstLine="480"/>
        <w:rPr>
          <w:rFonts w:cs="Times New Roman"/>
          <w:color w:val="auto"/>
          <w:highlight w:val="none"/>
        </w:rPr>
      </w:pPr>
      <w:r>
        <w:rPr>
          <w:rFonts w:hint="eastAsia" w:cs="Times New Roman"/>
          <w:color w:val="auto"/>
          <w:highlight w:val="none"/>
        </w:rPr>
        <w:t>②施工车辆机械尾气</w:t>
      </w:r>
    </w:p>
    <w:p>
      <w:pPr>
        <w:spacing w:line="500" w:lineRule="exact"/>
        <w:ind w:firstLine="480"/>
        <w:rPr>
          <w:rFonts w:cs="Times New Roman"/>
          <w:color w:val="auto"/>
          <w:highlight w:val="none"/>
        </w:rPr>
      </w:pPr>
      <w:r>
        <w:rPr>
          <w:rFonts w:hint="eastAsia" w:cs="Times New Roman"/>
          <w:color w:val="auto"/>
          <w:highlight w:val="none"/>
        </w:rPr>
        <w:t>项目施工过程所使用的工程机械主要以柴油为燃料，重型机械尾气排放量较大，故尾气排放可能使项目所在区域内的大气环境受到污染。运输车辆在施工场地内和运输沿线道路均会排放少量汽车尾气，尾气中主要污染物有CO、NO</w:t>
      </w:r>
      <w:r>
        <w:rPr>
          <w:rFonts w:hint="eastAsia" w:cs="Times New Roman"/>
          <w:color w:val="auto"/>
          <w:highlight w:val="none"/>
          <w:vertAlign w:val="subscript"/>
        </w:rPr>
        <w:t>2</w:t>
      </w:r>
      <w:r>
        <w:rPr>
          <w:rFonts w:hint="eastAsia" w:cs="Times New Roman"/>
          <w:color w:val="auto"/>
          <w:highlight w:val="none"/>
        </w:rPr>
        <w:t>、总烃等。</w:t>
      </w:r>
    </w:p>
    <w:p>
      <w:pPr>
        <w:spacing w:line="500" w:lineRule="exact"/>
        <w:ind w:firstLine="480"/>
        <w:rPr>
          <w:rFonts w:cs="Times New Roman"/>
          <w:color w:val="auto"/>
          <w:highlight w:val="none"/>
        </w:rPr>
      </w:pPr>
      <w:r>
        <w:rPr>
          <w:rFonts w:hint="eastAsia" w:cs="Times New Roman"/>
          <w:color w:val="auto"/>
          <w:highlight w:val="none"/>
        </w:rPr>
        <w:t>（3）噪声</w:t>
      </w:r>
    </w:p>
    <w:p>
      <w:pPr>
        <w:spacing w:line="500" w:lineRule="exact"/>
        <w:ind w:firstLine="480"/>
        <w:rPr>
          <w:rFonts w:cs="Times New Roman"/>
          <w:color w:val="auto"/>
          <w:highlight w:val="none"/>
        </w:rPr>
      </w:pPr>
      <w:r>
        <w:rPr>
          <w:rFonts w:hint="eastAsia" w:cs="Times New Roman"/>
          <w:color w:val="auto"/>
          <w:highlight w:val="none"/>
        </w:rPr>
        <w:t>项目施工期噪声主要是施工机械设备噪声及车辆运输交通噪声。项目各施工阶段的主要噪声源及其声级见表</w:t>
      </w:r>
      <w:r>
        <w:rPr>
          <w:rFonts w:hint="eastAsia" w:cs="Times New Roman"/>
          <w:color w:val="auto"/>
          <w:highlight w:val="none"/>
          <w:lang w:val="en-US" w:eastAsia="zh-CN"/>
        </w:rPr>
        <w:t>2</w:t>
      </w:r>
      <w:r>
        <w:rPr>
          <w:rFonts w:hint="eastAsia" w:cs="Times New Roman"/>
          <w:color w:val="auto"/>
          <w:highlight w:val="none"/>
        </w:rPr>
        <w:t>.</w:t>
      </w:r>
      <w:r>
        <w:rPr>
          <w:rFonts w:hint="eastAsia" w:cs="Times New Roman"/>
          <w:color w:val="auto"/>
          <w:highlight w:val="none"/>
          <w:lang w:val="en-US" w:eastAsia="zh-CN"/>
        </w:rPr>
        <w:t>8</w:t>
      </w:r>
      <w:r>
        <w:rPr>
          <w:rFonts w:hint="eastAsia" w:cs="Times New Roman"/>
          <w:color w:val="auto"/>
          <w:highlight w:val="none"/>
        </w:rPr>
        <w:t>-1。</w:t>
      </w:r>
    </w:p>
    <w:p>
      <w:pPr>
        <w:pStyle w:val="40"/>
        <w:rPr>
          <w:rFonts w:cs="Times New Roman"/>
          <w:color w:val="auto"/>
          <w:highlight w:val="none"/>
        </w:rPr>
      </w:pPr>
      <w:r>
        <w:rPr>
          <w:rFonts w:hint="eastAsia" w:cs="Times New Roman"/>
          <w:color w:val="auto"/>
          <w:highlight w:val="none"/>
          <w:lang w:val="en-US" w:eastAsia="zh-CN"/>
        </w:rPr>
        <w:t>表2.8-1 各施工阶段的主要噪声源及其声级</w:t>
      </w:r>
    </w:p>
    <w:tbl>
      <w:tblPr>
        <w:tblStyle w:val="24"/>
        <w:tblW w:w="831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33"/>
        <w:gridCol w:w="1042"/>
        <w:gridCol w:w="1832"/>
        <w:gridCol w:w="42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ind w:firstLine="0" w:firstLineChars="0"/>
              <w:jc w:val="center"/>
              <w:rPr>
                <w:rFonts w:cs="Times New Roman"/>
                <w:b w:val="0"/>
                <w:bCs/>
                <w:color w:val="auto"/>
                <w:sz w:val="21"/>
                <w:szCs w:val="21"/>
                <w:highlight w:val="none"/>
              </w:rPr>
            </w:pPr>
            <w:r>
              <w:rPr>
                <w:rFonts w:cs="Times New Roman"/>
                <w:b w:val="0"/>
                <w:bCs/>
                <w:color w:val="auto"/>
                <w:sz w:val="21"/>
                <w:szCs w:val="21"/>
                <w:highlight w:val="none"/>
              </w:rPr>
              <w:t>序号</w:t>
            </w:r>
          </w:p>
        </w:tc>
        <w:tc>
          <w:tcPr>
            <w:tcW w:w="1042" w:type="dxa"/>
            <w:tcBorders>
              <w:tl2br w:val="nil"/>
              <w:tr2bl w:val="nil"/>
            </w:tcBorders>
            <w:vAlign w:val="center"/>
          </w:tcPr>
          <w:p>
            <w:pPr>
              <w:ind w:firstLine="0" w:firstLineChars="0"/>
              <w:jc w:val="center"/>
              <w:rPr>
                <w:rFonts w:cs="Times New Roman"/>
                <w:b w:val="0"/>
                <w:bCs/>
                <w:color w:val="auto"/>
                <w:sz w:val="21"/>
                <w:szCs w:val="21"/>
                <w:highlight w:val="none"/>
              </w:rPr>
            </w:pPr>
            <w:r>
              <w:rPr>
                <w:rFonts w:cs="Times New Roman"/>
                <w:b w:val="0"/>
                <w:bCs/>
                <w:color w:val="auto"/>
                <w:sz w:val="21"/>
                <w:szCs w:val="21"/>
                <w:highlight w:val="none"/>
              </w:rPr>
              <w:t>施工阶段</w:t>
            </w:r>
          </w:p>
        </w:tc>
        <w:tc>
          <w:tcPr>
            <w:tcW w:w="1832" w:type="dxa"/>
            <w:tcBorders>
              <w:tl2br w:val="nil"/>
              <w:tr2bl w:val="nil"/>
            </w:tcBorders>
            <w:vAlign w:val="center"/>
          </w:tcPr>
          <w:p>
            <w:pPr>
              <w:ind w:firstLine="0" w:firstLineChars="0"/>
              <w:jc w:val="center"/>
              <w:rPr>
                <w:rFonts w:cs="Times New Roman"/>
                <w:b w:val="0"/>
                <w:bCs/>
                <w:color w:val="auto"/>
                <w:sz w:val="21"/>
                <w:szCs w:val="21"/>
                <w:highlight w:val="none"/>
              </w:rPr>
            </w:pPr>
            <w:r>
              <w:rPr>
                <w:rFonts w:cs="Times New Roman"/>
                <w:b w:val="0"/>
                <w:bCs/>
                <w:color w:val="auto"/>
                <w:sz w:val="21"/>
                <w:szCs w:val="21"/>
                <w:highlight w:val="none"/>
              </w:rPr>
              <w:t>设备</w:t>
            </w:r>
          </w:p>
        </w:tc>
        <w:tc>
          <w:tcPr>
            <w:tcW w:w="4203" w:type="dxa"/>
            <w:tcBorders>
              <w:tl2br w:val="nil"/>
              <w:tr2bl w:val="nil"/>
            </w:tcBorders>
            <w:vAlign w:val="center"/>
          </w:tcPr>
          <w:p>
            <w:pPr>
              <w:ind w:firstLine="0" w:firstLineChars="0"/>
              <w:jc w:val="center"/>
              <w:rPr>
                <w:rFonts w:cs="Times New Roman"/>
                <w:b w:val="0"/>
                <w:bCs/>
                <w:color w:val="auto"/>
                <w:sz w:val="21"/>
                <w:szCs w:val="21"/>
                <w:highlight w:val="none"/>
              </w:rPr>
            </w:pPr>
            <w:r>
              <w:rPr>
                <w:rFonts w:cs="Times New Roman"/>
                <w:b w:val="0"/>
                <w:bCs/>
                <w:color w:val="auto"/>
                <w:sz w:val="21"/>
                <w:szCs w:val="21"/>
                <w:highlight w:val="none"/>
              </w:rPr>
              <w:t>单机最</w:t>
            </w:r>
            <w:r>
              <w:rPr>
                <w:rFonts w:hint="eastAsia" w:cs="Times New Roman"/>
                <w:b w:val="0"/>
                <w:bCs/>
                <w:color w:val="auto"/>
                <w:sz w:val="21"/>
                <w:szCs w:val="21"/>
                <w:highlight w:val="none"/>
              </w:rPr>
              <w:t>大</w:t>
            </w:r>
            <w:r>
              <w:rPr>
                <w:rFonts w:cs="Times New Roman"/>
                <w:b w:val="0"/>
                <w:bCs/>
                <w:color w:val="auto"/>
                <w:sz w:val="21"/>
                <w:szCs w:val="21"/>
                <w:highlight w:val="none"/>
              </w:rPr>
              <w:t>噪声值</w:t>
            </w:r>
            <w:r>
              <w:rPr>
                <w:rFonts w:hint="eastAsia" w:cs="Times New Roman"/>
                <w:b w:val="0"/>
                <w:bCs/>
                <w:color w:val="auto"/>
                <w:sz w:val="21"/>
                <w:szCs w:val="21"/>
                <w:highlight w:val="none"/>
              </w:rPr>
              <w:t>d</w:t>
            </w:r>
            <w:r>
              <w:rPr>
                <w:rFonts w:cs="Times New Roman"/>
                <w:b w:val="0"/>
                <w:bCs/>
                <w:color w:val="auto"/>
                <w:sz w:val="21"/>
                <w:szCs w:val="21"/>
                <w:highlight w:val="none"/>
              </w:rPr>
              <w:t>B（A）（</w:t>
            </w:r>
            <w:r>
              <w:rPr>
                <w:rFonts w:cs="Times New Roman"/>
                <w:b w:val="0"/>
                <w:bCs/>
                <w:color w:val="auto"/>
                <w:sz w:val="21"/>
                <w:szCs w:val="21"/>
                <w:highlight w:val="none"/>
              </w:rPr>
              <w:cr/>
            </w:r>
            <w:r>
              <w:rPr>
                <w:rFonts w:cs="Times New Roman"/>
                <w:b w:val="0"/>
                <w:bCs/>
                <w:color w:val="auto"/>
                <w:sz w:val="21"/>
                <w:szCs w:val="21"/>
                <w:highlight w:val="none"/>
              </w:rPr>
              <w:t>声源5m处）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1</w:t>
            </w:r>
          </w:p>
        </w:tc>
        <w:tc>
          <w:tcPr>
            <w:tcW w:w="1042" w:type="dxa"/>
            <w:tcBorders>
              <w:tl2br w:val="nil"/>
              <w:tr2bl w:val="nil"/>
            </w:tcBorders>
            <w:vAlign w:val="center"/>
          </w:tcPr>
          <w:p>
            <w:pPr>
              <w:spacing w:line="240" w:lineRule="auto"/>
              <w:ind w:firstLine="0" w:firstLineChars="0"/>
              <w:jc w:val="center"/>
              <w:rPr>
                <w:rFonts w:ascii="Calibri" w:hAnsi="Calibri" w:cs="Calibri"/>
                <w:color w:val="auto"/>
                <w:sz w:val="21"/>
                <w:szCs w:val="21"/>
                <w:highlight w:val="none"/>
              </w:rPr>
            </w:pPr>
            <w:r>
              <w:rPr>
                <w:rFonts w:ascii="Calibri" w:hAnsi="Calibri" w:cs="Calibri"/>
                <w:color w:val="auto"/>
                <w:sz w:val="21"/>
                <w:szCs w:val="21"/>
                <w:highlight w:val="none"/>
              </w:rPr>
              <w:t>土方</w:t>
            </w:r>
          </w:p>
        </w:tc>
        <w:tc>
          <w:tcPr>
            <w:tcW w:w="1832" w:type="dxa"/>
            <w:tcBorders>
              <w:tl2br w:val="nil"/>
              <w:tr2bl w:val="nil"/>
            </w:tcBorders>
            <w:vAlign w:val="center"/>
          </w:tcPr>
          <w:p>
            <w:pPr>
              <w:spacing w:line="240" w:lineRule="auto"/>
              <w:ind w:firstLine="0" w:firstLineChars="0"/>
              <w:jc w:val="center"/>
              <w:rPr>
                <w:rFonts w:ascii="Calibri" w:hAnsi="Calibri" w:cs="Calibri"/>
                <w:color w:val="auto"/>
                <w:sz w:val="21"/>
                <w:szCs w:val="21"/>
                <w:highlight w:val="none"/>
              </w:rPr>
            </w:pPr>
            <w:r>
              <w:rPr>
                <w:rFonts w:ascii="Calibri" w:hAnsi="Calibri" w:cs="Calibri"/>
                <w:color w:val="auto"/>
                <w:sz w:val="21"/>
                <w:szCs w:val="21"/>
                <w:highlight w:val="none"/>
              </w:rPr>
              <w:t>推土机</w:t>
            </w:r>
          </w:p>
        </w:tc>
        <w:tc>
          <w:tcPr>
            <w:tcW w:w="4203" w:type="dxa"/>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2</w:t>
            </w:r>
          </w:p>
        </w:tc>
        <w:tc>
          <w:tcPr>
            <w:tcW w:w="1042" w:type="dxa"/>
            <w:tcBorders>
              <w:tl2br w:val="nil"/>
              <w:tr2bl w:val="nil"/>
            </w:tcBorders>
            <w:vAlign w:val="center"/>
          </w:tcPr>
          <w:p>
            <w:pPr>
              <w:spacing w:line="240" w:lineRule="auto"/>
              <w:ind w:firstLine="0" w:firstLineChars="0"/>
              <w:jc w:val="center"/>
              <w:rPr>
                <w:rFonts w:ascii="Calibri" w:hAnsi="Calibri" w:cs="Calibri"/>
                <w:color w:val="auto"/>
                <w:sz w:val="21"/>
                <w:szCs w:val="21"/>
                <w:highlight w:val="none"/>
              </w:rPr>
            </w:pPr>
            <w:r>
              <w:rPr>
                <w:rFonts w:ascii="Calibri" w:hAnsi="Calibri" w:cs="Calibri"/>
                <w:color w:val="auto"/>
                <w:sz w:val="21"/>
                <w:szCs w:val="21"/>
                <w:highlight w:val="none"/>
              </w:rPr>
              <w:t>土</w:t>
            </w:r>
            <w:r>
              <w:rPr>
                <w:rFonts w:hint="eastAsia" w:ascii="Calibri" w:hAnsi="Calibri" w:cs="Calibri"/>
                <w:color w:val="auto"/>
                <w:sz w:val="21"/>
                <w:szCs w:val="21"/>
                <w:highlight w:val="none"/>
              </w:rPr>
              <w:t>方</w:t>
            </w:r>
          </w:p>
        </w:tc>
        <w:tc>
          <w:tcPr>
            <w:tcW w:w="1832" w:type="dxa"/>
            <w:tcBorders>
              <w:tl2br w:val="nil"/>
              <w:tr2bl w:val="nil"/>
            </w:tcBorders>
            <w:vAlign w:val="center"/>
          </w:tcPr>
          <w:p>
            <w:pPr>
              <w:spacing w:line="240" w:lineRule="auto"/>
              <w:ind w:firstLine="0" w:firstLineChars="0"/>
              <w:jc w:val="center"/>
              <w:rPr>
                <w:rFonts w:ascii="Calibri" w:hAnsi="Calibri" w:cs="Calibri"/>
                <w:color w:val="auto"/>
                <w:sz w:val="21"/>
                <w:szCs w:val="21"/>
                <w:highlight w:val="none"/>
              </w:rPr>
            </w:pPr>
            <w:r>
              <w:rPr>
                <w:rFonts w:ascii="Calibri" w:hAnsi="Calibri" w:cs="Calibri"/>
                <w:color w:val="auto"/>
                <w:sz w:val="21"/>
                <w:szCs w:val="21"/>
                <w:highlight w:val="none"/>
              </w:rPr>
              <w:t>装载机</w:t>
            </w:r>
          </w:p>
        </w:tc>
        <w:tc>
          <w:tcPr>
            <w:tcW w:w="4203" w:type="dxa"/>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9</w:t>
            </w:r>
            <w:r>
              <w:rPr>
                <w:rFonts w:hint="eastAsia" w:cs="Times New Roman"/>
                <w:color w:val="auto"/>
                <w:sz w:val="21"/>
                <w:szCs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3</w:t>
            </w:r>
          </w:p>
        </w:tc>
        <w:tc>
          <w:tcPr>
            <w:tcW w:w="1042" w:type="dxa"/>
            <w:tcBorders>
              <w:tl2br w:val="nil"/>
              <w:tr2bl w:val="nil"/>
            </w:tcBorders>
            <w:vAlign w:val="center"/>
          </w:tcPr>
          <w:p>
            <w:pPr>
              <w:spacing w:line="240" w:lineRule="auto"/>
              <w:ind w:firstLine="0" w:firstLineChars="0"/>
              <w:jc w:val="center"/>
              <w:rPr>
                <w:rFonts w:ascii="Calibri" w:hAnsi="Calibri" w:cs="Calibri"/>
                <w:color w:val="auto"/>
                <w:sz w:val="21"/>
                <w:szCs w:val="21"/>
                <w:highlight w:val="none"/>
              </w:rPr>
            </w:pPr>
            <w:r>
              <w:rPr>
                <w:rFonts w:ascii="Calibri" w:hAnsi="Calibri" w:cs="Calibri"/>
                <w:color w:val="auto"/>
                <w:sz w:val="21"/>
                <w:szCs w:val="21"/>
                <w:highlight w:val="none"/>
              </w:rPr>
              <w:t>土方</w:t>
            </w:r>
          </w:p>
        </w:tc>
        <w:tc>
          <w:tcPr>
            <w:tcW w:w="1832" w:type="dxa"/>
            <w:tcBorders>
              <w:tl2br w:val="nil"/>
              <w:tr2bl w:val="nil"/>
            </w:tcBorders>
            <w:vAlign w:val="center"/>
          </w:tcPr>
          <w:p>
            <w:pPr>
              <w:spacing w:line="240" w:lineRule="auto"/>
              <w:ind w:firstLine="0" w:firstLineChars="0"/>
              <w:jc w:val="center"/>
              <w:rPr>
                <w:rFonts w:ascii="Calibri" w:hAnsi="Calibri" w:cs="Calibri"/>
                <w:color w:val="auto"/>
                <w:sz w:val="21"/>
                <w:szCs w:val="21"/>
                <w:highlight w:val="none"/>
              </w:rPr>
            </w:pPr>
            <w:r>
              <w:rPr>
                <w:rFonts w:ascii="Calibri" w:hAnsi="Calibri" w:cs="Calibri"/>
                <w:color w:val="auto"/>
                <w:sz w:val="21"/>
                <w:szCs w:val="21"/>
                <w:highlight w:val="none"/>
              </w:rPr>
              <w:t>挖掘机</w:t>
            </w:r>
          </w:p>
        </w:tc>
        <w:tc>
          <w:tcPr>
            <w:tcW w:w="4203" w:type="dxa"/>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8</w:t>
            </w:r>
            <w:r>
              <w:rPr>
                <w:rFonts w:cs="Times New Roman"/>
                <w:color w:val="auto"/>
                <w:sz w:val="21"/>
                <w:szCs w:val="21"/>
                <w:highlight w:val="none"/>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4</w:t>
            </w:r>
          </w:p>
        </w:tc>
        <w:tc>
          <w:tcPr>
            <w:tcW w:w="1042" w:type="dxa"/>
            <w:tcBorders>
              <w:tl2br w:val="nil"/>
              <w:tr2bl w:val="nil"/>
            </w:tcBorders>
            <w:vAlign w:val="center"/>
          </w:tcPr>
          <w:p>
            <w:pPr>
              <w:spacing w:line="240" w:lineRule="auto"/>
              <w:ind w:firstLine="0" w:firstLineChars="0"/>
              <w:jc w:val="center"/>
              <w:rPr>
                <w:rFonts w:ascii="Calibri" w:hAnsi="Calibri" w:cs="Calibri"/>
                <w:color w:val="auto"/>
                <w:sz w:val="21"/>
                <w:szCs w:val="21"/>
                <w:highlight w:val="none"/>
              </w:rPr>
            </w:pPr>
            <w:r>
              <w:rPr>
                <w:rFonts w:ascii="Calibri" w:hAnsi="Calibri" w:cs="Calibri"/>
                <w:color w:val="auto"/>
                <w:sz w:val="21"/>
                <w:szCs w:val="21"/>
                <w:highlight w:val="none"/>
              </w:rPr>
              <w:t>土方</w:t>
            </w:r>
          </w:p>
        </w:tc>
        <w:tc>
          <w:tcPr>
            <w:tcW w:w="1832" w:type="dxa"/>
            <w:tcBorders>
              <w:tl2br w:val="nil"/>
              <w:tr2bl w:val="nil"/>
            </w:tcBorders>
            <w:vAlign w:val="center"/>
          </w:tcPr>
          <w:p>
            <w:pPr>
              <w:spacing w:line="240" w:lineRule="auto"/>
              <w:ind w:firstLine="0" w:firstLineChars="0"/>
              <w:jc w:val="center"/>
              <w:rPr>
                <w:rFonts w:ascii="Calibri" w:hAnsi="Calibri" w:cs="Calibri"/>
                <w:color w:val="auto"/>
                <w:sz w:val="21"/>
                <w:szCs w:val="21"/>
                <w:highlight w:val="none"/>
              </w:rPr>
            </w:pPr>
            <w:r>
              <w:rPr>
                <w:rFonts w:ascii="Calibri" w:hAnsi="Calibri" w:cs="Calibri"/>
                <w:color w:val="auto"/>
                <w:sz w:val="21"/>
                <w:szCs w:val="21"/>
                <w:highlight w:val="none"/>
              </w:rPr>
              <w:t>翻斗机</w:t>
            </w:r>
          </w:p>
        </w:tc>
        <w:tc>
          <w:tcPr>
            <w:tcW w:w="4203" w:type="dxa"/>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85～90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5</w:t>
            </w:r>
          </w:p>
        </w:tc>
        <w:tc>
          <w:tcPr>
            <w:tcW w:w="1042" w:type="dxa"/>
            <w:tcBorders>
              <w:tl2br w:val="nil"/>
              <w:tr2bl w:val="nil"/>
            </w:tcBorders>
            <w:vAlign w:val="center"/>
          </w:tcPr>
          <w:p>
            <w:pPr>
              <w:spacing w:line="240" w:lineRule="auto"/>
              <w:ind w:firstLine="0" w:firstLineChars="0"/>
              <w:jc w:val="center"/>
              <w:rPr>
                <w:rFonts w:ascii="Calibri" w:hAnsi="Calibri" w:cs="Calibri"/>
                <w:color w:val="auto"/>
                <w:sz w:val="21"/>
                <w:szCs w:val="21"/>
                <w:highlight w:val="none"/>
              </w:rPr>
            </w:pPr>
            <w:r>
              <w:rPr>
                <w:rFonts w:ascii="Calibri" w:hAnsi="Calibri" w:cs="Calibri"/>
                <w:color w:val="auto"/>
                <w:sz w:val="21"/>
                <w:szCs w:val="21"/>
                <w:highlight w:val="none"/>
              </w:rPr>
              <w:t>土</w:t>
            </w:r>
            <w:r>
              <w:rPr>
                <w:rFonts w:hint="eastAsia" w:ascii="Calibri" w:hAnsi="Calibri" w:cs="Calibri"/>
                <w:color w:val="auto"/>
                <w:sz w:val="21"/>
                <w:szCs w:val="21"/>
                <w:highlight w:val="none"/>
              </w:rPr>
              <w:t>方</w:t>
            </w:r>
          </w:p>
        </w:tc>
        <w:tc>
          <w:tcPr>
            <w:tcW w:w="1832" w:type="dxa"/>
            <w:tcBorders>
              <w:tl2br w:val="nil"/>
              <w:tr2bl w:val="nil"/>
            </w:tcBorders>
            <w:vAlign w:val="center"/>
          </w:tcPr>
          <w:p>
            <w:pPr>
              <w:spacing w:line="240" w:lineRule="auto"/>
              <w:ind w:firstLine="0" w:firstLineChars="0"/>
              <w:jc w:val="center"/>
              <w:rPr>
                <w:rFonts w:ascii="Calibri" w:hAnsi="Calibri" w:cs="Calibri"/>
                <w:color w:val="auto"/>
                <w:sz w:val="21"/>
                <w:szCs w:val="21"/>
                <w:highlight w:val="none"/>
              </w:rPr>
            </w:pPr>
            <w:r>
              <w:rPr>
                <w:rFonts w:ascii="Calibri" w:hAnsi="Calibri" w:cs="Calibri"/>
                <w:color w:val="auto"/>
                <w:sz w:val="21"/>
                <w:szCs w:val="21"/>
                <w:highlight w:val="none"/>
              </w:rPr>
              <w:t>压路机</w:t>
            </w:r>
          </w:p>
        </w:tc>
        <w:tc>
          <w:tcPr>
            <w:tcW w:w="4203" w:type="dxa"/>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w:t>
            </w:r>
          </w:p>
        </w:tc>
        <w:tc>
          <w:tcPr>
            <w:tcW w:w="1042" w:type="dxa"/>
            <w:tcBorders>
              <w:tl2br w:val="nil"/>
              <w:tr2bl w:val="nil"/>
            </w:tcBorders>
            <w:vAlign w:val="center"/>
          </w:tcPr>
          <w:p>
            <w:pPr>
              <w:spacing w:line="240" w:lineRule="auto"/>
              <w:ind w:firstLine="0" w:firstLineChars="0"/>
              <w:jc w:val="center"/>
              <w:rPr>
                <w:rFonts w:ascii="Calibri" w:hAnsi="Calibri" w:cs="Calibri"/>
                <w:color w:val="auto"/>
                <w:sz w:val="21"/>
                <w:szCs w:val="21"/>
                <w:highlight w:val="none"/>
              </w:rPr>
            </w:pPr>
            <w:r>
              <w:rPr>
                <w:rFonts w:ascii="Calibri" w:hAnsi="Calibri" w:cs="Calibri"/>
                <w:color w:val="auto"/>
                <w:sz w:val="21"/>
                <w:szCs w:val="21"/>
                <w:highlight w:val="none"/>
              </w:rPr>
              <w:t>打桩</w:t>
            </w:r>
          </w:p>
        </w:tc>
        <w:tc>
          <w:tcPr>
            <w:tcW w:w="1832" w:type="dxa"/>
            <w:tcBorders>
              <w:tl2br w:val="nil"/>
              <w:tr2bl w:val="nil"/>
            </w:tcBorders>
            <w:vAlign w:val="center"/>
          </w:tcPr>
          <w:p>
            <w:pPr>
              <w:spacing w:line="240" w:lineRule="auto"/>
              <w:ind w:firstLine="0" w:firstLineChars="0"/>
              <w:jc w:val="center"/>
              <w:rPr>
                <w:rFonts w:ascii="Calibri" w:hAnsi="Calibri" w:cs="Calibri"/>
                <w:color w:val="auto"/>
                <w:sz w:val="21"/>
                <w:szCs w:val="21"/>
                <w:highlight w:val="none"/>
              </w:rPr>
            </w:pPr>
            <w:r>
              <w:rPr>
                <w:rFonts w:ascii="Calibri" w:hAnsi="Calibri" w:cs="Calibri"/>
                <w:color w:val="auto"/>
                <w:sz w:val="21"/>
                <w:szCs w:val="21"/>
                <w:highlight w:val="none"/>
              </w:rPr>
              <w:t>钻孔机</w:t>
            </w:r>
          </w:p>
        </w:tc>
        <w:tc>
          <w:tcPr>
            <w:tcW w:w="4203" w:type="dxa"/>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w:t>
            </w:r>
          </w:p>
        </w:tc>
        <w:tc>
          <w:tcPr>
            <w:tcW w:w="1042" w:type="dxa"/>
            <w:tcBorders>
              <w:tl2br w:val="nil"/>
              <w:tr2bl w:val="nil"/>
            </w:tcBorders>
            <w:vAlign w:val="center"/>
          </w:tcPr>
          <w:p>
            <w:pPr>
              <w:spacing w:line="240" w:lineRule="auto"/>
              <w:ind w:firstLine="0" w:firstLineChars="0"/>
              <w:jc w:val="center"/>
              <w:rPr>
                <w:rFonts w:ascii="Calibri" w:hAnsi="Calibri" w:cs="Calibri"/>
                <w:color w:val="auto"/>
                <w:sz w:val="21"/>
                <w:szCs w:val="21"/>
                <w:highlight w:val="none"/>
              </w:rPr>
            </w:pPr>
            <w:r>
              <w:rPr>
                <w:rFonts w:ascii="Calibri" w:hAnsi="Calibri" w:cs="Calibri"/>
                <w:color w:val="auto"/>
                <w:sz w:val="21"/>
                <w:szCs w:val="21"/>
                <w:highlight w:val="none"/>
              </w:rPr>
              <w:t>打</w:t>
            </w:r>
            <w:r>
              <w:rPr>
                <w:rFonts w:hint="eastAsia" w:ascii="Calibri" w:hAnsi="Calibri" w:cs="Calibri"/>
                <w:color w:val="auto"/>
                <w:sz w:val="21"/>
                <w:szCs w:val="21"/>
                <w:highlight w:val="none"/>
              </w:rPr>
              <w:t>桩</w:t>
            </w:r>
          </w:p>
        </w:tc>
        <w:tc>
          <w:tcPr>
            <w:tcW w:w="1832" w:type="dxa"/>
            <w:tcBorders>
              <w:tl2br w:val="nil"/>
              <w:tr2bl w:val="nil"/>
            </w:tcBorders>
            <w:vAlign w:val="center"/>
          </w:tcPr>
          <w:p>
            <w:pPr>
              <w:spacing w:line="240" w:lineRule="auto"/>
              <w:ind w:firstLine="0" w:firstLineChars="0"/>
              <w:jc w:val="center"/>
              <w:rPr>
                <w:rFonts w:ascii="Calibri" w:hAnsi="Calibri" w:cs="Calibri"/>
                <w:color w:val="auto"/>
                <w:sz w:val="21"/>
                <w:szCs w:val="21"/>
                <w:highlight w:val="none"/>
              </w:rPr>
            </w:pPr>
            <w:r>
              <w:rPr>
                <w:rFonts w:ascii="Calibri" w:hAnsi="Calibri" w:cs="Calibri"/>
                <w:color w:val="auto"/>
                <w:sz w:val="21"/>
                <w:szCs w:val="21"/>
                <w:highlight w:val="none"/>
              </w:rPr>
              <w:t>打</w:t>
            </w:r>
            <w:r>
              <w:rPr>
                <w:rFonts w:ascii="Calibri" w:hAnsi="宋体" w:cs="Calibri"/>
                <w:color w:val="auto"/>
                <w:sz w:val="21"/>
                <w:szCs w:val="21"/>
                <w:highlight w:val="none"/>
              </w:rPr>
              <w:t>夯</w:t>
            </w:r>
            <w:r>
              <w:rPr>
                <w:rFonts w:ascii="Calibri" w:hAnsi="Calibri" w:cs="Calibri"/>
                <w:color w:val="auto"/>
                <w:sz w:val="21"/>
                <w:szCs w:val="21"/>
                <w:highlight w:val="none"/>
              </w:rPr>
              <w:t>机</w:t>
            </w:r>
          </w:p>
        </w:tc>
        <w:tc>
          <w:tcPr>
            <w:tcW w:w="4203" w:type="dxa"/>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8</w:t>
            </w:r>
          </w:p>
        </w:tc>
        <w:tc>
          <w:tcPr>
            <w:tcW w:w="1042" w:type="dxa"/>
            <w:tcBorders>
              <w:tl2br w:val="nil"/>
              <w:tr2bl w:val="nil"/>
            </w:tcBorders>
            <w:vAlign w:val="center"/>
          </w:tcPr>
          <w:p>
            <w:pPr>
              <w:spacing w:line="240" w:lineRule="auto"/>
              <w:ind w:firstLine="0" w:firstLineChars="0"/>
              <w:jc w:val="center"/>
              <w:rPr>
                <w:rFonts w:ascii="Calibri" w:hAnsi="Calibri" w:cs="Calibri"/>
                <w:color w:val="auto"/>
                <w:sz w:val="21"/>
                <w:szCs w:val="21"/>
                <w:highlight w:val="none"/>
              </w:rPr>
            </w:pPr>
            <w:r>
              <w:rPr>
                <w:rFonts w:ascii="Calibri" w:hAnsi="Calibri" w:cs="Calibri"/>
                <w:color w:val="auto"/>
                <w:sz w:val="21"/>
                <w:szCs w:val="21"/>
                <w:highlight w:val="none"/>
              </w:rPr>
              <w:t>打</w:t>
            </w:r>
            <w:r>
              <w:rPr>
                <w:rFonts w:hint="eastAsia" w:ascii="Calibri" w:hAnsi="Calibri" w:cs="Calibri"/>
                <w:color w:val="auto"/>
                <w:sz w:val="21"/>
                <w:szCs w:val="21"/>
                <w:highlight w:val="none"/>
              </w:rPr>
              <w:t>桩</w:t>
            </w:r>
          </w:p>
        </w:tc>
        <w:tc>
          <w:tcPr>
            <w:tcW w:w="1832" w:type="dxa"/>
            <w:tcBorders>
              <w:tl2br w:val="nil"/>
              <w:tr2bl w:val="nil"/>
            </w:tcBorders>
            <w:vAlign w:val="center"/>
          </w:tcPr>
          <w:p>
            <w:pPr>
              <w:spacing w:line="240" w:lineRule="auto"/>
              <w:ind w:firstLine="0" w:firstLineChars="0"/>
              <w:jc w:val="center"/>
              <w:rPr>
                <w:rFonts w:ascii="Calibri" w:hAnsi="Calibri" w:cs="Calibri"/>
                <w:color w:val="auto"/>
                <w:sz w:val="21"/>
                <w:szCs w:val="21"/>
                <w:highlight w:val="none"/>
              </w:rPr>
            </w:pPr>
            <w:r>
              <w:rPr>
                <w:rFonts w:ascii="Calibri" w:hAnsi="Calibri" w:cs="Calibri"/>
                <w:color w:val="auto"/>
                <w:sz w:val="21"/>
                <w:szCs w:val="21"/>
                <w:highlight w:val="none"/>
              </w:rPr>
              <w:t>打桩机</w:t>
            </w:r>
          </w:p>
        </w:tc>
        <w:tc>
          <w:tcPr>
            <w:tcW w:w="4203" w:type="dxa"/>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9</w:t>
            </w:r>
          </w:p>
        </w:tc>
        <w:tc>
          <w:tcPr>
            <w:tcW w:w="1042" w:type="dxa"/>
            <w:tcBorders>
              <w:tl2br w:val="nil"/>
              <w:tr2bl w:val="nil"/>
            </w:tcBorders>
            <w:vAlign w:val="center"/>
          </w:tcPr>
          <w:p>
            <w:pPr>
              <w:spacing w:line="240" w:lineRule="auto"/>
              <w:ind w:firstLine="0" w:firstLineChars="0"/>
              <w:jc w:val="center"/>
              <w:rPr>
                <w:rFonts w:ascii="Calibri" w:hAnsi="Calibri" w:cs="Calibri"/>
                <w:color w:val="auto"/>
                <w:sz w:val="21"/>
                <w:szCs w:val="21"/>
                <w:highlight w:val="none"/>
              </w:rPr>
            </w:pPr>
            <w:r>
              <w:rPr>
                <w:rFonts w:ascii="Calibri" w:hAnsi="Calibri" w:cs="Calibri"/>
                <w:color w:val="auto"/>
                <w:sz w:val="21"/>
                <w:szCs w:val="21"/>
                <w:highlight w:val="none"/>
              </w:rPr>
              <w:t>打桩</w:t>
            </w:r>
          </w:p>
        </w:tc>
        <w:tc>
          <w:tcPr>
            <w:tcW w:w="1832" w:type="dxa"/>
            <w:tcBorders>
              <w:tl2br w:val="nil"/>
              <w:tr2bl w:val="nil"/>
            </w:tcBorders>
            <w:vAlign w:val="center"/>
          </w:tcPr>
          <w:p>
            <w:pPr>
              <w:spacing w:line="240" w:lineRule="auto"/>
              <w:ind w:firstLine="0" w:firstLineChars="0"/>
              <w:jc w:val="center"/>
              <w:rPr>
                <w:rFonts w:ascii="Calibri" w:hAnsi="Calibri" w:cs="Calibri"/>
                <w:color w:val="auto"/>
                <w:sz w:val="21"/>
                <w:szCs w:val="21"/>
                <w:highlight w:val="none"/>
              </w:rPr>
            </w:pPr>
            <w:r>
              <w:rPr>
                <w:rFonts w:ascii="Calibri" w:hAnsi="Calibri" w:cs="Calibri"/>
                <w:color w:val="auto"/>
                <w:sz w:val="21"/>
                <w:szCs w:val="21"/>
                <w:highlight w:val="none"/>
              </w:rPr>
              <w:t>空压机</w:t>
            </w:r>
          </w:p>
        </w:tc>
        <w:tc>
          <w:tcPr>
            <w:tcW w:w="4203" w:type="dxa"/>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10</w:t>
            </w:r>
          </w:p>
        </w:tc>
        <w:tc>
          <w:tcPr>
            <w:tcW w:w="1042" w:type="dxa"/>
            <w:tcBorders>
              <w:tl2br w:val="nil"/>
              <w:tr2bl w:val="nil"/>
            </w:tcBorders>
            <w:vAlign w:val="center"/>
          </w:tcPr>
          <w:p>
            <w:pPr>
              <w:spacing w:line="240" w:lineRule="auto"/>
              <w:ind w:firstLine="0" w:firstLineChars="0"/>
              <w:jc w:val="center"/>
              <w:rPr>
                <w:rFonts w:ascii="Calibri" w:hAnsi="Calibri" w:cs="Calibri"/>
                <w:color w:val="auto"/>
                <w:sz w:val="21"/>
                <w:szCs w:val="21"/>
                <w:highlight w:val="none"/>
              </w:rPr>
            </w:pPr>
            <w:r>
              <w:rPr>
                <w:rFonts w:ascii="Calibri" w:hAnsi="Calibri" w:cs="Calibri"/>
                <w:color w:val="auto"/>
                <w:sz w:val="21"/>
                <w:szCs w:val="21"/>
                <w:highlight w:val="none"/>
              </w:rPr>
              <w:t>结构</w:t>
            </w:r>
          </w:p>
        </w:tc>
        <w:tc>
          <w:tcPr>
            <w:tcW w:w="1832" w:type="dxa"/>
            <w:tcBorders>
              <w:tl2br w:val="nil"/>
              <w:tr2bl w:val="nil"/>
            </w:tcBorders>
            <w:vAlign w:val="center"/>
          </w:tcPr>
          <w:p>
            <w:pPr>
              <w:spacing w:line="240" w:lineRule="auto"/>
              <w:ind w:firstLine="0" w:firstLineChars="0"/>
              <w:jc w:val="center"/>
              <w:rPr>
                <w:rFonts w:ascii="Calibri" w:hAnsi="Calibri" w:cs="Calibri"/>
                <w:color w:val="auto"/>
                <w:sz w:val="21"/>
                <w:szCs w:val="21"/>
                <w:highlight w:val="none"/>
              </w:rPr>
            </w:pPr>
            <w:r>
              <w:rPr>
                <w:rFonts w:ascii="Calibri" w:hAnsi="Calibri" w:cs="Calibri"/>
                <w:color w:val="auto"/>
                <w:sz w:val="21"/>
                <w:szCs w:val="21"/>
                <w:highlight w:val="none"/>
              </w:rPr>
              <w:t>振捣机</w:t>
            </w:r>
          </w:p>
        </w:tc>
        <w:tc>
          <w:tcPr>
            <w:tcW w:w="4203" w:type="dxa"/>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80～90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11</w:t>
            </w:r>
          </w:p>
        </w:tc>
        <w:tc>
          <w:tcPr>
            <w:tcW w:w="1042" w:type="dxa"/>
            <w:tcBorders>
              <w:tl2br w:val="nil"/>
              <w:tr2bl w:val="nil"/>
            </w:tcBorders>
            <w:vAlign w:val="center"/>
          </w:tcPr>
          <w:p>
            <w:pPr>
              <w:spacing w:line="240" w:lineRule="auto"/>
              <w:ind w:firstLine="0" w:firstLineChars="0"/>
              <w:jc w:val="center"/>
              <w:rPr>
                <w:rFonts w:ascii="Calibri" w:hAnsi="Calibri" w:cs="Calibri"/>
                <w:color w:val="auto"/>
                <w:sz w:val="21"/>
                <w:szCs w:val="21"/>
                <w:highlight w:val="none"/>
              </w:rPr>
            </w:pPr>
            <w:r>
              <w:rPr>
                <w:rFonts w:ascii="Calibri" w:hAnsi="Calibri" w:cs="Calibri"/>
                <w:color w:val="auto"/>
                <w:sz w:val="21"/>
                <w:szCs w:val="21"/>
                <w:highlight w:val="none"/>
              </w:rPr>
              <w:t>结构</w:t>
            </w:r>
          </w:p>
        </w:tc>
        <w:tc>
          <w:tcPr>
            <w:tcW w:w="1832" w:type="dxa"/>
            <w:tcBorders>
              <w:tl2br w:val="nil"/>
              <w:tr2bl w:val="nil"/>
            </w:tcBorders>
            <w:vAlign w:val="center"/>
          </w:tcPr>
          <w:p>
            <w:pPr>
              <w:spacing w:line="240" w:lineRule="auto"/>
              <w:ind w:firstLine="0" w:firstLineChars="0"/>
              <w:jc w:val="center"/>
              <w:rPr>
                <w:rFonts w:ascii="Calibri" w:hAnsi="Calibri" w:cs="Calibri"/>
                <w:color w:val="auto"/>
                <w:sz w:val="21"/>
                <w:szCs w:val="21"/>
                <w:highlight w:val="none"/>
              </w:rPr>
            </w:pPr>
            <w:r>
              <w:rPr>
                <w:rFonts w:ascii="Calibri" w:hAnsi="Calibri" w:cs="Calibri"/>
                <w:color w:val="auto"/>
                <w:sz w:val="21"/>
                <w:szCs w:val="21"/>
                <w:highlight w:val="none"/>
              </w:rPr>
              <w:t>电焊机</w:t>
            </w:r>
          </w:p>
        </w:tc>
        <w:tc>
          <w:tcPr>
            <w:tcW w:w="4203" w:type="dxa"/>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33" w:type="dxa"/>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12</w:t>
            </w:r>
          </w:p>
        </w:tc>
        <w:tc>
          <w:tcPr>
            <w:tcW w:w="1042" w:type="dxa"/>
            <w:tcBorders>
              <w:tl2br w:val="nil"/>
              <w:tr2bl w:val="nil"/>
            </w:tcBorders>
            <w:vAlign w:val="center"/>
          </w:tcPr>
          <w:p>
            <w:pPr>
              <w:spacing w:line="240" w:lineRule="auto"/>
              <w:ind w:firstLine="0" w:firstLineChars="0"/>
              <w:jc w:val="center"/>
              <w:rPr>
                <w:rFonts w:ascii="Calibri" w:hAnsi="Calibri" w:cs="Calibri"/>
                <w:color w:val="auto"/>
                <w:sz w:val="21"/>
                <w:szCs w:val="21"/>
                <w:highlight w:val="none"/>
              </w:rPr>
            </w:pPr>
            <w:r>
              <w:rPr>
                <w:rFonts w:hint="eastAsia" w:ascii="Calibri" w:hAnsi="Calibri" w:cs="Calibri"/>
                <w:color w:val="auto"/>
                <w:sz w:val="21"/>
                <w:szCs w:val="21"/>
                <w:highlight w:val="none"/>
              </w:rPr>
              <w:t>--</w:t>
            </w:r>
          </w:p>
        </w:tc>
        <w:tc>
          <w:tcPr>
            <w:tcW w:w="1832" w:type="dxa"/>
            <w:tcBorders>
              <w:tl2br w:val="nil"/>
              <w:tr2bl w:val="nil"/>
            </w:tcBorders>
            <w:vAlign w:val="center"/>
          </w:tcPr>
          <w:p>
            <w:pPr>
              <w:spacing w:line="240" w:lineRule="auto"/>
              <w:ind w:firstLine="0" w:firstLineChars="0"/>
              <w:jc w:val="center"/>
              <w:rPr>
                <w:rFonts w:ascii="Calibri" w:hAnsi="Calibri" w:cs="Calibri"/>
                <w:color w:val="auto"/>
                <w:sz w:val="21"/>
                <w:szCs w:val="21"/>
                <w:highlight w:val="none"/>
              </w:rPr>
            </w:pPr>
            <w:r>
              <w:rPr>
                <w:rFonts w:ascii="Calibri" w:hAnsi="Calibri" w:cs="Calibri"/>
                <w:color w:val="auto"/>
                <w:sz w:val="21"/>
                <w:szCs w:val="21"/>
                <w:highlight w:val="none"/>
              </w:rPr>
              <w:t>混凝土输送泵</w:t>
            </w:r>
          </w:p>
        </w:tc>
        <w:tc>
          <w:tcPr>
            <w:tcW w:w="4203" w:type="dxa"/>
            <w:tcBorders>
              <w:tl2br w:val="nil"/>
              <w:tr2bl w:val="nil"/>
            </w:tcBorders>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85</w:t>
            </w:r>
          </w:p>
        </w:tc>
      </w:tr>
    </w:tbl>
    <w:p>
      <w:pPr>
        <w:spacing w:line="500" w:lineRule="exact"/>
        <w:ind w:firstLine="480"/>
        <w:rPr>
          <w:rFonts w:cs="Times New Roman"/>
          <w:color w:val="auto"/>
          <w:highlight w:val="none"/>
        </w:rPr>
      </w:pPr>
      <w:r>
        <w:rPr>
          <w:rFonts w:hint="eastAsia" w:cs="Times New Roman"/>
          <w:color w:val="auto"/>
          <w:highlight w:val="none"/>
        </w:rPr>
        <w:t>（4）固体废物</w:t>
      </w:r>
    </w:p>
    <w:p>
      <w:pPr>
        <w:spacing w:line="500" w:lineRule="exact"/>
        <w:ind w:firstLine="480"/>
        <w:rPr>
          <w:rFonts w:cs="Times New Roman"/>
          <w:color w:val="auto"/>
          <w:highlight w:val="none"/>
        </w:rPr>
      </w:pPr>
      <w:r>
        <w:rPr>
          <w:rFonts w:hint="eastAsia" w:cs="Times New Roman"/>
          <w:color w:val="auto"/>
          <w:highlight w:val="none"/>
        </w:rPr>
        <w:t>本项目施工期的固体废物主要为多余渣土、施工建筑垃圾及生活垃圾等。</w:t>
      </w:r>
    </w:p>
    <w:p>
      <w:pPr>
        <w:spacing w:line="500" w:lineRule="exact"/>
        <w:ind w:firstLine="480"/>
        <w:rPr>
          <w:rFonts w:cs="Times New Roman"/>
          <w:color w:val="auto"/>
          <w:highlight w:val="none"/>
        </w:rPr>
      </w:pPr>
      <w:r>
        <w:rPr>
          <w:rFonts w:hint="eastAsia" w:cs="Times New Roman"/>
          <w:color w:val="auto"/>
          <w:highlight w:val="none"/>
        </w:rPr>
        <w:t>①渣土</w:t>
      </w:r>
    </w:p>
    <w:p>
      <w:pPr>
        <w:spacing w:line="500" w:lineRule="exact"/>
        <w:ind w:firstLine="480"/>
        <w:rPr>
          <w:rFonts w:cs="Times New Roman"/>
          <w:color w:val="auto"/>
          <w:highlight w:val="none"/>
        </w:rPr>
      </w:pPr>
      <w:r>
        <w:rPr>
          <w:rFonts w:hint="eastAsia" w:cs="Times New Roman"/>
          <w:color w:val="auto"/>
          <w:highlight w:val="none"/>
        </w:rPr>
        <w:t>项目建设过程中渣土主要来源于地基、各池体开挖，开挖的土方尽量回填，多余的渣土将在厂区回填。</w:t>
      </w:r>
    </w:p>
    <w:p>
      <w:pPr>
        <w:spacing w:line="500" w:lineRule="exact"/>
        <w:ind w:firstLine="480"/>
        <w:rPr>
          <w:rFonts w:cs="Times New Roman"/>
          <w:color w:val="auto"/>
          <w:highlight w:val="none"/>
        </w:rPr>
      </w:pPr>
      <w:r>
        <w:rPr>
          <w:rFonts w:hint="eastAsia" w:cs="Times New Roman"/>
          <w:color w:val="auto"/>
          <w:highlight w:val="none"/>
        </w:rPr>
        <w:t>②建筑垃圾</w:t>
      </w:r>
    </w:p>
    <w:p>
      <w:pPr>
        <w:spacing w:line="500" w:lineRule="exact"/>
        <w:ind w:firstLine="480"/>
        <w:rPr>
          <w:rFonts w:cs="Times New Roman"/>
          <w:color w:val="auto"/>
          <w:highlight w:val="none"/>
        </w:rPr>
      </w:pPr>
      <w:r>
        <w:rPr>
          <w:rFonts w:hint="eastAsia" w:cs="Times New Roman"/>
          <w:color w:val="auto"/>
          <w:highlight w:val="none"/>
        </w:rPr>
        <w:t>施工期建筑垃圾外售处理。</w:t>
      </w:r>
    </w:p>
    <w:p>
      <w:pPr>
        <w:spacing w:line="500" w:lineRule="exact"/>
        <w:ind w:firstLine="480"/>
        <w:rPr>
          <w:rFonts w:cs="Times New Roman"/>
          <w:color w:val="auto"/>
          <w:highlight w:val="none"/>
        </w:rPr>
      </w:pPr>
      <w:r>
        <w:rPr>
          <w:rFonts w:hint="eastAsia" w:cs="Times New Roman"/>
          <w:color w:val="auto"/>
          <w:highlight w:val="none"/>
        </w:rPr>
        <w:t>③生活垃圾</w:t>
      </w:r>
    </w:p>
    <w:p>
      <w:pPr>
        <w:spacing w:line="500" w:lineRule="exact"/>
        <w:ind w:firstLine="480"/>
        <w:rPr>
          <w:rFonts w:hint="eastAsia" w:eastAsia="宋体" w:cs="Times New Roman"/>
          <w:color w:val="auto"/>
          <w:highlight w:val="none"/>
          <w:lang w:eastAsia="zh-CN"/>
        </w:rPr>
      </w:pPr>
      <w:r>
        <w:rPr>
          <w:rFonts w:hint="eastAsia" w:cs="Times New Roman"/>
          <w:color w:val="auto"/>
          <w:highlight w:val="none"/>
        </w:rPr>
        <w:t>项目施工人员</w:t>
      </w:r>
      <w:r>
        <w:rPr>
          <w:rFonts w:hint="eastAsia" w:cs="Times New Roman"/>
          <w:color w:val="auto"/>
          <w:highlight w:val="none"/>
          <w:lang w:eastAsia="zh-CN"/>
        </w:rPr>
        <w:t>产生的</w:t>
      </w:r>
      <w:r>
        <w:rPr>
          <w:rFonts w:hint="eastAsia" w:cs="Times New Roman"/>
          <w:color w:val="auto"/>
          <w:highlight w:val="none"/>
        </w:rPr>
        <w:t>施工生活垃圾产生量为100kg/d。统一收集后由市政环卫部门清运处理</w:t>
      </w:r>
      <w:r>
        <w:rPr>
          <w:rFonts w:hint="eastAsia" w:cs="Times New Roman"/>
          <w:color w:val="auto"/>
          <w:highlight w:val="none"/>
          <w:lang w:eastAsia="zh-CN"/>
        </w:rPr>
        <w:t>。</w:t>
      </w:r>
    </w:p>
    <w:p>
      <w:pPr>
        <w:pStyle w:val="5"/>
        <w:spacing w:before="66"/>
        <w:ind w:firstLine="0" w:firstLineChars="0"/>
        <w:rPr>
          <w:rFonts w:cs="Times New Roman"/>
          <w:color w:val="auto"/>
          <w:highlight w:val="none"/>
        </w:rPr>
      </w:pPr>
      <w:r>
        <w:rPr>
          <w:rFonts w:hint="eastAsia" w:cs="Times New Roman"/>
          <w:color w:val="auto"/>
          <w:highlight w:val="none"/>
          <w:lang w:val="en-US" w:eastAsia="zh-CN"/>
        </w:rPr>
        <w:t>2</w:t>
      </w:r>
      <w:r>
        <w:rPr>
          <w:rFonts w:cs="Times New Roman"/>
          <w:color w:val="auto"/>
          <w:highlight w:val="none"/>
        </w:rPr>
        <w:t>.</w:t>
      </w:r>
      <w:r>
        <w:rPr>
          <w:rFonts w:hint="eastAsia" w:cs="Times New Roman"/>
          <w:color w:val="auto"/>
          <w:highlight w:val="none"/>
          <w:lang w:val="en-US" w:eastAsia="zh-CN"/>
        </w:rPr>
        <w:t>8</w:t>
      </w:r>
      <w:r>
        <w:rPr>
          <w:rFonts w:hint="eastAsia" w:cs="Times New Roman"/>
          <w:color w:val="auto"/>
          <w:highlight w:val="none"/>
        </w:rPr>
        <w:t>.2营运期工艺流程及产排污情况</w:t>
      </w:r>
    </w:p>
    <w:p>
      <w:pPr>
        <w:ind w:firstLine="480"/>
        <w:rPr>
          <w:rFonts w:hint="eastAsia" w:cs="Times New Roman"/>
          <w:color w:val="auto"/>
          <w:highlight w:val="none"/>
        </w:rPr>
      </w:pPr>
      <w:r>
        <w:rPr>
          <w:rFonts w:hint="eastAsia" w:cs="Times New Roman"/>
          <w:color w:val="auto"/>
          <w:highlight w:val="none"/>
        </w:rPr>
        <w:t>本项目引进断奶后的仔猪，进入保育育肥一体舍饲养1</w:t>
      </w:r>
      <w:r>
        <w:rPr>
          <w:rFonts w:hint="eastAsia" w:cs="Times New Roman"/>
          <w:color w:val="auto"/>
          <w:highlight w:val="none"/>
          <w:lang w:val="en-US" w:eastAsia="zh-CN"/>
        </w:rPr>
        <w:t>41</w:t>
      </w:r>
      <w:r>
        <w:rPr>
          <w:rFonts w:hint="eastAsia" w:cs="Times New Roman"/>
          <w:color w:val="auto"/>
          <w:highlight w:val="none"/>
        </w:rPr>
        <w:t>天出售，项目场区分为主体工程和污染治理工程两个主要功能区块。</w:t>
      </w:r>
    </w:p>
    <w:p>
      <w:pPr>
        <w:pStyle w:val="6"/>
        <w:ind w:firstLine="482"/>
        <w:rPr>
          <w:rFonts w:hint="eastAsia"/>
          <w:color w:val="auto"/>
          <w:highlight w:val="none"/>
          <w:lang w:val="en-US" w:eastAsia="zh-CN"/>
        </w:rPr>
      </w:pPr>
      <w:r>
        <w:rPr>
          <w:rFonts w:hint="eastAsia"/>
          <w:color w:val="auto"/>
          <w:highlight w:val="none"/>
          <w:lang w:val="en-US" w:eastAsia="zh-CN"/>
        </w:rPr>
        <w:t>2.8.2.1主体工程</w:t>
      </w:r>
    </w:p>
    <w:p>
      <w:pPr>
        <w:keepNext w:val="0"/>
        <w:keepLines w:val="0"/>
        <w:pageBreakBefore w:val="0"/>
        <w:widowControl/>
        <w:kinsoku/>
        <w:wordWrap/>
        <w:overflowPunct/>
        <w:topLinePunct w:val="0"/>
        <w:autoSpaceDE/>
        <w:autoSpaceDN/>
        <w:bidi w:val="0"/>
        <w:adjustRightInd/>
        <w:snapToGrid/>
        <w:textAlignment w:val="auto"/>
        <w:rPr>
          <w:rFonts w:hint="eastAsia"/>
          <w:color w:val="auto"/>
          <w:highlight w:val="none"/>
          <w:lang w:eastAsia="zh-CN"/>
        </w:rPr>
      </w:pPr>
      <w:r>
        <w:rPr>
          <w:rFonts w:hint="eastAsia"/>
          <w:color w:val="auto"/>
          <w:highlight w:val="none"/>
          <w:lang w:eastAsia="zh-CN"/>
        </w:rPr>
        <w:t>本项目产品为商品猪；仔猪由平舆牧原农牧有限公司下属的种猪场提供，进入保育育肥一体猪舍，进行卫生防疫后进行保育、育肥饲养，仔猪在保育育肥一体猪舍经</w:t>
      </w:r>
      <w:r>
        <w:rPr>
          <w:rFonts w:hint="eastAsia"/>
          <w:color w:val="auto"/>
          <w:highlight w:val="none"/>
          <w:lang w:val="en-US" w:eastAsia="zh-CN"/>
        </w:rPr>
        <w:t>141天</w:t>
      </w:r>
      <w:r>
        <w:rPr>
          <w:rFonts w:hint="eastAsia"/>
          <w:color w:val="auto"/>
          <w:highlight w:val="none"/>
          <w:lang w:eastAsia="zh-CN"/>
        </w:rPr>
        <w:t>饲养后即可上市出售。</w:t>
      </w:r>
    </w:p>
    <w:p>
      <w:pPr>
        <w:ind w:firstLine="480"/>
        <w:rPr>
          <w:rFonts w:hint="eastAsia"/>
          <w:color w:val="auto"/>
          <w:highlight w:val="none"/>
        </w:rPr>
      </w:pPr>
      <w:r>
        <w:rPr>
          <w:rFonts w:hint="eastAsia"/>
          <w:color w:val="auto"/>
          <w:highlight w:val="none"/>
        </w:rPr>
        <w:t>养殖工艺流程如下：</w:t>
      </w:r>
    </w:p>
    <w:p>
      <w:pPr>
        <w:pStyle w:val="2"/>
        <w:jc w:val="center"/>
        <w:rPr>
          <w:rFonts w:hint="eastAsia" w:eastAsia="宋体"/>
          <w:color w:val="auto"/>
          <w:highlight w:val="none"/>
          <w:lang w:eastAsia="zh-CN"/>
        </w:rPr>
      </w:pPr>
      <w:r>
        <w:rPr>
          <w:color w:val="auto"/>
          <w:highlight w:val="none"/>
        </w:rPr>
        <w:drawing>
          <wp:inline distT="0" distB="0" distL="114300" distR="114300">
            <wp:extent cx="5314950" cy="3438525"/>
            <wp:effectExtent l="0" t="0" r="0" b="952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2"/>
                    <a:stretch>
                      <a:fillRect/>
                    </a:stretch>
                  </pic:blipFill>
                  <pic:spPr>
                    <a:xfrm>
                      <a:off x="0" y="0"/>
                      <a:ext cx="5314950" cy="3438525"/>
                    </a:xfrm>
                    <a:prstGeom prst="rect">
                      <a:avLst/>
                    </a:prstGeom>
                    <a:noFill/>
                    <a:ln>
                      <a:noFill/>
                    </a:ln>
                  </pic:spPr>
                </pic:pic>
              </a:graphicData>
            </a:graphic>
          </wp:inline>
        </w:drawing>
      </w:r>
    </w:p>
    <w:p>
      <w:pPr>
        <w:pStyle w:val="2"/>
        <w:jc w:val="center"/>
        <w:rPr>
          <w:rStyle w:val="43"/>
          <w:rFonts w:hint="eastAsia"/>
          <w:color w:val="auto"/>
          <w:highlight w:val="none"/>
          <w:lang w:eastAsia="zh-CN"/>
        </w:rPr>
      </w:pPr>
      <w:r>
        <w:rPr>
          <w:rStyle w:val="43"/>
          <w:color w:val="auto"/>
          <w:highlight w:val="none"/>
        </w:rPr>
        <w:t>图</w:t>
      </w:r>
      <w:r>
        <w:rPr>
          <w:rStyle w:val="43"/>
          <w:rFonts w:hint="eastAsia"/>
          <w:color w:val="auto"/>
          <w:highlight w:val="none"/>
          <w:lang w:val="en-US" w:eastAsia="zh-CN"/>
        </w:rPr>
        <w:t>2</w:t>
      </w:r>
      <w:r>
        <w:rPr>
          <w:rStyle w:val="43"/>
          <w:color w:val="auto"/>
          <w:highlight w:val="none"/>
        </w:rPr>
        <w:t>.</w:t>
      </w:r>
      <w:r>
        <w:rPr>
          <w:rStyle w:val="43"/>
          <w:rFonts w:hint="eastAsia"/>
          <w:color w:val="auto"/>
          <w:highlight w:val="none"/>
          <w:lang w:val="en-US" w:eastAsia="zh-CN"/>
        </w:rPr>
        <w:t>8</w:t>
      </w:r>
      <w:r>
        <w:rPr>
          <w:rStyle w:val="43"/>
          <w:color w:val="auto"/>
          <w:highlight w:val="none"/>
        </w:rPr>
        <w:t>-</w:t>
      </w:r>
      <w:r>
        <w:rPr>
          <w:rStyle w:val="43"/>
          <w:rFonts w:hint="eastAsia"/>
          <w:color w:val="auto"/>
          <w:highlight w:val="none"/>
          <w:lang w:val="en-US" w:eastAsia="zh-CN"/>
        </w:rPr>
        <w:t>1</w:t>
      </w:r>
      <w:r>
        <w:rPr>
          <w:rStyle w:val="43"/>
          <w:rFonts w:hint="eastAsia"/>
          <w:color w:val="auto"/>
          <w:highlight w:val="none"/>
        </w:rPr>
        <w:t xml:space="preserve"> </w:t>
      </w:r>
      <w:r>
        <w:rPr>
          <w:rStyle w:val="43"/>
          <w:rFonts w:hint="eastAsia"/>
          <w:color w:val="auto"/>
          <w:highlight w:val="none"/>
          <w:lang w:eastAsia="zh-CN"/>
        </w:rPr>
        <w:t>项目</w:t>
      </w:r>
      <w:r>
        <w:rPr>
          <w:rStyle w:val="43"/>
          <w:rFonts w:hint="eastAsia"/>
          <w:color w:val="auto"/>
          <w:highlight w:val="none"/>
        </w:rPr>
        <w:t>养殖过程工艺流程及产</w:t>
      </w:r>
      <w:r>
        <w:rPr>
          <w:rStyle w:val="43"/>
          <w:rFonts w:hint="eastAsia"/>
          <w:color w:val="auto"/>
          <w:highlight w:val="none"/>
          <w:lang w:eastAsia="zh-CN"/>
        </w:rPr>
        <w:t>排</w:t>
      </w:r>
      <w:r>
        <w:rPr>
          <w:rStyle w:val="43"/>
          <w:rFonts w:hint="eastAsia"/>
          <w:color w:val="auto"/>
          <w:highlight w:val="none"/>
        </w:rPr>
        <w:t>污</w:t>
      </w:r>
      <w:r>
        <w:rPr>
          <w:rStyle w:val="43"/>
          <w:rFonts w:hint="eastAsia"/>
          <w:color w:val="auto"/>
          <w:highlight w:val="none"/>
          <w:lang w:eastAsia="zh-CN"/>
        </w:rPr>
        <w:t>节点</w:t>
      </w:r>
      <w:r>
        <w:rPr>
          <w:rStyle w:val="43"/>
          <w:rFonts w:hint="eastAsia"/>
          <w:color w:val="auto"/>
          <w:highlight w:val="none"/>
        </w:rPr>
        <w:t>图</w:t>
      </w:r>
    </w:p>
    <w:p>
      <w:pPr>
        <w:ind w:firstLine="480"/>
        <w:rPr>
          <w:color w:val="auto"/>
          <w:highlight w:val="none"/>
        </w:rPr>
      </w:pPr>
      <w:r>
        <w:rPr>
          <w:rFonts w:hint="eastAsia"/>
          <w:color w:val="auto"/>
          <w:highlight w:val="none"/>
        </w:rPr>
        <w:t>工艺流程简述：</w:t>
      </w:r>
    </w:p>
    <w:p>
      <w:pPr>
        <w:pStyle w:val="2"/>
        <w:rPr>
          <w:rFonts w:hint="eastAsia"/>
          <w:color w:val="auto"/>
          <w:highlight w:val="none"/>
          <w:lang w:eastAsia="zh-CN"/>
        </w:rPr>
      </w:pPr>
      <w:r>
        <w:rPr>
          <w:rFonts w:hint="eastAsia"/>
          <w:color w:val="auto"/>
          <w:highlight w:val="none"/>
          <w:lang w:eastAsia="zh-CN"/>
        </w:rPr>
        <w:t>项目按现代化养猪要求设计生产工艺流程，实行流水生产工艺，即把猪群按生产过程专业化的要求划分为保育阶段和育肥阶段。</w:t>
      </w:r>
    </w:p>
    <w:p>
      <w:pPr>
        <w:pStyle w:val="2"/>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）保育阶段</w:t>
      </w:r>
    </w:p>
    <w:p>
      <w:pPr>
        <w:pStyle w:val="2"/>
        <w:rPr>
          <w:rFonts w:hint="eastAsia"/>
          <w:color w:val="auto"/>
          <w:highlight w:val="none"/>
          <w:lang w:eastAsia="zh-CN"/>
        </w:rPr>
      </w:pPr>
      <w:r>
        <w:rPr>
          <w:rFonts w:hint="eastAsia"/>
          <w:color w:val="auto"/>
          <w:highlight w:val="none"/>
          <w:lang w:eastAsia="zh-CN"/>
        </w:rPr>
        <w:t>这一阶段，仔猪从其他厂区运送过来，保育阶段的主要任务是创造条件，减少应激，缩短适应期，保持快速生长，防止拉痢掉膘。</w:t>
      </w:r>
    </w:p>
    <w:p>
      <w:pPr>
        <w:pStyle w:val="2"/>
        <w:rPr>
          <w:rFonts w:hint="eastAsia"/>
          <w:color w:val="auto"/>
          <w:highlight w:val="none"/>
          <w:lang w:eastAsia="zh-CN"/>
        </w:rPr>
      </w:pPr>
      <w:r>
        <w:rPr>
          <w:rFonts w:hint="eastAsia"/>
          <w:color w:val="auto"/>
          <w:highlight w:val="none"/>
          <w:lang w:eastAsia="zh-CN"/>
        </w:rPr>
        <w:t>保育的适宜温度和相对湿度控制在20℃～22℃和65</w:t>
      </w:r>
      <w:r>
        <w:rPr>
          <w:rFonts w:hint="eastAsia"/>
          <w:color w:val="auto"/>
          <w:highlight w:val="none"/>
          <w:lang w:val="en-US" w:eastAsia="zh-CN"/>
        </w:rPr>
        <w:t>%</w:t>
      </w:r>
      <w:r>
        <w:rPr>
          <w:rFonts w:hint="eastAsia"/>
          <w:color w:val="auto"/>
          <w:highlight w:val="none"/>
          <w:lang w:eastAsia="zh-CN"/>
        </w:rPr>
        <w:t>～70</w:t>
      </w:r>
      <w:r>
        <w:rPr>
          <w:rFonts w:hint="eastAsia"/>
          <w:color w:val="auto"/>
          <w:highlight w:val="none"/>
          <w:lang w:val="en-US" w:eastAsia="zh-CN"/>
        </w:rPr>
        <w:t>%</w:t>
      </w:r>
      <w:r>
        <w:rPr>
          <w:rFonts w:hint="eastAsia"/>
          <w:color w:val="auto"/>
          <w:highlight w:val="none"/>
          <w:lang w:eastAsia="zh-CN"/>
        </w:rPr>
        <w:t>，并注意良好的通风换气，保持圈舍清洁、干燥，饮水充足。进入保育舍的幼猪，7～10日内应保持原来的乳猪饲料，并严格控制采食量，由自由采食改为日喂4~5餐，投料量为自由采食的70</w:t>
      </w:r>
      <w:r>
        <w:rPr>
          <w:rFonts w:hint="eastAsia"/>
          <w:color w:val="auto"/>
          <w:highlight w:val="none"/>
          <w:lang w:val="en-US" w:eastAsia="zh-CN"/>
        </w:rPr>
        <w:t>%</w:t>
      </w:r>
      <w:r>
        <w:rPr>
          <w:rFonts w:hint="eastAsia"/>
          <w:color w:val="auto"/>
          <w:highlight w:val="none"/>
          <w:lang w:eastAsia="zh-CN"/>
        </w:rPr>
        <w:t>。以后逐渐过渡到仔猪料。3～5周龄断奶的仔猪，如不控制采食量，便容易诱发胃肠炎，造成增重减慢，甚至拉稀死亡。保育阶段应安排驱虫、防疫注射工作。</w:t>
      </w:r>
    </w:p>
    <w:p>
      <w:pPr>
        <w:pStyle w:val="2"/>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）育肥阶段</w:t>
      </w:r>
    </w:p>
    <w:p>
      <w:pPr>
        <w:pStyle w:val="2"/>
        <w:rPr>
          <w:rFonts w:hint="eastAsia"/>
          <w:color w:val="auto"/>
          <w:highlight w:val="none"/>
          <w:lang w:eastAsia="zh-CN"/>
        </w:rPr>
      </w:pPr>
      <w:r>
        <w:rPr>
          <w:rFonts w:hint="eastAsia"/>
          <w:color w:val="auto"/>
          <w:highlight w:val="none"/>
          <w:lang w:eastAsia="zh-CN"/>
        </w:rPr>
        <w:t>育肥阶段，猪舍内应保持清洁、干燥、通风良好、饮水充足，温度控制在18~22℃，夏季注意防暑降温。转群时应将原圈猪按体重大小、性别、强弱分群，每群大小应视圈舍大小而定，一般为10~20头。</w:t>
      </w:r>
    </w:p>
    <w:p>
      <w:pPr>
        <w:pStyle w:val="2"/>
        <w:rPr>
          <w:rFonts w:hint="eastAsia"/>
          <w:color w:val="auto"/>
          <w:highlight w:val="none"/>
          <w:lang w:eastAsia="zh-CN"/>
        </w:rPr>
      </w:pPr>
      <w:r>
        <w:rPr>
          <w:rFonts w:hint="eastAsia"/>
          <w:color w:val="auto"/>
          <w:highlight w:val="none"/>
          <w:lang w:eastAsia="zh-CN"/>
        </w:rPr>
        <w:t>每月要定期称重，以检查饲喂效果。经常检查猪群的采食、发育等情况，及时调整饲料配方，发现疫病及时报告，采取有效措施进行治疗和处理。</w:t>
      </w:r>
    </w:p>
    <w:p>
      <w:pPr>
        <w:pStyle w:val="2"/>
        <w:rPr>
          <w:rFonts w:hint="eastAsia" w:eastAsia="宋体"/>
          <w:color w:val="auto"/>
          <w:highlight w:val="none"/>
          <w:lang w:eastAsia="zh-CN"/>
        </w:rPr>
      </w:pPr>
      <w:r>
        <w:rPr>
          <w:rFonts w:hint="eastAsia"/>
          <w:color w:val="auto"/>
          <w:highlight w:val="none"/>
          <w:lang w:eastAsia="zh-CN"/>
        </w:rPr>
        <w:t>商品猪养殖过程工艺流程见图</w:t>
      </w:r>
      <w:r>
        <w:rPr>
          <w:rFonts w:hint="eastAsia"/>
          <w:color w:val="auto"/>
          <w:highlight w:val="none"/>
          <w:lang w:val="en-US" w:eastAsia="zh-CN"/>
        </w:rPr>
        <w:t>2.8</w:t>
      </w: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p>
    <w:p>
      <w:pPr>
        <w:ind w:firstLine="480"/>
        <w:rPr>
          <w:rFonts w:hint="eastAsia"/>
          <w:color w:val="auto"/>
          <w:highlight w:val="none"/>
        </w:rPr>
      </w:pPr>
      <w:r>
        <w:rPr>
          <w:rFonts w:hint="eastAsia"/>
          <w:color w:val="auto"/>
          <w:highlight w:val="none"/>
        </w:rPr>
        <w:t>3、养殖其他相关工艺说明</w:t>
      </w:r>
    </w:p>
    <w:p>
      <w:pPr>
        <w:ind w:firstLine="480"/>
        <w:rPr>
          <w:rFonts w:hint="eastAsia"/>
          <w:color w:val="auto"/>
          <w:highlight w:val="none"/>
        </w:rPr>
      </w:pPr>
      <w:r>
        <w:rPr>
          <w:rFonts w:hint="eastAsia"/>
          <w:color w:val="auto"/>
          <w:highlight w:val="none"/>
        </w:rPr>
        <w:t>①上料系统工艺说明</w:t>
      </w:r>
    </w:p>
    <w:p>
      <w:pPr>
        <w:ind w:firstLine="480"/>
        <w:rPr>
          <w:rFonts w:hint="eastAsia"/>
          <w:color w:val="auto"/>
          <w:highlight w:val="none"/>
        </w:rPr>
      </w:pPr>
      <w:r>
        <w:rPr>
          <w:rFonts w:hint="eastAsia"/>
          <w:color w:val="auto"/>
          <w:highlight w:val="none"/>
        </w:rPr>
        <w:t>项目采用全自动配送上料系统和限位猪槽（专利证号ZL2009 20223840.9），机械化操作，定时定量供应饲料，保证生猪饮食需求，同时减少浪费，节约人力和饲料用量，降低生产成本。</w:t>
      </w:r>
    </w:p>
    <w:p>
      <w:pPr>
        <w:ind w:firstLine="480"/>
        <w:rPr>
          <w:rFonts w:hint="eastAsia"/>
          <w:color w:val="auto"/>
          <w:highlight w:val="none"/>
        </w:rPr>
      </w:pPr>
      <w:r>
        <w:rPr>
          <w:rFonts w:hint="eastAsia"/>
          <w:color w:val="auto"/>
          <w:highlight w:val="none"/>
        </w:rPr>
        <w:t>②饮水系统工艺说明</w:t>
      </w:r>
    </w:p>
    <w:p>
      <w:pPr>
        <w:ind w:firstLine="480"/>
        <w:rPr>
          <w:rFonts w:hint="eastAsia"/>
          <w:color w:val="auto"/>
          <w:highlight w:val="none"/>
        </w:rPr>
      </w:pPr>
      <w:r>
        <w:rPr>
          <w:rFonts w:hint="eastAsia"/>
          <w:color w:val="auto"/>
          <w:highlight w:val="none"/>
        </w:rPr>
        <w:t>项目采用先进的限位饮水器，限位饮水器的底部槽体液面始终维持在2cm的液面高度，在此液面高度时，饮水器与外界空气形成负压，当生猪喝水时，饮水器与空气接触，内部压力大于外部压力，水自动地从管内流出直至液面高度在2cm时饮水器自动停止供水。能保证生猪随时饮用新鲜水，同时避免不必要的浪费，节约水资源。</w:t>
      </w:r>
    </w:p>
    <w:p>
      <w:pPr>
        <w:ind w:firstLine="480"/>
        <w:rPr>
          <w:rFonts w:hint="eastAsia"/>
          <w:color w:val="auto"/>
          <w:highlight w:val="none"/>
        </w:rPr>
      </w:pPr>
      <w:r>
        <w:rPr>
          <w:rFonts w:hint="eastAsia"/>
          <w:color w:val="auto"/>
          <w:highlight w:val="none"/>
        </w:rPr>
        <w:t>③控温系统工艺说明</w:t>
      </w:r>
    </w:p>
    <w:p>
      <w:pPr>
        <w:pStyle w:val="2"/>
        <w:rPr>
          <w:rFonts w:hint="eastAsia"/>
          <w:color w:val="auto"/>
          <w:highlight w:val="none"/>
        </w:rPr>
      </w:pPr>
      <w:r>
        <w:rPr>
          <w:rFonts w:hint="eastAsia"/>
          <w:color w:val="auto"/>
          <w:highlight w:val="none"/>
        </w:rPr>
        <w:t>项目通过优化猪舍结构设计、墙体做隔热保温层来切断单元内外热传递。同时，猪舍冬季通风换气时，通过热交换系统对进、出风实行热交换，使单元内温度保持在猪适宜的温度范围内。具体措施如下：</w:t>
      </w:r>
    </w:p>
    <w:p>
      <w:pPr>
        <w:pStyle w:val="2"/>
        <w:rPr>
          <w:rFonts w:hint="eastAsia"/>
          <w:color w:val="auto"/>
          <w:highlight w:val="none"/>
        </w:rPr>
      </w:pPr>
      <w:r>
        <w:rPr>
          <w:rFonts w:hint="eastAsia"/>
          <w:color w:val="auto"/>
          <w:highlight w:val="none"/>
        </w:rPr>
        <w:t>猪舍结构：墙体由挤塑式聚苯乙烯隔热保温板（简称“挤塑板”）来切断单元内外热传递，该材料具有高热阻、低线性、膨胀比低的特点，其结构的闭孔率达到了99%以上，形成真空层，避免空气流动散热，确保其保温性能的持久和稳定。</w:t>
      </w:r>
    </w:p>
    <w:p>
      <w:pPr>
        <w:pStyle w:val="2"/>
        <w:rPr>
          <w:rFonts w:hint="eastAsia"/>
          <w:color w:val="auto"/>
          <w:highlight w:val="none"/>
        </w:rPr>
      </w:pPr>
      <w:r>
        <w:rPr>
          <w:rFonts w:hint="eastAsia"/>
          <w:color w:val="auto"/>
          <w:highlight w:val="none"/>
        </w:rPr>
        <w:t>全热交换器主要原理：热交换通风系统主要包括进风管、布风管、排风道、变速风机等。其中布风管和进风管相联通安装于猪舍上部，中间为猪群生活的漏缝板，猪舍下部为封闭的排风道，变速风机位于猪舍另一侧排风道中间。猪舍内设有自动温控、湿控装置，当猪舍内温度、湿度达到一定要求时，变速风机自动启动，无固定规律。变速风机启动后，从封闭通道抽出猪舍内部污浊高温的空气，室外清新的冷空气经由进风道进入猪舍内。因进风管采用导热性能较好的材料制成，在冷空气进入猪舍内的过程中，可通过进风管壁与猪舍内空气进行充分的热交换，使进入猪舍的新鲜空气温度大大提高，避免了猪群在生长过程中的冷应激作用。</w:t>
      </w:r>
    </w:p>
    <w:p>
      <w:pPr>
        <w:pStyle w:val="2"/>
        <w:rPr>
          <w:rFonts w:hint="eastAsia"/>
          <w:color w:val="auto"/>
          <w:highlight w:val="none"/>
        </w:rPr>
      </w:pPr>
      <w:r>
        <w:rPr>
          <w:rFonts w:hint="eastAsia"/>
          <w:color w:val="auto"/>
          <w:highlight w:val="none"/>
        </w:rPr>
        <w:t>在对猪舍内外空气进行交换的同时，也进行热量交换，猪舍在热交换的过程中，实施最小通风量，防止过度通风带来不必要的热量损失。运行时，新风从排风获得热量，温度升高，通过换热芯体的全热换热过程，让新风从排风中回收能量，保证在通风时也保持猪舍内部温度，既保证了猪群对新鲜空气的需要，又保证单元内有害气体不超标，同时满足了通风和稳定猪舍温度的需求，节约了能源消耗，降低了饲养成本。</w:t>
      </w:r>
    </w:p>
    <w:p>
      <w:pPr>
        <w:pStyle w:val="2"/>
        <w:rPr>
          <w:rFonts w:hint="eastAsia"/>
          <w:color w:val="auto"/>
          <w:highlight w:val="none"/>
        </w:rPr>
      </w:pPr>
      <w:r>
        <w:rPr>
          <w:rFonts w:hint="eastAsia"/>
          <w:color w:val="auto"/>
          <w:highlight w:val="none"/>
        </w:rPr>
        <w:t>冬季保温：主要是通过猪舍墙体保温材料与外部断绝热交换，猪舍内部通风通过全热交换器进行，实施最小通风量，既保证猪需要的氧气量，又保证单元内有害气体不超标，防止过度通风降低单元温度。</w:t>
      </w:r>
    </w:p>
    <w:p>
      <w:pPr>
        <w:pStyle w:val="2"/>
        <w:rPr>
          <w:rFonts w:hint="eastAsia"/>
          <w:color w:val="auto"/>
          <w:highlight w:val="none"/>
        </w:rPr>
      </w:pPr>
      <w:r>
        <w:rPr>
          <w:rFonts w:hint="eastAsia"/>
          <w:color w:val="auto"/>
          <w:highlight w:val="none"/>
        </w:rPr>
        <w:t>根据牧原食品股份有限公司在已有几个场区的试验结果，0</w:t>
      </w:r>
      <w:r>
        <w:rPr>
          <w:rFonts w:hint="default" w:ascii="Times New Roman" w:hAnsi="Times New Roman" w:cs="Times New Roman"/>
          <w:color w:val="auto"/>
          <w:highlight w:val="none"/>
        </w:rPr>
        <w:t>℃</w:t>
      </w:r>
      <w:r>
        <w:rPr>
          <w:rFonts w:hint="eastAsia"/>
          <w:color w:val="auto"/>
          <w:highlight w:val="none"/>
        </w:rPr>
        <w:t>左右的空气可被升温10-15℃左右。公司已经在部分场区进行了改造使用，效果比试验预期还要好。另外，热交换主要在单元装猪的第一个月猪群还未长大时进行使用，当猪群成长一个月左右，仅依靠猪群自身散热即可达到对温度的需求，最后甚至还要打开侧窗进行散热。</w:t>
      </w:r>
    </w:p>
    <w:p>
      <w:pPr>
        <w:pStyle w:val="2"/>
        <w:rPr>
          <w:rFonts w:hint="eastAsia"/>
          <w:color w:val="auto"/>
          <w:highlight w:val="none"/>
        </w:rPr>
      </w:pPr>
      <w:r>
        <w:rPr>
          <w:rFonts w:hint="eastAsia"/>
          <w:color w:val="auto"/>
          <w:highlight w:val="none"/>
        </w:rPr>
        <w:t>夏季降温：停止热交换器工作，同时打开密闭的风机，利用风机通风；同时夏季育肥舍采用喷雾降温：在专门的降温水管上装有喷头，水雾喷到猪群身上，通过猪舍内的风机作用，促进蒸发降温。降温通过电脑控制，室温高于30℃时，喷淋喷雾每喷30s，停15分钟；保育舍通过通风系统即可满足降温需求，无须喷雾降温。</w:t>
      </w:r>
    </w:p>
    <w:p>
      <w:pPr>
        <w:pStyle w:val="2"/>
        <w:rPr>
          <w:rFonts w:hint="eastAsia"/>
          <w:color w:val="auto"/>
          <w:highlight w:val="none"/>
        </w:rPr>
      </w:pPr>
      <w:r>
        <w:rPr>
          <w:rFonts w:hint="eastAsia"/>
          <w:color w:val="auto"/>
          <w:highlight w:val="none"/>
        </w:rPr>
        <w:t>④卫生防疫</w:t>
      </w:r>
    </w:p>
    <w:p>
      <w:pPr>
        <w:pStyle w:val="2"/>
        <w:rPr>
          <w:rFonts w:hint="eastAsia"/>
          <w:color w:val="auto"/>
          <w:highlight w:val="none"/>
        </w:rPr>
      </w:pPr>
      <w:r>
        <w:rPr>
          <w:rFonts w:hint="eastAsia"/>
          <w:color w:val="auto"/>
          <w:highlight w:val="none"/>
        </w:rPr>
        <w:t>在各阶段猪出栏后，通过高压水枪喷淋烧碱水或石灰水对猪舍进行消毒处理，发生特别疫情时用高锰酸钾消毒液进行消毒处理。</w:t>
      </w:r>
    </w:p>
    <w:p>
      <w:pPr>
        <w:keepNext w:val="0"/>
        <w:keepLines w:val="0"/>
        <w:pageBreakBefore w:val="0"/>
        <w:widowControl/>
        <w:kinsoku/>
        <w:wordWrap/>
        <w:overflowPunct/>
        <w:topLinePunct w:val="0"/>
        <w:autoSpaceDE/>
        <w:autoSpaceDN/>
        <w:bidi w:val="0"/>
        <w:adjustRightInd/>
        <w:snapToGrid/>
        <w:ind w:firstLine="422"/>
        <w:jc w:val="both"/>
        <w:textAlignment w:val="auto"/>
        <w:rPr>
          <w:rFonts w:hint="eastAsia"/>
          <w:color w:val="auto"/>
          <w:highlight w:val="none"/>
        </w:rPr>
      </w:pPr>
      <w:r>
        <w:rPr>
          <w:rFonts w:hint="eastAsia"/>
          <w:color w:val="auto"/>
          <w:highlight w:val="none"/>
        </w:rPr>
        <w:t>4、猪舍设计规模与清粪模式</w:t>
      </w:r>
    </w:p>
    <w:p>
      <w:pPr>
        <w:keepNext w:val="0"/>
        <w:keepLines w:val="0"/>
        <w:pageBreakBefore w:val="0"/>
        <w:widowControl/>
        <w:kinsoku/>
        <w:wordWrap/>
        <w:overflowPunct/>
        <w:topLinePunct w:val="0"/>
        <w:autoSpaceDE/>
        <w:autoSpaceDN/>
        <w:bidi w:val="0"/>
        <w:adjustRightInd/>
        <w:snapToGrid/>
        <w:ind w:firstLine="422"/>
        <w:jc w:val="both"/>
        <w:textAlignment w:val="auto"/>
        <w:rPr>
          <w:rFonts w:hint="eastAsia"/>
          <w:color w:val="auto"/>
          <w:highlight w:val="none"/>
          <w:lang w:eastAsia="zh-CN"/>
        </w:rPr>
      </w:pPr>
      <w:r>
        <w:rPr>
          <w:rFonts w:hint="eastAsia"/>
          <w:color w:val="auto"/>
          <w:highlight w:val="none"/>
        </w:rPr>
        <w:t>本项目采用环保部认定的干清粪工艺：猪生活在漏缝地板上，猪舍内产生的猪粪由于猪的踩踏及重力作用离开猪舍进入猪舍底部的粪污储存池，储存池底部设计成一端高一端低的倾斜结构，排粪塞位于最低端，项目粪污储存池定期排空，排空时粪尿依靠储存池底部坡度由储存池排出，进入固液分离机进行干湿分离，粪渣制肥，粪液厌氧发酵，沼液贮存在</w:t>
      </w:r>
      <w:r>
        <w:rPr>
          <w:rFonts w:hint="eastAsia"/>
          <w:color w:val="auto"/>
          <w:highlight w:val="none"/>
          <w:lang w:eastAsia="zh-CN"/>
        </w:rPr>
        <w:t>黑膜沼气</w:t>
      </w:r>
      <w:r>
        <w:rPr>
          <w:rFonts w:hint="eastAsia"/>
          <w:color w:val="auto"/>
          <w:highlight w:val="none"/>
        </w:rPr>
        <w:t>池内用于周围土地消纳，全部综合利用</w:t>
      </w:r>
      <w:r>
        <w:rPr>
          <w:rFonts w:hint="eastAsia"/>
          <w:color w:val="auto"/>
          <w:highlight w:val="none"/>
          <w:lang w:eastAsia="zh-CN"/>
        </w:rPr>
        <w:t>。</w:t>
      </w:r>
    </w:p>
    <w:p>
      <w:pPr>
        <w:pStyle w:val="2"/>
        <w:jc w:val="center"/>
        <w:rPr>
          <w:rFonts w:hint="eastAsia"/>
          <w:color w:val="auto"/>
          <w:highlight w:val="none"/>
          <w:lang w:eastAsia="zh-CN"/>
        </w:rPr>
      </w:pPr>
      <w:r>
        <w:rPr>
          <w:color w:val="auto"/>
          <w:highlight w:val="none"/>
        </w:rPr>
        <w:drawing>
          <wp:inline distT="0" distB="0" distL="114300" distR="114300">
            <wp:extent cx="4848225" cy="2333625"/>
            <wp:effectExtent l="0" t="0" r="9525" b="952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3"/>
                    <a:stretch>
                      <a:fillRect/>
                    </a:stretch>
                  </pic:blipFill>
                  <pic:spPr>
                    <a:xfrm>
                      <a:off x="0" y="0"/>
                      <a:ext cx="4848225" cy="2333625"/>
                    </a:xfrm>
                    <a:prstGeom prst="rect">
                      <a:avLst/>
                    </a:prstGeom>
                    <a:noFill/>
                    <a:ln>
                      <a:noFill/>
                    </a:ln>
                  </pic:spPr>
                </pic:pic>
              </a:graphicData>
            </a:graphic>
          </wp:inline>
        </w:drawing>
      </w:r>
    </w:p>
    <w:p>
      <w:pPr>
        <w:pStyle w:val="2"/>
        <w:jc w:val="center"/>
        <w:rPr>
          <w:rStyle w:val="43"/>
          <w:rFonts w:hint="eastAsia" w:ascii="Times New Roman" w:hAnsi="Times New Roman"/>
          <w:color w:val="auto"/>
          <w:szCs w:val="22"/>
          <w:highlight w:val="none"/>
          <w:lang w:eastAsia="zh-CN"/>
        </w:rPr>
      </w:pPr>
      <w:r>
        <w:rPr>
          <w:rStyle w:val="43"/>
          <w:rFonts w:hint="eastAsia" w:ascii="Times New Roman" w:hAnsi="Times New Roman"/>
          <w:color w:val="auto"/>
          <w:szCs w:val="22"/>
          <w:highlight w:val="none"/>
          <w:lang w:eastAsia="zh-CN"/>
        </w:rPr>
        <w:t>图</w:t>
      </w:r>
      <w:r>
        <w:rPr>
          <w:rStyle w:val="43"/>
          <w:rFonts w:hint="eastAsia"/>
          <w:color w:val="auto"/>
          <w:szCs w:val="22"/>
          <w:highlight w:val="none"/>
          <w:lang w:val="en-US" w:eastAsia="zh-CN"/>
        </w:rPr>
        <w:t>2</w:t>
      </w:r>
      <w:r>
        <w:rPr>
          <w:rStyle w:val="43"/>
          <w:rFonts w:hint="eastAsia" w:ascii="Times New Roman" w:hAnsi="Times New Roman"/>
          <w:color w:val="auto"/>
          <w:szCs w:val="22"/>
          <w:highlight w:val="none"/>
          <w:lang w:val="en-US" w:eastAsia="zh-CN"/>
        </w:rPr>
        <w:t>.</w:t>
      </w:r>
      <w:r>
        <w:rPr>
          <w:rStyle w:val="43"/>
          <w:rFonts w:hint="eastAsia"/>
          <w:color w:val="auto"/>
          <w:szCs w:val="22"/>
          <w:highlight w:val="none"/>
          <w:lang w:val="en-US" w:eastAsia="zh-CN"/>
        </w:rPr>
        <w:t>8</w:t>
      </w:r>
      <w:r>
        <w:rPr>
          <w:rStyle w:val="43"/>
          <w:rFonts w:hint="eastAsia" w:ascii="Times New Roman" w:hAnsi="Times New Roman"/>
          <w:color w:val="auto"/>
          <w:szCs w:val="22"/>
          <w:highlight w:val="none"/>
          <w:lang w:eastAsia="zh-CN"/>
        </w:rPr>
        <w:t>-</w:t>
      </w:r>
      <w:r>
        <w:rPr>
          <w:rStyle w:val="43"/>
          <w:rFonts w:hint="eastAsia"/>
          <w:color w:val="auto"/>
          <w:szCs w:val="22"/>
          <w:highlight w:val="none"/>
          <w:lang w:val="en-US" w:eastAsia="zh-CN"/>
        </w:rPr>
        <w:t>2</w:t>
      </w:r>
      <w:r>
        <w:rPr>
          <w:rStyle w:val="43"/>
          <w:rFonts w:hint="eastAsia" w:ascii="Times New Roman" w:hAnsi="Times New Roman"/>
          <w:color w:val="auto"/>
          <w:szCs w:val="22"/>
          <w:highlight w:val="none"/>
          <w:lang w:eastAsia="zh-CN"/>
        </w:rPr>
        <w:t xml:space="preserve"> 本项目清粪工艺示意图</w:t>
      </w:r>
    </w:p>
    <w:p>
      <w:pPr>
        <w:keepNext w:val="0"/>
        <w:keepLines w:val="0"/>
        <w:pageBreakBefore w:val="0"/>
        <w:widowControl/>
        <w:kinsoku/>
        <w:wordWrap/>
        <w:overflowPunct/>
        <w:topLinePunct w:val="0"/>
        <w:autoSpaceDE/>
        <w:autoSpaceDN/>
        <w:bidi w:val="0"/>
        <w:adjustRightInd/>
        <w:snapToGrid/>
        <w:ind w:firstLine="422"/>
        <w:jc w:val="both"/>
        <w:textAlignment w:val="auto"/>
        <w:rPr>
          <w:rFonts w:hint="eastAsia" w:ascii="Times New Roman" w:hAnsi="Times New Roman"/>
          <w:color w:val="auto"/>
          <w:highlight w:val="none"/>
          <w:lang w:eastAsia="zh-CN"/>
        </w:rPr>
      </w:pPr>
      <w:r>
        <w:rPr>
          <w:rFonts w:hint="eastAsia" w:ascii="Times New Roman" w:hAnsi="Times New Roman"/>
          <w:color w:val="auto"/>
          <w:highlight w:val="none"/>
          <w:lang w:eastAsia="zh-CN"/>
        </w:rPr>
        <w:t>环保部办公厅“关于牧原食品股份有限公司部分养殖场清粪工艺问题的复函”（环办函【2015】425号）明确指出：“牧原食品股份有限公司部分养殖场所采用的清粪工艺不将清水用于圈舍粪尿日常清理，粪尿产生即依靠重力离开猪舍进入储存池，大大减少了粪污产生量，并实现粪尿及时清理；粪污离开储存池即进行干湿分离和无害化并全部实现综合利用，没有混合排出。我部认为该清粪工艺具备干清粪工艺基本特征，符合相关技术规范的要求。”</w:t>
      </w:r>
    </w:p>
    <w:p>
      <w:pPr>
        <w:keepNext w:val="0"/>
        <w:keepLines w:val="0"/>
        <w:pageBreakBefore w:val="0"/>
        <w:widowControl/>
        <w:kinsoku/>
        <w:wordWrap/>
        <w:overflowPunct/>
        <w:topLinePunct w:val="0"/>
        <w:autoSpaceDE/>
        <w:autoSpaceDN/>
        <w:bidi w:val="0"/>
        <w:adjustRightInd/>
        <w:snapToGrid/>
        <w:ind w:firstLine="422"/>
        <w:jc w:val="both"/>
        <w:textAlignment w:val="auto"/>
        <w:rPr>
          <w:rFonts w:hint="eastAsia" w:ascii="Times New Roman" w:hAnsi="Times New Roman"/>
          <w:color w:val="auto"/>
          <w:highlight w:val="none"/>
          <w:lang w:eastAsia="zh-CN"/>
        </w:rPr>
      </w:pPr>
      <w:r>
        <w:rPr>
          <w:rFonts w:hint="eastAsia" w:ascii="Times New Roman" w:hAnsi="Times New Roman"/>
          <w:color w:val="auto"/>
          <w:highlight w:val="none"/>
          <w:lang w:eastAsia="zh-CN"/>
        </w:rPr>
        <w:t>本项目干清粪工艺具有以下特点：</w:t>
      </w:r>
    </w:p>
    <w:p>
      <w:pPr>
        <w:keepNext w:val="0"/>
        <w:keepLines w:val="0"/>
        <w:pageBreakBefore w:val="0"/>
        <w:widowControl/>
        <w:kinsoku/>
        <w:wordWrap/>
        <w:overflowPunct/>
        <w:topLinePunct w:val="0"/>
        <w:autoSpaceDE/>
        <w:autoSpaceDN/>
        <w:bidi w:val="0"/>
        <w:adjustRightInd/>
        <w:snapToGrid/>
        <w:ind w:firstLine="422"/>
        <w:jc w:val="both"/>
        <w:textAlignment w:val="auto"/>
        <w:rPr>
          <w:rFonts w:hint="eastAsia" w:ascii="Times New Roman" w:hAnsi="Times New Roman"/>
          <w:color w:val="auto"/>
          <w:highlight w:val="none"/>
          <w:lang w:eastAsia="zh-CN"/>
        </w:rPr>
      </w:pPr>
      <w:r>
        <w:rPr>
          <w:rFonts w:hint="eastAsia"/>
          <w:color w:val="auto"/>
          <w:highlight w:val="none"/>
          <w:lang w:val="en-US" w:eastAsia="zh-CN"/>
        </w:rPr>
        <w:t>a</w:t>
      </w:r>
      <w:r>
        <w:rPr>
          <w:rFonts w:hint="eastAsia" w:ascii="Times New Roman" w:hAnsi="Times New Roman"/>
          <w:color w:val="auto"/>
          <w:highlight w:val="none"/>
          <w:lang w:eastAsia="zh-CN"/>
        </w:rPr>
        <w:t>、养殖圈舍不注入清水，也不将清水用于圈舍粪尿日常清理，仅在转栏时用高压水枪进行冲洗，大大减少了粪污产生量。</w:t>
      </w:r>
    </w:p>
    <w:p>
      <w:pPr>
        <w:keepNext w:val="0"/>
        <w:keepLines w:val="0"/>
        <w:pageBreakBefore w:val="0"/>
        <w:widowControl/>
        <w:kinsoku/>
        <w:wordWrap/>
        <w:overflowPunct/>
        <w:topLinePunct w:val="0"/>
        <w:autoSpaceDE/>
        <w:autoSpaceDN/>
        <w:bidi w:val="0"/>
        <w:adjustRightInd/>
        <w:snapToGrid/>
        <w:ind w:firstLine="422"/>
        <w:jc w:val="both"/>
        <w:textAlignment w:val="auto"/>
        <w:rPr>
          <w:rFonts w:hint="eastAsia" w:ascii="Times New Roman" w:hAnsi="Times New Roman"/>
          <w:color w:val="auto"/>
          <w:highlight w:val="none"/>
          <w:lang w:eastAsia="zh-CN"/>
        </w:rPr>
      </w:pPr>
      <w:r>
        <w:rPr>
          <w:rFonts w:hint="eastAsia"/>
          <w:color w:val="auto"/>
          <w:highlight w:val="none"/>
          <w:lang w:val="en-US" w:eastAsia="zh-CN"/>
        </w:rPr>
        <w:t>b</w:t>
      </w:r>
      <w:r>
        <w:rPr>
          <w:rFonts w:hint="eastAsia" w:ascii="Times New Roman" w:hAnsi="Times New Roman"/>
          <w:color w:val="auto"/>
          <w:highlight w:val="none"/>
          <w:lang w:eastAsia="zh-CN"/>
        </w:rPr>
        <w:t>、养殖舍内粪尿产生即依靠重力经漏缝地板离开猪舍进入猪舍下部粪污储存池，粪污在储存池内可做到充分的厌氧杀菌、适度降低有机物浓度，避免在施用农田过程中出现二次发酵的现象。粪污储存池实现定期及时清理，由人工打开排污塞，粪污水排入污水处理系统处理。</w:t>
      </w:r>
    </w:p>
    <w:p>
      <w:pPr>
        <w:keepNext w:val="0"/>
        <w:keepLines w:val="0"/>
        <w:pageBreakBefore w:val="0"/>
        <w:widowControl/>
        <w:kinsoku/>
        <w:wordWrap/>
        <w:overflowPunct/>
        <w:topLinePunct w:val="0"/>
        <w:autoSpaceDE/>
        <w:autoSpaceDN/>
        <w:bidi w:val="0"/>
        <w:adjustRightInd/>
        <w:snapToGrid/>
        <w:ind w:firstLine="422"/>
        <w:jc w:val="both"/>
        <w:textAlignment w:val="auto"/>
        <w:rPr>
          <w:rFonts w:hint="eastAsia" w:ascii="Times New Roman" w:hAnsi="Times New Roman"/>
          <w:color w:val="auto"/>
          <w:highlight w:val="none"/>
          <w:lang w:eastAsia="zh-CN"/>
        </w:rPr>
      </w:pPr>
      <w:r>
        <w:rPr>
          <w:rFonts w:hint="eastAsia"/>
          <w:color w:val="auto"/>
          <w:highlight w:val="none"/>
          <w:lang w:val="en-US" w:eastAsia="zh-CN"/>
        </w:rPr>
        <w:t>c</w:t>
      </w:r>
      <w:r>
        <w:rPr>
          <w:rFonts w:hint="eastAsia" w:ascii="Times New Roman" w:hAnsi="Times New Roman"/>
          <w:color w:val="auto"/>
          <w:highlight w:val="none"/>
          <w:lang w:eastAsia="zh-CN"/>
        </w:rPr>
        <w:t>、粪污水离开粪污储存池后即进行干湿分离和无害化处理，经干湿分离后固体粪便、沼渣后送固粪处理区制有机肥基肥，废水经厌氧发酵后沼液、沼渣综合利用，可以实现粪污离开粪池即进行干湿分离和无害化并全部实现综合利用，不混合排出。</w:t>
      </w:r>
    </w:p>
    <w:p>
      <w:pPr>
        <w:keepNext w:val="0"/>
        <w:keepLines w:val="0"/>
        <w:pageBreakBefore w:val="0"/>
        <w:widowControl/>
        <w:kinsoku/>
        <w:wordWrap/>
        <w:overflowPunct/>
        <w:topLinePunct w:val="0"/>
        <w:autoSpaceDE/>
        <w:autoSpaceDN/>
        <w:bidi w:val="0"/>
        <w:adjustRightInd/>
        <w:snapToGrid/>
        <w:ind w:firstLine="422"/>
        <w:jc w:val="both"/>
        <w:textAlignment w:val="auto"/>
        <w:rPr>
          <w:rFonts w:hint="eastAsia" w:ascii="Times New Roman" w:hAnsi="Times New Roman"/>
          <w:color w:val="auto"/>
          <w:highlight w:val="none"/>
          <w:lang w:eastAsia="zh-CN"/>
        </w:rPr>
      </w:pPr>
      <w:r>
        <w:rPr>
          <w:rFonts w:hint="eastAsia" w:ascii="Times New Roman" w:hAnsi="Times New Roman"/>
          <w:color w:val="auto"/>
          <w:highlight w:val="none"/>
          <w:lang w:eastAsia="zh-CN"/>
        </w:rPr>
        <w:t>综上，根据国家环保部、农业部多次组织专家对牧原公司所采用模式的考察、论证，最终认定该模式属于干清粪工艺的一种（环办函[2015]425号）。</w:t>
      </w:r>
    </w:p>
    <w:p>
      <w:pPr>
        <w:pStyle w:val="2"/>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5、项目节水方式</w:t>
      </w:r>
    </w:p>
    <w:p>
      <w:pPr>
        <w:pStyle w:val="2"/>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①漏缝地板可维持猪舍环境清洁，日常免冲；</w:t>
      </w:r>
    </w:p>
    <w:p>
      <w:pPr>
        <w:pStyle w:val="2"/>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按照设计工艺，每个单元仅转换栏时进行一次冲洗消毒，圈舍冲洗用水量远远小于通仓式养殖用水量。</w:t>
      </w:r>
    </w:p>
    <w:p>
      <w:pPr>
        <w:pStyle w:val="2"/>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②利用限位式饮水器，严格控制养猪的耗水量；</w:t>
      </w:r>
    </w:p>
    <w:p>
      <w:pPr>
        <w:pStyle w:val="2"/>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限位式饮水器利用压差自动启闭供水，生猪需饮水时，饮水器卸压，内部压力大于外部压力，水自动地从管内流出直至液面高度在2cm时饮水器自动停止供水。限位式饮水器能保证生猪随时饮用新鲜水，无抛洒。经实践，对比传统的挤压式饮水器可减少60%左右的饮用水供用量；</w:t>
      </w:r>
    </w:p>
    <w:p>
      <w:pPr>
        <w:pStyle w:val="2"/>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③电脑控制单元降温用水，减少水量浪费；</w:t>
      </w:r>
    </w:p>
    <w:p>
      <w:pPr>
        <w:pStyle w:val="2"/>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④各单元安装水表，实行绩效管理，定量控制用水量；</w:t>
      </w:r>
    </w:p>
    <w:p>
      <w:pPr>
        <w:pStyle w:val="2"/>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各个猪舍单元都安装有水表，选用优质阀门，减少跑、冒、滴、漏，计量到每个饲养员，严格定量控制用水量，达到节约用水的目的；</w:t>
      </w:r>
    </w:p>
    <w:p>
      <w:pPr>
        <w:pStyle w:val="2"/>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⑤高压水枪冲洗猪舍，减少转出栏单元冲洗水量；</w:t>
      </w:r>
    </w:p>
    <w:p>
      <w:pPr>
        <w:pStyle w:val="2"/>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⑥应用自主研发的自动化饲喂系统可有效降低饲料搅拌过程用水量和饲料输送过程水分损耗，其节水效果远远高于全国同行业平均水平。</w:t>
      </w:r>
    </w:p>
    <w:p>
      <w:pPr>
        <w:pStyle w:val="2"/>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6、猪舍、粪污池除臭工艺</w:t>
      </w:r>
    </w:p>
    <w:p>
      <w:pPr>
        <w:pStyle w:val="2"/>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①项目采用环保部认定的干清粪工艺，项目采用墙体集热板、猪舍内通风管、红外灯和风机相结合进行猪舍内温度控制，降低舍内有害气体浓度。</w:t>
      </w:r>
    </w:p>
    <w:p>
      <w:pPr>
        <w:pStyle w:val="2"/>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②在猪舍设置通风口，定期进行通风换气，加快排除有害气体。</w:t>
      </w:r>
    </w:p>
    <w:p>
      <w:pPr>
        <w:pStyle w:val="2"/>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③养殖场场区等消毒应采用环境友好的消毒剂和消毒措施，防止产生氯代有机物及其他二次污染物。</w:t>
      </w:r>
    </w:p>
    <w:p>
      <w:pPr>
        <w:pStyle w:val="2"/>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④加强场区及场界的绿化，场区绿化以完全消灭裸露地面为原则，选择适宜吸臭植物种类，广种花草树木，场界边缘地带种植双季槐等高大树种形成多层防护林带，以降低恶臭污染的影响程度。</w:t>
      </w:r>
    </w:p>
    <w:p>
      <w:pPr>
        <w:pStyle w:val="2"/>
        <w:keepNext w:val="0"/>
        <w:keepLines w:val="0"/>
        <w:pageBreakBefore w:val="0"/>
        <w:widowControl/>
        <w:kinsoku/>
        <w:wordWrap/>
        <w:overflowPunct/>
        <w:topLinePunct w:val="0"/>
        <w:autoSpaceDE/>
        <w:autoSpaceDN/>
        <w:bidi w:val="0"/>
        <w:adjustRightInd/>
        <w:snapToGrid/>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⑤对猪舍、</w:t>
      </w:r>
      <w:r>
        <w:rPr>
          <w:rFonts w:hint="eastAsia"/>
          <w:color w:val="auto"/>
          <w:highlight w:val="none"/>
          <w:lang w:val="en-US" w:eastAsia="zh-CN"/>
        </w:rPr>
        <w:t>黑膜沼气</w:t>
      </w:r>
      <w:r>
        <w:rPr>
          <w:rFonts w:hint="eastAsia" w:ascii="Times New Roman" w:hAnsi="Times New Roman"/>
          <w:color w:val="auto"/>
          <w:highlight w:val="none"/>
          <w:lang w:val="en-US" w:eastAsia="zh-CN"/>
        </w:rPr>
        <w:t>池周边、固粪处理区喷洒除臭剂。</w:t>
      </w:r>
    </w:p>
    <w:p>
      <w:pPr>
        <w:pStyle w:val="6"/>
        <w:ind w:firstLine="482"/>
        <w:rPr>
          <w:rFonts w:hint="eastAsia"/>
          <w:color w:val="auto"/>
          <w:highlight w:val="none"/>
          <w:lang w:val="en-US" w:eastAsia="zh-CN"/>
        </w:rPr>
      </w:pPr>
      <w:r>
        <w:rPr>
          <w:rFonts w:hint="eastAsia"/>
          <w:color w:val="auto"/>
          <w:highlight w:val="none"/>
          <w:lang w:val="en-US" w:eastAsia="zh-CN"/>
        </w:rPr>
        <w:t>2.8.2.2污染治理工程</w:t>
      </w:r>
    </w:p>
    <w:p>
      <w:pPr>
        <w:numPr>
          <w:ilvl w:val="0"/>
          <w:numId w:val="9"/>
        </w:numPr>
        <w:rPr>
          <w:rFonts w:hint="eastAsia" w:cs="Times New Roman"/>
          <w:color w:val="auto"/>
          <w:highlight w:val="none"/>
          <w:lang w:val="en-US" w:eastAsia="zh-CN"/>
        </w:rPr>
      </w:pPr>
      <w:r>
        <w:rPr>
          <w:rFonts w:hint="eastAsia" w:cs="Times New Roman"/>
          <w:color w:val="auto"/>
          <w:highlight w:val="none"/>
          <w:lang w:val="en-US" w:eastAsia="zh-CN"/>
        </w:rPr>
        <w:t>粪污水处理工艺</w:t>
      </w:r>
    </w:p>
    <w:p>
      <w:pPr>
        <w:pStyle w:val="2"/>
        <w:numPr>
          <w:ilvl w:val="0"/>
          <w:numId w:val="0"/>
        </w:numPr>
        <w:jc w:val="center"/>
        <w:rPr>
          <w:rFonts w:hint="eastAsia"/>
          <w:color w:val="auto"/>
          <w:highlight w:val="none"/>
          <w:lang w:val="en-US" w:eastAsia="zh-CN"/>
        </w:rPr>
      </w:pPr>
      <w:r>
        <w:rPr>
          <w:color w:val="auto"/>
          <w:highlight w:val="none"/>
        </w:rPr>
        <w:drawing>
          <wp:inline distT="0" distB="0" distL="114300" distR="114300">
            <wp:extent cx="5407025" cy="2992755"/>
            <wp:effectExtent l="0" t="0" r="3175" b="17145"/>
            <wp:docPr id="1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
                    <pic:cNvPicPr>
                      <a:picLocks noChangeAspect="1"/>
                    </pic:cNvPicPr>
                  </pic:nvPicPr>
                  <pic:blipFill>
                    <a:blip r:embed="rId24"/>
                    <a:stretch>
                      <a:fillRect/>
                    </a:stretch>
                  </pic:blipFill>
                  <pic:spPr>
                    <a:xfrm>
                      <a:off x="0" y="0"/>
                      <a:ext cx="5407025" cy="2992755"/>
                    </a:xfrm>
                    <a:prstGeom prst="rect">
                      <a:avLst/>
                    </a:prstGeom>
                    <a:noFill/>
                    <a:ln>
                      <a:noFill/>
                    </a:ln>
                  </pic:spPr>
                </pic:pic>
              </a:graphicData>
            </a:graphic>
          </wp:inline>
        </w:drawing>
      </w:r>
    </w:p>
    <w:p>
      <w:pPr>
        <w:pStyle w:val="2"/>
        <w:numPr>
          <w:ilvl w:val="0"/>
          <w:numId w:val="0"/>
        </w:numPr>
        <w:jc w:val="center"/>
        <w:rPr>
          <w:rFonts w:hint="default"/>
          <w:color w:val="auto"/>
          <w:sz w:val="21"/>
          <w:szCs w:val="21"/>
          <w:highlight w:val="none"/>
          <w:lang w:val="en-US" w:eastAsia="zh-CN"/>
        </w:rPr>
      </w:pPr>
      <w:r>
        <w:rPr>
          <w:rStyle w:val="43"/>
          <w:rFonts w:hint="eastAsia" w:ascii="Times New Roman" w:hAnsi="Times New Roman"/>
          <w:color w:val="auto"/>
          <w:szCs w:val="22"/>
          <w:highlight w:val="none"/>
          <w:lang w:eastAsia="zh-CN"/>
        </w:rPr>
        <w:t>图</w:t>
      </w:r>
      <w:r>
        <w:rPr>
          <w:rStyle w:val="43"/>
          <w:rFonts w:hint="eastAsia"/>
          <w:color w:val="auto"/>
          <w:szCs w:val="22"/>
          <w:highlight w:val="none"/>
          <w:lang w:val="en-US" w:eastAsia="zh-CN"/>
        </w:rPr>
        <w:t>2</w:t>
      </w:r>
      <w:r>
        <w:rPr>
          <w:rStyle w:val="43"/>
          <w:rFonts w:hint="eastAsia" w:ascii="Times New Roman" w:hAnsi="Times New Roman"/>
          <w:color w:val="auto"/>
          <w:szCs w:val="22"/>
          <w:highlight w:val="none"/>
          <w:lang w:val="en-US" w:eastAsia="zh-CN"/>
        </w:rPr>
        <w:t>.</w:t>
      </w:r>
      <w:r>
        <w:rPr>
          <w:rStyle w:val="43"/>
          <w:rFonts w:hint="eastAsia"/>
          <w:color w:val="auto"/>
          <w:szCs w:val="22"/>
          <w:highlight w:val="none"/>
          <w:lang w:val="en-US" w:eastAsia="zh-CN"/>
        </w:rPr>
        <w:t>8</w:t>
      </w:r>
      <w:r>
        <w:rPr>
          <w:rStyle w:val="43"/>
          <w:rFonts w:hint="eastAsia" w:ascii="Times New Roman" w:hAnsi="Times New Roman"/>
          <w:color w:val="auto"/>
          <w:szCs w:val="22"/>
          <w:highlight w:val="none"/>
          <w:lang w:eastAsia="zh-CN"/>
        </w:rPr>
        <w:t>-</w:t>
      </w:r>
      <w:r>
        <w:rPr>
          <w:rStyle w:val="43"/>
          <w:rFonts w:hint="eastAsia"/>
          <w:color w:val="auto"/>
          <w:szCs w:val="22"/>
          <w:highlight w:val="none"/>
          <w:lang w:val="en-US" w:eastAsia="zh-CN"/>
        </w:rPr>
        <w:t>3</w:t>
      </w:r>
      <w:r>
        <w:rPr>
          <w:rStyle w:val="43"/>
          <w:rFonts w:hint="eastAsia" w:ascii="Times New Roman" w:hAnsi="Times New Roman"/>
          <w:color w:val="auto"/>
          <w:szCs w:val="22"/>
          <w:highlight w:val="none"/>
          <w:lang w:eastAsia="zh-CN"/>
        </w:rPr>
        <w:t xml:space="preserve"> 本项目污水处理工艺流程图</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eastAsia="宋体"/>
          <w:color w:val="auto"/>
          <w:highlight w:val="none"/>
          <w:lang w:val="en-US" w:eastAsia="zh-CN"/>
        </w:rPr>
      </w:pPr>
      <w:r>
        <w:rPr>
          <w:rFonts w:hint="eastAsia"/>
          <w:color w:val="auto"/>
          <w:highlight w:val="none"/>
        </w:rPr>
        <w:t>工艺流程简述：</w:t>
      </w:r>
      <w:r>
        <w:rPr>
          <w:rFonts w:hint="eastAsia"/>
          <w:color w:val="auto"/>
          <w:highlight w:val="none"/>
          <w:lang w:val="en-US" w:eastAsia="zh-CN"/>
        </w:rPr>
        <w:t xml:space="preserve">  </w:t>
      </w:r>
    </w:p>
    <w:p>
      <w:pPr>
        <w:keepNext w:val="0"/>
        <w:keepLines w:val="0"/>
        <w:pageBreakBefore w:val="0"/>
        <w:widowControl/>
        <w:tabs>
          <w:tab w:val="left" w:pos="624"/>
        </w:tabs>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在选用粪污处理工艺时，根据养殖场的养殖种类、养殖规模、粪污收集方式、当地的自然地理环境条件、排放去向等因素确定工艺路线及处理目标，本工程设计结合《畜禽养殖业污染治理工程技术规范》（HJ497-2009）中要求对污水进行处理。</w:t>
      </w:r>
    </w:p>
    <w:p>
      <w:pPr>
        <w:keepNext w:val="0"/>
        <w:keepLines w:val="0"/>
        <w:pageBreakBefore w:val="0"/>
        <w:tabs>
          <w:tab w:val="left" w:pos="624"/>
        </w:tabs>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本项目粪污处理系统的核心技术是</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黑膜</w:t>
      </w:r>
      <w:r>
        <w:rPr>
          <w:rFonts w:hint="eastAsia" w:ascii="宋体" w:hAnsi="宋体" w:eastAsia="宋体" w:cs="宋体"/>
          <w:color w:val="auto"/>
          <w:sz w:val="24"/>
          <w:highlight w:val="none"/>
        </w:rPr>
        <w:t>沼气池”，</w:t>
      </w:r>
      <w:r>
        <w:rPr>
          <w:rFonts w:ascii="Times New Roman" w:hAnsi="Times New Roman"/>
          <w:color w:val="auto"/>
          <w:sz w:val="24"/>
          <w:highlight w:val="none"/>
        </w:rPr>
        <w:t>粪便污水经固液分离后污水进入</w:t>
      </w:r>
      <w:r>
        <w:rPr>
          <w:rFonts w:hint="eastAsia" w:ascii="Times New Roman" w:hAnsi="Times New Roman"/>
          <w:color w:val="auto"/>
          <w:sz w:val="24"/>
          <w:highlight w:val="none"/>
          <w:lang w:eastAsia="zh-CN"/>
        </w:rPr>
        <w:t>黑膜</w:t>
      </w:r>
      <w:r>
        <w:rPr>
          <w:rFonts w:ascii="Times New Roman" w:hAnsi="Times New Roman"/>
          <w:color w:val="auto"/>
          <w:sz w:val="24"/>
          <w:highlight w:val="none"/>
        </w:rPr>
        <w:t>沼气池，在沼气池内进行厌氧发酵，经厌氧发酵去除了大部分有机物，设计发酵周期为30天，发酵结束后，</w:t>
      </w:r>
      <w:r>
        <w:rPr>
          <w:rFonts w:hint="eastAsia" w:ascii="Times New Roman" w:hAnsi="Times New Roman"/>
          <w:color w:val="auto"/>
          <w:sz w:val="24"/>
          <w:highlight w:val="none"/>
        </w:rPr>
        <w:t>沼渣经固液分离出的固形物进入固粪处理区制有机肥基肥。厌氧发酵产生的沼气经净化后用于食堂，多余部分用于</w:t>
      </w:r>
      <w:r>
        <w:rPr>
          <w:rFonts w:hint="eastAsia"/>
          <w:color w:val="auto"/>
          <w:sz w:val="24"/>
          <w:highlight w:val="none"/>
          <w:lang w:eastAsia="zh-CN"/>
        </w:rPr>
        <w:t>无害化处理车间</w:t>
      </w:r>
      <w:r>
        <w:rPr>
          <w:rFonts w:hint="eastAsia" w:ascii="Times New Roman" w:hAnsi="Times New Roman"/>
          <w:color w:val="auto"/>
          <w:sz w:val="24"/>
          <w:highlight w:val="none"/>
        </w:rPr>
        <w:t>。</w:t>
      </w:r>
    </w:p>
    <w:p>
      <w:pPr>
        <w:pStyle w:val="134"/>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color w:val="auto"/>
          <w:highlight w:val="none"/>
          <w:lang w:eastAsia="zh-CN"/>
        </w:rPr>
      </w:pPr>
      <w:r>
        <w:rPr>
          <w:rFonts w:hint="eastAsia"/>
          <w:color w:val="auto"/>
          <w:highlight w:val="none"/>
          <w:lang w:eastAsia="zh-CN"/>
        </w:rPr>
        <w:t>黑膜沼气池：</w:t>
      </w:r>
      <w:r>
        <w:rPr>
          <w:rFonts w:hint="eastAsia"/>
          <w:color w:val="auto"/>
          <w:highlight w:val="none"/>
          <w:lang w:val="en-US" w:eastAsia="zh-CN"/>
        </w:rPr>
        <w:t>1座</w:t>
      </w:r>
      <w:r>
        <w:rPr>
          <w:rFonts w:hint="eastAsia"/>
          <w:color w:val="auto"/>
          <w:highlight w:val="none"/>
          <w:lang w:eastAsia="zh-CN"/>
        </w:rPr>
        <w:t>，总容积</w:t>
      </w:r>
      <w:r>
        <w:rPr>
          <w:rFonts w:hint="eastAsia"/>
          <w:color w:val="auto"/>
          <w:highlight w:val="none"/>
          <w:lang w:val="en-US" w:eastAsia="zh-CN"/>
        </w:rPr>
        <w:t>10680</w:t>
      </w:r>
      <w:r>
        <w:rPr>
          <w:rFonts w:hint="eastAsia"/>
          <w:color w:val="auto"/>
          <w:highlight w:val="none"/>
          <w:lang w:eastAsia="zh-CN"/>
        </w:rPr>
        <w:t>m</w:t>
      </w:r>
      <w:r>
        <w:rPr>
          <w:rFonts w:hint="eastAsia"/>
          <w:color w:val="auto"/>
          <w:highlight w:val="none"/>
          <w:vertAlign w:val="superscript"/>
          <w:lang w:eastAsia="zh-CN"/>
        </w:rPr>
        <w:t>3</w:t>
      </w:r>
      <w:r>
        <w:rPr>
          <w:rFonts w:hint="eastAsia"/>
          <w:color w:val="auto"/>
          <w:highlight w:val="none"/>
          <w:lang w:eastAsia="zh-CN"/>
        </w:rPr>
        <w:t>，主要处理经固液分离后的粪污水，兼做沼液储存池。</w:t>
      </w:r>
    </w:p>
    <w:p>
      <w:pPr>
        <w:pStyle w:val="134"/>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color w:val="auto"/>
          <w:highlight w:val="none"/>
          <w:lang w:val="en-US" w:eastAsia="zh-CN"/>
        </w:rPr>
      </w:pPr>
      <w:r>
        <w:rPr>
          <w:rFonts w:hint="eastAsia"/>
          <w:color w:val="auto"/>
          <w:highlight w:val="none"/>
          <w:lang w:val="en-US" w:eastAsia="zh-CN"/>
        </w:rPr>
        <w:t>沼液储存池：沼液储存池1个，总容积60480m</w:t>
      </w:r>
      <w:r>
        <w:rPr>
          <w:rFonts w:hint="eastAsia"/>
          <w:color w:val="auto"/>
          <w:highlight w:val="none"/>
          <w:vertAlign w:val="superscript"/>
          <w:lang w:val="en-US" w:eastAsia="zh-CN"/>
        </w:rPr>
        <w:t>3</w:t>
      </w:r>
      <w:r>
        <w:rPr>
          <w:rFonts w:hint="eastAsia"/>
          <w:color w:val="auto"/>
          <w:highlight w:val="none"/>
          <w:lang w:val="en-US" w:eastAsia="zh-CN"/>
        </w:rPr>
        <w:t>，主要用于在非施肥季节期间储存沼液。</w:t>
      </w:r>
    </w:p>
    <w:p>
      <w:pPr>
        <w:keepNext w:val="0"/>
        <w:keepLines w:val="0"/>
        <w:pageBreakBefore w:val="0"/>
        <w:numPr>
          <w:ilvl w:val="0"/>
          <w:numId w:val="9"/>
        </w:numPr>
        <w:kinsoku/>
        <w:wordWrap/>
        <w:overflowPunct/>
        <w:topLinePunct w:val="0"/>
        <w:bidi w:val="0"/>
        <w:adjustRightInd/>
        <w:snapToGrid/>
        <w:spacing w:line="360" w:lineRule="auto"/>
        <w:textAlignment w:val="auto"/>
        <w:rPr>
          <w:rFonts w:hint="eastAsia" w:cs="Times New Roman"/>
          <w:color w:val="auto"/>
          <w:highlight w:val="none"/>
          <w:lang w:val="en-US" w:eastAsia="zh-CN"/>
        </w:rPr>
      </w:pPr>
      <w:r>
        <w:rPr>
          <w:rFonts w:hint="eastAsia" w:cs="Times New Roman"/>
          <w:color w:val="auto"/>
          <w:highlight w:val="none"/>
          <w:lang w:val="en-US" w:eastAsia="zh-CN"/>
        </w:rPr>
        <w:t>沼气利用工艺</w:t>
      </w:r>
    </w:p>
    <w:p>
      <w:pPr>
        <w:keepNext w:val="0"/>
        <w:keepLines w:val="0"/>
        <w:pageBreakBefore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olor w:val="auto"/>
          <w:sz w:val="24"/>
          <w:highlight w:val="none"/>
          <w:lang w:val="en-US" w:eastAsia="zh-CN"/>
        </w:rPr>
      </w:pPr>
      <w:r>
        <w:rPr>
          <w:rFonts w:ascii="Times New Roman" w:hAnsi="Times New Roman"/>
          <w:color w:val="auto"/>
          <w:sz w:val="24"/>
          <w:highlight w:val="none"/>
        </w:rPr>
        <w:t>根据《畜禽养殖业污染防治技术政策》（环发[2010]151号）中有关内容，厌氧发酵产生的沼气应进行收集，并根据利用途径进行脱水、脱硫等净化处理。沼气宜作为燃料直接利用。根据牧原食品股份有限公司实际运营经验，每去除1kgCOD可产生0.25m</w:t>
      </w:r>
      <w:r>
        <w:rPr>
          <w:rFonts w:ascii="Times New Roman" w:hAnsi="Times New Roman"/>
          <w:color w:val="auto"/>
          <w:sz w:val="24"/>
          <w:highlight w:val="none"/>
          <w:vertAlign w:val="superscript"/>
        </w:rPr>
        <w:t>3</w:t>
      </w:r>
      <w:r>
        <w:rPr>
          <w:rFonts w:ascii="Times New Roman" w:hAnsi="Times New Roman"/>
          <w:color w:val="auto"/>
          <w:sz w:val="24"/>
          <w:highlight w:val="none"/>
        </w:rPr>
        <w:t>沼气进行计算</w:t>
      </w:r>
      <w:r>
        <w:rPr>
          <w:rFonts w:hint="eastAsia"/>
          <w:color w:val="auto"/>
          <w:sz w:val="24"/>
          <w:highlight w:val="none"/>
          <w:lang w:eastAsia="zh-CN"/>
        </w:rPr>
        <w:t>，COD去除率为</w:t>
      </w:r>
      <w:r>
        <w:rPr>
          <w:rFonts w:hint="eastAsia"/>
          <w:color w:val="auto"/>
          <w:sz w:val="24"/>
          <w:highlight w:val="none"/>
          <w:lang w:val="en-US" w:eastAsia="zh-CN"/>
        </w:rPr>
        <w:t>85</w:t>
      </w:r>
      <w:r>
        <w:rPr>
          <w:rFonts w:hint="eastAsia"/>
          <w:color w:val="auto"/>
          <w:sz w:val="24"/>
          <w:highlight w:val="none"/>
          <w:lang w:eastAsia="zh-CN"/>
        </w:rPr>
        <w:t>%，本项目废水处理量为101283.348m</w:t>
      </w:r>
      <w:r>
        <w:rPr>
          <w:rFonts w:hint="eastAsia"/>
          <w:color w:val="auto"/>
          <w:sz w:val="24"/>
          <w:highlight w:val="none"/>
          <w:vertAlign w:val="superscript"/>
          <w:lang w:eastAsia="zh-CN"/>
        </w:rPr>
        <w:t>3</w:t>
      </w:r>
      <w:r>
        <w:rPr>
          <w:rFonts w:hint="eastAsia"/>
          <w:color w:val="auto"/>
          <w:sz w:val="24"/>
          <w:highlight w:val="none"/>
          <w:lang w:eastAsia="zh-CN"/>
        </w:rPr>
        <w:t>/a，COD去除量为</w:t>
      </w:r>
      <w:r>
        <w:rPr>
          <w:rFonts w:hint="eastAsia"/>
          <w:color w:val="auto"/>
          <w:sz w:val="24"/>
          <w:highlight w:val="none"/>
          <w:lang w:val="en-US" w:eastAsia="zh-CN"/>
        </w:rPr>
        <w:t>1619.08</w:t>
      </w:r>
      <w:r>
        <w:rPr>
          <w:rFonts w:hint="eastAsia"/>
          <w:color w:val="auto"/>
          <w:sz w:val="24"/>
          <w:highlight w:val="none"/>
          <w:lang w:eastAsia="zh-CN"/>
        </w:rPr>
        <w:t>t/a，</w:t>
      </w:r>
      <w:r>
        <w:rPr>
          <w:rFonts w:ascii="Times New Roman" w:hAnsi="Times New Roman"/>
          <w:color w:val="auto"/>
          <w:sz w:val="24"/>
          <w:highlight w:val="none"/>
        </w:rPr>
        <w:t>因此本项目全年沼气产生量</w:t>
      </w:r>
      <w:r>
        <w:rPr>
          <w:rFonts w:hint="eastAsia"/>
          <w:color w:val="auto"/>
          <w:sz w:val="24"/>
          <w:highlight w:val="none"/>
          <w:lang w:val="en-US" w:eastAsia="zh-CN"/>
        </w:rPr>
        <w:t>404770</w:t>
      </w:r>
      <w:r>
        <w:rPr>
          <w:rFonts w:ascii="Times New Roman" w:hAnsi="Times New Roman"/>
          <w:color w:val="auto"/>
          <w:sz w:val="24"/>
          <w:highlight w:val="none"/>
        </w:rPr>
        <w:t>m</w:t>
      </w:r>
      <w:r>
        <w:rPr>
          <w:rFonts w:ascii="Times New Roman" w:hAnsi="Times New Roman"/>
          <w:color w:val="auto"/>
          <w:sz w:val="24"/>
          <w:highlight w:val="none"/>
          <w:vertAlign w:val="superscript"/>
        </w:rPr>
        <w:t>3</w:t>
      </w:r>
      <w:r>
        <w:rPr>
          <w:rFonts w:ascii="Times New Roman" w:hAnsi="Times New Roman"/>
          <w:color w:val="auto"/>
          <w:sz w:val="24"/>
          <w:highlight w:val="none"/>
        </w:rPr>
        <w:t>/a。</w:t>
      </w:r>
    </w:p>
    <w:p>
      <w:pPr>
        <w:keepNext w:val="0"/>
        <w:keepLines w:val="0"/>
        <w:pageBreakBefore w:val="0"/>
        <w:kinsoku/>
        <w:wordWrap/>
        <w:overflowPunct/>
        <w:topLinePunct w:val="0"/>
        <w:bidi w:val="0"/>
        <w:adjustRightInd/>
        <w:snapToGrid/>
        <w:spacing w:line="360" w:lineRule="auto"/>
        <w:ind w:firstLine="480" w:firstLineChars="200"/>
        <w:textAlignment w:val="auto"/>
        <w:rPr>
          <w:rFonts w:ascii="Times New Roman" w:hAnsi="Times New Roman"/>
          <w:bCs/>
          <w:color w:val="auto"/>
          <w:sz w:val="24"/>
          <w:szCs w:val="24"/>
          <w:highlight w:val="none"/>
        </w:rPr>
      </w:pPr>
      <w:r>
        <w:rPr>
          <w:rFonts w:ascii="Times New Roman" w:hAnsi="Times New Roman"/>
          <w:bCs/>
          <w:color w:val="auto"/>
          <w:sz w:val="24"/>
          <w:szCs w:val="24"/>
          <w:highlight w:val="none"/>
        </w:rPr>
        <w:t>沼气收集、净化工艺如图</w:t>
      </w:r>
      <w:r>
        <w:rPr>
          <w:rFonts w:hint="eastAsia"/>
          <w:bCs/>
          <w:color w:val="auto"/>
          <w:sz w:val="24"/>
          <w:szCs w:val="24"/>
          <w:highlight w:val="none"/>
          <w:lang w:val="en-US" w:eastAsia="zh-CN"/>
        </w:rPr>
        <w:t>2.8</w:t>
      </w:r>
      <w:r>
        <w:rPr>
          <w:rFonts w:ascii="Times New Roman" w:hAnsi="Times New Roman"/>
          <w:bCs/>
          <w:color w:val="auto"/>
          <w:sz w:val="24"/>
          <w:szCs w:val="24"/>
          <w:highlight w:val="none"/>
        </w:rPr>
        <w:t>-</w:t>
      </w:r>
      <w:r>
        <w:rPr>
          <w:rFonts w:hint="eastAsia"/>
          <w:bCs/>
          <w:color w:val="auto"/>
          <w:sz w:val="24"/>
          <w:szCs w:val="24"/>
          <w:highlight w:val="none"/>
          <w:lang w:val="en-US" w:eastAsia="zh-CN"/>
        </w:rPr>
        <w:t>4</w:t>
      </w:r>
      <w:r>
        <w:rPr>
          <w:rFonts w:ascii="Times New Roman" w:hAnsi="Times New Roman"/>
          <w:bCs/>
          <w:color w:val="auto"/>
          <w:sz w:val="24"/>
          <w:szCs w:val="24"/>
          <w:highlight w:val="none"/>
        </w:rPr>
        <w:t>。</w:t>
      </w:r>
    </w:p>
    <w:p>
      <w:pPr>
        <w:pStyle w:val="2"/>
        <w:keepNext w:val="0"/>
        <w:keepLines w:val="0"/>
        <w:pageBreakBefore w:val="0"/>
        <w:kinsoku/>
        <w:wordWrap/>
        <w:overflowPunct/>
        <w:topLinePunct w:val="0"/>
        <w:bidi w:val="0"/>
        <w:spacing w:line="360" w:lineRule="auto"/>
        <w:jc w:val="center"/>
        <w:textAlignment w:val="auto"/>
        <w:rPr>
          <w:rFonts w:hint="eastAsia"/>
          <w:color w:val="auto"/>
          <w:highlight w:val="none"/>
          <w:lang w:val="en-US" w:eastAsia="zh-CN"/>
        </w:rPr>
      </w:pPr>
      <w:r>
        <w:rPr>
          <w:color w:val="auto"/>
          <w:highlight w:val="none"/>
        </w:rPr>
        <w:drawing>
          <wp:inline distT="0" distB="0" distL="114300" distR="114300">
            <wp:extent cx="5401945" cy="1318895"/>
            <wp:effectExtent l="0" t="0" r="8255" b="146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5"/>
                    <a:stretch>
                      <a:fillRect/>
                    </a:stretch>
                  </pic:blipFill>
                  <pic:spPr>
                    <a:xfrm>
                      <a:off x="0" y="0"/>
                      <a:ext cx="5401945" cy="1318895"/>
                    </a:xfrm>
                    <a:prstGeom prst="rect">
                      <a:avLst/>
                    </a:prstGeom>
                    <a:noFill/>
                    <a:ln>
                      <a:noFill/>
                    </a:ln>
                  </pic:spPr>
                </pic:pic>
              </a:graphicData>
            </a:graphic>
          </wp:inline>
        </w:drawing>
      </w:r>
    </w:p>
    <w:p>
      <w:pPr>
        <w:pStyle w:val="2"/>
        <w:numPr>
          <w:ilvl w:val="0"/>
          <w:numId w:val="0"/>
        </w:numPr>
        <w:jc w:val="center"/>
        <w:rPr>
          <w:rFonts w:hint="default"/>
          <w:color w:val="auto"/>
          <w:sz w:val="21"/>
          <w:szCs w:val="21"/>
          <w:highlight w:val="none"/>
          <w:lang w:val="en-US" w:eastAsia="zh-CN"/>
        </w:rPr>
      </w:pPr>
      <w:r>
        <w:rPr>
          <w:rStyle w:val="43"/>
          <w:rFonts w:hint="eastAsia" w:ascii="Times New Roman" w:hAnsi="Times New Roman"/>
          <w:color w:val="auto"/>
          <w:szCs w:val="22"/>
          <w:highlight w:val="none"/>
          <w:lang w:eastAsia="zh-CN"/>
        </w:rPr>
        <w:t>图</w:t>
      </w:r>
      <w:r>
        <w:rPr>
          <w:rStyle w:val="43"/>
          <w:rFonts w:hint="eastAsia"/>
          <w:color w:val="auto"/>
          <w:szCs w:val="22"/>
          <w:highlight w:val="none"/>
          <w:lang w:val="en-US" w:eastAsia="zh-CN"/>
        </w:rPr>
        <w:t>2</w:t>
      </w:r>
      <w:r>
        <w:rPr>
          <w:rStyle w:val="43"/>
          <w:rFonts w:hint="eastAsia" w:ascii="Times New Roman" w:hAnsi="Times New Roman"/>
          <w:color w:val="auto"/>
          <w:szCs w:val="22"/>
          <w:highlight w:val="none"/>
          <w:lang w:val="en-US" w:eastAsia="zh-CN"/>
        </w:rPr>
        <w:t>.</w:t>
      </w:r>
      <w:r>
        <w:rPr>
          <w:rStyle w:val="43"/>
          <w:rFonts w:hint="eastAsia"/>
          <w:color w:val="auto"/>
          <w:szCs w:val="22"/>
          <w:highlight w:val="none"/>
          <w:lang w:val="en-US" w:eastAsia="zh-CN"/>
        </w:rPr>
        <w:t>8</w:t>
      </w:r>
      <w:r>
        <w:rPr>
          <w:rStyle w:val="43"/>
          <w:rFonts w:hint="eastAsia" w:ascii="Times New Roman" w:hAnsi="Times New Roman"/>
          <w:color w:val="auto"/>
          <w:szCs w:val="22"/>
          <w:highlight w:val="none"/>
          <w:lang w:eastAsia="zh-CN"/>
        </w:rPr>
        <w:t>-</w:t>
      </w:r>
      <w:r>
        <w:rPr>
          <w:rStyle w:val="43"/>
          <w:rFonts w:hint="eastAsia"/>
          <w:color w:val="auto"/>
          <w:szCs w:val="22"/>
          <w:highlight w:val="none"/>
          <w:lang w:val="en-US" w:eastAsia="zh-CN"/>
        </w:rPr>
        <w:t>4</w:t>
      </w:r>
      <w:r>
        <w:rPr>
          <w:rStyle w:val="43"/>
          <w:rFonts w:hint="eastAsia" w:ascii="Times New Roman" w:hAnsi="Times New Roman"/>
          <w:color w:val="auto"/>
          <w:szCs w:val="22"/>
          <w:highlight w:val="none"/>
          <w:lang w:eastAsia="zh-CN"/>
        </w:rPr>
        <w:t xml:space="preserve"> 沼气利用流程及产污环节图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沼气经过脱硫装置脱硫，其目的是净化沼气，净化后的沼气进入后续沼气利用系统。</w:t>
      </w:r>
    </w:p>
    <w:p>
      <w:pPr>
        <w:spacing w:line="520" w:lineRule="exact"/>
        <w:ind w:firstLine="480" w:firstLineChars="200"/>
        <w:rPr>
          <w:rFonts w:ascii="Times New Roman" w:hAnsi="Times New Roman"/>
          <w:bCs/>
          <w:color w:val="auto"/>
          <w:sz w:val="24"/>
          <w:szCs w:val="24"/>
          <w:highlight w:val="none"/>
        </w:rPr>
      </w:pPr>
      <w:r>
        <w:rPr>
          <w:rFonts w:ascii="Times New Roman" w:hAnsi="Times New Roman"/>
          <w:bCs/>
          <w:color w:val="auto"/>
          <w:sz w:val="24"/>
          <w:szCs w:val="24"/>
          <w:highlight w:val="none"/>
        </w:rPr>
        <w:t>（1）脱水脱硫器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根据沼气技术培训资料及大理州农科院《沼气的主要成分及用途》，沼气中H</w:t>
      </w:r>
      <w:r>
        <w:rPr>
          <w:rFonts w:ascii="Times New Roman" w:hAnsi="Times New Roman"/>
          <w:color w:val="auto"/>
          <w:sz w:val="24"/>
          <w:highlight w:val="none"/>
          <w:vertAlign w:val="subscript"/>
        </w:rPr>
        <w:t>2</w:t>
      </w:r>
      <w:r>
        <w:rPr>
          <w:rFonts w:ascii="Times New Roman" w:hAnsi="Times New Roman"/>
          <w:color w:val="auto"/>
          <w:sz w:val="24"/>
          <w:highlight w:val="none"/>
        </w:rPr>
        <w:t>S平均含量为0.034%。沼气需要进行脱硫处理，以防止对沼气输送管道的腐蚀影响。</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本项目脱硫剂为氧化铁，采用常温Fe</w:t>
      </w:r>
      <w:r>
        <w:rPr>
          <w:rFonts w:ascii="Times New Roman" w:hAnsi="Times New Roman"/>
          <w:color w:val="auto"/>
          <w:sz w:val="24"/>
          <w:highlight w:val="none"/>
          <w:vertAlign w:val="subscript"/>
        </w:rPr>
        <w:t>2</w:t>
      </w:r>
      <w:r>
        <w:rPr>
          <w:rFonts w:ascii="Times New Roman" w:hAnsi="Times New Roman"/>
          <w:color w:val="auto"/>
          <w:sz w:val="24"/>
          <w:highlight w:val="none"/>
        </w:rPr>
        <w:t>O</w:t>
      </w:r>
      <w:r>
        <w:rPr>
          <w:rFonts w:ascii="Times New Roman" w:hAnsi="Times New Roman"/>
          <w:color w:val="auto"/>
          <w:sz w:val="24"/>
          <w:highlight w:val="none"/>
          <w:vertAlign w:val="subscript"/>
        </w:rPr>
        <w:t>3</w:t>
      </w:r>
      <w:r>
        <w:rPr>
          <w:rFonts w:ascii="Times New Roman" w:hAnsi="Times New Roman"/>
          <w:color w:val="auto"/>
          <w:sz w:val="24"/>
          <w:highlight w:val="none"/>
        </w:rPr>
        <w:t>干式脱硫法。将Fe</w:t>
      </w:r>
      <w:r>
        <w:rPr>
          <w:rFonts w:ascii="Times New Roman" w:hAnsi="Times New Roman"/>
          <w:color w:val="auto"/>
          <w:sz w:val="24"/>
          <w:highlight w:val="none"/>
          <w:vertAlign w:val="subscript"/>
        </w:rPr>
        <w:t>2</w:t>
      </w:r>
      <w:r>
        <w:rPr>
          <w:rFonts w:ascii="Times New Roman" w:hAnsi="Times New Roman"/>
          <w:color w:val="auto"/>
          <w:sz w:val="24"/>
          <w:highlight w:val="none"/>
        </w:rPr>
        <w:t>O</w:t>
      </w:r>
      <w:r>
        <w:rPr>
          <w:rFonts w:ascii="Times New Roman" w:hAnsi="Times New Roman"/>
          <w:color w:val="auto"/>
          <w:sz w:val="24"/>
          <w:highlight w:val="none"/>
          <w:vertAlign w:val="subscript"/>
        </w:rPr>
        <w:t>3</w:t>
      </w:r>
      <w:r>
        <w:rPr>
          <w:rFonts w:ascii="Times New Roman" w:hAnsi="Times New Roman"/>
          <w:color w:val="auto"/>
          <w:sz w:val="24"/>
          <w:highlight w:val="none"/>
        </w:rPr>
        <w:t>屑（或粉）和木屑混合制成脱硫剂，以湿态（含水40%左右）填充于脱硫装置内。Fe</w:t>
      </w:r>
      <w:r>
        <w:rPr>
          <w:rFonts w:ascii="Times New Roman" w:hAnsi="Times New Roman"/>
          <w:color w:val="auto"/>
          <w:sz w:val="24"/>
          <w:highlight w:val="none"/>
          <w:vertAlign w:val="subscript"/>
        </w:rPr>
        <w:t>2</w:t>
      </w:r>
      <w:r>
        <w:rPr>
          <w:rFonts w:ascii="Times New Roman" w:hAnsi="Times New Roman"/>
          <w:color w:val="auto"/>
          <w:sz w:val="24"/>
          <w:highlight w:val="none"/>
        </w:rPr>
        <w:t>O</w:t>
      </w:r>
      <w:r>
        <w:rPr>
          <w:rFonts w:ascii="Times New Roman" w:hAnsi="Times New Roman"/>
          <w:color w:val="auto"/>
          <w:sz w:val="24"/>
          <w:highlight w:val="none"/>
          <w:vertAlign w:val="subscript"/>
        </w:rPr>
        <w:t>3</w:t>
      </w:r>
      <w:r>
        <w:rPr>
          <w:rFonts w:ascii="Times New Roman" w:hAnsi="Times New Roman"/>
          <w:color w:val="auto"/>
          <w:sz w:val="24"/>
          <w:highlight w:val="none"/>
        </w:rPr>
        <w:t>脱硫剂为条状多孔结构固体，对H</w:t>
      </w:r>
      <w:r>
        <w:rPr>
          <w:rFonts w:ascii="Times New Roman" w:hAnsi="Times New Roman"/>
          <w:color w:val="auto"/>
          <w:sz w:val="24"/>
          <w:highlight w:val="none"/>
          <w:vertAlign w:val="subscript"/>
        </w:rPr>
        <w:t>2</w:t>
      </w:r>
      <w:r>
        <w:rPr>
          <w:rFonts w:ascii="Times New Roman" w:hAnsi="Times New Roman"/>
          <w:color w:val="auto"/>
          <w:sz w:val="24"/>
          <w:highlight w:val="none"/>
        </w:rPr>
        <w:t>S能进行快速的不可逆化学吸附，数秒内可将 H</w:t>
      </w:r>
      <w:r>
        <w:rPr>
          <w:rFonts w:ascii="Times New Roman" w:hAnsi="Times New Roman"/>
          <w:color w:val="auto"/>
          <w:sz w:val="24"/>
          <w:highlight w:val="none"/>
          <w:vertAlign w:val="subscript"/>
        </w:rPr>
        <w:t>2</w:t>
      </w:r>
      <w:r>
        <w:rPr>
          <w:rFonts w:ascii="Times New Roman" w:hAnsi="Times New Roman"/>
          <w:color w:val="auto"/>
          <w:sz w:val="24"/>
          <w:highlight w:val="none"/>
        </w:rPr>
        <w:t>S脱除到1×10</w:t>
      </w:r>
      <w:r>
        <w:rPr>
          <w:rFonts w:ascii="Times New Roman" w:hAnsi="Times New Roman"/>
          <w:color w:val="auto"/>
          <w:sz w:val="24"/>
          <w:highlight w:val="none"/>
          <w:vertAlign w:val="superscript"/>
        </w:rPr>
        <w:t>-6</w:t>
      </w:r>
      <w:r>
        <w:rPr>
          <w:rFonts w:ascii="Times New Roman" w:hAnsi="Times New Roman"/>
          <w:color w:val="auto"/>
          <w:sz w:val="24"/>
          <w:highlight w:val="none"/>
        </w:rPr>
        <w:t>以下。当沼气通过时，经如下反应，达到脱硫目的：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highlight w:val="none"/>
        </w:rPr>
        <mc:AlternateContent>
          <mc:Choice Requires="wps">
            <w:drawing>
              <wp:anchor distT="0" distB="0" distL="114300" distR="114300" simplePos="0" relativeHeight="251749376" behindDoc="0" locked="0" layoutInCell="1" allowOverlap="1">
                <wp:simplePos x="0" y="0"/>
                <wp:positionH relativeFrom="column">
                  <wp:posOffset>1423670</wp:posOffset>
                </wp:positionH>
                <wp:positionV relativeFrom="paragraph">
                  <wp:posOffset>155575</wp:posOffset>
                </wp:positionV>
                <wp:extent cx="252730" cy="635"/>
                <wp:effectExtent l="0" t="37465" r="13970" b="38100"/>
                <wp:wrapNone/>
                <wp:docPr id="416" name="直接箭头连接符 416"/>
                <wp:cNvGraphicFramePr/>
                <a:graphic xmlns:a="http://schemas.openxmlformats.org/drawingml/2006/main">
                  <a:graphicData uri="http://schemas.microsoft.com/office/word/2010/wordprocessingShape">
                    <wps:wsp>
                      <wps:cNvCnPr>
                        <a:cxnSpLocks noChangeShapeType="1"/>
                      </wps:cNvCnPr>
                      <wps:spPr bwMode="auto">
                        <a:xfrm>
                          <a:off x="0" y="0"/>
                          <a:ext cx="252730" cy="63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12.1pt;margin-top:12.25pt;height:0.05pt;width:19.9pt;z-index:251749376;mso-width-relative:page;mso-height-relative:page;" filled="f" stroked="t" coordsize="21600,21600" o:gfxdata="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ynKy/2QAAAAkBAAAPAAAAAAAAAAEAIAAAACIAAABkcnMvZG93bnJl&#10;di54bWxQSwECFAAUAAAACACHTuJAYjCKIPwBAACxAwAADgAAAAAAAAABACAAAAAoAQAAZHJzL2Uy&#10;b0RvYy54bWxQSwUGAAAAAAYABgBZAQAAlgUAAAAA&#10;">
                <v:fill on="f" focussize="0,0"/>
                <v:stroke color="#000000" joinstyle="round" endarrow="block"/>
                <v:imagedata o:title=""/>
                <o:lock v:ext="edit" aspectratio="f"/>
              </v:shape>
            </w:pict>
          </mc:Fallback>
        </mc:AlternateContent>
      </w:r>
      <w:r>
        <w:rPr>
          <w:rFonts w:ascii="Times New Roman" w:hAnsi="Times New Roman"/>
          <w:color w:val="auto"/>
          <w:sz w:val="24"/>
          <w:highlight w:val="none"/>
        </w:rPr>
        <w:t>Fe</w:t>
      </w:r>
      <w:r>
        <w:rPr>
          <w:rFonts w:ascii="Times New Roman" w:hAnsi="Times New Roman"/>
          <w:color w:val="auto"/>
          <w:sz w:val="24"/>
          <w:highlight w:val="none"/>
          <w:vertAlign w:val="subscript"/>
        </w:rPr>
        <w:t>2</w:t>
      </w:r>
      <w:r>
        <w:rPr>
          <w:rFonts w:ascii="Times New Roman" w:hAnsi="Times New Roman"/>
          <w:color w:val="auto"/>
          <w:sz w:val="24"/>
          <w:highlight w:val="none"/>
        </w:rPr>
        <w:t>O</w:t>
      </w:r>
      <w:r>
        <w:rPr>
          <w:rFonts w:ascii="Times New Roman" w:hAnsi="Times New Roman"/>
          <w:color w:val="auto"/>
          <w:sz w:val="24"/>
          <w:highlight w:val="none"/>
          <w:vertAlign w:val="subscript"/>
        </w:rPr>
        <w:t>3</w:t>
      </w:r>
      <w:r>
        <w:rPr>
          <w:rFonts w:ascii="Times New Roman" w:hAnsi="Times New Roman"/>
          <w:color w:val="auto"/>
          <w:sz w:val="24"/>
          <w:highlight w:val="none"/>
        </w:rPr>
        <w:t>·H</w:t>
      </w:r>
      <w:r>
        <w:rPr>
          <w:rFonts w:ascii="Times New Roman" w:hAnsi="Times New Roman"/>
          <w:color w:val="auto"/>
          <w:sz w:val="24"/>
          <w:highlight w:val="none"/>
          <w:vertAlign w:val="subscript"/>
        </w:rPr>
        <w:t>2</w:t>
      </w:r>
      <w:r>
        <w:rPr>
          <w:rFonts w:ascii="Times New Roman" w:hAnsi="Times New Roman"/>
          <w:color w:val="auto"/>
          <w:sz w:val="24"/>
          <w:highlight w:val="none"/>
        </w:rPr>
        <w:t>O+3H</w:t>
      </w:r>
      <w:r>
        <w:rPr>
          <w:rFonts w:ascii="Times New Roman" w:hAnsi="Times New Roman"/>
          <w:color w:val="auto"/>
          <w:sz w:val="24"/>
          <w:highlight w:val="none"/>
          <w:vertAlign w:val="subscript"/>
        </w:rPr>
        <w:t>2</w:t>
      </w:r>
      <w:r>
        <w:rPr>
          <w:rFonts w:ascii="Times New Roman" w:hAnsi="Times New Roman"/>
          <w:color w:val="auto"/>
          <w:sz w:val="24"/>
          <w:highlight w:val="none"/>
        </w:rPr>
        <w:t>S    Fe</w:t>
      </w:r>
      <w:r>
        <w:rPr>
          <w:rFonts w:ascii="Times New Roman" w:hAnsi="Times New Roman"/>
          <w:color w:val="auto"/>
          <w:sz w:val="24"/>
          <w:highlight w:val="none"/>
          <w:vertAlign w:val="subscript"/>
        </w:rPr>
        <w:t>2</w:t>
      </w:r>
      <w:r>
        <w:rPr>
          <w:rFonts w:ascii="Times New Roman" w:hAnsi="Times New Roman"/>
          <w:color w:val="auto"/>
          <w:sz w:val="24"/>
          <w:highlight w:val="none"/>
        </w:rPr>
        <w:t>S</w:t>
      </w:r>
      <w:r>
        <w:rPr>
          <w:rFonts w:ascii="Times New Roman" w:hAnsi="Times New Roman"/>
          <w:color w:val="auto"/>
          <w:sz w:val="24"/>
          <w:highlight w:val="none"/>
          <w:vertAlign w:val="subscript"/>
        </w:rPr>
        <w:t>3</w:t>
      </w:r>
      <w:r>
        <w:rPr>
          <w:rFonts w:ascii="Times New Roman" w:hAnsi="Times New Roman"/>
          <w:color w:val="auto"/>
          <w:sz w:val="24"/>
          <w:highlight w:val="none"/>
        </w:rPr>
        <w:t>·H</w:t>
      </w:r>
      <w:r>
        <w:rPr>
          <w:rFonts w:ascii="Times New Roman" w:hAnsi="Times New Roman"/>
          <w:color w:val="auto"/>
          <w:sz w:val="24"/>
          <w:highlight w:val="none"/>
          <w:vertAlign w:val="subscript"/>
        </w:rPr>
        <w:t>2</w:t>
      </w:r>
      <w:r>
        <w:rPr>
          <w:rFonts w:ascii="Times New Roman" w:hAnsi="Times New Roman"/>
          <w:color w:val="auto"/>
          <w:sz w:val="24"/>
          <w:highlight w:val="none"/>
        </w:rPr>
        <w:t>O+3H</w:t>
      </w:r>
      <w:r>
        <w:rPr>
          <w:rFonts w:ascii="Times New Roman" w:hAnsi="Times New Roman"/>
          <w:color w:val="auto"/>
          <w:sz w:val="24"/>
          <w:highlight w:val="none"/>
          <w:vertAlign w:val="subscript"/>
        </w:rPr>
        <w:t>2</w:t>
      </w:r>
      <w:r>
        <w:rPr>
          <w:rFonts w:ascii="Times New Roman" w:hAnsi="Times New Roman"/>
          <w:color w:val="auto"/>
          <w:sz w:val="24"/>
          <w:highlight w:val="none"/>
        </w:rPr>
        <w:t>O</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highlight w:val="none"/>
        </w:rPr>
        <mc:AlternateContent>
          <mc:Choice Requires="wps">
            <w:drawing>
              <wp:anchor distT="0" distB="0" distL="114300" distR="114300" simplePos="0" relativeHeight="251751424" behindDoc="0" locked="0" layoutInCell="1" allowOverlap="1">
                <wp:simplePos x="0" y="0"/>
                <wp:positionH relativeFrom="column">
                  <wp:posOffset>1428115</wp:posOffset>
                </wp:positionH>
                <wp:positionV relativeFrom="paragraph">
                  <wp:posOffset>164465</wp:posOffset>
                </wp:positionV>
                <wp:extent cx="252730" cy="635"/>
                <wp:effectExtent l="0" t="37465" r="13970" b="38100"/>
                <wp:wrapNone/>
                <wp:docPr id="415" name="直接箭头连接符 415"/>
                <wp:cNvGraphicFramePr/>
                <a:graphic xmlns:a="http://schemas.openxmlformats.org/drawingml/2006/main">
                  <a:graphicData uri="http://schemas.microsoft.com/office/word/2010/wordprocessingShape">
                    <wps:wsp>
                      <wps:cNvCnPr>
                        <a:cxnSpLocks noChangeShapeType="1"/>
                      </wps:cNvCnPr>
                      <wps:spPr bwMode="auto">
                        <a:xfrm>
                          <a:off x="0" y="0"/>
                          <a:ext cx="252730" cy="63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12.45pt;margin-top:12.95pt;height:0.05pt;width:19.9pt;z-index:251751424;mso-width-relative:page;mso-height-relative:page;" filled="f" stroked="t" coordsize="21600,21600" o:gfxdata="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tQjBtkAAAAJAQAADwAAAAAAAAABACAAAAAiAAAAZHJzL2Rvd25y&#10;ZXYueG1sUEsBAhQAFAAAAAgAh07iQNGiBhD9AQAAsQMAAA4AAAAAAAAAAQAgAAAAKAEAAGRycy9l&#10;Mm9Eb2MueG1sUEsFBgAAAAAGAAYAWQEAAJcFAAAAAA==&#10;">
                <v:fill on="f" focussize="0,0"/>
                <v:stroke color="#000000" joinstyle="round" endarrow="block"/>
                <v:imagedata o:title=""/>
                <o:lock v:ext="edit" aspectratio="f"/>
              </v:shape>
            </w:pict>
          </mc:Fallback>
        </mc:AlternateContent>
      </w:r>
      <w:r>
        <w:rPr>
          <w:rFonts w:ascii="Times New Roman" w:hAnsi="Times New Roman"/>
          <w:color w:val="auto"/>
          <w:sz w:val="24"/>
          <w:highlight w:val="none"/>
        </w:rPr>
        <w:t>Fe</w:t>
      </w:r>
      <w:r>
        <w:rPr>
          <w:rFonts w:ascii="Times New Roman" w:hAnsi="Times New Roman"/>
          <w:color w:val="auto"/>
          <w:sz w:val="24"/>
          <w:highlight w:val="none"/>
          <w:vertAlign w:val="subscript"/>
        </w:rPr>
        <w:t>2</w:t>
      </w:r>
      <w:r>
        <w:rPr>
          <w:rFonts w:ascii="Times New Roman" w:hAnsi="Times New Roman"/>
          <w:color w:val="auto"/>
          <w:sz w:val="24"/>
          <w:highlight w:val="none"/>
        </w:rPr>
        <w:t>O</w:t>
      </w:r>
      <w:r>
        <w:rPr>
          <w:rFonts w:ascii="Times New Roman" w:hAnsi="Times New Roman"/>
          <w:color w:val="auto"/>
          <w:sz w:val="24"/>
          <w:highlight w:val="none"/>
          <w:vertAlign w:val="subscript"/>
        </w:rPr>
        <w:t>3</w:t>
      </w:r>
      <w:r>
        <w:rPr>
          <w:rFonts w:ascii="Times New Roman" w:hAnsi="Times New Roman"/>
          <w:color w:val="auto"/>
          <w:sz w:val="24"/>
          <w:highlight w:val="none"/>
        </w:rPr>
        <w:t>·H</w:t>
      </w:r>
      <w:r>
        <w:rPr>
          <w:rFonts w:ascii="Times New Roman" w:hAnsi="Times New Roman"/>
          <w:color w:val="auto"/>
          <w:sz w:val="24"/>
          <w:highlight w:val="none"/>
          <w:vertAlign w:val="subscript"/>
        </w:rPr>
        <w:t>2</w:t>
      </w:r>
      <w:r>
        <w:rPr>
          <w:rFonts w:ascii="Times New Roman" w:hAnsi="Times New Roman"/>
          <w:color w:val="auto"/>
          <w:sz w:val="24"/>
          <w:highlight w:val="none"/>
        </w:rPr>
        <w:t>O+3H</w:t>
      </w:r>
      <w:r>
        <w:rPr>
          <w:rFonts w:ascii="Times New Roman" w:hAnsi="Times New Roman"/>
          <w:color w:val="auto"/>
          <w:sz w:val="24"/>
          <w:highlight w:val="none"/>
          <w:vertAlign w:val="subscript"/>
        </w:rPr>
        <w:t>2</w:t>
      </w:r>
      <w:r>
        <w:rPr>
          <w:rFonts w:ascii="Times New Roman" w:hAnsi="Times New Roman"/>
          <w:color w:val="auto"/>
          <w:sz w:val="24"/>
          <w:highlight w:val="none"/>
        </w:rPr>
        <w:t>S    2FeS+S+4H</w:t>
      </w:r>
      <w:r>
        <w:rPr>
          <w:rFonts w:ascii="Times New Roman" w:hAnsi="Times New Roman"/>
          <w:color w:val="auto"/>
          <w:sz w:val="24"/>
          <w:highlight w:val="none"/>
          <w:vertAlign w:val="subscript"/>
        </w:rPr>
        <w:t>2</w:t>
      </w:r>
      <w:r>
        <w:rPr>
          <w:rFonts w:ascii="Times New Roman" w:hAnsi="Times New Roman"/>
          <w:color w:val="auto"/>
          <w:sz w:val="24"/>
          <w:highlight w:val="none"/>
        </w:rPr>
        <w:t>O</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脱硫剂工作一定时间后，其活性会逐渐下降，脱硫效果逐渐变差。当脱硫装置出口沼气中H</w:t>
      </w:r>
      <w:r>
        <w:rPr>
          <w:rFonts w:ascii="Times New Roman" w:hAnsi="Times New Roman"/>
          <w:color w:val="auto"/>
          <w:sz w:val="24"/>
          <w:highlight w:val="none"/>
          <w:vertAlign w:val="subscript"/>
        </w:rPr>
        <w:t>2</w:t>
      </w:r>
      <w:r>
        <w:rPr>
          <w:rFonts w:ascii="Times New Roman" w:hAnsi="Times New Roman"/>
          <w:color w:val="auto"/>
          <w:sz w:val="24"/>
          <w:highlight w:val="none"/>
        </w:rPr>
        <w:t>S的含量超过20mg</w:t>
      </w:r>
      <w:r>
        <w:rPr>
          <w:rFonts w:hint="eastAsia"/>
          <w:color w:val="auto"/>
          <w:sz w:val="24"/>
          <w:highlight w:val="none"/>
          <w:lang w:val="en-US" w:eastAsia="zh-CN"/>
        </w:rPr>
        <w:t>/</w:t>
      </w:r>
      <w:r>
        <w:rPr>
          <w:rFonts w:ascii="Times New Roman" w:hAnsi="Times New Roman"/>
          <w:color w:val="auto"/>
          <w:sz w:val="24"/>
          <w:highlight w:val="none"/>
        </w:rPr>
        <w:t>m</w:t>
      </w:r>
      <w:r>
        <w:rPr>
          <w:rFonts w:ascii="Times New Roman" w:hAnsi="Times New Roman"/>
          <w:color w:val="auto"/>
          <w:sz w:val="24"/>
          <w:highlight w:val="none"/>
          <w:vertAlign w:val="superscript"/>
        </w:rPr>
        <w:t>3</w:t>
      </w:r>
      <w:r>
        <w:rPr>
          <w:rFonts w:ascii="Times New Roman" w:hAnsi="Times New Roman"/>
          <w:color w:val="auto"/>
          <w:sz w:val="24"/>
          <w:highlight w:val="none"/>
        </w:rPr>
        <w:t>时，就需要对脱硫剂进行处理。若脱硫剂硫容超过30%时，就要更新脱硫剂。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同时经类比同规模养殖场污水处理设施竣工环保验收监测，经采用专用沼气脱硫剂脱硫后，硫去除率可达到85%以上，经核算沼气净化后H</w:t>
      </w:r>
      <w:r>
        <w:rPr>
          <w:rFonts w:ascii="Times New Roman" w:hAnsi="Times New Roman"/>
          <w:color w:val="auto"/>
          <w:sz w:val="24"/>
          <w:highlight w:val="none"/>
          <w:vertAlign w:val="subscript"/>
        </w:rPr>
        <w:t>2</w:t>
      </w:r>
      <w:r>
        <w:rPr>
          <w:rFonts w:ascii="Times New Roman" w:hAnsi="Times New Roman"/>
          <w:color w:val="auto"/>
          <w:sz w:val="24"/>
          <w:highlight w:val="none"/>
        </w:rPr>
        <w:t>S含量不高于</w:t>
      </w:r>
      <w:r>
        <w:rPr>
          <w:rFonts w:hint="eastAsia" w:ascii="Times New Roman" w:hAnsi="Times New Roman"/>
          <w:color w:val="auto"/>
          <w:sz w:val="24"/>
          <w:highlight w:val="none"/>
          <w:lang w:val="en-US" w:eastAsia="zh-CN"/>
        </w:rPr>
        <w:t>20</w:t>
      </w:r>
      <w:r>
        <w:rPr>
          <w:rFonts w:ascii="Times New Roman" w:hAnsi="Times New Roman"/>
          <w:color w:val="auto"/>
          <w:sz w:val="24"/>
          <w:highlight w:val="none"/>
        </w:rPr>
        <w:t>mg/m</w:t>
      </w:r>
      <w:r>
        <w:rPr>
          <w:rFonts w:ascii="Times New Roman" w:hAnsi="Times New Roman"/>
          <w:color w:val="auto"/>
          <w:sz w:val="24"/>
          <w:highlight w:val="none"/>
          <w:vertAlign w:val="superscript"/>
        </w:rPr>
        <w:t>3</w:t>
      </w:r>
      <w:r>
        <w:rPr>
          <w:rFonts w:ascii="Times New Roman" w:hAnsi="Times New Roman"/>
          <w:color w:val="auto"/>
          <w:sz w:val="24"/>
          <w:highlight w:val="none"/>
        </w:rPr>
        <w:t>。一般储气装置设计时，采取有防腐措施，经脱硫处理后的沼气不会对储气装置产生大的腐蚀影响，即其因腐蚀导致沼气泄露的可能性很小。</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bCs/>
          <w:color w:val="auto"/>
          <w:sz w:val="24"/>
          <w:szCs w:val="24"/>
          <w:highlight w:val="none"/>
          <w:lang w:eastAsia="zh-CN"/>
        </w:rPr>
      </w:pP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lang w:val="en-US" w:eastAsia="zh-CN"/>
        </w:rPr>
        <w:t>2</w:t>
      </w:r>
      <w:r>
        <w:rPr>
          <w:rFonts w:hint="eastAsia" w:ascii="Times New Roman" w:hAnsi="Times New Roman"/>
          <w:bCs/>
          <w:color w:val="auto"/>
          <w:sz w:val="24"/>
          <w:szCs w:val="24"/>
          <w:highlight w:val="none"/>
          <w:lang w:eastAsia="zh-CN"/>
        </w:rPr>
        <w:t>）沼气用途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val="0"/>
          <w:bCs/>
          <w:color w:val="auto"/>
          <w:sz w:val="24"/>
          <w:szCs w:val="22"/>
          <w:highlight w:val="none"/>
          <w:u w:val="none"/>
          <w:lang w:val="en-US" w:eastAsia="zh-CN"/>
        </w:rPr>
      </w:pPr>
      <w:r>
        <w:rPr>
          <w:rFonts w:hint="eastAsia"/>
          <w:color w:val="auto"/>
          <w:highlight w:val="none"/>
          <w:lang w:eastAsia="zh-CN"/>
        </w:rPr>
        <w:t>项目全年沼气产生量404770m</w:t>
      </w:r>
      <w:r>
        <w:rPr>
          <w:rFonts w:hint="eastAsia"/>
          <w:color w:val="auto"/>
          <w:highlight w:val="none"/>
          <w:vertAlign w:val="superscript"/>
          <w:lang w:eastAsia="zh-CN"/>
        </w:rPr>
        <w:t>3</w:t>
      </w:r>
      <w:r>
        <w:rPr>
          <w:rFonts w:hint="eastAsia"/>
          <w:color w:val="auto"/>
          <w:highlight w:val="none"/>
          <w:lang w:eastAsia="zh-CN"/>
        </w:rPr>
        <w:t>/a，主要用于食堂、无害化处理车间。</w:t>
      </w:r>
      <w:r>
        <w:rPr>
          <w:rFonts w:ascii="Times New Roman" w:hAnsi="Times New Roman" w:cs="Times New Roman"/>
          <w:b w:val="0"/>
          <w:bCs/>
          <w:color w:val="auto"/>
          <w:sz w:val="24"/>
          <w:szCs w:val="22"/>
          <w:highlight w:val="none"/>
          <w:u w:val="none"/>
        </w:rPr>
        <w:t>经查阅相关资料，项目职工食堂人均用沼气量按1.28m</w:t>
      </w:r>
      <w:r>
        <w:rPr>
          <w:rFonts w:ascii="Times New Roman" w:hAnsi="Times New Roman" w:cs="Times New Roman"/>
          <w:b w:val="0"/>
          <w:bCs/>
          <w:color w:val="auto"/>
          <w:sz w:val="24"/>
          <w:szCs w:val="22"/>
          <w:highlight w:val="none"/>
          <w:u w:val="none"/>
          <w:vertAlign w:val="superscript"/>
        </w:rPr>
        <w:t>3</w:t>
      </w:r>
      <w:r>
        <w:rPr>
          <w:rFonts w:ascii="Times New Roman" w:hAnsi="Times New Roman" w:cs="Times New Roman"/>
          <w:b w:val="0"/>
          <w:bCs/>
          <w:color w:val="auto"/>
          <w:sz w:val="24"/>
          <w:szCs w:val="22"/>
          <w:highlight w:val="none"/>
          <w:u w:val="none"/>
        </w:rPr>
        <w:t>/d，项目劳动定</w:t>
      </w:r>
      <w:r>
        <w:rPr>
          <w:rFonts w:hint="eastAsia" w:cs="Times New Roman"/>
          <w:b w:val="0"/>
          <w:bCs/>
          <w:color w:val="auto"/>
          <w:sz w:val="24"/>
          <w:szCs w:val="22"/>
          <w:highlight w:val="none"/>
          <w:u w:val="none"/>
          <w:lang w:val="en-US" w:eastAsia="zh-CN"/>
        </w:rPr>
        <w:t>96</w:t>
      </w:r>
      <w:r>
        <w:rPr>
          <w:rFonts w:ascii="Times New Roman" w:hAnsi="Times New Roman" w:cs="Times New Roman"/>
          <w:b w:val="0"/>
          <w:bCs/>
          <w:color w:val="auto"/>
          <w:sz w:val="24"/>
          <w:szCs w:val="22"/>
          <w:highlight w:val="none"/>
          <w:u w:val="none"/>
        </w:rPr>
        <w:t>人，项目食堂灶台沼气用量为</w:t>
      </w:r>
      <w:r>
        <w:rPr>
          <w:rFonts w:hint="eastAsia" w:cs="Times New Roman"/>
          <w:b w:val="0"/>
          <w:bCs/>
          <w:color w:val="auto"/>
          <w:sz w:val="24"/>
          <w:szCs w:val="22"/>
          <w:highlight w:val="none"/>
          <w:u w:val="none"/>
          <w:lang w:val="en-US" w:eastAsia="zh-CN"/>
        </w:rPr>
        <w:t>122.88</w:t>
      </w:r>
      <w:r>
        <w:rPr>
          <w:rFonts w:ascii="Times New Roman" w:hAnsi="Times New Roman" w:cs="Times New Roman"/>
          <w:b w:val="0"/>
          <w:bCs/>
          <w:color w:val="auto"/>
          <w:sz w:val="24"/>
          <w:szCs w:val="22"/>
          <w:highlight w:val="none"/>
          <w:u w:val="none"/>
        </w:rPr>
        <w:t>m</w:t>
      </w:r>
      <w:r>
        <w:rPr>
          <w:rFonts w:ascii="Times New Roman" w:hAnsi="Times New Roman" w:cs="Times New Roman"/>
          <w:b w:val="0"/>
          <w:bCs/>
          <w:color w:val="auto"/>
          <w:sz w:val="24"/>
          <w:szCs w:val="22"/>
          <w:highlight w:val="none"/>
          <w:u w:val="none"/>
          <w:vertAlign w:val="superscript"/>
        </w:rPr>
        <w:t>3</w:t>
      </w:r>
      <w:r>
        <w:rPr>
          <w:rFonts w:ascii="Times New Roman" w:hAnsi="Times New Roman" w:cs="Times New Roman"/>
          <w:b w:val="0"/>
          <w:bCs/>
          <w:color w:val="auto"/>
          <w:sz w:val="24"/>
          <w:szCs w:val="22"/>
          <w:highlight w:val="none"/>
          <w:u w:val="none"/>
        </w:rPr>
        <w:t>/d</w:t>
      </w:r>
      <w:r>
        <w:rPr>
          <w:rFonts w:hint="eastAsia" w:ascii="Times New Roman" w:hAnsi="Times New Roman" w:cs="Times New Roman"/>
          <w:b w:val="0"/>
          <w:bCs/>
          <w:color w:val="auto"/>
          <w:sz w:val="24"/>
          <w:szCs w:val="22"/>
          <w:highlight w:val="none"/>
          <w:u w:val="none"/>
          <w:lang w:eastAsia="zh-CN"/>
        </w:rPr>
        <w:t>、</w:t>
      </w:r>
      <w:r>
        <w:rPr>
          <w:rFonts w:hint="eastAsia" w:cs="Times New Roman"/>
          <w:b w:val="0"/>
          <w:bCs/>
          <w:color w:val="auto"/>
          <w:sz w:val="24"/>
          <w:szCs w:val="22"/>
          <w:highlight w:val="none"/>
          <w:u w:val="none"/>
          <w:lang w:val="en-US" w:eastAsia="zh-CN"/>
        </w:rPr>
        <w:t>44851.2</w:t>
      </w:r>
      <w:r>
        <w:rPr>
          <w:rFonts w:ascii="Times New Roman" w:hAnsi="Times New Roman" w:cs="Times New Roman"/>
          <w:b w:val="0"/>
          <w:bCs/>
          <w:color w:val="auto"/>
          <w:sz w:val="24"/>
          <w:szCs w:val="22"/>
          <w:highlight w:val="none"/>
          <w:u w:val="none"/>
        </w:rPr>
        <w:t>m</w:t>
      </w:r>
      <w:r>
        <w:rPr>
          <w:rFonts w:ascii="Times New Roman" w:hAnsi="Times New Roman" w:cs="Times New Roman"/>
          <w:b w:val="0"/>
          <w:bCs/>
          <w:color w:val="auto"/>
          <w:sz w:val="24"/>
          <w:szCs w:val="22"/>
          <w:highlight w:val="none"/>
          <w:u w:val="none"/>
          <w:vertAlign w:val="superscript"/>
        </w:rPr>
        <w:t>3</w:t>
      </w:r>
      <w:r>
        <w:rPr>
          <w:rFonts w:ascii="Times New Roman" w:hAnsi="Times New Roman" w:cs="Times New Roman"/>
          <w:b w:val="0"/>
          <w:bCs/>
          <w:color w:val="auto"/>
          <w:sz w:val="24"/>
          <w:szCs w:val="22"/>
          <w:highlight w:val="none"/>
          <w:u w:val="none"/>
        </w:rPr>
        <w:t>/a</w:t>
      </w:r>
      <w:r>
        <w:rPr>
          <w:rFonts w:hint="eastAsia" w:cs="Times New Roman"/>
          <w:b w:val="0"/>
          <w:bCs/>
          <w:color w:val="auto"/>
          <w:sz w:val="24"/>
          <w:szCs w:val="22"/>
          <w:highlight w:val="none"/>
          <w:u w:val="none"/>
          <w:lang w:eastAsia="zh-CN"/>
        </w:rPr>
        <w:t>。项目场区无害化处置车间热源用气量约</w:t>
      </w:r>
      <w:r>
        <w:rPr>
          <w:rFonts w:hint="eastAsia" w:cs="Times New Roman"/>
          <w:b w:val="0"/>
          <w:bCs/>
          <w:color w:val="auto"/>
          <w:sz w:val="24"/>
          <w:szCs w:val="22"/>
          <w:highlight w:val="none"/>
          <w:u w:val="none"/>
          <w:lang w:val="en-US" w:eastAsia="zh-CN"/>
        </w:rPr>
        <w:t>8</w:t>
      </w:r>
      <w:r>
        <w:rPr>
          <w:rFonts w:hint="eastAsia" w:cs="Times New Roman"/>
          <w:b w:val="0"/>
          <w:bCs/>
          <w:color w:val="auto"/>
          <w:sz w:val="24"/>
          <w:szCs w:val="22"/>
          <w:highlight w:val="none"/>
          <w:u w:val="none"/>
          <w:lang w:eastAsia="zh-CN"/>
        </w:rPr>
        <w:t>m</w:t>
      </w:r>
      <w:r>
        <w:rPr>
          <w:rFonts w:hint="eastAsia" w:cs="Times New Roman"/>
          <w:b w:val="0"/>
          <w:bCs/>
          <w:color w:val="auto"/>
          <w:sz w:val="24"/>
          <w:szCs w:val="22"/>
          <w:highlight w:val="none"/>
          <w:u w:val="none"/>
          <w:vertAlign w:val="superscript"/>
          <w:lang w:eastAsia="zh-CN"/>
        </w:rPr>
        <w:t>3</w:t>
      </w:r>
      <w:r>
        <w:rPr>
          <w:rFonts w:hint="eastAsia" w:cs="Times New Roman"/>
          <w:b w:val="0"/>
          <w:bCs/>
          <w:color w:val="auto"/>
          <w:sz w:val="24"/>
          <w:szCs w:val="22"/>
          <w:highlight w:val="none"/>
          <w:u w:val="none"/>
          <w:lang w:eastAsia="zh-CN"/>
        </w:rPr>
        <w:t>/h，一批次处理时间约</w:t>
      </w:r>
      <w:r>
        <w:rPr>
          <w:rFonts w:hint="eastAsia" w:cs="Times New Roman"/>
          <w:b w:val="0"/>
          <w:bCs/>
          <w:color w:val="auto"/>
          <w:sz w:val="24"/>
          <w:szCs w:val="22"/>
          <w:highlight w:val="none"/>
          <w:u w:val="none"/>
          <w:lang w:val="en-US" w:eastAsia="zh-CN"/>
        </w:rPr>
        <w:t>6h，本项目无害化处理病死猪批次为12次，则项目厂区无害化处理车间</w:t>
      </w:r>
      <w:r>
        <w:rPr>
          <w:rFonts w:hint="eastAsia" w:cs="Times New Roman"/>
          <w:b w:val="0"/>
          <w:bCs/>
          <w:color w:val="auto"/>
          <w:sz w:val="24"/>
          <w:szCs w:val="22"/>
          <w:highlight w:val="none"/>
          <w:u w:val="none"/>
          <w:lang w:eastAsia="zh-CN"/>
        </w:rPr>
        <w:t>导热油锅炉所用沼气量约</w:t>
      </w:r>
      <w:r>
        <w:rPr>
          <w:rFonts w:hint="eastAsia" w:cs="Times New Roman"/>
          <w:b w:val="0"/>
          <w:bCs/>
          <w:color w:val="auto"/>
          <w:sz w:val="24"/>
          <w:szCs w:val="22"/>
          <w:highlight w:val="none"/>
          <w:u w:val="none"/>
          <w:lang w:val="en-US" w:eastAsia="zh-CN"/>
        </w:rPr>
        <w:t>576</w:t>
      </w:r>
      <w:r>
        <w:rPr>
          <w:rFonts w:hint="eastAsia" w:cs="Times New Roman"/>
          <w:b w:val="0"/>
          <w:bCs/>
          <w:color w:val="auto"/>
          <w:sz w:val="24"/>
          <w:szCs w:val="22"/>
          <w:highlight w:val="none"/>
          <w:u w:val="none"/>
          <w:lang w:eastAsia="zh-CN"/>
        </w:rPr>
        <w:t>m</w:t>
      </w:r>
      <w:r>
        <w:rPr>
          <w:rFonts w:hint="eastAsia" w:cs="Times New Roman"/>
          <w:b w:val="0"/>
          <w:bCs/>
          <w:color w:val="auto"/>
          <w:sz w:val="24"/>
          <w:szCs w:val="22"/>
          <w:highlight w:val="none"/>
          <w:u w:val="none"/>
          <w:vertAlign w:val="superscript"/>
          <w:lang w:eastAsia="zh-CN"/>
        </w:rPr>
        <w:t>3</w:t>
      </w:r>
      <w:r>
        <w:rPr>
          <w:rFonts w:hint="eastAsia" w:cs="Times New Roman"/>
          <w:b w:val="0"/>
          <w:bCs/>
          <w:color w:val="auto"/>
          <w:sz w:val="24"/>
          <w:szCs w:val="22"/>
          <w:highlight w:val="none"/>
          <w:u w:val="none"/>
          <w:lang w:eastAsia="zh-CN"/>
        </w:rPr>
        <w: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val="0"/>
          <w:bCs/>
          <w:color w:val="auto"/>
          <w:sz w:val="24"/>
          <w:szCs w:val="22"/>
          <w:highlight w:val="none"/>
          <w:u w:val="none"/>
          <w:lang w:val="en-US" w:eastAsia="zh-CN"/>
        </w:rPr>
      </w:pPr>
      <w:r>
        <w:rPr>
          <w:rFonts w:hint="eastAsia" w:cs="Times New Roman"/>
          <w:b w:val="0"/>
          <w:bCs/>
          <w:color w:val="auto"/>
          <w:sz w:val="24"/>
          <w:szCs w:val="22"/>
          <w:highlight w:val="none"/>
          <w:u w:val="none"/>
          <w:lang w:eastAsia="zh-CN"/>
        </w:rPr>
        <w:t>产生的沼气除食堂和无害化处理车间外，还剩余359342.8m</w:t>
      </w:r>
      <w:r>
        <w:rPr>
          <w:rFonts w:hint="eastAsia" w:cs="Times New Roman"/>
          <w:b w:val="0"/>
          <w:bCs/>
          <w:color w:val="auto"/>
          <w:sz w:val="24"/>
          <w:szCs w:val="22"/>
          <w:highlight w:val="none"/>
          <w:u w:val="none"/>
          <w:vertAlign w:val="superscript"/>
          <w:lang w:eastAsia="zh-CN"/>
        </w:rPr>
        <w:t>3</w:t>
      </w:r>
      <w:r>
        <w:rPr>
          <w:rFonts w:hint="eastAsia" w:cs="Times New Roman"/>
          <w:b w:val="0"/>
          <w:bCs/>
          <w:color w:val="auto"/>
          <w:sz w:val="24"/>
          <w:szCs w:val="22"/>
          <w:highlight w:val="none"/>
          <w:u w:val="none"/>
          <w:lang w:eastAsia="zh-CN"/>
        </w:rPr>
        <w:t>/a，全部用于火炬燃烧。</w:t>
      </w:r>
    </w:p>
    <w:p>
      <w:pPr>
        <w:pStyle w:val="2"/>
        <w:keepNext w:val="0"/>
        <w:keepLines w:val="0"/>
        <w:pageBreakBefore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b w:val="0"/>
          <w:bCs/>
          <w:color w:val="auto"/>
          <w:sz w:val="24"/>
          <w:szCs w:val="22"/>
          <w:highlight w:val="none"/>
          <w:u w:val="none"/>
          <w:lang w:val="en-US" w:eastAsia="zh-CN"/>
        </w:rPr>
      </w:pPr>
      <w:r>
        <w:rPr>
          <w:rFonts w:hint="eastAsia" w:ascii="Times New Roman" w:hAnsi="Times New Roman" w:cs="Times New Roman"/>
          <w:b w:val="0"/>
          <w:bCs/>
          <w:color w:val="auto"/>
          <w:sz w:val="24"/>
          <w:szCs w:val="22"/>
          <w:highlight w:val="none"/>
          <w:u w:val="none"/>
          <w:lang w:val="en-US" w:eastAsia="zh-CN"/>
        </w:rPr>
        <w:t>有机肥基料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2"/>
          <w:highlight w:val="none"/>
        </w:rPr>
      </w:pPr>
      <w:r>
        <w:rPr>
          <w:rFonts w:hint="eastAsia" w:cs="Times New Roman"/>
          <w:color w:val="auto"/>
          <w:sz w:val="24"/>
          <w:szCs w:val="22"/>
          <w:highlight w:val="none"/>
          <w:lang w:val="en-US" w:eastAsia="zh-CN"/>
        </w:rPr>
        <w:t>a、</w:t>
      </w:r>
      <w:r>
        <w:rPr>
          <w:rFonts w:ascii="Times New Roman" w:hAnsi="Times New Roman" w:cs="Times New Roman"/>
          <w:color w:val="auto"/>
          <w:sz w:val="24"/>
          <w:szCs w:val="22"/>
          <w:highlight w:val="none"/>
        </w:rPr>
        <w:t>有机肥生产构筑物及设备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场区拟建</w:t>
      </w:r>
      <w:r>
        <w:rPr>
          <w:rFonts w:hint="eastAsia" w:ascii="Times New Roman" w:hAnsi="Times New Roman" w:cs="Times New Roman"/>
          <w:color w:val="auto"/>
          <w:sz w:val="24"/>
          <w:szCs w:val="24"/>
          <w:highlight w:val="none"/>
        </w:rPr>
        <w:t>固粪处理区</w:t>
      </w:r>
      <w:r>
        <w:rPr>
          <w:rFonts w:hint="eastAsia" w:cs="Times New Roman"/>
          <w:color w:val="auto"/>
          <w:sz w:val="24"/>
          <w:szCs w:val="24"/>
          <w:highlight w:val="none"/>
          <w:lang w:val="en-US" w:eastAsia="zh-CN"/>
        </w:rPr>
        <w:t>1个</w:t>
      </w:r>
      <w:r>
        <w:rPr>
          <w:rFonts w:ascii="Times New Roman" w:hAnsi="Times New Roman" w:cs="Times New Roman"/>
          <w:color w:val="auto"/>
          <w:sz w:val="24"/>
          <w:szCs w:val="24"/>
          <w:highlight w:val="none"/>
        </w:rPr>
        <w:t>，</w:t>
      </w:r>
      <w:r>
        <w:rPr>
          <w:rFonts w:hint="eastAsia" w:cs="Times New Roman"/>
          <w:color w:val="auto"/>
          <w:sz w:val="24"/>
          <w:szCs w:val="24"/>
          <w:highlight w:val="none"/>
          <w:lang w:eastAsia="zh-CN"/>
        </w:rPr>
        <w:t>总</w:t>
      </w:r>
      <w:r>
        <w:rPr>
          <w:rFonts w:ascii="Times New Roman" w:hAnsi="Times New Roman" w:cs="Times New Roman"/>
          <w:color w:val="auto"/>
          <w:sz w:val="24"/>
          <w:szCs w:val="24"/>
          <w:highlight w:val="none"/>
        </w:rPr>
        <w:t>占地面积</w:t>
      </w:r>
      <w:r>
        <w:rPr>
          <w:rFonts w:hint="eastAsia" w:cs="Times New Roman"/>
          <w:color w:val="auto"/>
          <w:sz w:val="24"/>
          <w:szCs w:val="24"/>
          <w:highlight w:val="none"/>
          <w:lang w:val="en-US" w:eastAsia="zh-CN"/>
        </w:rPr>
        <w:t>924</w:t>
      </w:r>
      <w:r>
        <w:rPr>
          <w:rFonts w:ascii="Times New Roman" w:hAnsi="Times New Roman" w:cs="Times New Roman"/>
          <w:color w:val="auto"/>
          <w:sz w:val="24"/>
          <w:szCs w:val="24"/>
          <w:highlight w:val="none"/>
        </w:rPr>
        <w:t>m</w:t>
      </w:r>
      <w:r>
        <w:rPr>
          <w:rFonts w:ascii="Times New Roman" w:hAnsi="Times New Roman" w:cs="Times New Roman"/>
          <w:color w:val="auto"/>
          <w:sz w:val="24"/>
          <w:szCs w:val="24"/>
          <w:highlight w:val="none"/>
          <w:vertAlign w:val="superscript"/>
        </w:rPr>
        <w:t>2</w:t>
      </w:r>
      <w:r>
        <w:rPr>
          <w:rFonts w:ascii="Times New Roman" w:hAnsi="Times New Roman" w:cs="Times New Roman"/>
          <w:color w:val="auto"/>
          <w:sz w:val="24"/>
          <w:szCs w:val="24"/>
          <w:highlight w:val="none"/>
        </w:rPr>
        <w:t>，钢框架结构，半封闭车间设置顶棚，内部分为混料区、条垛发酵区、成品区。地面采用混凝土防渗，生产设备主要为铲车翻堆机1台。</w:t>
      </w:r>
    </w:p>
    <w:p>
      <w:pPr>
        <w:spacing w:line="500" w:lineRule="exact"/>
        <w:ind w:firstLine="482"/>
        <w:jc w:val="center"/>
        <w:rPr>
          <w:rFonts w:hint="eastAsia" w:ascii="Times New Roman" w:hAnsi="Times New Roman" w:eastAsia="宋体" w:cs="Times New Roman"/>
          <w:b/>
          <w:color w:val="auto"/>
          <w:kern w:val="2"/>
          <w:sz w:val="21"/>
          <w:szCs w:val="24"/>
          <w:highlight w:val="none"/>
          <w:lang w:val="en-US" w:eastAsia="zh-CN" w:bidi="ar-SA"/>
        </w:rPr>
      </w:pPr>
      <w:r>
        <w:rPr>
          <w:rFonts w:hint="eastAsia" w:ascii="Times New Roman" w:hAnsi="Times New Roman" w:eastAsia="宋体" w:cs="Times New Roman"/>
          <w:b/>
          <w:color w:val="auto"/>
          <w:kern w:val="2"/>
          <w:sz w:val="21"/>
          <w:szCs w:val="24"/>
          <w:highlight w:val="none"/>
          <w:lang w:val="en-US" w:eastAsia="zh-CN" w:bidi="ar-SA"/>
        </w:rPr>
        <w:t>表</w:t>
      </w:r>
      <w:r>
        <w:rPr>
          <w:rFonts w:hint="eastAsia" w:cs="Times New Roman"/>
          <w:b/>
          <w:color w:val="auto"/>
          <w:kern w:val="2"/>
          <w:sz w:val="21"/>
          <w:szCs w:val="24"/>
          <w:highlight w:val="none"/>
          <w:lang w:val="en-US" w:eastAsia="zh-CN" w:bidi="ar-SA"/>
        </w:rPr>
        <w:t>2</w:t>
      </w:r>
      <w:r>
        <w:rPr>
          <w:rFonts w:hint="eastAsia" w:ascii="Times New Roman" w:hAnsi="Times New Roman" w:eastAsia="宋体" w:cs="Times New Roman"/>
          <w:b/>
          <w:color w:val="auto"/>
          <w:kern w:val="2"/>
          <w:sz w:val="21"/>
          <w:szCs w:val="24"/>
          <w:highlight w:val="none"/>
          <w:lang w:val="en-US" w:eastAsia="zh-CN" w:bidi="ar-SA"/>
        </w:rPr>
        <w:t>.</w:t>
      </w:r>
      <w:r>
        <w:rPr>
          <w:rFonts w:hint="eastAsia" w:cs="Times New Roman"/>
          <w:b/>
          <w:color w:val="auto"/>
          <w:kern w:val="2"/>
          <w:sz w:val="21"/>
          <w:szCs w:val="24"/>
          <w:highlight w:val="none"/>
          <w:lang w:val="en-US" w:eastAsia="zh-CN" w:bidi="ar-SA"/>
        </w:rPr>
        <w:t>8</w:t>
      </w:r>
      <w:r>
        <w:rPr>
          <w:rFonts w:hint="eastAsia" w:ascii="Times New Roman" w:hAnsi="Times New Roman" w:eastAsia="宋体" w:cs="Times New Roman"/>
          <w:b/>
          <w:color w:val="auto"/>
          <w:kern w:val="2"/>
          <w:sz w:val="21"/>
          <w:szCs w:val="24"/>
          <w:highlight w:val="none"/>
          <w:lang w:val="en-US" w:eastAsia="zh-CN" w:bidi="ar-SA"/>
        </w:rPr>
        <w:t>-2 固粪处理区构筑物及设备一览表</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28"/>
        <w:gridCol w:w="1244"/>
        <w:gridCol w:w="830"/>
        <w:gridCol w:w="50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932"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项目</w:t>
            </w:r>
          </w:p>
        </w:tc>
        <w:tc>
          <w:tcPr>
            <w:tcW w:w="712"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规格（m</w:t>
            </w:r>
            <w:r>
              <w:rPr>
                <w:rFonts w:ascii="Times New Roman" w:hAnsi="Times New Roman" w:cs="Times New Roman"/>
                <w:color w:val="auto"/>
                <w:sz w:val="21"/>
                <w:szCs w:val="21"/>
                <w:highlight w:val="none"/>
                <w:vertAlign w:val="superscript"/>
              </w:rPr>
              <w:t>2</w:t>
            </w:r>
            <w:r>
              <w:rPr>
                <w:rFonts w:ascii="Times New Roman" w:hAnsi="Times New Roman" w:cs="Times New Roman"/>
                <w:color w:val="auto"/>
                <w:sz w:val="21"/>
                <w:szCs w:val="21"/>
                <w:highlight w:val="none"/>
              </w:rPr>
              <w:t>）</w:t>
            </w:r>
          </w:p>
        </w:tc>
        <w:tc>
          <w:tcPr>
            <w:tcW w:w="475"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数量</w:t>
            </w:r>
          </w:p>
        </w:tc>
        <w:tc>
          <w:tcPr>
            <w:tcW w:w="2879"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32"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固粪处理区</w:t>
            </w:r>
          </w:p>
        </w:tc>
        <w:tc>
          <w:tcPr>
            <w:tcW w:w="712" w:type="pct"/>
            <w:tcBorders>
              <w:tl2br w:val="nil"/>
              <w:tr2bl w:val="nil"/>
            </w:tcBorders>
            <w:noWrap w:val="0"/>
            <w:vAlign w:val="center"/>
          </w:tcPr>
          <w:p>
            <w:pPr>
              <w:widowControl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924</w:t>
            </w:r>
          </w:p>
        </w:tc>
        <w:tc>
          <w:tcPr>
            <w:tcW w:w="475" w:type="pct"/>
            <w:tcBorders>
              <w:tl2br w:val="nil"/>
              <w:tr2bl w:val="nil"/>
            </w:tcBorders>
            <w:noWrap w:val="0"/>
            <w:vAlign w:val="center"/>
          </w:tcPr>
          <w:p>
            <w:pPr>
              <w:widowControl w:val="0"/>
              <w:spacing w:line="36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1个</w:t>
            </w:r>
          </w:p>
        </w:tc>
        <w:tc>
          <w:tcPr>
            <w:tcW w:w="2879"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地面铺设混凝土防渗，设置顶棚，三面设置围栏，每条垛宽约1.8m，高1.2~1.6m，发酵时间为15~30天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932"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铲车翻堆机</w:t>
            </w:r>
          </w:p>
        </w:tc>
        <w:tc>
          <w:tcPr>
            <w:tcW w:w="712"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475"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1台</w:t>
            </w:r>
          </w:p>
        </w:tc>
        <w:tc>
          <w:tcPr>
            <w:tcW w:w="2879" w:type="pct"/>
            <w:tcBorders>
              <w:tl2br w:val="nil"/>
              <w:tr2bl w:val="nil"/>
            </w:tcBorders>
            <w:noWrap w:val="0"/>
            <w:vAlign w:val="center"/>
          </w:tcPr>
          <w:p>
            <w:pPr>
              <w:widowControl w:val="0"/>
              <w:spacing w:line="36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混合后的物料用铲车翻堆机在发酵区堆成条垛状，发酵期内每天翻堆一次</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2"/>
          <w:highlight w:val="none"/>
        </w:rPr>
      </w:pPr>
      <w:r>
        <w:rPr>
          <w:rFonts w:hint="eastAsia" w:cs="Times New Roman"/>
          <w:color w:val="auto"/>
          <w:sz w:val="24"/>
          <w:szCs w:val="22"/>
          <w:highlight w:val="none"/>
          <w:lang w:val="en-US" w:eastAsia="zh-CN"/>
        </w:rPr>
        <w:t>b</w:t>
      </w:r>
      <w:r>
        <w:rPr>
          <w:rFonts w:hint="eastAsia" w:cs="Times New Roman"/>
          <w:color w:val="auto"/>
          <w:sz w:val="24"/>
          <w:szCs w:val="22"/>
          <w:highlight w:val="none"/>
          <w:lang w:eastAsia="zh-CN"/>
        </w:rPr>
        <w:t>、</w:t>
      </w:r>
      <w:r>
        <w:rPr>
          <w:rFonts w:ascii="Times New Roman" w:hAnsi="Times New Roman" w:cs="Times New Roman"/>
          <w:color w:val="auto"/>
          <w:sz w:val="24"/>
          <w:szCs w:val="22"/>
          <w:highlight w:val="none"/>
        </w:rPr>
        <w:t>堆肥工艺介绍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auto"/>
          <w:sz w:val="24"/>
          <w:szCs w:val="24"/>
          <w:highlight w:val="none"/>
        </w:rPr>
      </w:pPr>
      <w:r>
        <w:rPr>
          <w:rFonts w:ascii="Times New Roman" w:hAnsi="Times New Roman" w:cs="Times New Roman"/>
          <w:color w:val="auto"/>
          <w:sz w:val="24"/>
          <w:szCs w:val="22"/>
          <w:highlight w:val="none"/>
        </w:rPr>
        <w:t>本</w:t>
      </w:r>
      <w:r>
        <w:rPr>
          <w:rFonts w:ascii="Times New Roman" w:hAnsi="Times New Roman" w:cs="Times New Roman"/>
          <w:bCs/>
          <w:color w:val="auto"/>
          <w:sz w:val="24"/>
          <w:szCs w:val="24"/>
          <w:highlight w:val="none"/>
        </w:rPr>
        <w:t>项目采用改良后的条垛堆肥工艺进行粪污堆肥处理，处理工艺如下：</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原料预处理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2"/>
          <w:highlight w:val="none"/>
        </w:rPr>
      </w:pPr>
      <w:r>
        <w:rPr>
          <w:rFonts w:ascii="Times New Roman" w:hAnsi="Times New Roman" w:cs="Times New Roman"/>
          <w:color w:val="auto"/>
          <w:sz w:val="24"/>
          <w:szCs w:val="22"/>
          <w:highlight w:val="none"/>
        </w:rPr>
        <w:t>堆肥过程中，合理的碳氮比是高效堆肥发酵的前提。碳素是堆肥微生物的基本能量来源，也是微生物细胞构成的基本材料。堆肥微生物在分解含碳有机物的同时，利用部分氮素来构建自身细胞体，氮是构成细胞中蛋白质、核酸、氨基酸、酶、辅酶的重要组成部分。经过长期的实际生产与研究经验，牧原公司对猪粪堆肥的C/N比设为28，本项目利用比较廉价且有机物含量高、吸附能力强的谷糠为辅料进行碳氮比调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2"/>
          <w:highlight w:val="none"/>
        </w:rPr>
      </w:pPr>
      <w:r>
        <w:rPr>
          <w:rFonts w:ascii="Times New Roman" w:hAnsi="Times New Roman" w:cs="Times New Roman"/>
          <w:color w:val="auto"/>
          <w:sz w:val="24"/>
          <w:szCs w:val="22"/>
          <w:highlight w:val="none"/>
        </w:rPr>
        <w:t>场区运营初期产生的新鲜猪粪经晾晒后，添加菌种进行发酵；后续产生的新鲜猪粪与初期产生的半成品有机肥混合发酵。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（2）发酵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auto"/>
          <w:sz w:val="24"/>
          <w:szCs w:val="22"/>
          <w:highlight w:val="none"/>
        </w:rPr>
      </w:pPr>
      <w:r>
        <w:rPr>
          <w:rFonts w:ascii="Times New Roman" w:hAnsi="Times New Roman" w:cs="Times New Roman"/>
          <w:bCs/>
          <w:color w:val="auto"/>
          <w:sz w:val="24"/>
          <w:szCs w:val="22"/>
          <w:highlight w:val="none"/>
        </w:rPr>
        <w:t>本项目发酵为好氧发酵，夏季发酵时间为15-20天，冬季发酵时间为25-30天。好氧发酵充氧条件由翻堆机翻拋实现。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auto"/>
          <w:sz w:val="24"/>
          <w:szCs w:val="22"/>
          <w:highlight w:val="none"/>
        </w:rPr>
      </w:pPr>
      <w:r>
        <w:rPr>
          <w:rFonts w:ascii="Times New Roman" w:hAnsi="Times New Roman" w:cs="Times New Roman"/>
          <w:bCs/>
          <w:color w:val="auto"/>
          <w:sz w:val="24"/>
          <w:szCs w:val="24"/>
          <w:highlight w:val="none"/>
        </w:rPr>
        <w:t>混合后的物料用铲车翻堆机在发酵区堆成条垛状，条垛每条宽约1.8m，高1.2~1.6m。</w:t>
      </w:r>
      <w:r>
        <w:rPr>
          <w:rFonts w:ascii="Times New Roman" w:hAnsi="Times New Roman" w:cs="Times New Roman"/>
          <w:bCs/>
          <w:color w:val="auto"/>
          <w:sz w:val="24"/>
          <w:szCs w:val="22"/>
          <w:highlight w:val="none"/>
        </w:rPr>
        <w:t>发酵过程为好氧发酵，通过铲车堆垛翻抛，每天一次。</w:t>
      </w:r>
      <w:r>
        <w:rPr>
          <w:rFonts w:ascii="Times New Roman" w:hAnsi="Times New Roman" w:cs="Times New Roman"/>
          <w:bCs/>
          <w:color w:val="auto"/>
          <w:sz w:val="24"/>
          <w:szCs w:val="24"/>
          <w:highlight w:val="none"/>
        </w:rPr>
        <w:t>堆体在1~3天内温度上升至25~45</w:t>
      </w:r>
      <w:r>
        <w:rPr>
          <w:rFonts w:hint="eastAsia" w:ascii="宋体" w:hAnsi="宋体" w:cs="宋体"/>
          <w:bCs/>
          <w:color w:val="auto"/>
          <w:sz w:val="24"/>
          <w:szCs w:val="24"/>
          <w:highlight w:val="none"/>
        </w:rPr>
        <w:t>℃</w:t>
      </w:r>
      <w:r>
        <w:rPr>
          <w:rFonts w:ascii="Times New Roman" w:hAnsi="Times New Roman" w:cs="Times New Roman"/>
          <w:bCs/>
          <w:color w:val="auto"/>
          <w:sz w:val="24"/>
          <w:szCs w:val="24"/>
          <w:highlight w:val="none"/>
        </w:rPr>
        <w:t>，堆体温度达到60~70</w:t>
      </w:r>
      <w:r>
        <w:rPr>
          <w:rFonts w:hint="eastAsia" w:ascii="宋体" w:hAnsi="宋体" w:cs="宋体"/>
          <w:bCs/>
          <w:color w:val="auto"/>
          <w:sz w:val="24"/>
          <w:szCs w:val="24"/>
          <w:highlight w:val="none"/>
        </w:rPr>
        <w:t>℃</w:t>
      </w:r>
      <w:r>
        <w:rPr>
          <w:rFonts w:ascii="Times New Roman" w:hAnsi="Times New Roman" w:cs="Times New Roman"/>
          <w:bCs/>
          <w:color w:val="auto"/>
          <w:sz w:val="24"/>
          <w:szCs w:val="24"/>
          <w:highlight w:val="none"/>
        </w:rPr>
        <w:t>后发酵稳定，</w:t>
      </w:r>
      <w:r>
        <w:rPr>
          <w:rFonts w:ascii="Times New Roman" w:hAnsi="Times New Roman" w:cs="Times New Roman"/>
          <w:bCs/>
          <w:color w:val="auto"/>
          <w:sz w:val="24"/>
          <w:szCs w:val="22"/>
          <w:highlight w:val="none"/>
        </w:rPr>
        <w:t>物料中纤维素和半纤维素也开始分解，腐殖质开始形成。堆体温度最高能达到80</w:t>
      </w:r>
      <w:r>
        <w:rPr>
          <w:rFonts w:hint="eastAsia" w:ascii="宋体" w:hAnsi="宋体" w:cs="宋体"/>
          <w:bCs/>
          <w:color w:val="auto"/>
          <w:sz w:val="24"/>
          <w:szCs w:val="22"/>
          <w:highlight w:val="none"/>
        </w:rPr>
        <w:t>℃</w:t>
      </w:r>
      <w:r>
        <w:rPr>
          <w:rFonts w:ascii="Times New Roman" w:hAnsi="Times New Roman" w:cs="Times New Roman"/>
          <w:bCs/>
          <w:color w:val="auto"/>
          <w:sz w:val="24"/>
          <w:szCs w:val="22"/>
          <w:highlight w:val="none"/>
        </w:rPr>
        <w:t>，充分发酵后温度逐步降低。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auto"/>
          <w:sz w:val="24"/>
          <w:szCs w:val="24"/>
          <w:highlight w:val="none"/>
        </w:rPr>
      </w:pPr>
      <w:r>
        <w:rPr>
          <w:rFonts w:ascii="Times New Roman" w:hAnsi="Times New Roman" w:cs="Times New Roman"/>
          <w:bCs/>
          <w:color w:val="auto"/>
          <w:sz w:val="24"/>
          <w:szCs w:val="22"/>
          <w:highlight w:val="none"/>
        </w:rPr>
        <w:t>根据牧原食品股份有限公司日常统计数据可知，翻抛的同时可将物料充分混合均匀，经一次发酵后的物料含水率由80%降至40%。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本项目堆肥发酵过程分为4个阶段：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auto"/>
          <w:sz w:val="24"/>
          <w:szCs w:val="24"/>
          <w:highlight w:val="none"/>
        </w:rPr>
      </w:pPr>
      <w:r>
        <w:rPr>
          <w:rFonts w:hint="eastAsia" w:ascii="宋体" w:hAnsi="宋体" w:cs="宋体"/>
          <w:bCs/>
          <w:color w:val="auto"/>
          <w:sz w:val="24"/>
          <w:szCs w:val="24"/>
          <w:highlight w:val="none"/>
        </w:rPr>
        <w:t>①</w:t>
      </w:r>
      <w:r>
        <w:rPr>
          <w:rFonts w:ascii="Times New Roman" w:hAnsi="Times New Roman" w:cs="Times New Roman"/>
          <w:bCs/>
          <w:color w:val="auto"/>
          <w:sz w:val="24"/>
          <w:szCs w:val="24"/>
          <w:highlight w:val="none"/>
        </w:rPr>
        <w:t>升温阶段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堆肥初期，条垛内温度逐步从环境温度上升到45</w:t>
      </w:r>
      <w:r>
        <w:rPr>
          <w:rFonts w:hint="eastAsia" w:ascii="宋体" w:hAnsi="宋体" w:cs="宋体"/>
          <w:bCs/>
          <w:color w:val="auto"/>
          <w:sz w:val="24"/>
          <w:szCs w:val="24"/>
          <w:highlight w:val="none"/>
        </w:rPr>
        <w:t>℃</w:t>
      </w:r>
      <w:r>
        <w:rPr>
          <w:rFonts w:ascii="Times New Roman" w:hAnsi="Times New Roman" w:cs="Times New Roman"/>
          <w:bCs/>
          <w:color w:val="auto"/>
          <w:sz w:val="24"/>
          <w:szCs w:val="24"/>
          <w:highlight w:val="none"/>
        </w:rPr>
        <w:t>左右，主导微生物以嗜温性微生物为主，包括细菌、真菌和放线菌，分解底物以糖类和淀粉为主，期间能发现真菌的子实体，也有动物及原生动物参与分解。夏季升温阶段3-5天，冬季7-8天。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auto"/>
          <w:sz w:val="24"/>
          <w:szCs w:val="24"/>
          <w:highlight w:val="none"/>
        </w:rPr>
      </w:pPr>
      <w:r>
        <w:rPr>
          <w:rFonts w:hint="eastAsia" w:ascii="宋体" w:hAnsi="宋体" w:cs="宋体"/>
          <w:bCs/>
          <w:color w:val="auto"/>
          <w:sz w:val="24"/>
          <w:szCs w:val="24"/>
          <w:highlight w:val="none"/>
        </w:rPr>
        <w:t>②</w:t>
      </w:r>
      <w:r>
        <w:rPr>
          <w:rFonts w:ascii="Times New Roman" w:hAnsi="Times New Roman" w:cs="Times New Roman"/>
          <w:bCs/>
          <w:color w:val="auto"/>
          <w:sz w:val="24"/>
          <w:szCs w:val="24"/>
          <w:highlight w:val="none"/>
        </w:rPr>
        <w:t>高温阶段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堆温升至45</w:t>
      </w:r>
      <w:r>
        <w:rPr>
          <w:rFonts w:hint="eastAsia" w:ascii="宋体" w:hAnsi="宋体" w:cs="宋体"/>
          <w:bCs/>
          <w:color w:val="auto"/>
          <w:sz w:val="24"/>
          <w:szCs w:val="24"/>
          <w:highlight w:val="none"/>
        </w:rPr>
        <w:t>℃</w:t>
      </w:r>
      <w:r>
        <w:rPr>
          <w:rFonts w:ascii="Times New Roman" w:hAnsi="Times New Roman" w:cs="Times New Roman"/>
          <w:bCs/>
          <w:color w:val="auto"/>
          <w:sz w:val="24"/>
          <w:szCs w:val="24"/>
          <w:highlight w:val="none"/>
        </w:rPr>
        <w:t>以上即进入高温阶段，嗜温微生物受到抑制甚至死亡，而嗜热微生物则上升为主导微生物。堆肥中残留的和新生成的可溶性有机物质继续被氧化分解，复杂的有机物如半纤维素-纤维素和蛋白质也开始被强烈分解。微生物的活动交替出现，通常在50</w:t>
      </w:r>
      <w:r>
        <w:rPr>
          <w:rFonts w:hint="eastAsia" w:ascii="宋体" w:hAnsi="宋体" w:cs="宋体"/>
          <w:bCs/>
          <w:color w:val="auto"/>
          <w:sz w:val="24"/>
          <w:szCs w:val="24"/>
          <w:highlight w:val="none"/>
        </w:rPr>
        <w:t>℃</w:t>
      </w:r>
      <w:r>
        <w:rPr>
          <w:rFonts w:ascii="Times New Roman" w:hAnsi="Times New Roman" w:cs="Times New Roman"/>
          <w:bCs/>
          <w:color w:val="auto"/>
          <w:sz w:val="24"/>
          <w:szCs w:val="24"/>
          <w:highlight w:val="none"/>
        </w:rPr>
        <w:t>左右时最活跃的是嗜热性真菌和放线菌，温度上升到60</w:t>
      </w:r>
      <w:r>
        <w:rPr>
          <w:rFonts w:hint="eastAsia" w:ascii="宋体" w:hAnsi="宋体" w:cs="宋体"/>
          <w:bCs/>
          <w:color w:val="auto"/>
          <w:sz w:val="24"/>
          <w:szCs w:val="24"/>
          <w:highlight w:val="none"/>
        </w:rPr>
        <w:t>℃</w:t>
      </w:r>
      <w:r>
        <w:rPr>
          <w:rFonts w:ascii="Times New Roman" w:hAnsi="Times New Roman" w:cs="Times New Roman"/>
          <w:bCs/>
          <w:color w:val="auto"/>
          <w:sz w:val="24"/>
          <w:szCs w:val="24"/>
          <w:highlight w:val="none"/>
        </w:rPr>
        <w:t>时真菌几乎完全停止活动，仅有嗜热性细菌和放线菌活动，温度升到70</w:t>
      </w:r>
      <w:r>
        <w:rPr>
          <w:rFonts w:hint="eastAsia" w:ascii="宋体" w:hAnsi="宋体" w:cs="宋体"/>
          <w:bCs/>
          <w:color w:val="auto"/>
          <w:sz w:val="24"/>
          <w:szCs w:val="24"/>
          <w:highlight w:val="none"/>
        </w:rPr>
        <w:t>℃</w:t>
      </w:r>
      <w:r>
        <w:rPr>
          <w:rFonts w:ascii="Times New Roman" w:hAnsi="Times New Roman" w:cs="Times New Roman"/>
          <w:bCs/>
          <w:color w:val="auto"/>
          <w:sz w:val="24"/>
          <w:szCs w:val="24"/>
          <w:highlight w:val="none"/>
        </w:rPr>
        <w:t>时大多数嗜热性微生物已不再适应，并大批进入休眠和死亡阶段。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牧原食品股份有限公司采用现代化的工艺生产有机肥</w:t>
      </w:r>
      <w:r>
        <w:rPr>
          <w:rFonts w:hint="eastAsia" w:cs="Times New Roman"/>
          <w:bCs/>
          <w:color w:val="auto"/>
          <w:sz w:val="24"/>
          <w:szCs w:val="24"/>
          <w:highlight w:val="none"/>
          <w:lang w:eastAsia="zh-CN"/>
        </w:rPr>
        <w:t>基料</w:t>
      </w:r>
      <w:r>
        <w:rPr>
          <w:rFonts w:ascii="Times New Roman" w:hAnsi="Times New Roman" w:cs="Times New Roman"/>
          <w:bCs/>
          <w:color w:val="auto"/>
          <w:sz w:val="24"/>
          <w:szCs w:val="24"/>
          <w:highlight w:val="none"/>
        </w:rPr>
        <w:t>，最佳温度为55</w:t>
      </w:r>
      <w:r>
        <w:rPr>
          <w:rFonts w:hint="eastAsia" w:ascii="宋体" w:hAnsi="宋体" w:cs="宋体"/>
          <w:bCs/>
          <w:color w:val="auto"/>
          <w:sz w:val="24"/>
          <w:szCs w:val="24"/>
          <w:highlight w:val="none"/>
        </w:rPr>
        <w:t>℃</w:t>
      </w:r>
      <w:r>
        <w:rPr>
          <w:rFonts w:ascii="Times New Roman" w:hAnsi="Times New Roman" w:cs="Times New Roman"/>
          <w:bCs/>
          <w:color w:val="auto"/>
          <w:sz w:val="24"/>
          <w:szCs w:val="24"/>
          <w:highlight w:val="none"/>
        </w:rPr>
        <w:t>，这是因为大多数微生物在该温度范围内最活跃，最易分解有机物，而病原菌和寄生虫大多数可被杀死。夏季高温阶段2-3天，冬季6-8天。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auto"/>
          <w:sz w:val="24"/>
          <w:szCs w:val="24"/>
          <w:highlight w:val="none"/>
        </w:rPr>
      </w:pPr>
      <w:r>
        <w:rPr>
          <w:rFonts w:hint="eastAsia" w:ascii="宋体" w:hAnsi="宋体" w:cs="宋体"/>
          <w:bCs/>
          <w:color w:val="auto"/>
          <w:sz w:val="24"/>
          <w:szCs w:val="24"/>
          <w:highlight w:val="none"/>
        </w:rPr>
        <w:t>③</w:t>
      </w:r>
      <w:r>
        <w:rPr>
          <w:rFonts w:ascii="Times New Roman" w:hAnsi="Times New Roman" w:cs="Times New Roman"/>
          <w:bCs/>
          <w:color w:val="auto"/>
          <w:sz w:val="24"/>
          <w:szCs w:val="24"/>
          <w:highlight w:val="none"/>
        </w:rPr>
        <w:t>降温阶段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随着高温阶段微生物的死亡和活动减少，自然进入低温阶段。嗜温性微生物又开始占据优势，对残余较难分解的有机物作进一步的分解，但微生物活性普遍下降，堆体发热量减少，温度开始下降，有机物趋于稳定化，需氧量大大减少，堆肥进入腐熟或后熟阶段。夏季降温阶段8-10天，冬季6-7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auto"/>
          <w:sz w:val="24"/>
          <w:szCs w:val="24"/>
          <w:highlight w:val="none"/>
        </w:rPr>
      </w:pPr>
      <w:r>
        <w:rPr>
          <w:rFonts w:hint="eastAsia" w:ascii="宋体" w:hAnsi="宋体" w:cs="宋体"/>
          <w:bCs/>
          <w:color w:val="auto"/>
          <w:sz w:val="24"/>
          <w:szCs w:val="24"/>
          <w:highlight w:val="none"/>
        </w:rPr>
        <w:t>④</w:t>
      </w:r>
      <w:r>
        <w:rPr>
          <w:rFonts w:ascii="Times New Roman" w:hAnsi="Times New Roman" w:cs="Times New Roman"/>
          <w:bCs/>
          <w:color w:val="auto"/>
          <w:sz w:val="24"/>
          <w:szCs w:val="24"/>
          <w:highlight w:val="none"/>
        </w:rPr>
        <w:t>腐熟保肥阶段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有机物大部分已经分解和稳定，温度下降，为了保持已形成的腐殖质和微量的氮、磷、钾肥等，要使腐熟的肥料保持平衡。堆肥腐熟后，体积缩小，堆温下降至稍高于气温，应将堆体压紧，有机成分处于厌氧条件下，以利于肥力的保存。夏季腐熟保肥阶段2-3天，冬季6-7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4"/>
          <w:highlight w:val="none"/>
        </w:rPr>
      </w:pPr>
      <w:r>
        <w:rPr>
          <w:rFonts w:ascii="Times New Roman" w:hAnsi="Times New Roman" w:cs="Times New Roman"/>
          <w:bCs/>
          <w:color w:val="auto"/>
          <w:sz w:val="24"/>
          <w:szCs w:val="24"/>
          <w:highlight w:val="none"/>
        </w:rPr>
        <w:t>发酵后的固体作为有机肥原料，</w:t>
      </w:r>
      <w:r>
        <w:rPr>
          <w:rFonts w:ascii="Times New Roman" w:hAnsi="Times New Roman" w:cs="Times New Roman"/>
          <w:color w:val="auto"/>
          <w:sz w:val="24"/>
          <w:szCs w:val="24"/>
          <w:highlight w:val="none"/>
        </w:rPr>
        <w:t>经过腐熟度检测、质量检测、安全检测后</w:t>
      </w:r>
      <w:r>
        <w:rPr>
          <w:rFonts w:ascii="Times New Roman" w:hAnsi="Times New Roman" w:cs="Times New Roman"/>
          <w:bCs/>
          <w:color w:val="auto"/>
          <w:sz w:val="24"/>
          <w:szCs w:val="24"/>
          <w:highlight w:val="none"/>
        </w:rPr>
        <w:t>进行装袋，外售。</w:t>
      </w:r>
      <w:r>
        <w:rPr>
          <w:rFonts w:ascii="Times New Roman" w:hAnsi="Times New Roman" w:cs="Times New Roman"/>
          <w:bCs/>
          <w:color w:val="auto"/>
          <w:sz w:val="24"/>
          <w:szCs w:val="22"/>
          <w:highlight w:val="none"/>
        </w:rPr>
        <w:t>产品满足《有机肥料》（NY525-2012）标准。</w:t>
      </w:r>
      <w:r>
        <w:rPr>
          <w:rFonts w:ascii="Times New Roman" w:hAnsi="Times New Roman" w:cs="Times New Roman"/>
          <w:color w:val="auto"/>
          <w:sz w:val="24"/>
          <w:szCs w:val="24"/>
          <w:highlight w:val="none"/>
        </w:rPr>
        <w:t>有机肥工艺流程如图</w:t>
      </w:r>
      <w:r>
        <w:rPr>
          <w:rFonts w:hint="eastAsia" w:cs="Times New Roman"/>
          <w:color w:val="auto"/>
          <w:sz w:val="24"/>
          <w:szCs w:val="24"/>
          <w:highlight w:val="none"/>
          <w:lang w:val="en-US" w:eastAsia="zh-CN"/>
        </w:rPr>
        <w:t>2.9</w:t>
      </w:r>
      <w:r>
        <w:rPr>
          <w:rFonts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6</w:t>
      </w:r>
      <w:r>
        <w:rPr>
          <w:rFonts w:ascii="Times New Roman" w:hAnsi="Times New Roman" w:cs="Times New Roman"/>
          <w:color w:val="auto"/>
          <w:sz w:val="24"/>
          <w:szCs w:val="24"/>
          <w:highlight w:val="none"/>
        </w:rPr>
        <w:t>所示。</w:t>
      </w:r>
    </w:p>
    <w:p>
      <w:pPr>
        <w:pStyle w:val="2"/>
        <w:keepNext w:val="0"/>
        <w:keepLines w:val="0"/>
        <w:pageBreakBefore w:val="0"/>
        <w:kinsoku/>
        <w:wordWrap/>
        <w:overflowPunct/>
        <w:topLinePunct w:val="0"/>
        <w:autoSpaceDE/>
        <w:autoSpaceDN/>
        <w:bidi w:val="0"/>
        <w:adjustRightInd/>
        <w:snapToGrid/>
        <w:textAlignment w:val="auto"/>
        <w:rPr>
          <w:color w:val="auto"/>
          <w:highlight w:val="none"/>
        </w:rPr>
      </w:pPr>
    </w:p>
    <w:p>
      <w:pPr>
        <w:pStyle w:val="2"/>
        <w:rPr>
          <w:color w:val="auto"/>
          <w:highlight w:val="none"/>
        </w:rPr>
      </w:pPr>
      <w:r>
        <w:rPr>
          <w:color w:val="auto"/>
          <w:highlight w:val="none"/>
        </w:rPr>
        <w:drawing>
          <wp:inline distT="0" distB="0" distL="114300" distR="114300">
            <wp:extent cx="5266690" cy="1471930"/>
            <wp:effectExtent l="0" t="0" r="10160" b="13970"/>
            <wp:docPr id="6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1"/>
                    <pic:cNvPicPr>
                      <a:picLocks noChangeAspect="1"/>
                    </pic:cNvPicPr>
                  </pic:nvPicPr>
                  <pic:blipFill>
                    <a:blip r:embed="rId26"/>
                    <a:stretch>
                      <a:fillRect/>
                    </a:stretch>
                  </pic:blipFill>
                  <pic:spPr>
                    <a:xfrm>
                      <a:off x="0" y="0"/>
                      <a:ext cx="5266690" cy="1471930"/>
                    </a:xfrm>
                    <a:prstGeom prst="rect">
                      <a:avLst/>
                    </a:prstGeom>
                    <a:noFill/>
                    <a:ln>
                      <a:noFill/>
                    </a:ln>
                  </pic:spPr>
                </pic:pic>
              </a:graphicData>
            </a:graphic>
          </wp:inline>
        </w:drawing>
      </w:r>
    </w:p>
    <w:p>
      <w:pPr>
        <w:pStyle w:val="2"/>
        <w:numPr>
          <w:ilvl w:val="0"/>
          <w:numId w:val="0"/>
        </w:numPr>
        <w:jc w:val="center"/>
        <w:rPr>
          <w:rStyle w:val="43"/>
          <w:rFonts w:hint="eastAsia" w:ascii="Times New Roman" w:hAnsi="Times New Roman"/>
          <w:color w:val="auto"/>
          <w:szCs w:val="22"/>
          <w:highlight w:val="none"/>
          <w:lang w:eastAsia="zh-CN"/>
        </w:rPr>
      </w:pPr>
      <w:r>
        <w:rPr>
          <w:rStyle w:val="43"/>
          <w:rFonts w:hint="eastAsia" w:ascii="Times New Roman" w:hAnsi="Times New Roman"/>
          <w:color w:val="auto"/>
          <w:szCs w:val="22"/>
          <w:highlight w:val="none"/>
          <w:lang w:eastAsia="zh-CN"/>
        </w:rPr>
        <w:t>图</w:t>
      </w:r>
      <w:r>
        <w:rPr>
          <w:rStyle w:val="43"/>
          <w:rFonts w:hint="eastAsia"/>
          <w:color w:val="auto"/>
          <w:szCs w:val="22"/>
          <w:highlight w:val="none"/>
          <w:lang w:val="en-US" w:eastAsia="zh-CN"/>
        </w:rPr>
        <w:t>2</w:t>
      </w:r>
      <w:r>
        <w:rPr>
          <w:rStyle w:val="43"/>
          <w:rFonts w:hint="eastAsia" w:ascii="Times New Roman" w:hAnsi="Times New Roman"/>
          <w:color w:val="auto"/>
          <w:szCs w:val="22"/>
          <w:highlight w:val="none"/>
          <w:lang w:val="en-US" w:eastAsia="zh-CN"/>
        </w:rPr>
        <w:t>.</w:t>
      </w:r>
      <w:r>
        <w:rPr>
          <w:rStyle w:val="43"/>
          <w:rFonts w:hint="eastAsia"/>
          <w:color w:val="auto"/>
          <w:szCs w:val="22"/>
          <w:highlight w:val="none"/>
          <w:lang w:val="en-US" w:eastAsia="zh-CN"/>
        </w:rPr>
        <w:t>8</w:t>
      </w:r>
      <w:r>
        <w:rPr>
          <w:rStyle w:val="43"/>
          <w:rFonts w:hint="eastAsia" w:ascii="Times New Roman" w:hAnsi="Times New Roman"/>
          <w:color w:val="auto"/>
          <w:szCs w:val="22"/>
          <w:highlight w:val="none"/>
          <w:lang w:eastAsia="zh-CN"/>
        </w:rPr>
        <w:t>-</w:t>
      </w:r>
      <w:r>
        <w:rPr>
          <w:rStyle w:val="43"/>
          <w:rFonts w:hint="eastAsia"/>
          <w:color w:val="auto"/>
          <w:szCs w:val="22"/>
          <w:highlight w:val="none"/>
          <w:lang w:val="en-US" w:eastAsia="zh-CN"/>
        </w:rPr>
        <w:t>5</w:t>
      </w:r>
      <w:r>
        <w:rPr>
          <w:rStyle w:val="43"/>
          <w:rFonts w:hint="eastAsia" w:ascii="Times New Roman" w:hAnsi="Times New Roman"/>
          <w:color w:val="auto"/>
          <w:szCs w:val="22"/>
          <w:highlight w:val="none"/>
          <w:lang w:eastAsia="zh-CN"/>
        </w:rPr>
        <w:t xml:space="preserve"> 制肥工艺流程及产污环节图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auto"/>
          <w:sz w:val="24"/>
          <w:szCs w:val="24"/>
          <w:highlight w:val="none"/>
          <w:lang w:eastAsia="zh-CN"/>
        </w:rPr>
      </w:pPr>
      <w:r>
        <w:rPr>
          <w:rFonts w:hint="eastAsia" w:ascii="Times New Roman" w:hAnsi="Times New Roman" w:cs="Times New Roman"/>
          <w:bCs/>
          <w:color w:val="auto"/>
          <w:sz w:val="24"/>
          <w:szCs w:val="24"/>
          <w:highlight w:val="none"/>
          <w:lang w:eastAsia="zh-CN"/>
        </w:rPr>
        <w:t>根据后续分析，项目猪粪制取有机肥基肥量约为</w:t>
      </w:r>
      <w:r>
        <w:rPr>
          <w:rFonts w:hint="eastAsia" w:cs="Times New Roman"/>
          <w:bCs/>
          <w:color w:val="auto"/>
          <w:sz w:val="24"/>
          <w:szCs w:val="24"/>
          <w:highlight w:val="none"/>
          <w:lang w:val="en-US" w:eastAsia="zh-CN"/>
        </w:rPr>
        <w:t>1472.575</w:t>
      </w:r>
      <w:r>
        <w:rPr>
          <w:rFonts w:hint="eastAsia" w:ascii="Times New Roman" w:hAnsi="Times New Roman" w:cs="Times New Roman"/>
          <w:bCs/>
          <w:color w:val="auto"/>
          <w:sz w:val="24"/>
          <w:szCs w:val="24"/>
          <w:highlight w:val="none"/>
          <w:lang w:eastAsia="zh-CN"/>
        </w:rPr>
        <w:t>t/a、沼渣制取有机肥基肥量为</w:t>
      </w:r>
      <w:r>
        <w:rPr>
          <w:rFonts w:hint="eastAsia" w:cs="Times New Roman"/>
          <w:bCs/>
          <w:color w:val="auto"/>
          <w:sz w:val="24"/>
          <w:szCs w:val="24"/>
          <w:highlight w:val="none"/>
          <w:lang w:val="en-US" w:eastAsia="zh-CN"/>
        </w:rPr>
        <w:t>1546.69</w:t>
      </w:r>
      <w:r>
        <w:rPr>
          <w:rFonts w:hint="eastAsia" w:ascii="Times New Roman" w:hAnsi="Times New Roman" w:cs="Times New Roman"/>
          <w:bCs/>
          <w:color w:val="auto"/>
          <w:sz w:val="24"/>
          <w:szCs w:val="24"/>
          <w:highlight w:val="none"/>
          <w:lang w:eastAsia="zh-CN"/>
        </w:rPr>
        <w:t>t/a，项目有机肥基肥总量为</w:t>
      </w:r>
      <w:r>
        <w:rPr>
          <w:rFonts w:hint="eastAsia" w:cs="Times New Roman"/>
          <w:bCs/>
          <w:color w:val="auto"/>
          <w:sz w:val="24"/>
          <w:szCs w:val="24"/>
          <w:highlight w:val="none"/>
          <w:lang w:val="en-US" w:eastAsia="zh-CN"/>
        </w:rPr>
        <w:t>3019.265</w:t>
      </w:r>
      <w:r>
        <w:rPr>
          <w:rFonts w:hint="eastAsia" w:ascii="Times New Roman" w:hAnsi="Times New Roman" w:cs="Times New Roman"/>
          <w:bCs/>
          <w:color w:val="auto"/>
          <w:sz w:val="24"/>
          <w:szCs w:val="24"/>
          <w:highlight w:val="none"/>
          <w:lang w:eastAsia="zh-CN"/>
        </w:rPr>
        <w:t>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4、</w:t>
      </w:r>
      <w:r>
        <w:rPr>
          <w:rFonts w:hint="eastAsia" w:cs="Times New Roman"/>
          <w:bCs/>
          <w:color w:val="auto"/>
          <w:sz w:val="24"/>
          <w:szCs w:val="24"/>
          <w:highlight w:val="none"/>
          <w:lang w:val="en-US" w:eastAsia="zh-CN"/>
        </w:rPr>
        <w:t>无害化处理车间</w:t>
      </w:r>
      <w:r>
        <w:rPr>
          <w:rFonts w:hint="default" w:ascii="Times New Roman" w:hAnsi="Times New Roman" w:cs="Times New Roman"/>
          <w:bCs/>
          <w:color w:val="auto"/>
          <w:sz w:val="24"/>
          <w:szCs w:val="24"/>
          <w:highlight w:val="none"/>
          <w:lang w:val="en-US" w:eastAsia="zh-CN"/>
        </w:rPr>
        <w:t>（病死猪处理）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本项目</w:t>
      </w:r>
      <w:r>
        <w:rPr>
          <w:rFonts w:hint="eastAsia" w:cs="Times New Roman"/>
          <w:bCs/>
          <w:color w:val="auto"/>
          <w:sz w:val="24"/>
          <w:szCs w:val="24"/>
          <w:highlight w:val="none"/>
          <w:lang w:val="en-US" w:eastAsia="zh-CN"/>
        </w:rPr>
        <w:t>无害化处理车间</w:t>
      </w:r>
      <w:r>
        <w:rPr>
          <w:rFonts w:hint="default" w:ascii="Times New Roman" w:hAnsi="Times New Roman" w:cs="Times New Roman"/>
          <w:bCs/>
          <w:color w:val="auto"/>
          <w:sz w:val="24"/>
          <w:szCs w:val="24"/>
          <w:highlight w:val="none"/>
          <w:lang w:val="en-US" w:eastAsia="zh-CN"/>
        </w:rPr>
        <w:t>服务对象为平舆牧原农牧有限公司平舆四场</w:t>
      </w:r>
      <w:r>
        <w:rPr>
          <w:rFonts w:hint="eastAsia" w:ascii="Times New Roman" w:hAnsi="Times New Roman" w:cs="Times New Roman"/>
          <w:bCs/>
          <w:color w:val="auto"/>
          <w:sz w:val="24"/>
          <w:szCs w:val="24"/>
          <w:highlight w:val="none"/>
          <w:lang w:val="en-US" w:eastAsia="zh-CN"/>
        </w:rPr>
        <w:t>厂区</w:t>
      </w:r>
      <w:r>
        <w:rPr>
          <w:rFonts w:hint="default" w:ascii="Times New Roman" w:hAnsi="Times New Roman" w:cs="Times New Roman"/>
          <w:bCs/>
          <w:color w:val="auto"/>
          <w:sz w:val="24"/>
          <w:szCs w:val="24"/>
          <w:highlight w:val="none"/>
          <w:lang w:val="en-US" w:eastAsia="zh-CN"/>
        </w:rPr>
        <w:t>的病死猪，设计处置规模为每批次2吨，处置工艺采用《病死动物无害化处理技术规范》</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cs="Times New Roman"/>
          <w:bCs/>
          <w:color w:val="auto"/>
          <w:sz w:val="24"/>
          <w:szCs w:val="24"/>
          <w:highlight w:val="none"/>
          <w:lang w:val="en-US" w:eastAsia="zh-CN"/>
        </w:rPr>
        <w:t>农医发</w:t>
      </w:r>
      <w:r>
        <w:rPr>
          <w:rFonts w:hint="eastAsia" w:cs="Times New Roman"/>
          <w:bCs/>
          <w:color w:val="auto"/>
          <w:sz w:val="24"/>
          <w:szCs w:val="24"/>
          <w:highlight w:val="none"/>
          <w:lang w:val="en-US" w:eastAsia="zh-CN"/>
        </w:rPr>
        <w:t>【</w:t>
      </w:r>
      <w:r>
        <w:rPr>
          <w:rFonts w:hint="default" w:ascii="Times New Roman" w:hAnsi="Times New Roman" w:cs="Times New Roman"/>
          <w:bCs/>
          <w:color w:val="auto"/>
          <w:sz w:val="24"/>
          <w:szCs w:val="24"/>
          <w:highlight w:val="none"/>
          <w:lang w:val="en-US" w:eastAsia="zh-CN"/>
        </w:rPr>
        <w:t>2013</w:t>
      </w:r>
      <w:r>
        <w:rPr>
          <w:rFonts w:hint="eastAsia" w:cs="Times New Roman"/>
          <w:bCs/>
          <w:color w:val="auto"/>
          <w:sz w:val="24"/>
          <w:szCs w:val="24"/>
          <w:highlight w:val="none"/>
          <w:lang w:val="en-US" w:eastAsia="zh-CN"/>
        </w:rPr>
        <w:t>】</w:t>
      </w:r>
      <w:r>
        <w:rPr>
          <w:rFonts w:hint="default" w:ascii="Times New Roman" w:hAnsi="Times New Roman" w:cs="Times New Roman"/>
          <w:bCs/>
          <w:color w:val="auto"/>
          <w:sz w:val="24"/>
          <w:szCs w:val="24"/>
          <w:highlight w:val="none"/>
          <w:lang w:val="en-US" w:eastAsia="zh-CN"/>
        </w:rPr>
        <w:t>34号</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cs="Times New Roman"/>
          <w:bCs/>
          <w:color w:val="auto"/>
          <w:sz w:val="24"/>
          <w:szCs w:val="24"/>
          <w:highlight w:val="none"/>
          <w:lang w:val="en-US" w:eastAsia="zh-CN"/>
        </w:rPr>
        <w:t>中的高温化制工艺，处理工艺主要包括入料、高温化制、泄压、烘干等工序。使用一台1吨的沼气锅炉。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工艺流程介绍如下：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入料</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cs="Times New Roman"/>
          <w:bCs/>
          <w:color w:val="auto"/>
          <w:sz w:val="24"/>
          <w:szCs w:val="24"/>
          <w:highlight w:val="none"/>
          <w:lang w:val="en-US" w:eastAsia="zh-CN"/>
        </w:rPr>
        <w:t>病死猪即产即处理，病死猪经密封转运车运至无害化处理车间后，通过传送带直接输送至化制烘干一体机，该设备每批次可处理病死猪2t。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高温化制</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cs="Times New Roman"/>
          <w:bCs/>
          <w:color w:val="auto"/>
          <w:sz w:val="24"/>
          <w:szCs w:val="24"/>
          <w:highlight w:val="none"/>
          <w:lang w:val="en-US" w:eastAsia="zh-CN"/>
        </w:rPr>
        <w:t>一体机装入猪只后，采用间接加热方式</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cs="Times New Roman"/>
          <w:bCs/>
          <w:color w:val="auto"/>
          <w:sz w:val="24"/>
          <w:szCs w:val="24"/>
          <w:highlight w:val="none"/>
          <w:lang w:val="en-US" w:eastAsia="zh-CN"/>
        </w:rPr>
        <w:t>腔体外侧夹套内通入蒸汽，对猪只加热蒸煮，保持化制机内高温高压</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cs="Times New Roman"/>
          <w:bCs/>
          <w:color w:val="auto"/>
          <w:sz w:val="24"/>
          <w:szCs w:val="24"/>
          <w:highlight w:val="none"/>
          <w:lang w:val="en-US" w:eastAsia="zh-CN"/>
        </w:rPr>
        <w:t>处理物中心温度</w:t>
      </w:r>
      <w:r>
        <w:rPr>
          <w:rFonts w:hint="eastAsia" w:ascii="宋体" w:hAnsi="宋体" w:eastAsia="宋体" w:cs="宋体"/>
          <w:bCs/>
          <w:color w:val="auto"/>
          <w:sz w:val="24"/>
          <w:szCs w:val="24"/>
          <w:highlight w:val="none"/>
          <w:lang w:val="en-US" w:eastAsia="zh-CN"/>
        </w:rPr>
        <w:t>≥</w:t>
      </w:r>
      <w:r>
        <w:rPr>
          <w:rFonts w:hint="default" w:ascii="Times New Roman" w:hAnsi="Times New Roman" w:cs="Times New Roman"/>
          <w:bCs/>
          <w:color w:val="auto"/>
          <w:sz w:val="24"/>
          <w:szCs w:val="24"/>
          <w:highlight w:val="none"/>
          <w:lang w:val="en-US" w:eastAsia="zh-CN"/>
        </w:rPr>
        <w:t>140℃，压力</w:t>
      </w:r>
      <w:r>
        <w:rPr>
          <w:rFonts w:hint="eastAsia" w:ascii="宋体" w:hAnsi="宋体" w:eastAsia="宋体" w:cs="宋体"/>
          <w:bCs/>
          <w:color w:val="auto"/>
          <w:sz w:val="24"/>
          <w:szCs w:val="24"/>
          <w:highlight w:val="none"/>
          <w:lang w:val="en-US" w:eastAsia="zh-CN"/>
        </w:rPr>
        <w:t>≥</w:t>
      </w:r>
      <w:r>
        <w:rPr>
          <w:rFonts w:hint="default" w:ascii="Times New Roman" w:hAnsi="Times New Roman" w:cs="Times New Roman"/>
          <w:bCs/>
          <w:color w:val="auto"/>
          <w:sz w:val="24"/>
          <w:szCs w:val="24"/>
          <w:highlight w:val="none"/>
          <w:lang w:val="en-US" w:eastAsia="zh-CN"/>
        </w:rPr>
        <w:t>0.5MPa</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cs="Times New Roman"/>
          <w:bCs/>
          <w:color w:val="auto"/>
          <w:sz w:val="24"/>
          <w:szCs w:val="24"/>
          <w:highlight w:val="none"/>
          <w:lang w:val="en-US" w:eastAsia="zh-CN"/>
        </w:rPr>
        <w:t>2.5h后，高温高压将病死猪只携带的细菌病毒全部杀死。厂区配套一台沼气锅炉。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泄压</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cs="Times New Roman"/>
          <w:bCs/>
          <w:color w:val="auto"/>
          <w:sz w:val="24"/>
          <w:szCs w:val="24"/>
          <w:highlight w:val="none"/>
          <w:lang w:val="en-US" w:eastAsia="zh-CN"/>
        </w:rPr>
        <w:t>化制完成后进行泄压，泄压过程持续0.5h，高温高压过程猪体产生的蒸汽在泄压过程经冷凝塔冷凝洗涤后形成冷凝水进入厂区污水站处理。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烘干：泄压后物料在化制机内再通过间接加热方式进行烘干</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cs="Times New Roman"/>
          <w:bCs/>
          <w:color w:val="auto"/>
          <w:sz w:val="24"/>
          <w:szCs w:val="24"/>
          <w:highlight w:val="none"/>
          <w:lang w:val="en-US" w:eastAsia="zh-CN"/>
        </w:rPr>
        <w:t>通蒸汽0.5h</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cs="Times New Roman"/>
          <w:bCs/>
          <w:color w:val="auto"/>
          <w:sz w:val="24"/>
          <w:szCs w:val="24"/>
          <w:highlight w:val="none"/>
          <w:lang w:val="en-US" w:eastAsia="zh-CN"/>
        </w:rPr>
        <w:t xml:space="preserve">，烘干过程中的物料所含水分蒸发后再经冷凝塔冷凝洗涤后形成冷凝水进入厂区污水站处理。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除臭：泄压、烘干期间产生的恶臭气体通过冷凝洗涤装置将溶于水的部分吸收。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通过处理后最终产生肉骨渣外售制作生物有机肥。工艺流程图见下图。</w:t>
      </w:r>
    </w:p>
    <w:p>
      <w:pPr>
        <w:outlineLvl w:val="9"/>
        <w:rPr>
          <w:color w:val="auto"/>
          <w:highlight w:val="none"/>
        </w:rPr>
      </w:pPr>
      <w:r>
        <w:rPr>
          <w:color w:val="auto"/>
          <w:highlight w:val="none"/>
        </w:rPr>
        <w:drawing>
          <wp:inline distT="0" distB="0" distL="114300" distR="114300">
            <wp:extent cx="5406390" cy="3919855"/>
            <wp:effectExtent l="0" t="0" r="3810" b="444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27"/>
                    <a:stretch>
                      <a:fillRect/>
                    </a:stretch>
                  </pic:blipFill>
                  <pic:spPr>
                    <a:xfrm>
                      <a:off x="0" y="0"/>
                      <a:ext cx="5406390" cy="3919855"/>
                    </a:xfrm>
                    <a:prstGeom prst="rect">
                      <a:avLst/>
                    </a:prstGeom>
                    <a:noFill/>
                    <a:ln>
                      <a:noFill/>
                    </a:ln>
                  </pic:spPr>
                </pic:pic>
              </a:graphicData>
            </a:graphic>
          </wp:inline>
        </w:drawing>
      </w:r>
      <w:r>
        <w:rPr>
          <w:color w:val="auto"/>
          <w:sz w:val="24"/>
          <w:highlight w:val="none"/>
        </w:rPr>
        <mc:AlternateContent>
          <mc:Choice Requires="wps">
            <w:drawing>
              <wp:anchor distT="0" distB="0" distL="114300" distR="114300" simplePos="0" relativeHeight="259640320" behindDoc="0" locked="0" layoutInCell="1" allowOverlap="1">
                <wp:simplePos x="0" y="0"/>
                <wp:positionH relativeFrom="column">
                  <wp:posOffset>3592195</wp:posOffset>
                </wp:positionH>
                <wp:positionV relativeFrom="paragraph">
                  <wp:posOffset>1614170</wp:posOffset>
                </wp:positionV>
                <wp:extent cx="1380490" cy="457200"/>
                <wp:effectExtent l="0" t="0" r="0" b="0"/>
                <wp:wrapNone/>
                <wp:docPr id="22" name="矩形 22"/>
                <wp:cNvGraphicFramePr/>
                <a:graphic xmlns:a="http://schemas.openxmlformats.org/drawingml/2006/main">
                  <a:graphicData uri="http://schemas.microsoft.com/office/word/2010/wordprocessingShape">
                    <wps:wsp>
                      <wps:cNvSpPr/>
                      <wps:spPr>
                        <a:xfrm>
                          <a:off x="4571365" y="2012315"/>
                          <a:ext cx="138049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2.85pt;margin-top:127.1pt;height:36pt;width:108.7pt;z-index:259640320;v-text-anchor:middle;mso-width-relative:page;mso-height-relative:page;" filled="f" stroked="f" coordsize="21600,21600" o:gfxdata="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LjRba2QAAAAsBAAAP&#10;AAAAAAAAAAEAIAAAACIAAABkcnMvZG93bnJldi54bWxQSwECFAAUAAAACACHTuJAsFnTD1ACAABt&#10;BAAADgAAAAAAAAABACAAAAAoAQAAZHJzL2Uyb0RvYy54bWxQSwUGAAAAAAYABgBZAQAA6gUAAAAA&#10;">
                <v:fill on="f" focussize="0,0"/>
                <v:stroke on="f" weight="1pt" miterlimit="8" joinstyle="miter"/>
                <v:imagedata o:title=""/>
                <o:lock v:ext="edit" aspectratio="f"/>
                <v:textbox>
                  <w:txbxContent>
                    <w:p>
                      <w:pPr>
                        <w:jc w:val="center"/>
                      </w:pPr>
                    </w:p>
                  </w:txbxContent>
                </v:textbox>
              </v:rect>
            </w:pict>
          </mc:Fallback>
        </mc:AlternateContent>
      </w:r>
    </w:p>
    <w:p>
      <w:pPr>
        <w:pStyle w:val="2"/>
        <w:numPr>
          <w:ilvl w:val="0"/>
          <w:numId w:val="0"/>
        </w:numPr>
        <w:jc w:val="center"/>
        <w:rPr>
          <w:rStyle w:val="43"/>
          <w:rFonts w:hint="eastAsia" w:ascii="Times New Roman" w:hAnsi="Times New Roman"/>
          <w:color w:val="auto"/>
          <w:szCs w:val="22"/>
          <w:highlight w:val="none"/>
          <w:lang w:eastAsia="zh-CN"/>
        </w:rPr>
      </w:pPr>
      <w:r>
        <w:rPr>
          <w:rStyle w:val="43"/>
          <w:rFonts w:hint="eastAsia" w:ascii="Times New Roman" w:hAnsi="Times New Roman" w:cs="Times New Roman"/>
          <w:color w:val="auto"/>
          <w:szCs w:val="22"/>
          <w:highlight w:val="none"/>
          <w:lang w:eastAsia="zh-CN"/>
        </w:rPr>
        <w:t>图</w:t>
      </w:r>
      <w:r>
        <w:rPr>
          <w:rStyle w:val="43"/>
          <w:rFonts w:hint="eastAsia" w:cs="Times New Roman"/>
          <w:color w:val="auto"/>
          <w:szCs w:val="22"/>
          <w:highlight w:val="none"/>
          <w:lang w:val="en-US" w:eastAsia="zh-CN"/>
        </w:rPr>
        <w:t>2</w:t>
      </w:r>
      <w:r>
        <w:rPr>
          <w:rStyle w:val="43"/>
          <w:rFonts w:hint="eastAsia" w:ascii="Times New Roman" w:hAnsi="Times New Roman" w:cs="Times New Roman"/>
          <w:color w:val="auto"/>
          <w:szCs w:val="22"/>
          <w:highlight w:val="none"/>
          <w:lang w:val="en-US" w:eastAsia="zh-CN"/>
        </w:rPr>
        <w:t>.</w:t>
      </w:r>
      <w:r>
        <w:rPr>
          <w:rStyle w:val="43"/>
          <w:rFonts w:hint="eastAsia" w:cs="Times New Roman"/>
          <w:color w:val="auto"/>
          <w:szCs w:val="22"/>
          <w:highlight w:val="none"/>
          <w:lang w:val="en-US" w:eastAsia="zh-CN"/>
        </w:rPr>
        <w:t>8</w:t>
      </w:r>
      <w:r>
        <w:rPr>
          <w:rStyle w:val="43"/>
          <w:rFonts w:hint="eastAsia" w:ascii="Times New Roman" w:hAnsi="Times New Roman" w:cs="Times New Roman"/>
          <w:color w:val="auto"/>
          <w:szCs w:val="22"/>
          <w:highlight w:val="none"/>
          <w:lang w:eastAsia="zh-CN"/>
        </w:rPr>
        <w:t>-</w:t>
      </w:r>
      <w:r>
        <w:rPr>
          <w:rStyle w:val="43"/>
          <w:rFonts w:hint="eastAsia" w:cs="Times New Roman"/>
          <w:color w:val="auto"/>
          <w:szCs w:val="22"/>
          <w:highlight w:val="none"/>
          <w:lang w:val="en-US" w:eastAsia="zh-CN"/>
        </w:rPr>
        <w:t>6</w:t>
      </w:r>
      <w:r>
        <w:rPr>
          <w:rStyle w:val="43"/>
          <w:rFonts w:hint="eastAsia" w:ascii="Times New Roman" w:hAnsi="Times New Roman" w:cs="Times New Roman"/>
          <w:color w:val="auto"/>
          <w:szCs w:val="22"/>
          <w:highlight w:val="none"/>
          <w:lang w:eastAsia="zh-CN"/>
        </w:rPr>
        <w:t xml:space="preserve"> 病死猪无害化处理工艺流程及产污节点图</w:t>
      </w:r>
    </w:p>
    <w:p>
      <w:pPr>
        <w:pStyle w:val="4"/>
        <w:spacing w:before="132"/>
        <w:rPr>
          <w:rStyle w:val="45"/>
          <w:rFonts w:hint="eastAsia" w:ascii="Times New Roman" w:hAnsi="Times New Roman"/>
          <w:b/>
          <w:color w:val="auto"/>
          <w:highlight w:val="none"/>
          <w:lang w:eastAsia="zh-CN"/>
        </w:rPr>
      </w:pPr>
      <w:bookmarkStart w:id="22" w:name="_Toc30670"/>
      <w:r>
        <w:rPr>
          <w:rStyle w:val="45"/>
          <w:rFonts w:hint="eastAsia"/>
          <w:b/>
          <w:color w:val="auto"/>
          <w:highlight w:val="none"/>
          <w:lang w:val="en-US" w:eastAsia="zh-CN"/>
        </w:rPr>
        <w:t>2</w:t>
      </w:r>
      <w:r>
        <w:rPr>
          <w:rStyle w:val="45"/>
          <w:rFonts w:hint="eastAsia" w:ascii="Times New Roman" w:hAnsi="Times New Roman"/>
          <w:b/>
          <w:color w:val="auto"/>
          <w:highlight w:val="none"/>
        </w:rPr>
        <w:t>.</w:t>
      </w:r>
      <w:r>
        <w:rPr>
          <w:rStyle w:val="45"/>
          <w:rFonts w:hint="eastAsia"/>
          <w:b/>
          <w:color w:val="auto"/>
          <w:highlight w:val="none"/>
          <w:lang w:val="en-US" w:eastAsia="zh-CN"/>
        </w:rPr>
        <w:t>9</w:t>
      </w:r>
      <w:r>
        <w:rPr>
          <w:rStyle w:val="45"/>
          <w:rFonts w:hint="eastAsia" w:ascii="Times New Roman" w:hAnsi="Times New Roman"/>
          <w:b/>
          <w:color w:val="auto"/>
          <w:highlight w:val="none"/>
          <w:lang w:eastAsia="zh-CN"/>
        </w:rPr>
        <w:t>产污环节分析</w:t>
      </w:r>
      <w:bookmarkEnd w:id="22"/>
    </w:p>
    <w:p>
      <w:pPr>
        <w:rPr>
          <w:rFonts w:hint="eastAsia"/>
          <w:color w:val="auto"/>
          <w:highlight w:val="none"/>
          <w:lang w:eastAsia="zh-CN"/>
        </w:rPr>
      </w:pPr>
      <w:r>
        <w:rPr>
          <w:rFonts w:hint="eastAsia"/>
          <w:color w:val="auto"/>
          <w:highlight w:val="none"/>
          <w:lang w:eastAsia="zh-CN"/>
        </w:rPr>
        <w:t>本项目为新建项目，主要的污染源分为施工期污染源以及项目正常运营期污染源。</w:t>
      </w:r>
    </w:p>
    <w:p>
      <w:pPr>
        <w:pStyle w:val="5"/>
        <w:spacing w:before="66"/>
        <w:ind w:firstLine="0" w:firstLineChars="0"/>
        <w:rPr>
          <w:rFonts w:hint="eastAsia" w:cs="Times New Roman"/>
          <w:color w:val="auto"/>
          <w:highlight w:val="none"/>
          <w:lang w:val="en-US" w:eastAsia="zh-CN"/>
        </w:rPr>
      </w:pPr>
      <w:r>
        <w:rPr>
          <w:rFonts w:hint="eastAsia" w:cs="Times New Roman"/>
          <w:color w:val="auto"/>
          <w:highlight w:val="none"/>
          <w:lang w:val="en-US" w:eastAsia="zh-CN"/>
        </w:rPr>
        <w:t>2.9.1施工期产污情况</w:t>
      </w:r>
    </w:p>
    <w:p>
      <w:pPr>
        <w:ind w:firstLine="480"/>
        <w:rPr>
          <w:rFonts w:hint="eastAsia"/>
          <w:color w:val="auto"/>
          <w:highlight w:val="none"/>
        </w:rPr>
      </w:pPr>
      <w:r>
        <w:rPr>
          <w:rFonts w:hint="eastAsia"/>
          <w:color w:val="auto"/>
          <w:highlight w:val="none"/>
        </w:rPr>
        <w:t>主要为</w:t>
      </w:r>
      <w:r>
        <w:rPr>
          <w:rFonts w:hint="eastAsia" w:cs="Times New Roman"/>
          <w:color w:val="auto"/>
          <w:highlight w:val="none"/>
        </w:rPr>
        <w:t>建筑施工噪声、扬尘、建筑垃圾、建筑废水以及施工人员的生活污水与生活垃圾</w:t>
      </w:r>
      <w:r>
        <w:rPr>
          <w:rFonts w:hint="eastAsia" w:cs="Times New Roman"/>
          <w:color w:val="auto"/>
          <w:highlight w:val="none"/>
          <w:lang w:eastAsia="zh-CN"/>
        </w:rPr>
        <w:t>以及</w:t>
      </w:r>
      <w:r>
        <w:rPr>
          <w:rFonts w:hint="eastAsia" w:cs="Times New Roman"/>
          <w:color w:val="auto"/>
          <w:highlight w:val="none"/>
        </w:rPr>
        <w:t>室内装修过程中产生的装修垃圾、涂料废气以及装修噪声等</w:t>
      </w:r>
      <w:r>
        <w:rPr>
          <w:rFonts w:hint="eastAsia"/>
          <w:color w:val="auto"/>
          <w:highlight w:val="none"/>
        </w:rPr>
        <w:t>。</w:t>
      </w:r>
    </w:p>
    <w:p>
      <w:pPr>
        <w:pStyle w:val="5"/>
        <w:spacing w:before="66"/>
        <w:ind w:firstLine="0" w:firstLineChars="0"/>
        <w:rPr>
          <w:rFonts w:hint="default" w:cs="Times New Roman"/>
          <w:color w:val="auto"/>
          <w:highlight w:val="none"/>
          <w:lang w:val="en-US" w:eastAsia="zh-CN"/>
        </w:rPr>
      </w:pPr>
      <w:r>
        <w:rPr>
          <w:rFonts w:hint="eastAsia" w:cs="Times New Roman"/>
          <w:color w:val="auto"/>
          <w:highlight w:val="none"/>
          <w:lang w:val="en-US" w:eastAsia="zh-CN"/>
        </w:rPr>
        <w:t xml:space="preserve">2.9.2运营期产污情况 </w:t>
      </w:r>
    </w:p>
    <w:p>
      <w:pPr>
        <w:pStyle w:val="134"/>
        <w:tabs>
          <w:tab w:val="left" w:pos="9214"/>
        </w:tabs>
        <w:rPr>
          <w:color w:val="auto"/>
          <w:highlight w:val="none"/>
        </w:rPr>
      </w:pPr>
      <w:r>
        <w:rPr>
          <w:color w:val="auto"/>
          <w:highlight w:val="none"/>
        </w:rPr>
        <w:t>营运期间的主要污染环节见表</w:t>
      </w:r>
      <w:r>
        <w:rPr>
          <w:rFonts w:hint="eastAsia"/>
          <w:color w:val="auto"/>
          <w:highlight w:val="none"/>
          <w:lang w:val="en-US" w:eastAsia="zh-CN"/>
        </w:rPr>
        <w:t>2.9</w:t>
      </w:r>
      <w:r>
        <w:rPr>
          <w:color w:val="auto"/>
          <w:highlight w:val="none"/>
        </w:rPr>
        <w:t>-1和图</w:t>
      </w:r>
      <w:r>
        <w:rPr>
          <w:rFonts w:hint="eastAsia"/>
          <w:color w:val="auto"/>
          <w:highlight w:val="none"/>
          <w:lang w:val="en-US" w:eastAsia="zh-CN"/>
        </w:rPr>
        <w:t>2.9</w:t>
      </w:r>
      <w:r>
        <w:rPr>
          <w:color w:val="auto"/>
          <w:highlight w:val="none"/>
        </w:rPr>
        <w:t>-1。</w:t>
      </w:r>
    </w:p>
    <w:p>
      <w:pPr>
        <w:pStyle w:val="21"/>
        <w:rPr>
          <w:rFonts w:hint="eastAsia" w:cs="Times New Roman"/>
          <w:color w:val="auto"/>
          <w:highlight w:val="none"/>
          <w:lang w:val="en-US" w:eastAsia="zh-CN"/>
        </w:rPr>
      </w:pPr>
      <w:r>
        <w:rPr>
          <w:rFonts w:hint="eastAsia" w:cs="Times New Roman"/>
          <w:color w:val="auto"/>
          <w:highlight w:val="none"/>
          <w:lang w:val="en-US" w:eastAsia="zh-CN"/>
        </w:rPr>
        <w:t>表2.10-1 运营期产污环节分析</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1095"/>
        <w:gridCol w:w="917"/>
        <w:gridCol w:w="1343"/>
        <w:gridCol w:w="1770"/>
        <w:gridCol w:w="28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blHeader/>
        </w:trPr>
        <w:tc>
          <w:tcPr>
            <w:tcW w:w="1089" w:type="pct"/>
            <w:gridSpan w:val="2"/>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产排污环节</w:t>
            </w:r>
          </w:p>
        </w:tc>
        <w:tc>
          <w:tcPr>
            <w:tcW w:w="525"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编号</w:t>
            </w:r>
          </w:p>
        </w:tc>
        <w:tc>
          <w:tcPr>
            <w:tcW w:w="769"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污染源</w:t>
            </w:r>
          </w:p>
        </w:tc>
        <w:tc>
          <w:tcPr>
            <w:tcW w:w="101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成分</w:t>
            </w:r>
          </w:p>
        </w:tc>
        <w:tc>
          <w:tcPr>
            <w:tcW w:w="160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89" w:type="pct"/>
            <w:gridSpan w:val="2"/>
            <w:vMerge w:val="restar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猪舍</w:t>
            </w:r>
          </w:p>
        </w:tc>
        <w:tc>
          <w:tcPr>
            <w:tcW w:w="525"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G1</w:t>
            </w:r>
          </w:p>
        </w:tc>
        <w:tc>
          <w:tcPr>
            <w:tcW w:w="769"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恶臭</w:t>
            </w:r>
          </w:p>
        </w:tc>
        <w:tc>
          <w:tcPr>
            <w:tcW w:w="101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H</w:t>
            </w:r>
            <w:r>
              <w:rPr>
                <w:rFonts w:ascii="Times New Roman" w:hAnsi="Times New Roman" w:cs="Times New Roman"/>
                <w:b w:val="0"/>
                <w:bCs/>
                <w:color w:val="auto"/>
                <w:sz w:val="21"/>
                <w:szCs w:val="21"/>
                <w:highlight w:val="none"/>
                <w:vertAlign w:val="subscript"/>
              </w:rPr>
              <w:t>2</w:t>
            </w:r>
            <w:r>
              <w:rPr>
                <w:rFonts w:ascii="Times New Roman" w:hAnsi="Times New Roman" w:cs="Times New Roman"/>
                <w:b w:val="0"/>
                <w:bCs/>
                <w:color w:val="auto"/>
                <w:sz w:val="21"/>
                <w:szCs w:val="21"/>
                <w:highlight w:val="none"/>
              </w:rPr>
              <w:t>S、NH</w:t>
            </w:r>
            <w:r>
              <w:rPr>
                <w:rFonts w:ascii="Times New Roman" w:hAnsi="Times New Roman" w:cs="Times New Roman"/>
                <w:b w:val="0"/>
                <w:bCs/>
                <w:color w:val="auto"/>
                <w:sz w:val="21"/>
                <w:szCs w:val="21"/>
                <w:highlight w:val="none"/>
                <w:vertAlign w:val="subscript"/>
              </w:rPr>
              <w:t>3</w:t>
            </w:r>
          </w:p>
        </w:tc>
        <w:tc>
          <w:tcPr>
            <w:tcW w:w="160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W1</w:t>
            </w:r>
          </w:p>
        </w:tc>
        <w:tc>
          <w:tcPr>
            <w:tcW w:w="769"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猪尿液</w:t>
            </w:r>
          </w:p>
        </w:tc>
        <w:tc>
          <w:tcPr>
            <w:tcW w:w="1013" w:type="pct"/>
            <w:vMerge w:val="restar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COD、NH</w:t>
            </w:r>
            <w:r>
              <w:rPr>
                <w:rFonts w:ascii="Times New Roman" w:hAnsi="Times New Roman" w:cs="Times New Roman"/>
                <w:b w:val="0"/>
                <w:bCs/>
                <w:color w:val="auto"/>
                <w:sz w:val="21"/>
                <w:szCs w:val="21"/>
                <w:highlight w:val="none"/>
                <w:vertAlign w:val="subscript"/>
              </w:rPr>
              <w:t>3</w:t>
            </w:r>
            <w:r>
              <w:rPr>
                <w:rFonts w:ascii="Times New Roman" w:hAnsi="Times New Roman" w:cs="Times New Roman"/>
                <w:b w:val="0"/>
                <w:bCs/>
                <w:color w:val="auto"/>
                <w:sz w:val="21"/>
                <w:szCs w:val="21"/>
                <w:highlight w:val="none"/>
              </w:rPr>
              <w:t>-N</w:t>
            </w:r>
          </w:p>
        </w:tc>
        <w:tc>
          <w:tcPr>
            <w:tcW w:w="1603" w:type="pct"/>
            <w:vMerge w:val="restar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经</w:t>
            </w:r>
            <w:r>
              <w:rPr>
                <w:rFonts w:hint="eastAsia" w:ascii="Times New Roman" w:hAnsi="Times New Roman" w:cs="Times New Roman"/>
                <w:b w:val="0"/>
                <w:bCs/>
                <w:color w:val="auto"/>
                <w:sz w:val="21"/>
                <w:szCs w:val="21"/>
                <w:highlight w:val="none"/>
                <w:lang w:eastAsia="zh-CN"/>
              </w:rPr>
              <w:t>黑膜</w:t>
            </w:r>
            <w:r>
              <w:rPr>
                <w:rFonts w:ascii="Times New Roman" w:hAnsi="Times New Roman" w:cs="Times New Roman"/>
                <w:b w:val="0"/>
                <w:bCs/>
                <w:color w:val="auto"/>
                <w:sz w:val="21"/>
                <w:szCs w:val="21"/>
                <w:highlight w:val="none"/>
              </w:rPr>
              <w:t>湖沼气池处理后作农肥还田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W2</w:t>
            </w:r>
          </w:p>
        </w:tc>
        <w:tc>
          <w:tcPr>
            <w:tcW w:w="769"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猪舍冲洗水</w:t>
            </w:r>
          </w:p>
        </w:tc>
        <w:tc>
          <w:tcPr>
            <w:tcW w:w="1013" w:type="pct"/>
            <w:vMerge w:val="continue"/>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p>
        </w:tc>
        <w:tc>
          <w:tcPr>
            <w:tcW w:w="1603" w:type="pct"/>
            <w:vMerge w:val="continue"/>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Z1</w:t>
            </w:r>
          </w:p>
        </w:tc>
        <w:tc>
          <w:tcPr>
            <w:tcW w:w="769"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猪叫</w:t>
            </w:r>
          </w:p>
        </w:tc>
        <w:tc>
          <w:tcPr>
            <w:tcW w:w="101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w:t>
            </w:r>
          </w:p>
        </w:tc>
        <w:tc>
          <w:tcPr>
            <w:tcW w:w="1603" w:type="pct"/>
            <w:vMerge w:val="restar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Z2</w:t>
            </w:r>
          </w:p>
        </w:tc>
        <w:tc>
          <w:tcPr>
            <w:tcW w:w="769"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机械噪声</w:t>
            </w:r>
          </w:p>
        </w:tc>
        <w:tc>
          <w:tcPr>
            <w:tcW w:w="101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w:t>
            </w:r>
          </w:p>
        </w:tc>
        <w:tc>
          <w:tcPr>
            <w:tcW w:w="1603" w:type="pct"/>
            <w:vMerge w:val="continue"/>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S1</w:t>
            </w:r>
          </w:p>
        </w:tc>
        <w:tc>
          <w:tcPr>
            <w:tcW w:w="769"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猪粪</w:t>
            </w:r>
          </w:p>
        </w:tc>
        <w:tc>
          <w:tcPr>
            <w:tcW w:w="101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w:t>
            </w:r>
          </w:p>
        </w:tc>
        <w:tc>
          <w:tcPr>
            <w:tcW w:w="160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生产有机肥基肥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S2</w:t>
            </w:r>
          </w:p>
        </w:tc>
        <w:tc>
          <w:tcPr>
            <w:tcW w:w="769"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病死猪尸体</w:t>
            </w:r>
          </w:p>
        </w:tc>
        <w:tc>
          <w:tcPr>
            <w:tcW w:w="101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w:t>
            </w:r>
          </w:p>
        </w:tc>
        <w:tc>
          <w:tcPr>
            <w:tcW w:w="160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hint="eastAsia" w:cs="Times New Roman"/>
                <w:b w:val="0"/>
                <w:bCs/>
                <w:color w:val="auto"/>
                <w:sz w:val="21"/>
                <w:szCs w:val="21"/>
                <w:highlight w:val="none"/>
                <w:lang w:eastAsia="zh-CN"/>
              </w:rPr>
              <w:t>由厂区无害化处理车间处置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S3</w:t>
            </w:r>
          </w:p>
        </w:tc>
        <w:tc>
          <w:tcPr>
            <w:tcW w:w="769"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医疗废物</w:t>
            </w:r>
          </w:p>
        </w:tc>
        <w:tc>
          <w:tcPr>
            <w:tcW w:w="101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w:t>
            </w:r>
          </w:p>
        </w:tc>
        <w:tc>
          <w:tcPr>
            <w:tcW w:w="160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交由新蔡县中绿环保有限公司处置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62" w:type="pct"/>
            <w:vMerge w:val="restar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粪污处理区</w:t>
            </w:r>
          </w:p>
        </w:tc>
        <w:tc>
          <w:tcPr>
            <w:tcW w:w="627" w:type="pct"/>
            <w:vMerge w:val="restar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沼气工程</w:t>
            </w:r>
          </w:p>
        </w:tc>
        <w:tc>
          <w:tcPr>
            <w:tcW w:w="525"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G2</w:t>
            </w:r>
          </w:p>
        </w:tc>
        <w:tc>
          <w:tcPr>
            <w:tcW w:w="769"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恶臭</w:t>
            </w:r>
          </w:p>
        </w:tc>
        <w:tc>
          <w:tcPr>
            <w:tcW w:w="101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H</w:t>
            </w:r>
            <w:r>
              <w:rPr>
                <w:rFonts w:ascii="Times New Roman" w:hAnsi="Times New Roman" w:cs="Times New Roman"/>
                <w:b w:val="0"/>
                <w:bCs/>
                <w:color w:val="auto"/>
                <w:sz w:val="21"/>
                <w:szCs w:val="21"/>
                <w:highlight w:val="none"/>
                <w:vertAlign w:val="subscript"/>
              </w:rPr>
              <w:t>2</w:t>
            </w:r>
            <w:r>
              <w:rPr>
                <w:rFonts w:ascii="Times New Roman" w:hAnsi="Times New Roman" w:cs="Times New Roman"/>
                <w:b w:val="0"/>
                <w:bCs/>
                <w:color w:val="auto"/>
                <w:sz w:val="21"/>
                <w:szCs w:val="21"/>
                <w:highlight w:val="none"/>
              </w:rPr>
              <w:t>S、NH</w:t>
            </w:r>
            <w:r>
              <w:rPr>
                <w:rFonts w:ascii="Times New Roman" w:hAnsi="Times New Roman" w:cs="Times New Roman"/>
                <w:b w:val="0"/>
                <w:bCs/>
                <w:color w:val="auto"/>
                <w:sz w:val="21"/>
                <w:szCs w:val="21"/>
                <w:highlight w:val="none"/>
                <w:vertAlign w:val="subscript"/>
              </w:rPr>
              <w:t>3</w:t>
            </w:r>
          </w:p>
        </w:tc>
        <w:tc>
          <w:tcPr>
            <w:tcW w:w="160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462" w:type="pct"/>
            <w:vMerge w:val="continue"/>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p>
        </w:tc>
        <w:tc>
          <w:tcPr>
            <w:tcW w:w="627" w:type="pct"/>
            <w:vMerge w:val="continue"/>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Z3</w:t>
            </w:r>
          </w:p>
        </w:tc>
        <w:tc>
          <w:tcPr>
            <w:tcW w:w="769"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机械噪声</w:t>
            </w:r>
          </w:p>
        </w:tc>
        <w:tc>
          <w:tcPr>
            <w:tcW w:w="101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w:t>
            </w:r>
          </w:p>
        </w:tc>
        <w:tc>
          <w:tcPr>
            <w:tcW w:w="160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462" w:type="pct"/>
            <w:vMerge w:val="continue"/>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p>
        </w:tc>
        <w:tc>
          <w:tcPr>
            <w:tcW w:w="627" w:type="pct"/>
            <w:vMerge w:val="continue"/>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S4</w:t>
            </w:r>
          </w:p>
        </w:tc>
        <w:tc>
          <w:tcPr>
            <w:tcW w:w="769"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沼渣</w:t>
            </w:r>
          </w:p>
        </w:tc>
        <w:tc>
          <w:tcPr>
            <w:tcW w:w="101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w:t>
            </w:r>
          </w:p>
        </w:tc>
        <w:tc>
          <w:tcPr>
            <w:tcW w:w="160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固粪处理区</w:t>
            </w:r>
            <w:r>
              <w:rPr>
                <w:rFonts w:hint="eastAsia" w:ascii="Times New Roman" w:hAnsi="Times New Roman" w:cs="Times New Roman"/>
                <w:b w:val="0"/>
                <w:bCs/>
                <w:color w:val="auto"/>
                <w:sz w:val="21"/>
                <w:szCs w:val="21"/>
                <w:highlight w:val="none"/>
              </w:rPr>
              <w:t>进行堆肥，形成有机肥基料外售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62" w:type="pct"/>
            <w:vMerge w:val="continue"/>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p>
        </w:tc>
        <w:tc>
          <w:tcPr>
            <w:tcW w:w="627" w:type="pct"/>
            <w:vMerge w:val="restar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固粪处理区</w:t>
            </w:r>
          </w:p>
        </w:tc>
        <w:tc>
          <w:tcPr>
            <w:tcW w:w="525" w:type="pct"/>
            <w:noWrap w:val="0"/>
            <w:vAlign w:val="center"/>
          </w:tcPr>
          <w:p>
            <w:pPr>
              <w:spacing w:line="240" w:lineRule="auto"/>
              <w:ind w:firstLine="0" w:firstLineChars="0"/>
              <w:jc w:val="center"/>
              <w:rPr>
                <w:rFonts w:hint="eastAsia" w:ascii="Times New Roman" w:hAnsi="Times New Roman" w:eastAsia="宋体" w:cs="Times New Roman"/>
                <w:b w:val="0"/>
                <w:bCs/>
                <w:color w:val="auto"/>
                <w:sz w:val="21"/>
                <w:szCs w:val="21"/>
                <w:highlight w:val="none"/>
                <w:lang w:eastAsia="zh-CN"/>
              </w:rPr>
            </w:pPr>
            <w:r>
              <w:rPr>
                <w:rFonts w:ascii="Times New Roman" w:hAnsi="Times New Roman" w:cs="Times New Roman"/>
                <w:b w:val="0"/>
                <w:bCs/>
                <w:color w:val="auto"/>
                <w:sz w:val="21"/>
                <w:szCs w:val="21"/>
                <w:highlight w:val="none"/>
              </w:rPr>
              <w:t>G</w:t>
            </w:r>
            <w:r>
              <w:rPr>
                <w:rFonts w:hint="eastAsia" w:cs="Times New Roman"/>
                <w:b w:val="0"/>
                <w:bCs/>
                <w:color w:val="auto"/>
                <w:sz w:val="21"/>
                <w:szCs w:val="21"/>
                <w:highlight w:val="none"/>
                <w:lang w:val="en-US" w:eastAsia="zh-CN"/>
              </w:rPr>
              <w:t>3</w:t>
            </w:r>
          </w:p>
        </w:tc>
        <w:tc>
          <w:tcPr>
            <w:tcW w:w="769"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恶臭</w:t>
            </w:r>
          </w:p>
        </w:tc>
        <w:tc>
          <w:tcPr>
            <w:tcW w:w="101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H</w:t>
            </w:r>
            <w:r>
              <w:rPr>
                <w:rFonts w:ascii="Times New Roman" w:hAnsi="Times New Roman" w:cs="Times New Roman"/>
                <w:b w:val="0"/>
                <w:bCs/>
                <w:color w:val="auto"/>
                <w:sz w:val="21"/>
                <w:szCs w:val="21"/>
                <w:highlight w:val="none"/>
                <w:vertAlign w:val="subscript"/>
              </w:rPr>
              <w:t>2</w:t>
            </w:r>
            <w:r>
              <w:rPr>
                <w:rFonts w:ascii="Times New Roman" w:hAnsi="Times New Roman" w:cs="Times New Roman"/>
                <w:b w:val="0"/>
                <w:bCs/>
                <w:color w:val="auto"/>
                <w:sz w:val="21"/>
                <w:szCs w:val="21"/>
                <w:highlight w:val="none"/>
              </w:rPr>
              <w:t>S、NH</w:t>
            </w:r>
            <w:r>
              <w:rPr>
                <w:rFonts w:ascii="Times New Roman" w:hAnsi="Times New Roman" w:cs="Times New Roman"/>
                <w:b w:val="0"/>
                <w:bCs/>
                <w:color w:val="auto"/>
                <w:sz w:val="21"/>
                <w:szCs w:val="21"/>
                <w:highlight w:val="none"/>
                <w:vertAlign w:val="subscript"/>
              </w:rPr>
              <w:t>3</w:t>
            </w:r>
          </w:p>
        </w:tc>
        <w:tc>
          <w:tcPr>
            <w:tcW w:w="160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62" w:type="pct"/>
            <w:vMerge w:val="continue"/>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p>
        </w:tc>
        <w:tc>
          <w:tcPr>
            <w:tcW w:w="627" w:type="pct"/>
            <w:vMerge w:val="continue"/>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Z4</w:t>
            </w:r>
          </w:p>
        </w:tc>
        <w:tc>
          <w:tcPr>
            <w:tcW w:w="769"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机械噪声</w:t>
            </w:r>
          </w:p>
        </w:tc>
        <w:tc>
          <w:tcPr>
            <w:tcW w:w="101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w:t>
            </w:r>
          </w:p>
        </w:tc>
        <w:tc>
          <w:tcPr>
            <w:tcW w:w="160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62" w:type="pct"/>
            <w:vMerge w:val="continue"/>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p>
        </w:tc>
        <w:tc>
          <w:tcPr>
            <w:tcW w:w="627" w:type="pct"/>
            <w:vMerge w:val="restar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hint="eastAsia" w:cs="Times New Roman"/>
                <w:b w:val="0"/>
                <w:bCs/>
                <w:color w:val="auto"/>
                <w:sz w:val="21"/>
                <w:szCs w:val="21"/>
                <w:highlight w:val="none"/>
                <w:lang w:eastAsia="zh-CN"/>
              </w:rPr>
              <w:t>无害化处理车间</w:t>
            </w:r>
          </w:p>
        </w:tc>
        <w:tc>
          <w:tcPr>
            <w:tcW w:w="525"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W</w:t>
            </w:r>
            <w:r>
              <w:rPr>
                <w:rFonts w:hint="eastAsia" w:cs="Times New Roman"/>
                <w:b w:val="0"/>
                <w:bCs/>
                <w:color w:val="auto"/>
                <w:sz w:val="21"/>
                <w:szCs w:val="21"/>
                <w:highlight w:val="none"/>
                <w:lang w:val="en-US" w:eastAsia="zh-CN"/>
              </w:rPr>
              <w:t>4</w:t>
            </w:r>
          </w:p>
        </w:tc>
        <w:tc>
          <w:tcPr>
            <w:tcW w:w="769"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hint="eastAsia" w:cs="Times New Roman"/>
                <w:b w:val="0"/>
                <w:bCs/>
                <w:color w:val="auto"/>
                <w:sz w:val="21"/>
                <w:szCs w:val="21"/>
                <w:highlight w:val="none"/>
                <w:lang w:eastAsia="zh-CN"/>
              </w:rPr>
              <w:t>无害化处理车间废水</w:t>
            </w:r>
          </w:p>
        </w:tc>
        <w:tc>
          <w:tcPr>
            <w:tcW w:w="101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COD、NH</w:t>
            </w:r>
            <w:r>
              <w:rPr>
                <w:rFonts w:ascii="Times New Roman" w:hAnsi="Times New Roman" w:cs="Times New Roman"/>
                <w:b w:val="0"/>
                <w:bCs/>
                <w:color w:val="auto"/>
                <w:sz w:val="21"/>
                <w:szCs w:val="21"/>
                <w:highlight w:val="none"/>
                <w:vertAlign w:val="subscript"/>
              </w:rPr>
              <w:t>3</w:t>
            </w:r>
            <w:r>
              <w:rPr>
                <w:rFonts w:ascii="Times New Roman" w:hAnsi="Times New Roman" w:cs="Times New Roman"/>
                <w:b w:val="0"/>
                <w:bCs/>
                <w:color w:val="auto"/>
                <w:sz w:val="21"/>
                <w:szCs w:val="21"/>
                <w:highlight w:val="none"/>
              </w:rPr>
              <w:t>-N</w:t>
            </w:r>
          </w:p>
        </w:tc>
        <w:tc>
          <w:tcPr>
            <w:tcW w:w="160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经</w:t>
            </w:r>
            <w:r>
              <w:rPr>
                <w:rFonts w:hint="eastAsia" w:ascii="Times New Roman" w:hAnsi="Times New Roman" w:cs="Times New Roman"/>
                <w:b w:val="0"/>
                <w:bCs/>
                <w:color w:val="auto"/>
                <w:sz w:val="21"/>
                <w:szCs w:val="21"/>
                <w:highlight w:val="none"/>
                <w:lang w:eastAsia="zh-CN"/>
              </w:rPr>
              <w:t>黑膜</w:t>
            </w:r>
            <w:r>
              <w:rPr>
                <w:rFonts w:ascii="Times New Roman" w:hAnsi="Times New Roman" w:cs="Times New Roman"/>
                <w:b w:val="0"/>
                <w:bCs/>
                <w:color w:val="auto"/>
                <w:sz w:val="21"/>
                <w:szCs w:val="21"/>
                <w:highlight w:val="none"/>
              </w:rPr>
              <w:t>沼气池处理后作农肥还田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62" w:type="pct"/>
            <w:vMerge w:val="continue"/>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p>
        </w:tc>
        <w:tc>
          <w:tcPr>
            <w:tcW w:w="627" w:type="pct"/>
            <w:vMerge w:val="continue"/>
            <w:noWrap w:val="0"/>
            <w:vAlign w:val="center"/>
          </w:tcPr>
          <w:p>
            <w:pPr>
              <w:spacing w:line="240" w:lineRule="auto"/>
              <w:ind w:firstLine="0" w:firstLineChars="0"/>
              <w:jc w:val="center"/>
              <w:rPr>
                <w:rFonts w:hint="eastAsia" w:cs="Times New Roman"/>
                <w:b w:val="0"/>
                <w:bCs/>
                <w:color w:val="auto"/>
                <w:sz w:val="21"/>
                <w:szCs w:val="21"/>
                <w:highlight w:val="none"/>
                <w:lang w:eastAsia="zh-CN"/>
              </w:rPr>
            </w:pPr>
          </w:p>
        </w:tc>
        <w:tc>
          <w:tcPr>
            <w:tcW w:w="525"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G</w:t>
            </w:r>
            <w:r>
              <w:rPr>
                <w:rFonts w:hint="eastAsia" w:cs="Times New Roman"/>
                <w:b w:val="0"/>
                <w:bCs/>
                <w:color w:val="auto"/>
                <w:sz w:val="21"/>
                <w:szCs w:val="21"/>
                <w:highlight w:val="none"/>
                <w:lang w:val="en-US" w:eastAsia="zh-CN"/>
              </w:rPr>
              <w:t>5</w:t>
            </w:r>
          </w:p>
        </w:tc>
        <w:tc>
          <w:tcPr>
            <w:tcW w:w="769" w:type="pct"/>
            <w:noWrap w:val="0"/>
            <w:vAlign w:val="center"/>
          </w:tcPr>
          <w:p>
            <w:pPr>
              <w:spacing w:line="240" w:lineRule="auto"/>
              <w:ind w:firstLine="0" w:firstLineChars="0"/>
              <w:jc w:val="center"/>
              <w:rPr>
                <w:rFonts w:hint="eastAsia" w:cs="Times New Roman"/>
                <w:b w:val="0"/>
                <w:bCs/>
                <w:color w:val="auto"/>
                <w:sz w:val="21"/>
                <w:szCs w:val="21"/>
                <w:highlight w:val="none"/>
                <w:lang w:eastAsia="zh-CN"/>
              </w:rPr>
            </w:pPr>
            <w:r>
              <w:rPr>
                <w:rFonts w:hint="eastAsia" w:cs="Times New Roman"/>
                <w:b w:val="0"/>
                <w:bCs/>
                <w:color w:val="auto"/>
                <w:sz w:val="21"/>
                <w:szCs w:val="21"/>
                <w:highlight w:val="none"/>
                <w:lang w:eastAsia="zh-CN"/>
              </w:rPr>
              <w:t>沼气锅炉燃烧废气</w:t>
            </w:r>
          </w:p>
        </w:tc>
        <w:tc>
          <w:tcPr>
            <w:tcW w:w="101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hint="eastAsia" w:ascii="Times New Roman" w:hAnsi="Times New Roman"/>
                <w:color w:val="auto"/>
                <w:sz w:val="21"/>
                <w:szCs w:val="21"/>
                <w:highlight w:val="none"/>
                <w:lang w:val="en-US" w:eastAsia="zh-CN"/>
              </w:rPr>
              <w:t>SO</w:t>
            </w:r>
            <w:r>
              <w:rPr>
                <w:rFonts w:hint="eastAsia" w:ascii="Times New Roman" w:hAnsi="Times New Roman"/>
                <w:color w:val="auto"/>
                <w:sz w:val="21"/>
                <w:szCs w:val="21"/>
                <w:highlight w:val="none"/>
                <w:vertAlign w:val="subscript"/>
                <w:lang w:val="en-US" w:eastAsia="zh-CN"/>
              </w:rPr>
              <w:t>2</w:t>
            </w:r>
            <w:r>
              <w:rPr>
                <w:rFonts w:hint="eastAsia" w:ascii="Times New Roman" w:hAnsi="Times New Roman"/>
                <w:color w:val="auto"/>
                <w:sz w:val="21"/>
                <w:szCs w:val="21"/>
                <w:highlight w:val="none"/>
                <w:vertAlign w:val="baseline"/>
                <w:lang w:val="en-US" w:eastAsia="zh-CN"/>
              </w:rPr>
              <w:t>、NO</w:t>
            </w:r>
            <w:r>
              <w:rPr>
                <w:rFonts w:hint="eastAsia"/>
                <w:color w:val="auto"/>
                <w:sz w:val="21"/>
                <w:szCs w:val="21"/>
                <w:highlight w:val="none"/>
                <w:vertAlign w:val="subscript"/>
                <w:lang w:val="en-US" w:eastAsia="zh-CN"/>
              </w:rPr>
              <w:t>X</w:t>
            </w:r>
            <w:r>
              <w:rPr>
                <w:rFonts w:hint="eastAsia"/>
                <w:color w:val="auto"/>
                <w:sz w:val="21"/>
                <w:szCs w:val="21"/>
                <w:highlight w:val="none"/>
                <w:vertAlign w:val="baseline"/>
                <w:lang w:val="en-US" w:eastAsia="zh-CN"/>
              </w:rPr>
              <w:t>、颗粒物</w:t>
            </w:r>
          </w:p>
        </w:tc>
        <w:tc>
          <w:tcPr>
            <w:tcW w:w="160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olor w:val="auto"/>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62" w:type="pct"/>
            <w:vMerge w:val="continue"/>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p>
        </w:tc>
        <w:tc>
          <w:tcPr>
            <w:tcW w:w="627" w:type="pct"/>
            <w:vMerge w:val="continue"/>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G</w:t>
            </w:r>
            <w:r>
              <w:rPr>
                <w:rFonts w:hint="eastAsia" w:cs="Times New Roman"/>
                <w:b w:val="0"/>
                <w:bCs/>
                <w:color w:val="auto"/>
                <w:sz w:val="21"/>
                <w:szCs w:val="21"/>
                <w:highlight w:val="none"/>
                <w:lang w:val="en-US" w:eastAsia="zh-CN"/>
              </w:rPr>
              <w:t>6</w:t>
            </w:r>
          </w:p>
        </w:tc>
        <w:tc>
          <w:tcPr>
            <w:tcW w:w="769" w:type="pct"/>
            <w:noWrap w:val="0"/>
            <w:vAlign w:val="center"/>
          </w:tcPr>
          <w:p>
            <w:pPr>
              <w:spacing w:line="240" w:lineRule="auto"/>
              <w:ind w:firstLine="0" w:firstLineChars="0"/>
              <w:jc w:val="center"/>
              <w:rPr>
                <w:rFonts w:hint="eastAsia" w:ascii="Times New Roman" w:hAnsi="Times New Roman" w:eastAsia="宋体" w:cs="Times New Roman"/>
                <w:b w:val="0"/>
                <w:bCs/>
                <w:color w:val="auto"/>
                <w:sz w:val="21"/>
                <w:szCs w:val="21"/>
                <w:highlight w:val="none"/>
                <w:lang w:eastAsia="zh-CN"/>
              </w:rPr>
            </w:pPr>
            <w:r>
              <w:rPr>
                <w:rFonts w:hint="eastAsia" w:cs="Times New Roman"/>
                <w:b w:val="0"/>
                <w:bCs/>
                <w:color w:val="auto"/>
                <w:sz w:val="21"/>
                <w:szCs w:val="21"/>
                <w:highlight w:val="none"/>
                <w:lang w:eastAsia="zh-CN"/>
              </w:rPr>
              <w:t>恶臭</w:t>
            </w:r>
          </w:p>
        </w:tc>
        <w:tc>
          <w:tcPr>
            <w:tcW w:w="101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H</w:t>
            </w:r>
            <w:r>
              <w:rPr>
                <w:rFonts w:ascii="Times New Roman" w:hAnsi="Times New Roman" w:cs="Times New Roman"/>
                <w:b w:val="0"/>
                <w:bCs/>
                <w:color w:val="auto"/>
                <w:sz w:val="21"/>
                <w:szCs w:val="21"/>
                <w:highlight w:val="none"/>
                <w:vertAlign w:val="subscript"/>
              </w:rPr>
              <w:t>2</w:t>
            </w:r>
            <w:r>
              <w:rPr>
                <w:rFonts w:ascii="Times New Roman" w:hAnsi="Times New Roman" w:cs="Times New Roman"/>
                <w:b w:val="0"/>
                <w:bCs/>
                <w:color w:val="auto"/>
                <w:sz w:val="21"/>
                <w:szCs w:val="21"/>
                <w:highlight w:val="none"/>
              </w:rPr>
              <w:t>S、NH</w:t>
            </w:r>
            <w:r>
              <w:rPr>
                <w:rFonts w:ascii="Times New Roman" w:hAnsi="Times New Roman" w:cs="Times New Roman"/>
                <w:b w:val="0"/>
                <w:bCs/>
                <w:color w:val="auto"/>
                <w:sz w:val="21"/>
                <w:szCs w:val="21"/>
                <w:highlight w:val="none"/>
                <w:vertAlign w:val="subscript"/>
              </w:rPr>
              <w:t>3</w:t>
            </w:r>
          </w:p>
        </w:tc>
        <w:tc>
          <w:tcPr>
            <w:tcW w:w="1603" w:type="pct"/>
            <w:noWrap w:val="0"/>
            <w:vAlign w:val="center"/>
          </w:tcPr>
          <w:p>
            <w:pPr>
              <w:spacing w:line="240" w:lineRule="auto"/>
              <w:ind w:firstLine="0" w:firstLineChars="0"/>
              <w:jc w:val="center"/>
              <w:rPr>
                <w:rFonts w:hint="eastAsia" w:ascii="Times New Roman" w:hAnsi="Times New Roman" w:eastAsia="宋体" w:cs="Times New Roman"/>
                <w:b w:val="0"/>
                <w:bCs/>
                <w:color w:val="auto"/>
                <w:sz w:val="21"/>
                <w:szCs w:val="21"/>
                <w:highlight w:val="none"/>
                <w:lang w:eastAsia="zh-CN"/>
              </w:rPr>
            </w:pPr>
            <w:r>
              <w:rPr>
                <w:rFonts w:hint="eastAsia" w:cs="Times New Roman"/>
                <w:b w:val="0"/>
                <w:bCs/>
                <w:color w:val="auto"/>
                <w:sz w:val="21"/>
                <w:szCs w:val="21"/>
                <w:highlight w:val="none"/>
                <w:lang w:eastAsia="zh-CN"/>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62" w:type="pct"/>
            <w:vMerge w:val="continue"/>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p>
        </w:tc>
        <w:tc>
          <w:tcPr>
            <w:tcW w:w="627" w:type="pct"/>
            <w:vMerge w:val="continue"/>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S</w:t>
            </w:r>
            <w:r>
              <w:rPr>
                <w:rFonts w:hint="eastAsia" w:cs="Times New Roman"/>
                <w:b w:val="0"/>
                <w:bCs/>
                <w:color w:val="auto"/>
                <w:sz w:val="21"/>
                <w:szCs w:val="21"/>
                <w:highlight w:val="none"/>
                <w:lang w:val="en-US" w:eastAsia="zh-CN"/>
              </w:rPr>
              <w:t>7</w:t>
            </w:r>
          </w:p>
        </w:tc>
        <w:tc>
          <w:tcPr>
            <w:tcW w:w="769" w:type="pct"/>
            <w:noWrap w:val="0"/>
            <w:vAlign w:val="center"/>
          </w:tcPr>
          <w:p>
            <w:pPr>
              <w:spacing w:line="240" w:lineRule="auto"/>
              <w:ind w:firstLine="0" w:firstLineChars="0"/>
              <w:jc w:val="center"/>
              <w:rPr>
                <w:rFonts w:hint="eastAsia" w:cs="Times New Roman"/>
                <w:b w:val="0"/>
                <w:bCs/>
                <w:color w:val="auto"/>
                <w:sz w:val="21"/>
                <w:szCs w:val="21"/>
                <w:highlight w:val="none"/>
                <w:lang w:eastAsia="zh-CN"/>
              </w:rPr>
            </w:pPr>
            <w:r>
              <w:rPr>
                <w:rFonts w:hint="eastAsia" w:cs="Times New Roman"/>
                <w:b w:val="0"/>
                <w:bCs/>
                <w:color w:val="auto"/>
                <w:sz w:val="21"/>
                <w:szCs w:val="21"/>
                <w:highlight w:val="none"/>
                <w:lang w:eastAsia="zh-CN"/>
              </w:rPr>
              <w:t>废导热油</w:t>
            </w:r>
          </w:p>
        </w:tc>
        <w:tc>
          <w:tcPr>
            <w:tcW w:w="1013" w:type="pct"/>
            <w:noWrap w:val="0"/>
            <w:vAlign w:val="center"/>
          </w:tcPr>
          <w:p>
            <w:pPr>
              <w:spacing w:line="240" w:lineRule="auto"/>
              <w:ind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603" w:type="pct"/>
            <w:noWrap w:val="0"/>
            <w:vAlign w:val="center"/>
          </w:tcPr>
          <w:p>
            <w:pPr>
              <w:spacing w:line="240" w:lineRule="auto"/>
              <w:ind w:firstLine="0" w:firstLineChars="0"/>
              <w:jc w:val="center"/>
              <w:rPr>
                <w:rFonts w:hint="eastAsia" w:cs="Times New Roman"/>
                <w:b w:val="0"/>
                <w:bCs/>
                <w:color w:val="auto"/>
                <w:sz w:val="21"/>
                <w:szCs w:val="21"/>
                <w:highlight w:val="none"/>
                <w:lang w:eastAsia="zh-CN"/>
              </w:rPr>
            </w:pPr>
            <w:r>
              <w:rPr>
                <w:rFonts w:hint="eastAsia" w:cs="Times New Roman"/>
                <w:b w:val="0"/>
                <w:bCs/>
                <w:color w:val="auto"/>
                <w:sz w:val="21"/>
                <w:szCs w:val="21"/>
                <w:highlight w:val="none"/>
                <w:lang w:eastAsia="zh-CN"/>
              </w:rPr>
              <w:t>危险废物暂存间暂存，定期交有资质单位处置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89" w:type="pct"/>
            <w:gridSpan w:val="2"/>
            <w:vMerge w:val="restar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职工生活</w:t>
            </w:r>
          </w:p>
        </w:tc>
        <w:tc>
          <w:tcPr>
            <w:tcW w:w="525" w:type="pct"/>
            <w:noWrap w:val="0"/>
            <w:vAlign w:val="center"/>
          </w:tcPr>
          <w:p>
            <w:pPr>
              <w:spacing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ascii="Times New Roman" w:hAnsi="Times New Roman" w:cs="Times New Roman"/>
                <w:b w:val="0"/>
                <w:bCs/>
                <w:color w:val="auto"/>
                <w:sz w:val="21"/>
                <w:szCs w:val="21"/>
                <w:highlight w:val="none"/>
              </w:rPr>
              <w:t>G</w:t>
            </w:r>
            <w:r>
              <w:rPr>
                <w:rFonts w:hint="eastAsia" w:cs="Times New Roman"/>
                <w:b w:val="0"/>
                <w:bCs/>
                <w:color w:val="auto"/>
                <w:sz w:val="21"/>
                <w:szCs w:val="21"/>
                <w:highlight w:val="none"/>
                <w:lang w:val="en-US" w:eastAsia="zh-CN"/>
              </w:rPr>
              <w:t>4</w:t>
            </w:r>
          </w:p>
        </w:tc>
        <w:tc>
          <w:tcPr>
            <w:tcW w:w="769" w:type="pct"/>
            <w:noWrap w:val="0"/>
            <w:vAlign w:val="center"/>
          </w:tcPr>
          <w:p>
            <w:pPr>
              <w:spacing w:line="240" w:lineRule="auto"/>
              <w:ind w:firstLine="0" w:firstLineChars="0"/>
              <w:jc w:val="center"/>
              <w:rPr>
                <w:rFonts w:hint="eastAsia" w:ascii="Times New Roman" w:hAnsi="Times New Roman" w:eastAsia="宋体" w:cs="Times New Roman"/>
                <w:b w:val="0"/>
                <w:bCs/>
                <w:color w:val="auto"/>
                <w:sz w:val="21"/>
                <w:szCs w:val="21"/>
                <w:highlight w:val="none"/>
                <w:lang w:eastAsia="zh-CN"/>
              </w:rPr>
            </w:pPr>
            <w:r>
              <w:rPr>
                <w:rFonts w:hint="eastAsia" w:cs="Times New Roman"/>
                <w:b w:val="0"/>
                <w:bCs/>
                <w:color w:val="auto"/>
                <w:sz w:val="21"/>
                <w:szCs w:val="21"/>
                <w:highlight w:val="none"/>
                <w:lang w:eastAsia="zh-CN"/>
              </w:rPr>
              <w:t>伙房</w:t>
            </w:r>
          </w:p>
        </w:tc>
        <w:tc>
          <w:tcPr>
            <w:tcW w:w="101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油烟</w:t>
            </w:r>
          </w:p>
        </w:tc>
        <w:tc>
          <w:tcPr>
            <w:tcW w:w="160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p>
        </w:tc>
        <w:tc>
          <w:tcPr>
            <w:tcW w:w="525"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W3</w:t>
            </w:r>
          </w:p>
        </w:tc>
        <w:tc>
          <w:tcPr>
            <w:tcW w:w="769"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生活污水</w:t>
            </w:r>
          </w:p>
        </w:tc>
        <w:tc>
          <w:tcPr>
            <w:tcW w:w="101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COD、BOD</w:t>
            </w:r>
            <w:r>
              <w:rPr>
                <w:rFonts w:ascii="Times New Roman" w:hAnsi="Times New Roman" w:cs="Times New Roman"/>
                <w:b w:val="0"/>
                <w:bCs/>
                <w:color w:val="auto"/>
                <w:sz w:val="21"/>
                <w:szCs w:val="21"/>
                <w:highlight w:val="none"/>
                <w:vertAlign w:val="subscript"/>
              </w:rPr>
              <w:t>5</w:t>
            </w:r>
            <w:r>
              <w:rPr>
                <w:rFonts w:ascii="Times New Roman" w:hAnsi="Times New Roman" w:cs="Times New Roman"/>
                <w:b w:val="0"/>
                <w:bCs/>
                <w:color w:val="auto"/>
                <w:sz w:val="21"/>
                <w:szCs w:val="21"/>
                <w:highlight w:val="none"/>
              </w:rPr>
              <w:t>、</w:t>
            </w:r>
            <w:r>
              <w:rPr>
                <w:rFonts w:hint="eastAsia" w:ascii="Times New Roman" w:hAnsi="Times New Roman" w:cs="Times New Roman"/>
                <w:b w:val="0"/>
                <w:bCs/>
                <w:color w:val="auto"/>
                <w:sz w:val="21"/>
                <w:szCs w:val="21"/>
                <w:highlight w:val="none"/>
                <w:lang w:val="en-US" w:eastAsia="zh-CN"/>
              </w:rPr>
              <w:t>SS、</w:t>
            </w:r>
            <w:r>
              <w:rPr>
                <w:rFonts w:ascii="Times New Roman" w:hAnsi="Times New Roman" w:cs="Times New Roman"/>
                <w:b w:val="0"/>
                <w:bCs/>
                <w:color w:val="auto"/>
                <w:sz w:val="21"/>
                <w:szCs w:val="21"/>
                <w:highlight w:val="none"/>
              </w:rPr>
              <w:t>NH</w:t>
            </w:r>
            <w:r>
              <w:rPr>
                <w:rFonts w:ascii="Times New Roman" w:hAnsi="Times New Roman" w:cs="Times New Roman"/>
                <w:b w:val="0"/>
                <w:bCs/>
                <w:color w:val="auto"/>
                <w:sz w:val="21"/>
                <w:szCs w:val="21"/>
                <w:highlight w:val="none"/>
                <w:vertAlign w:val="subscript"/>
              </w:rPr>
              <w:t>3</w:t>
            </w:r>
            <w:r>
              <w:rPr>
                <w:rFonts w:ascii="Times New Roman" w:hAnsi="Times New Roman" w:cs="Times New Roman"/>
                <w:b w:val="0"/>
                <w:bCs/>
                <w:color w:val="auto"/>
                <w:sz w:val="21"/>
                <w:szCs w:val="21"/>
                <w:highlight w:val="none"/>
              </w:rPr>
              <w:t>-N</w:t>
            </w:r>
          </w:p>
        </w:tc>
        <w:tc>
          <w:tcPr>
            <w:tcW w:w="160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经处理后作农肥还田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89" w:type="pct"/>
            <w:gridSpan w:val="2"/>
            <w:vMerge w:val="continue"/>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p>
        </w:tc>
        <w:tc>
          <w:tcPr>
            <w:tcW w:w="525" w:type="pct"/>
            <w:noWrap w:val="0"/>
            <w:vAlign w:val="center"/>
          </w:tcPr>
          <w:p>
            <w:pPr>
              <w:spacing w:line="240" w:lineRule="auto"/>
              <w:ind w:firstLine="0" w:firstLineChars="0"/>
              <w:jc w:val="center"/>
              <w:rPr>
                <w:rFonts w:hint="eastAsia" w:ascii="Times New Roman" w:hAnsi="Times New Roman" w:eastAsia="宋体" w:cs="Times New Roman"/>
                <w:b w:val="0"/>
                <w:bCs/>
                <w:color w:val="auto"/>
                <w:sz w:val="21"/>
                <w:szCs w:val="21"/>
                <w:highlight w:val="none"/>
                <w:lang w:eastAsia="zh-CN"/>
              </w:rPr>
            </w:pPr>
            <w:r>
              <w:rPr>
                <w:rFonts w:ascii="Times New Roman" w:hAnsi="Times New Roman" w:cs="Times New Roman"/>
                <w:b w:val="0"/>
                <w:bCs/>
                <w:color w:val="auto"/>
                <w:sz w:val="21"/>
                <w:szCs w:val="21"/>
                <w:highlight w:val="none"/>
              </w:rPr>
              <w:t>S</w:t>
            </w:r>
            <w:r>
              <w:rPr>
                <w:rFonts w:hint="eastAsia" w:cs="Times New Roman"/>
                <w:b w:val="0"/>
                <w:bCs/>
                <w:color w:val="auto"/>
                <w:sz w:val="21"/>
                <w:szCs w:val="21"/>
                <w:highlight w:val="none"/>
                <w:lang w:val="en-US" w:eastAsia="zh-CN"/>
              </w:rPr>
              <w:t>5</w:t>
            </w:r>
          </w:p>
        </w:tc>
        <w:tc>
          <w:tcPr>
            <w:tcW w:w="769"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生活垃圾</w:t>
            </w:r>
          </w:p>
        </w:tc>
        <w:tc>
          <w:tcPr>
            <w:tcW w:w="101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w:t>
            </w:r>
          </w:p>
        </w:tc>
        <w:tc>
          <w:tcPr>
            <w:tcW w:w="160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送环卫部门处理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89" w:type="pct"/>
            <w:gridSpan w:val="2"/>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沼气脱硫装置</w:t>
            </w:r>
          </w:p>
        </w:tc>
        <w:tc>
          <w:tcPr>
            <w:tcW w:w="525" w:type="pct"/>
            <w:noWrap w:val="0"/>
            <w:vAlign w:val="center"/>
          </w:tcPr>
          <w:p>
            <w:pPr>
              <w:spacing w:line="240" w:lineRule="auto"/>
              <w:ind w:firstLine="0" w:firstLineChars="0"/>
              <w:jc w:val="center"/>
              <w:rPr>
                <w:rFonts w:hint="eastAsia" w:ascii="Times New Roman" w:hAnsi="Times New Roman" w:eastAsia="宋体" w:cs="Times New Roman"/>
                <w:b w:val="0"/>
                <w:bCs/>
                <w:color w:val="auto"/>
                <w:sz w:val="21"/>
                <w:szCs w:val="21"/>
                <w:highlight w:val="none"/>
                <w:lang w:eastAsia="zh-CN"/>
              </w:rPr>
            </w:pPr>
            <w:r>
              <w:rPr>
                <w:rFonts w:ascii="Times New Roman" w:hAnsi="Times New Roman" w:cs="Times New Roman"/>
                <w:b w:val="0"/>
                <w:bCs/>
                <w:color w:val="auto"/>
                <w:sz w:val="21"/>
                <w:szCs w:val="21"/>
                <w:highlight w:val="none"/>
              </w:rPr>
              <w:t>S</w:t>
            </w:r>
            <w:r>
              <w:rPr>
                <w:rFonts w:hint="eastAsia" w:cs="Times New Roman"/>
                <w:b w:val="0"/>
                <w:bCs/>
                <w:color w:val="auto"/>
                <w:sz w:val="21"/>
                <w:szCs w:val="21"/>
                <w:highlight w:val="none"/>
                <w:lang w:val="en-US" w:eastAsia="zh-CN"/>
              </w:rPr>
              <w:t>6</w:t>
            </w:r>
          </w:p>
        </w:tc>
        <w:tc>
          <w:tcPr>
            <w:tcW w:w="769"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废脱硫剂</w:t>
            </w:r>
          </w:p>
        </w:tc>
        <w:tc>
          <w:tcPr>
            <w:tcW w:w="101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w:t>
            </w:r>
          </w:p>
        </w:tc>
        <w:tc>
          <w:tcPr>
            <w:tcW w:w="1603"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生产厂家统一回收处置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89" w:type="pct"/>
            <w:gridSpan w:val="2"/>
            <w:noWrap w:val="0"/>
            <w:vAlign w:val="center"/>
          </w:tcPr>
          <w:p>
            <w:pPr>
              <w:spacing w:line="240" w:lineRule="auto"/>
              <w:ind w:firstLine="0" w:firstLineChars="0"/>
              <w:jc w:val="center"/>
              <w:rPr>
                <w:rFonts w:hint="eastAsia" w:ascii="Times New Roman" w:hAnsi="Times New Roman" w:eastAsia="宋体" w:cs="Times New Roman"/>
                <w:b w:val="0"/>
                <w:bCs/>
                <w:color w:val="auto"/>
                <w:sz w:val="21"/>
                <w:szCs w:val="21"/>
                <w:highlight w:val="none"/>
                <w:lang w:eastAsia="zh-CN"/>
              </w:rPr>
            </w:pPr>
            <w:r>
              <w:rPr>
                <w:rFonts w:hint="eastAsia" w:cs="Times New Roman"/>
                <w:b w:val="0"/>
                <w:bCs/>
                <w:color w:val="auto"/>
                <w:sz w:val="21"/>
                <w:szCs w:val="21"/>
                <w:highlight w:val="none"/>
                <w:lang w:eastAsia="zh-CN"/>
              </w:rPr>
              <w:t>火炬燃烧</w:t>
            </w:r>
          </w:p>
        </w:tc>
        <w:tc>
          <w:tcPr>
            <w:tcW w:w="525" w:type="pct"/>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G</w:t>
            </w:r>
            <w:r>
              <w:rPr>
                <w:rFonts w:hint="eastAsia" w:cs="Times New Roman"/>
                <w:b w:val="0"/>
                <w:bCs/>
                <w:color w:val="auto"/>
                <w:sz w:val="21"/>
                <w:szCs w:val="21"/>
                <w:highlight w:val="none"/>
                <w:lang w:val="en-US" w:eastAsia="zh-CN"/>
              </w:rPr>
              <w:t>7</w:t>
            </w:r>
          </w:p>
        </w:tc>
        <w:tc>
          <w:tcPr>
            <w:tcW w:w="1343" w:type="dxa"/>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hint="eastAsia" w:cs="Times New Roman"/>
                <w:b w:val="0"/>
                <w:bCs/>
                <w:color w:val="auto"/>
                <w:sz w:val="21"/>
                <w:szCs w:val="21"/>
                <w:highlight w:val="none"/>
                <w:lang w:eastAsia="zh-CN"/>
              </w:rPr>
              <w:t>沼气火炬燃烧废气</w:t>
            </w:r>
          </w:p>
        </w:tc>
        <w:tc>
          <w:tcPr>
            <w:tcW w:w="1770" w:type="dxa"/>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hint="eastAsia" w:ascii="Times New Roman" w:hAnsi="Times New Roman"/>
                <w:color w:val="auto"/>
                <w:sz w:val="21"/>
                <w:szCs w:val="21"/>
                <w:highlight w:val="none"/>
                <w:lang w:val="en-US" w:eastAsia="zh-CN"/>
              </w:rPr>
              <w:t>SO</w:t>
            </w:r>
            <w:r>
              <w:rPr>
                <w:rFonts w:hint="eastAsia" w:ascii="Times New Roman" w:hAnsi="Times New Roman"/>
                <w:color w:val="auto"/>
                <w:sz w:val="21"/>
                <w:szCs w:val="21"/>
                <w:highlight w:val="none"/>
                <w:vertAlign w:val="subscript"/>
                <w:lang w:val="en-US" w:eastAsia="zh-CN"/>
              </w:rPr>
              <w:t>2</w:t>
            </w:r>
            <w:r>
              <w:rPr>
                <w:rFonts w:hint="eastAsia" w:ascii="Times New Roman" w:hAnsi="Times New Roman"/>
                <w:color w:val="auto"/>
                <w:sz w:val="21"/>
                <w:szCs w:val="21"/>
                <w:highlight w:val="none"/>
                <w:vertAlign w:val="baseline"/>
                <w:lang w:val="en-US" w:eastAsia="zh-CN"/>
              </w:rPr>
              <w:t>、NO</w:t>
            </w:r>
            <w:r>
              <w:rPr>
                <w:rFonts w:hint="eastAsia"/>
                <w:color w:val="auto"/>
                <w:sz w:val="21"/>
                <w:szCs w:val="21"/>
                <w:highlight w:val="none"/>
                <w:vertAlign w:val="subscript"/>
                <w:lang w:val="en-US" w:eastAsia="zh-CN"/>
              </w:rPr>
              <w:t>X</w:t>
            </w:r>
            <w:r>
              <w:rPr>
                <w:rFonts w:hint="eastAsia"/>
                <w:color w:val="auto"/>
                <w:sz w:val="21"/>
                <w:szCs w:val="21"/>
                <w:highlight w:val="none"/>
                <w:vertAlign w:val="baseline"/>
                <w:lang w:val="en-US" w:eastAsia="zh-CN"/>
              </w:rPr>
              <w:t>、颗粒物</w:t>
            </w:r>
          </w:p>
        </w:tc>
        <w:tc>
          <w:tcPr>
            <w:tcW w:w="2800" w:type="dxa"/>
            <w:noWrap w:val="0"/>
            <w:vAlign w:val="center"/>
          </w:tcPr>
          <w:p>
            <w:pPr>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olor w:val="auto"/>
                <w:sz w:val="21"/>
                <w:szCs w:val="21"/>
                <w:highlight w:val="none"/>
              </w:rPr>
              <w:t>达标排放</w:t>
            </w:r>
          </w:p>
        </w:tc>
      </w:tr>
    </w:tbl>
    <w:p>
      <w:pPr>
        <w:pStyle w:val="2"/>
        <w:ind w:left="0" w:leftChars="0" w:firstLine="0" w:firstLineChars="0"/>
        <w:jc w:val="left"/>
        <w:rPr>
          <w:rFonts w:hint="eastAsia" w:eastAsia="宋体"/>
          <w:color w:val="auto"/>
          <w:highlight w:val="none"/>
          <w:lang w:eastAsia="zh-CN"/>
        </w:rPr>
      </w:pPr>
      <w:r>
        <w:rPr>
          <w:color w:val="auto"/>
          <w:highlight w:val="none"/>
        </w:rPr>
        <w:drawing>
          <wp:inline distT="0" distB="0" distL="114300" distR="114300">
            <wp:extent cx="5404485" cy="3373120"/>
            <wp:effectExtent l="0" t="0" r="5715" b="17780"/>
            <wp:docPr id="10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9"/>
                    <pic:cNvPicPr>
                      <a:picLocks noChangeAspect="1"/>
                    </pic:cNvPicPr>
                  </pic:nvPicPr>
                  <pic:blipFill>
                    <a:blip r:embed="rId28"/>
                    <a:stretch>
                      <a:fillRect/>
                    </a:stretch>
                  </pic:blipFill>
                  <pic:spPr>
                    <a:xfrm>
                      <a:off x="0" y="0"/>
                      <a:ext cx="5404485" cy="3373120"/>
                    </a:xfrm>
                    <a:prstGeom prst="rect">
                      <a:avLst/>
                    </a:prstGeom>
                    <a:noFill/>
                    <a:ln>
                      <a:noFill/>
                    </a:ln>
                  </pic:spPr>
                </pic:pic>
              </a:graphicData>
            </a:graphic>
          </wp:inline>
        </w:drawing>
      </w:r>
    </w:p>
    <w:p>
      <w:pPr>
        <w:pStyle w:val="2"/>
        <w:jc w:val="center"/>
        <w:rPr>
          <w:rStyle w:val="43"/>
          <w:rFonts w:hint="eastAsia" w:ascii="Times New Roman" w:hAnsi="Times New Roman"/>
          <w:color w:val="auto"/>
          <w:szCs w:val="22"/>
          <w:highlight w:val="none"/>
          <w:lang w:val="en-US" w:eastAsia="zh-CN"/>
        </w:rPr>
      </w:pPr>
      <w:r>
        <w:rPr>
          <w:rStyle w:val="43"/>
          <w:rFonts w:hint="eastAsia" w:ascii="Times New Roman" w:hAnsi="Times New Roman"/>
          <w:color w:val="auto"/>
          <w:szCs w:val="22"/>
          <w:highlight w:val="none"/>
          <w:lang w:val="en-US" w:eastAsia="zh-CN"/>
        </w:rPr>
        <w:t>图</w:t>
      </w:r>
      <w:r>
        <w:rPr>
          <w:rStyle w:val="43"/>
          <w:rFonts w:hint="eastAsia"/>
          <w:color w:val="auto"/>
          <w:szCs w:val="22"/>
          <w:highlight w:val="none"/>
          <w:lang w:val="en-US" w:eastAsia="zh-CN"/>
        </w:rPr>
        <w:t>2.9</w:t>
      </w:r>
      <w:r>
        <w:rPr>
          <w:rStyle w:val="43"/>
          <w:rFonts w:hint="eastAsia" w:ascii="Times New Roman" w:hAnsi="Times New Roman"/>
          <w:color w:val="auto"/>
          <w:szCs w:val="22"/>
          <w:highlight w:val="none"/>
          <w:lang w:val="en-US" w:eastAsia="zh-CN"/>
        </w:rPr>
        <w:t>-</w:t>
      </w:r>
      <w:r>
        <w:rPr>
          <w:rStyle w:val="43"/>
          <w:rFonts w:hint="eastAsia"/>
          <w:color w:val="auto"/>
          <w:szCs w:val="22"/>
          <w:highlight w:val="none"/>
          <w:lang w:val="en-US" w:eastAsia="zh-CN"/>
        </w:rPr>
        <w:t>1</w:t>
      </w:r>
      <w:r>
        <w:rPr>
          <w:rStyle w:val="43"/>
          <w:rFonts w:hint="eastAsia" w:ascii="Times New Roman" w:hAnsi="Times New Roman"/>
          <w:color w:val="auto"/>
          <w:szCs w:val="22"/>
          <w:highlight w:val="none"/>
          <w:lang w:val="en-US" w:eastAsia="zh-CN"/>
        </w:rPr>
        <w:t xml:space="preserve"> 产污环节图</w:t>
      </w:r>
      <w:r>
        <w:rPr>
          <w:color w:val="auto"/>
          <w:sz w:val="28"/>
          <w:highlight w:val="none"/>
        </w:rPr>
        <mc:AlternateContent>
          <mc:Choice Requires="wps">
            <w:drawing>
              <wp:anchor distT="0" distB="0" distL="114300" distR="114300" simplePos="0" relativeHeight="259639296" behindDoc="0" locked="0" layoutInCell="1" allowOverlap="1">
                <wp:simplePos x="0" y="0"/>
                <wp:positionH relativeFrom="column">
                  <wp:posOffset>5189855</wp:posOffset>
                </wp:positionH>
                <wp:positionV relativeFrom="paragraph">
                  <wp:posOffset>6681470</wp:posOffset>
                </wp:positionV>
                <wp:extent cx="295275" cy="3175"/>
                <wp:effectExtent l="34925" t="0" r="38100" b="9525"/>
                <wp:wrapNone/>
                <wp:docPr id="73" name="肘形连接符 73"/>
                <wp:cNvGraphicFramePr/>
                <a:graphic xmlns:a="http://schemas.openxmlformats.org/drawingml/2006/main">
                  <a:graphicData uri="http://schemas.microsoft.com/office/word/2010/wordprocessingShape">
                    <wps:wsp>
                      <wps:cNvCnPr/>
                      <wps:spPr>
                        <a:xfrm rot="5400000">
                          <a:off x="0" y="0"/>
                          <a:ext cx="295275" cy="3175"/>
                        </a:xfrm>
                        <a:prstGeom prst="bentConnector2">
                          <a:avLst/>
                        </a:prstGeom>
                        <a:ln w="9525" cap="flat" cmpd="sng">
                          <a:solidFill>
                            <a:srgbClr val="000000"/>
                          </a:solidFill>
                          <a:prstDash val="dash"/>
                          <a:miter/>
                          <a:headEnd type="none" w="med" len="med"/>
                          <a:tailEnd type="triangle" w="med" len="med"/>
                        </a:ln>
                      </wps:spPr>
                      <wps:bodyPr/>
                    </wps:wsp>
                  </a:graphicData>
                </a:graphic>
              </wp:anchor>
            </w:drawing>
          </mc:Choice>
          <mc:Fallback>
            <w:pict>
              <v:shape id="_x0000_s1026" o:spid="_x0000_s1026" o:spt="33" type="#_x0000_t33" style="position:absolute;left:0pt;margin-left:408.65pt;margin-top:526.1pt;height:0.25pt;width:23.25pt;rotation:5898240f;z-index:259639296;mso-width-relative:page;mso-height-relative:page;" filled="f" stroked="t" coordsize="21600,21600" o:gfxdata="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vLdMK2gAAAA0BAAAPAAAAAAAAAAEAIAAAACIAAABkcnMvZG93bnJldi54bWxQSwEC&#10;FAAUAAAACACHTuJAzAXSF/IBAACzAwAADgAAAAAAAAABACAAAAApAQAAZHJzL2Uyb0RvYy54bWxQ&#10;SwUGAAAAAAYABgBZAQAAjQUAAAAA&#10;">
                <v:fill on="f" focussize="0,0"/>
                <v:stroke color="#000000" joinstyle="miter" dashstyle="dash" endarrow="block"/>
                <v:imagedata o:title=""/>
                <o:lock v:ext="edit" aspectratio="f"/>
              </v:shape>
            </w:pict>
          </mc:Fallback>
        </mc:AlternateContent>
      </w:r>
    </w:p>
    <w:p>
      <w:pPr>
        <w:pStyle w:val="4"/>
        <w:spacing w:before="132"/>
        <w:rPr>
          <w:rStyle w:val="45"/>
          <w:rFonts w:hint="default" w:ascii="Times New Roman" w:hAnsi="Times New Roman" w:eastAsia="宋体"/>
          <w:b/>
          <w:color w:val="auto"/>
          <w:highlight w:val="none"/>
          <w:lang w:val="en-US" w:eastAsia="zh-CN"/>
        </w:rPr>
      </w:pPr>
      <w:bookmarkStart w:id="23" w:name="_Toc7216"/>
      <w:r>
        <w:rPr>
          <w:rStyle w:val="45"/>
          <w:rFonts w:hint="eastAsia"/>
          <w:b/>
          <w:color w:val="auto"/>
          <w:highlight w:val="none"/>
          <w:lang w:val="en-US" w:eastAsia="zh-CN"/>
        </w:rPr>
        <w:t>2</w:t>
      </w:r>
      <w:r>
        <w:rPr>
          <w:rStyle w:val="45"/>
          <w:rFonts w:hint="eastAsia" w:ascii="Times New Roman" w:hAnsi="Times New Roman"/>
          <w:b/>
          <w:color w:val="auto"/>
          <w:highlight w:val="none"/>
        </w:rPr>
        <w:t>.</w:t>
      </w:r>
      <w:r>
        <w:rPr>
          <w:rStyle w:val="45"/>
          <w:rFonts w:hint="eastAsia"/>
          <w:b/>
          <w:color w:val="auto"/>
          <w:highlight w:val="none"/>
          <w:lang w:val="en-US" w:eastAsia="zh-CN"/>
        </w:rPr>
        <w:t>10</w:t>
      </w:r>
      <w:r>
        <w:rPr>
          <w:rStyle w:val="45"/>
          <w:rFonts w:hint="eastAsia"/>
          <w:b/>
          <w:color w:val="auto"/>
          <w:highlight w:val="none"/>
          <w:lang w:eastAsia="zh-CN"/>
        </w:rPr>
        <w:t>项目</w:t>
      </w:r>
      <w:r>
        <w:rPr>
          <w:rStyle w:val="45"/>
          <w:rFonts w:hint="eastAsia" w:ascii="Times New Roman" w:hAnsi="Times New Roman"/>
          <w:b/>
          <w:color w:val="auto"/>
          <w:highlight w:val="none"/>
        </w:rPr>
        <w:t>平衡</w:t>
      </w:r>
      <w:bookmarkEnd w:id="23"/>
      <w:r>
        <w:rPr>
          <w:rStyle w:val="45"/>
          <w:rFonts w:hint="eastAsia"/>
          <w:b/>
          <w:color w:val="auto"/>
          <w:highlight w:val="none"/>
          <w:lang w:val="en-US" w:eastAsia="zh-CN"/>
        </w:rPr>
        <w:t xml:space="preserve">   </w:t>
      </w:r>
    </w:p>
    <w:p>
      <w:pPr>
        <w:pStyle w:val="5"/>
        <w:spacing w:before="66"/>
        <w:ind w:firstLine="0" w:firstLineChars="0"/>
        <w:rPr>
          <w:rFonts w:hint="eastAsia" w:cs="Times New Roman"/>
          <w:color w:val="auto"/>
          <w:highlight w:val="none"/>
          <w:lang w:val="en-US" w:eastAsia="zh-CN"/>
        </w:rPr>
      </w:pPr>
      <w:r>
        <w:rPr>
          <w:rFonts w:hint="eastAsia" w:cs="Times New Roman"/>
          <w:color w:val="auto"/>
          <w:highlight w:val="none"/>
          <w:lang w:val="en-US" w:eastAsia="zh-CN"/>
        </w:rPr>
        <w:t>2.10.1水平衡</w:t>
      </w:r>
    </w:p>
    <w:p>
      <w:pPr>
        <w:ind w:firstLine="480"/>
        <w:rPr>
          <w:color w:val="auto"/>
          <w:highlight w:val="none"/>
        </w:rPr>
        <w:sectPr>
          <w:pgSz w:w="11906" w:h="16838"/>
          <w:pgMar w:top="1701" w:right="1803" w:bottom="1984" w:left="1587" w:header="851" w:footer="992" w:gutter="0"/>
          <w:pgBorders>
            <w:top w:val="none" w:sz="0" w:space="0"/>
            <w:left w:val="none" w:sz="0" w:space="0"/>
            <w:bottom w:val="none" w:sz="0" w:space="0"/>
            <w:right w:val="none" w:sz="0" w:space="0"/>
          </w:pgBorders>
          <w:cols w:space="0" w:num="1"/>
          <w:docGrid w:type="lines" w:linePitch="332" w:charSpace="0"/>
        </w:sectPr>
      </w:pPr>
      <w:r>
        <w:rPr>
          <w:color w:val="auto"/>
          <w:highlight w:val="none"/>
        </w:rPr>
        <w:t>项目</w:t>
      </w:r>
      <w:r>
        <w:rPr>
          <w:rFonts w:hint="eastAsia"/>
          <w:color w:val="auto"/>
          <w:highlight w:val="none"/>
          <w:lang w:eastAsia="zh-CN"/>
        </w:rPr>
        <w:t>水</w:t>
      </w:r>
      <w:r>
        <w:rPr>
          <w:color w:val="auto"/>
          <w:highlight w:val="none"/>
        </w:rPr>
        <w:t>平衡见</w:t>
      </w:r>
      <w:r>
        <w:rPr>
          <w:rFonts w:hint="eastAsia"/>
          <w:color w:val="auto"/>
          <w:highlight w:val="none"/>
          <w:lang w:eastAsia="zh-CN"/>
        </w:rPr>
        <w:t>下</w:t>
      </w:r>
      <w:r>
        <w:rPr>
          <w:color w:val="auto"/>
          <w:highlight w:val="none"/>
        </w:rPr>
        <w:t>图。</w:t>
      </w:r>
    </w:p>
    <w:p>
      <w:pPr>
        <w:pStyle w:val="2"/>
        <w:rPr>
          <w:color w:val="auto"/>
          <w:highlight w:val="none"/>
        </w:rPr>
      </w:pPr>
      <w:r>
        <w:rPr>
          <w:rFonts w:ascii="Times New Roman" w:hAnsi="Times New Roman" w:cs="Times New Roman"/>
          <w:bCs/>
          <w:color w:val="auto"/>
          <w:sz w:val="28"/>
          <w:szCs w:val="22"/>
          <w:highlight w:val="none"/>
        </w:rPr>
        <mc:AlternateContent>
          <mc:Choice Requires="wpc">
            <w:drawing>
              <wp:anchor distT="0" distB="0" distL="114300" distR="114300" simplePos="0" relativeHeight="259311616" behindDoc="0" locked="0" layoutInCell="1" allowOverlap="1">
                <wp:simplePos x="0" y="0"/>
                <wp:positionH relativeFrom="column">
                  <wp:posOffset>-93980</wp:posOffset>
                </wp:positionH>
                <wp:positionV relativeFrom="paragraph">
                  <wp:posOffset>156210</wp:posOffset>
                </wp:positionV>
                <wp:extent cx="5868670" cy="4617720"/>
                <wp:effectExtent l="4445" t="0" r="32385" b="0"/>
                <wp:wrapNone/>
                <wp:docPr id="262" name="画布 2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5" name="矩形 213"/>
                        <wps:cNvSpPr/>
                        <wps:spPr>
                          <a:xfrm>
                            <a:off x="0" y="1835785"/>
                            <a:ext cx="322580" cy="641985"/>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rPr>
                                  <w:rFonts w:ascii="Calibri" w:hAnsi="Calibri" w:cs="Times New Roman"/>
                                  <w:sz w:val="21"/>
                                  <w:szCs w:val="21"/>
                                </w:rPr>
                              </w:pPr>
                              <w:r>
                                <w:rPr>
                                  <w:rFonts w:hint="eastAsia" w:ascii="Calibri" w:hAnsi="Calibri" w:cs="Times New Roman"/>
                                  <w:sz w:val="21"/>
                                  <w:szCs w:val="21"/>
                                </w:rPr>
                                <w:t>新鲜水</w:t>
                              </w:r>
                            </w:p>
                          </w:txbxContent>
                        </wps:txbx>
                        <wps:bodyPr upright="1"/>
                      </wps:wsp>
                      <wps:wsp>
                        <wps:cNvPr id="157" name="直接连接符 214"/>
                        <wps:cNvCnPr/>
                        <wps:spPr>
                          <a:xfrm>
                            <a:off x="354965" y="2140881"/>
                            <a:ext cx="582295" cy="635"/>
                          </a:xfrm>
                          <a:prstGeom prst="line">
                            <a:avLst/>
                          </a:prstGeom>
                          <a:ln w="9525" cap="flat" cmpd="sng">
                            <a:solidFill>
                              <a:srgbClr val="000000"/>
                            </a:solidFill>
                            <a:prstDash val="solid"/>
                            <a:headEnd type="none" w="med" len="med"/>
                            <a:tailEnd type="triangle" w="med" len="med"/>
                          </a:ln>
                        </wps:spPr>
                        <wps:bodyPr upright="1"/>
                      </wps:wsp>
                      <wps:wsp>
                        <wps:cNvPr id="158" name="直接连接符 215"/>
                        <wps:cNvCnPr/>
                        <wps:spPr>
                          <a:xfrm>
                            <a:off x="944880" y="1179830"/>
                            <a:ext cx="0" cy="3060000"/>
                          </a:xfrm>
                          <a:prstGeom prst="line">
                            <a:avLst/>
                          </a:prstGeom>
                          <a:ln w="9525" cap="flat" cmpd="sng">
                            <a:solidFill>
                              <a:srgbClr val="000000"/>
                            </a:solidFill>
                            <a:prstDash val="solid"/>
                            <a:headEnd type="none" w="med" len="med"/>
                            <a:tailEnd type="none" w="med" len="med"/>
                          </a:ln>
                        </wps:spPr>
                        <wps:bodyPr upright="1"/>
                      </wps:wsp>
                      <wps:wsp>
                        <wps:cNvPr id="159" name="直接连接符 216"/>
                        <wps:cNvCnPr/>
                        <wps:spPr>
                          <a:xfrm flipV="1">
                            <a:off x="937260" y="1189355"/>
                            <a:ext cx="612000" cy="0"/>
                          </a:xfrm>
                          <a:prstGeom prst="line">
                            <a:avLst/>
                          </a:prstGeom>
                          <a:ln w="9525" cap="flat" cmpd="sng">
                            <a:solidFill>
                              <a:srgbClr val="000000"/>
                            </a:solidFill>
                            <a:prstDash val="solid"/>
                            <a:headEnd type="none" w="med" len="med"/>
                            <a:tailEnd type="triangle" w="med" len="med"/>
                          </a:ln>
                        </wps:spPr>
                        <wps:bodyPr upright="1"/>
                      </wps:wsp>
                      <wps:wsp>
                        <wps:cNvPr id="160" name="直接连接符 217"/>
                        <wps:cNvCnPr/>
                        <wps:spPr>
                          <a:xfrm flipV="1">
                            <a:off x="967740" y="1906534"/>
                            <a:ext cx="1143000" cy="635"/>
                          </a:xfrm>
                          <a:prstGeom prst="line">
                            <a:avLst/>
                          </a:prstGeom>
                          <a:ln w="9525" cap="flat" cmpd="sng">
                            <a:solidFill>
                              <a:srgbClr val="000000"/>
                            </a:solidFill>
                            <a:prstDash val="solid"/>
                            <a:headEnd type="none" w="med" len="med"/>
                            <a:tailEnd type="triangle" w="med" len="med"/>
                          </a:ln>
                        </wps:spPr>
                        <wps:bodyPr upright="1"/>
                      </wps:wsp>
                      <wps:wsp>
                        <wps:cNvPr id="161" name="矩形 218"/>
                        <wps:cNvSpPr/>
                        <wps:spPr>
                          <a:xfrm>
                            <a:off x="1552575" y="1058691"/>
                            <a:ext cx="882650" cy="297221"/>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生猪饮用水</w:t>
                              </w:r>
                            </w:p>
                          </w:txbxContent>
                        </wps:txbx>
                        <wps:bodyPr lIns="0" tIns="45720" rIns="0" bIns="45720" upright="1"/>
                      </wps:wsp>
                      <wps:wsp>
                        <wps:cNvPr id="162" name="矩形 219"/>
                        <wps:cNvSpPr/>
                        <wps:spPr>
                          <a:xfrm>
                            <a:off x="2126615" y="1795393"/>
                            <a:ext cx="850900" cy="264832"/>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职工生活</w:t>
                              </w:r>
                            </w:p>
                          </w:txbxContent>
                        </wps:txbx>
                        <wps:bodyPr upright="1"/>
                      </wps:wsp>
                      <wps:wsp>
                        <wps:cNvPr id="163" name="矩形 220"/>
                        <wps:cNvSpPr/>
                        <wps:spPr>
                          <a:xfrm>
                            <a:off x="4593590" y="2792095"/>
                            <a:ext cx="1158875" cy="274955"/>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lang w:eastAsia="zh-CN"/>
                                </w:rPr>
                                <w:t>黑膜</w:t>
                              </w:r>
                              <w:r>
                                <w:rPr>
                                  <w:rFonts w:hint="eastAsia" w:ascii="Calibri" w:hAnsi="Calibri" w:cs="Times New Roman"/>
                                  <w:sz w:val="21"/>
                                  <w:szCs w:val="21"/>
                                </w:rPr>
                                <w:t>沼气池</w:t>
                              </w:r>
                            </w:p>
                          </w:txbxContent>
                        </wps:txbx>
                        <wps:bodyPr upright="1"/>
                      </wps:wsp>
                      <wps:wsp>
                        <wps:cNvPr id="164" name="直接连接符 221"/>
                        <wps:cNvCnPr/>
                        <wps:spPr>
                          <a:xfrm>
                            <a:off x="4821555" y="3063240"/>
                            <a:ext cx="635" cy="493395"/>
                          </a:xfrm>
                          <a:prstGeom prst="line">
                            <a:avLst/>
                          </a:prstGeom>
                          <a:ln w="9525" cap="flat" cmpd="sng">
                            <a:solidFill>
                              <a:srgbClr val="000000"/>
                            </a:solidFill>
                            <a:prstDash val="solid"/>
                            <a:headEnd type="none" w="med" len="med"/>
                            <a:tailEnd type="triangle" w="med" len="med"/>
                          </a:ln>
                        </wps:spPr>
                        <wps:bodyPr upright="1"/>
                      </wps:wsp>
                      <wps:wsp>
                        <wps:cNvPr id="165" name="矩形 222"/>
                        <wps:cNvSpPr/>
                        <wps:spPr>
                          <a:xfrm>
                            <a:off x="4463415" y="3555857"/>
                            <a:ext cx="496570" cy="270547"/>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沼液</w:t>
                              </w:r>
                            </w:p>
                          </w:txbxContent>
                        </wps:txbx>
                        <wps:bodyPr upright="1"/>
                      </wps:wsp>
                      <wps:wsp>
                        <wps:cNvPr id="166" name="矩形 223"/>
                        <wps:cNvSpPr/>
                        <wps:spPr>
                          <a:xfrm>
                            <a:off x="307975" y="1868170"/>
                            <a:ext cx="654685" cy="331470"/>
                          </a:xfrm>
                          <a:prstGeom prst="rect">
                            <a:avLst/>
                          </a:prstGeom>
                          <a:solidFill>
                            <a:srgbClr val="FFFFFF">
                              <a:alpha val="0"/>
                            </a:srgbClr>
                          </a:solid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530.792</w:t>
                              </w:r>
                            </w:p>
                          </w:txbxContent>
                        </wps:txbx>
                        <wps:bodyPr upright="1"/>
                      </wps:wsp>
                      <wps:wsp>
                        <wps:cNvPr id="167" name="矩形 224"/>
                        <wps:cNvSpPr/>
                        <wps:spPr>
                          <a:xfrm>
                            <a:off x="1056005" y="3242945"/>
                            <a:ext cx="490855"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15.90</w:t>
                              </w:r>
                            </w:p>
                          </w:txbxContent>
                        </wps:txbx>
                        <wps:bodyPr upright="1"/>
                      </wps:wsp>
                      <wps:wsp>
                        <wps:cNvPr id="168" name="矩形 225"/>
                        <wps:cNvSpPr/>
                        <wps:spPr>
                          <a:xfrm>
                            <a:off x="1074420" y="1641702"/>
                            <a:ext cx="691515" cy="267372"/>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11.52</w:t>
                              </w:r>
                            </w:p>
                          </w:txbxContent>
                        </wps:txbx>
                        <wps:bodyPr upright="1"/>
                      </wps:wsp>
                      <wps:wsp>
                        <wps:cNvPr id="171" name="直接连接符 226"/>
                        <wps:cNvCnPr/>
                        <wps:spPr>
                          <a:xfrm flipV="1">
                            <a:off x="2449830" y="1231900"/>
                            <a:ext cx="1890395" cy="21590"/>
                          </a:xfrm>
                          <a:prstGeom prst="line">
                            <a:avLst/>
                          </a:prstGeom>
                          <a:ln w="9525" cap="flat" cmpd="sng">
                            <a:solidFill>
                              <a:srgbClr val="000000"/>
                            </a:solidFill>
                            <a:prstDash val="solid"/>
                            <a:headEnd type="none" w="med" len="med"/>
                            <a:tailEnd type="triangle" w="med" len="med"/>
                          </a:ln>
                        </wps:spPr>
                        <wps:bodyPr upright="1"/>
                      </wps:wsp>
                      <wps:wsp>
                        <wps:cNvPr id="172" name="直接连接符 227"/>
                        <wps:cNvCnPr/>
                        <wps:spPr>
                          <a:xfrm flipV="1">
                            <a:off x="2974340" y="1907804"/>
                            <a:ext cx="1366520" cy="635"/>
                          </a:xfrm>
                          <a:prstGeom prst="line">
                            <a:avLst/>
                          </a:prstGeom>
                          <a:ln w="9525" cap="flat" cmpd="sng">
                            <a:solidFill>
                              <a:srgbClr val="000000"/>
                            </a:solidFill>
                            <a:prstDash val="solid"/>
                            <a:headEnd type="none" w="med" len="med"/>
                            <a:tailEnd type="triangle" w="med" len="med"/>
                          </a:ln>
                        </wps:spPr>
                        <wps:bodyPr upright="1"/>
                      </wps:wsp>
                      <wps:wsp>
                        <wps:cNvPr id="173" name="矩形 228"/>
                        <wps:cNvSpPr/>
                        <wps:spPr>
                          <a:xfrm>
                            <a:off x="3276600" y="3208655"/>
                            <a:ext cx="598170"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14.31</w:t>
                              </w:r>
                            </w:p>
                          </w:txbxContent>
                        </wps:txbx>
                        <wps:bodyPr upright="1"/>
                      </wps:wsp>
                      <wps:wsp>
                        <wps:cNvPr id="174" name="矩形 229"/>
                        <wps:cNvSpPr/>
                        <wps:spPr>
                          <a:xfrm>
                            <a:off x="3349625" y="1669011"/>
                            <a:ext cx="584200" cy="198783"/>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9.216</w:t>
                              </w:r>
                            </w:p>
                          </w:txbxContent>
                        </wps:txbx>
                        <wps:bodyPr upright="1"/>
                      </wps:wsp>
                      <wps:wsp>
                        <wps:cNvPr id="213" name="文本框 230"/>
                        <wps:cNvSpPr txBox="1"/>
                        <wps:spPr>
                          <a:xfrm>
                            <a:off x="1885315" y="350520"/>
                            <a:ext cx="1151255" cy="330835"/>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left"/>
                                <w:rPr>
                                  <w:rFonts w:hint="default" w:ascii="Calibri" w:hAnsi="Calibri" w:eastAsia="宋体" w:cs="Times New Roman"/>
                                  <w:sz w:val="21"/>
                                  <w:szCs w:val="21"/>
                                  <w:highlight w:val="yellow"/>
                                  <w:lang w:val="en-US" w:eastAsia="zh-CN"/>
                                </w:rPr>
                              </w:pPr>
                              <w:r>
                                <w:rPr>
                                  <w:rFonts w:hint="eastAsia" w:ascii="Calibri" w:hAnsi="Calibri" w:cs="Times New Roman"/>
                                  <w:sz w:val="21"/>
                                  <w:szCs w:val="21"/>
                                </w:rPr>
                                <w:t>猪粪含</w:t>
                              </w:r>
                              <w:r>
                                <w:rPr>
                                  <w:rFonts w:hint="eastAsia" w:ascii="Times New Roman" w:hAnsi="Times New Roman" w:cs="Times New Roman"/>
                                  <w:sz w:val="21"/>
                                  <w:szCs w:val="21"/>
                                </w:rPr>
                                <w:t>水</w:t>
                              </w:r>
                              <w:r>
                                <w:rPr>
                                  <w:rFonts w:hint="eastAsia" w:cs="Times New Roman"/>
                                  <w:sz w:val="21"/>
                                  <w:szCs w:val="21"/>
                                  <w:highlight w:val="none"/>
                                  <w:lang w:val="en-US" w:eastAsia="zh-CN"/>
                                </w:rPr>
                                <w:t>45.2</w:t>
                              </w:r>
                            </w:p>
                          </w:txbxContent>
                        </wps:txbx>
                        <wps:bodyPr upright="1"/>
                      </wps:wsp>
                      <wps:wsp>
                        <wps:cNvPr id="214" name="直接连接符 231"/>
                        <wps:cNvCnPr/>
                        <wps:spPr>
                          <a:xfrm flipV="1">
                            <a:off x="2200275" y="671288"/>
                            <a:ext cx="12065" cy="401376"/>
                          </a:xfrm>
                          <a:prstGeom prst="line">
                            <a:avLst/>
                          </a:prstGeom>
                          <a:ln w="9525" cap="flat" cmpd="sng">
                            <a:solidFill>
                              <a:srgbClr val="000000"/>
                            </a:solidFill>
                            <a:prstDash val="lgDash"/>
                            <a:headEnd type="none" w="med" len="med"/>
                            <a:tailEnd type="triangle" w="med" len="med"/>
                          </a:ln>
                        </wps:spPr>
                        <wps:bodyPr upright="1"/>
                      </wps:wsp>
                      <wps:wsp>
                        <wps:cNvPr id="215" name="文本框 232"/>
                        <wps:cNvSpPr txBox="1"/>
                        <wps:spPr>
                          <a:xfrm>
                            <a:off x="2593975" y="2899410"/>
                            <a:ext cx="806450" cy="302260"/>
                          </a:xfrm>
                          <a:prstGeom prst="rect">
                            <a:avLst/>
                          </a:prstGeom>
                          <a:no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cs="Times New Roman"/>
                                  <w:sz w:val="21"/>
                                  <w:szCs w:val="21"/>
                                  <w:lang w:val="en-US" w:eastAsia="zh-CN"/>
                                </w:rPr>
                                <w:t>1.59</w:t>
                              </w:r>
                            </w:p>
                          </w:txbxContent>
                        </wps:txbx>
                        <wps:bodyPr upright="1">
                          <a:spAutoFit/>
                        </wps:bodyPr>
                      </wps:wsp>
                      <wps:wsp>
                        <wps:cNvPr id="216" name="直接连接符 233"/>
                        <wps:cNvCnPr/>
                        <wps:spPr>
                          <a:xfrm flipV="1">
                            <a:off x="2336165" y="1493727"/>
                            <a:ext cx="232410" cy="219105"/>
                          </a:xfrm>
                          <a:prstGeom prst="line">
                            <a:avLst/>
                          </a:prstGeom>
                          <a:ln w="9525" cap="flat" cmpd="sng">
                            <a:solidFill>
                              <a:srgbClr val="000000"/>
                            </a:solidFill>
                            <a:prstDash val="lgDash"/>
                            <a:headEnd type="none" w="med" len="med"/>
                            <a:tailEnd type="triangle" w="med" len="med"/>
                          </a:ln>
                        </wps:spPr>
                        <wps:bodyPr upright="1"/>
                      </wps:wsp>
                      <wps:wsp>
                        <wps:cNvPr id="217" name="文本框 234"/>
                        <wps:cNvSpPr txBox="1"/>
                        <wps:spPr>
                          <a:xfrm>
                            <a:off x="2494280" y="1333685"/>
                            <a:ext cx="846455" cy="302260"/>
                          </a:xfrm>
                          <a:prstGeom prst="rect">
                            <a:avLst/>
                          </a:prstGeom>
                          <a:no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cs="Times New Roman"/>
                                  <w:sz w:val="21"/>
                                  <w:szCs w:val="21"/>
                                  <w:lang w:val="en-US" w:eastAsia="zh-CN"/>
                                </w:rPr>
                                <w:t>2.304</w:t>
                              </w:r>
                            </w:p>
                          </w:txbxContent>
                        </wps:txbx>
                        <wps:bodyPr upright="1">
                          <a:spAutoFit/>
                        </wps:bodyPr>
                      </wps:wsp>
                      <wps:wsp>
                        <wps:cNvPr id="218" name="直接箭头连接符 235"/>
                        <wps:cNvCnPr/>
                        <wps:spPr>
                          <a:xfrm flipH="1">
                            <a:off x="4309745" y="1912885"/>
                            <a:ext cx="649605" cy="635"/>
                          </a:xfrm>
                          <a:prstGeom prst="straightConnector1">
                            <a:avLst/>
                          </a:prstGeom>
                          <a:ln w="9525" cap="flat" cmpd="sng">
                            <a:solidFill>
                              <a:srgbClr val="000000"/>
                            </a:solidFill>
                            <a:prstDash val="solid"/>
                            <a:headEnd type="none" w="med" len="med"/>
                            <a:tailEnd type="none" w="med" len="med"/>
                          </a:ln>
                        </wps:spPr>
                        <wps:bodyPr/>
                      </wps:wsp>
                      <wps:wsp>
                        <wps:cNvPr id="219" name="文本框 236"/>
                        <wps:cNvSpPr txBox="1"/>
                        <wps:spPr>
                          <a:xfrm>
                            <a:off x="4356735" y="1628365"/>
                            <a:ext cx="680085"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238.082</w:t>
                              </w:r>
                            </w:p>
                          </w:txbxContent>
                        </wps:txbx>
                        <wps:bodyPr upright="1">
                          <a:spAutoFit/>
                        </wps:bodyPr>
                      </wps:wsp>
                      <wps:wsp>
                        <wps:cNvPr id="221" name="直接连接符 238"/>
                        <wps:cNvCnPr/>
                        <wps:spPr>
                          <a:xfrm>
                            <a:off x="4698365" y="3849268"/>
                            <a:ext cx="635" cy="276263"/>
                          </a:xfrm>
                          <a:prstGeom prst="line">
                            <a:avLst/>
                          </a:prstGeom>
                          <a:ln w="9525" cap="flat" cmpd="sng">
                            <a:solidFill>
                              <a:srgbClr val="000000"/>
                            </a:solidFill>
                            <a:prstDash val="solid"/>
                            <a:headEnd type="none" w="med" len="med"/>
                            <a:tailEnd type="triangle" w="med" len="med"/>
                          </a:ln>
                        </wps:spPr>
                        <wps:bodyPr upright="1"/>
                      </wps:wsp>
                      <wps:wsp>
                        <wps:cNvPr id="222" name="文本框 239"/>
                        <wps:cNvSpPr txBox="1"/>
                        <wps:spPr>
                          <a:xfrm>
                            <a:off x="4268470" y="4008675"/>
                            <a:ext cx="805180" cy="493463"/>
                          </a:xfrm>
                          <a:prstGeom prst="rect">
                            <a:avLst/>
                          </a:prstGeom>
                          <a:noFill/>
                          <a:ln>
                            <a:noFill/>
                          </a:ln>
                        </wps:spPr>
                        <wps:txbx>
                          <w:txbxContent>
                            <w:p>
                              <w:pPr>
                                <w:widowControl w:val="0"/>
                                <w:spacing w:line="240" w:lineRule="auto"/>
                                <w:ind w:firstLine="0" w:firstLineChars="0"/>
                                <w:jc w:val="center"/>
                                <w:rPr>
                                  <w:rFonts w:hint="default" w:ascii="Calibri" w:hAnsi="Calibri" w:eastAsia="宋体" w:cs="Times New Roman"/>
                                  <w:sz w:val="21"/>
                                  <w:szCs w:val="21"/>
                                  <w:lang w:val="en-US" w:eastAsia="zh-CN"/>
                                </w:rPr>
                              </w:pPr>
                              <w:r>
                                <w:rPr>
                                  <w:rFonts w:hint="eastAsia" w:ascii="Calibri" w:hAnsi="Calibri" w:cs="Times New Roman"/>
                                  <w:sz w:val="21"/>
                                  <w:szCs w:val="21"/>
                                </w:rPr>
                                <w:t>土地利用</w:t>
                              </w:r>
                              <w:r>
                                <w:rPr>
                                  <w:rFonts w:hint="eastAsia" w:cs="Times New Roman"/>
                                  <w:sz w:val="21"/>
                                  <w:szCs w:val="21"/>
                                  <w:highlight w:val="none"/>
                                  <w:lang w:val="en-US" w:eastAsia="zh-CN"/>
                                </w:rPr>
                                <w:t>228.477</w:t>
                              </w:r>
                            </w:p>
                          </w:txbxContent>
                        </wps:txbx>
                        <wps:bodyPr upright="1"/>
                      </wps:wsp>
                      <wps:wsp>
                        <wps:cNvPr id="223" name="直接连接符 240"/>
                        <wps:cNvCnPr/>
                        <wps:spPr>
                          <a:xfrm>
                            <a:off x="5470525" y="3066415"/>
                            <a:ext cx="635" cy="488950"/>
                          </a:xfrm>
                          <a:prstGeom prst="line">
                            <a:avLst/>
                          </a:prstGeom>
                          <a:ln w="9525" cap="flat" cmpd="sng">
                            <a:solidFill>
                              <a:srgbClr val="000000"/>
                            </a:solidFill>
                            <a:prstDash val="solid"/>
                            <a:headEnd type="none" w="med" len="med"/>
                            <a:tailEnd type="triangle" w="med" len="med"/>
                          </a:ln>
                        </wps:spPr>
                        <wps:bodyPr upright="1"/>
                      </wps:wsp>
                      <wps:wsp>
                        <wps:cNvPr id="224" name="矩形 241"/>
                        <wps:cNvSpPr/>
                        <wps:spPr>
                          <a:xfrm>
                            <a:off x="5050155" y="3580625"/>
                            <a:ext cx="617220" cy="270547"/>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沼渣带走</w:t>
                              </w:r>
                            </w:p>
                          </w:txbxContent>
                        </wps:txbx>
                        <wps:bodyPr lIns="0" tIns="45720" rIns="0" bIns="45720" upright="1"/>
                      </wps:wsp>
                      <wps:wsp>
                        <wps:cNvPr id="225" name="文本框 242"/>
                        <wps:cNvSpPr txBox="1"/>
                        <wps:spPr>
                          <a:xfrm>
                            <a:off x="5069840" y="3227705"/>
                            <a:ext cx="485140"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9.605</w:t>
                              </w:r>
                            </w:p>
                          </w:txbxContent>
                        </wps:txbx>
                        <wps:bodyPr upright="1">
                          <a:spAutoFit/>
                        </wps:bodyPr>
                      </wps:wsp>
                      <wps:wsp>
                        <wps:cNvPr id="226" name="矩形 243"/>
                        <wps:cNvSpPr/>
                        <wps:spPr>
                          <a:xfrm>
                            <a:off x="915035" y="948055"/>
                            <a:ext cx="820420"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376.472</w:t>
                              </w:r>
                            </w:p>
                          </w:txbxContent>
                        </wps:txbx>
                        <wps:bodyPr upright="1"/>
                      </wps:wsp>
                      <wps:wsp>
                        <wps:cNvPr id="227" name="直接连接符 244"/>
                        <wps:cNvCnPr/>
                        <wps:spPr>
                          <a:xfrm>
                            <a:off x="953135" y="3440430"/>
                            <a:ext cx="1156970" cy="635"/>
                          </a:xfrm>
                          <a:prstGeom prst="line">
                            <a:avLst/>
                          </a:prstGeom>
                          <a:ln w="9525" cap="flat" cmpd="sng">
                            <a:solidFill>
                              <a:srgbClr val="000000"/>
                            </a:solidFill>
                            <a:prstDash val="solid"/>
                            <a:headEnd type="none" w="med" len="med"/>
                            <a:tailEnd type="triangle" w="med" len="med"/>
                          </a:ln>
                        </wps:spPr>
                        <wps:bodyPr upright="1"/>
                      </wps:wsp>
                      <wps:wsp>
                        <wps:cNvPr id="228" name="直接连接符 245"/>
                        <wps:cNvCnPr/>
                        <wps:spPr>
                          <a:xfrm>
                            <a:off x="3023870" y="3441700"/>
                            <a:ext cx="1355090" cy="6985"/>
                          </a:xfrm>
                          <a:prstGeom prst="line">
                            <a:avLst/>
                          </a:prstGeom>
                          <a:ln w="9525" cap="flat" cmpd="sng">
                            <a:solidFill>
                              <a:srgbClr val="000000"/>
                            </a:solidFill>
                            <a:prstDash val="solid"/>
                            <a:headEnd type="none" w="med" len="med"/>
                            <a:tailEnd type="triangle" w="med" len="med"/>
                          </a:ln>
                        </wps:spPr>
                        <wps:bodyPr upright="1"/>
                      </wps:wsp>
                      <wps:wsp>
                        <wps:cNvPr id="229" name="直接连接符 246"/>
                        <wps:cNvCnPr/>
                        <wps:spPr>
                          <a:xfrm flipV="1">
                            <a:off x="1752600" y="681449"/>
                            <a:ext cx="635" cy="401376"/>
                          </a:xfrm>
                          <a:prstGeom prst="line">
                            <a:avLst/>
                          </a:prstGeom>
                          <a:ln w="9525" cap="flat" cmpd="sng">
                            <a:solidFill>
                              <a:srgbClr val="000000"/>
                            </a:solidFill>
                            <a:prstDash val="lgDash"/>
                            <a:headEnd type="none" w="med" len="med"/>
                            <a:tailEnd type="triangle" w="med" len="med"/>
                          </a:ln>
                        </wps:spPr>
                        <wps:bodyPr upright="1"/>
                      </wps:wsp>
                      <wps:wsp>
                        <wps:cNvPr id="230" name="矩形 247"/>
                        <wps:cNvSpPr/>
                        <wps:spPr>
                          <a:xfrm>
                            <a:off x="715645" y="448945"/>
                            <a:ext cx="1224280" cy="326390"/>
                          </a:xfrm>
                          <a:prstGeom prst="rect">
                            <a:avLst/>
                          </a:prstGeom>
                          <a:solidFill>
                            <a:srgbClr val="FFFFFF">
                              <a:alpha val="0"/>
                            </a:srgbClr>
                          </a:solidFill>
                          <a:ln>
                            <a:noFill/>
                          </a:ln>
                        </wps:spPr>
                        <wps:txbx>
                          <w:txbxContent>
                            <w:p>
                              <w:pPr>
                                <w:widowControl w:val="0"/>
                                <w:spacing w:line="240" w:lineRule="atLeast"/>
                                <w:ind w:firstLine="0" w:firstLineChars="0"/>
                                <w:rPr>
                                  <w:rFonts w:hint="default" w:ascii="Times New Roman" w:hAnsi="Times New Roman" w:eastAsia="宋体" w:cs="Times New Roman"/>
                                  <w:sz w:val="21"/>
                                  <w:szCs w:val="21"/>
                                  <w:lang w:val="en-US" w:eastAsia="zh-CN"/>
                                </w:rPr>
                              </w:pPr>
                              <w:r>
                                <w:rPr>
                                  <w:rFonts w:hint="eastAsia" w:ascii="Calibri" w:hAnsi="Calibri" w:cs="Times New Roman"/>
                                  <w:sz w:val="21"/>
                                  <w:szCs w:val="21"/>
                                </w:rPr>
                                <w:t>体能损耗</w:t>
                              </w:r>
                              <w:r>
                                <w:rPr>
                                  <w:rFonts w:hint="eastAsia" w:cs="Times New Roman"/>
                                  <w:sz w:val="21"/>
                                  <w:szCs w:val="21"/>
                                  <w:highlight w:val="none"/>
                                  <w:lang w:val="en-US" w:eastAsia="zh-CN"/>
                                </w:rPr>
                                <w:t>152.272</w:t>
                              </w:r>
                            </w:p>
                          </w:txbxContent>
                        </wps:txbx>
                        <wps:bodyPr upright="1"/>
                      </wps:wsp>
                      <wps:wsp>
                        <wps:cNvPr id="231" name="矩形 248"/>
                        <wps:cNvSpPr/>
                        <wps:spPr>
                          <a:xfrm>
                            <a:off x="2775585" y="992505"/>
                            <a:ext cx="1156970" cy="294640"/>
                          </a:xfrm>
                          <a:prstGeom prst="rect">
                            <a:avLst/>
                          </a:prstGeom>
                          <a:solidFill>
                            <a:srgbClr val="FFFFFF">
                              <a:alpha val="0"/>
                            </a:srgbClr>
                          </a:solid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猪尿液</w:t>
                              </w:r>
                              <w:r>
                                <w:rPr>
                                  <w:rFonts w:hint="eastAsia" w:cs="Times New Roman"/>
                                  <w:sz w:val="21"/>
                                  <w:szCs w:val="21"/>
                                  <w:lang w:val="en-US" w:eastAsia="zh-CN"/>
                                </w:rPr>
                                <w:t>179</w:t>
                              </w:r>
                            </w:p>
                          </w:txbxContent>
                        </wps:txbx>
                        <wps:bodyPr upright="1"/>
                      </wps:wsp>
                      <wps:wsp>
                        <wps:cNvPr id="232" name="直接连接符 249"/>
                        <wps:cNvCnPr/>
                        <wps:spPr>
                          <a:xfrm flipV="1">
                            <a:off x="2466340" y="3069590"/>
                            <a:ext cx="170815" cy="247015"/>
                          </a:xfrm>
                          <a:prstGeom prst="line">
                            <a:avLst/>
                          </a:prstGeom>
                          <a:ln w="9525" cap="flat" cmpd="sng">
                            <a:solidFill>
                              <a:srgbClr val="000000"/>
                            </a:solidFill>
                            <a:prstDash val="lgDash"/>
                            <a:headEnd type="none" w="med" len="med"/>
                            <a:tailEnd type="triangle" w="med" len="med"/>
                          </a:ln>
                        </wps:spPr>
                        <wps:bodyPr upright="1"/>
                      </wps:wsp>
                      <wps:wsp>
                        <wps:cNvPr id="233" name="矩形 250"/>
                        <wps:cNvSpPr/>
                        <wps:spPr>
                          <a:xfrm>
                            <a:off x="2111375" y="3294380"/>
                            <a:ext cx="912495" cy="32004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猪舍冲洗用水</w:t>
                              </w:r>
                            </w:p>
                            <w:p>
                              <w:pPr>
                                <w:widowControl w:val="0"/>
                                <w:spacing w:line="240" w:lineRule="atLeast"/>
                                <w:ind w:firstLine="0" w:firstLineChars="0"/>
                                <w:jc w:val="center"/>
                                <w:rPr>
                                  <w:rFonts w:ascii="Calibri" w:hAnsi="Calibri" w:cs="Times New Roman"/>
                                  <w:b/>
                                  <w:sz w:val="21"/>
                                  <w:szCs w:val="21"/>
                                </w:rPr>
                              </w:pPr>
                            </w:p>
                          </w:txbxContent>
                        </wps:txbx>
                        <wps:bodyPr lIns="0" tIns="45720" rIns="0" bIns="45720" upright="1"/>
                      </wps:wsp>
                      <wps:wsp>
                        <wps:cNvPr id="234" name="直接连接符 251"/>
                        <wps:cNvCnPr/>
                        <wps:spPr>
                          <a:xfrm>
                            <a:off x="3047365" y="584200"/>
                            <a:ext cx="396240" cy="0"/>
                          </a:xfrm>
                          <a:prstGeom prst="line">
                            <a:avLst/>
                          </a:prstGeom>
                          <a:ln w="9525" cap="flat" cmpd="sng">
                            <a:solidFill>
                              <a:srgbClr val="000000"/>
                            </a:solidFill>
                            <a:prstDash val="solid"/>
                            <a:headEnd type="none" w="med" len="med"/>
                            <a:tailEnd type="triangle" w="med" len="med"/>
                          </a:ln>
                        </wps:spPr>
                        <wps:bodyPr upright="1"/>
                      </wps:wsp>
                      <wps:wsp>
                        <wps:cNvPr id="235" name="矩形 252"/>
                        <wps:cNvSpPr/>
                        <wps:spPr>
                          <a:xfrm>
                            <a:off x="3453130" y="437576"/>
                            <a:ext cx="812800" cy="287695"/>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rPr>
                                  <w:rFonts w:ascii="Calibri" w:hAnsi="Calibri" w:cs="Times New Roman"/>
                                  <w:sz w:val="21"/>
                                  <w:szCs w:val="21"/>
                                </w:rPr>
                              </w:pPr>
                              <w:r>
                                <w:rPr>
                                  <w:rFonts w:hint="eastAsia" w:ascii="宋体" w:hAnsi="宋体" w:cs="Times New Roman"/>
                                  <w:sz w:val="21"/>
                                  <w:szCs w:val="21"/>
                                </w:rPr>
                                <w:t>固液分离</w:t>
                              </w:r>
                            </w:p>
                          </w:txbxContent>
                        </wps:txbx>
                        <wps:bodyPr upright="1"/>
                      </wps:wsp>
                      <wps:wsp>
                        <wps:cNvPr id="236" name="直接连接符 253"/>
                        <wps:cNvCnPr/>
                        <wps:spPr>
                          <a:xfrm>
                            <a:off x="3867785" y="736067"/>
                            <a:ext cx="635" cy="284519"/>
                          </a:xfrm>
                          <a:prstGeom prst="line">
                            <a:avLst/>
                          </a:prstGeom>
                          <a:ln w="9525" cap="flat" cmpd="sng">
                            <a:solidFill>
                              <a:srgbClr val="000000"/>
                            </a:solidFill>
                            <a:prstDash val="solid"/>
                            <a:headEnd type="none" w="med" len="med"/>
                            <a:tailEnd type="none" w="med" len="med"/>
                          </a:ln>
                        </wps:spPr>
                        <wps:bodyPr upright="1"/>
                      </wps:wsp>
                      <wps:wsp>
                        <wps:cNvPr id="237" name="直接连接符 254"/>
                        <wps:cNvCnPr/>
                        <wps:spPr>
                          <a:xfrm>
                            <a:off x="4329430" y="1031875"/>
                            <a:ext cx="0" cy="2412000"/>
                          </a:xfrm>
                          <a:prstGeom prst="line">
                            <a:avLst/>
                          </a:prstGeom>
                          <a:ln w="9525" cap="flat" cmpd="sng">
                            <a:solidFill>
                              <a:srgbClr val="000000"/>
                            </a:solidFill>
                            <a:prstDash val="solid"/>
                            <a:headEnd type="none" w="med" len="med"/>
                            <a:tailEnd type="none" w="med" len="med"/>
                          </a:ln>
                        </wps:spPr>
                        <wps:bodyPr upright="1"/>
                      </wps:wsp>
                      <wps:wsp>
                        <wps:cNvPr id="239" name="矩形 257"/>
                        <wps:cNvSpPr/>
                        <wps:spPr>
                          <a:xfrm>
                            <a:off x="3810000" y="728980"/>
                            <a:ext cx="584200" cy="27749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34.71</w:t>
                              </w:r>
                            </w:p>
                          </w:txbxContent>
                        </wps:txbx>
                        <wps:bodyPr upright="1"/>
                      </wps:wsp>
                      <wps:wsp>
                        <wps:cNvPr id="240" name="直接连接符 258"/>
                        <wps:cNvCnPr/>
                        <wps:spPr>
                          <a:xfrm>
                            <a:off x="4271645" y="591267"/>
                            <a:ext cx="889635" cy="635"/>
                          </a:xfrm>
                          <a:prstGeom prst="line">
                            <a:avLst/>
                          </a:prstGeom>
                          <a:ln w="9525" cap="flat" cmpd="sng">
                            <a:solidFill>
                              <a:srgbClr val="000000"/>
                            </a:solidFill>
                            <a:prstDash val="solid"/>
                            <a:headEnd type="none" w="med" len="med"/>
                            <a:tailEnd type="triangle" w="med" len="med"/>
                          </a:ln>
                        </wps:spPr>
                        <wps:bodyPr upright="1"/>
                      </wps:wsp>
                      <wps:wsp>
                        <wps:cNvPr id="241" name="矩形 259"/>
                        <wps:cNvSpPr/>
                        <wps:spPr>
                          <a:xfrm>
                            <a:off x="4212590" y="294640"/>
                            <a:ext cx="1211580" cy="294005"/>
                          </a:xfrm>
                          <a:prstGeom prst="rect">
                            <a:avLst/>
                          </a:prstGeom>
                          <a:solidFill>
                            <a:srgbClr val="FFFFFF">
                              <a:alpha val="0"/>
                            </a:srgbClr>
                          </a:solid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猪粪带</w:t>
                              </w:r>
                              <w:r>
                                <w:rPr>
                                  <w:rFonts w:hint="eastAsia" w:ascii="Times New Roman" w:hAnsi="Times New Roman" w:cs="Times New Roman"/>
                                  <w:sz w:val="21"/>
                                  <w:szCs w:val="21"/>
                                </w:rPr>
                                <w:t>走</w:t>
                              </w:r>
                              <w:r>
                                <w:rPr>
                                  <w:rFonts w:hint="eastAsia" w:cs="Times New Roman"/>
                                  <w:sz w:val="21"/>
                                  <w:szCs w:val="21"/>
                                  <w:lang w:val="en-US" w:eastAsia="zh-CN"/>
                                </w:rPr>
                                <w:t>10.49</w:t>
                              </w:r>
                            </w:p>
                          </w:txbxContent>
                        </wps:txbx>
                        <wps:bodyPr upright="1"/>
                      </wps:wsp>
                      <wps:wsp>
                        <wps:cNvPr id="242" name="矩形 260"/>
                        <wps:cNvSpPr/>
                        <wps:spPr>
                          <a:xfrm>
                            <a:off x="5143500" y="476951"/>
                            <a:ext cx="739775" cy="259116"/>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left="-120" w:leftChars="-50" w:right="-120" w:rightChars="-50" w:firstLine="0" w:firstLineChars="0"/>
                                <w:rPr>
                                  <w:rFonts w:hint="eastAsia" w:ascii="Calibri" w:hAnsi="Calibri" w:cs="Times New Roman"/>
                                  <w:color w:val="000000"/>
                                  <w:sz w:val="21"/>
                                  <w:szCs w:val="21"/>
                                </w:rPr>
                              </w:pPr>
                              <w:r>
                                <w:rPr>
                                  <w:rFonts w:hint="eastAsia" w:ascii="宋体" w:hAnsi="宋体" w:cs="Times New Roman"/>
                                  <w:color w:val="000000"/>
                                  <w:sz w:val="21"/>
                                  <w:szCs w:val="21"/>
                                </w:rPr>
                                <w:t>固粪处理区</w:t>
                              </w:r>
                            </w:p>
                          </w:txbxContent>
                        </wps:txbx>
                        <wps:bodyPr upright="1"/>
                      </wps:wsp>
                      <wps:wsp>
                        <wps:cNvPr id="243" name="直接连接符 261"/>
                        <wps:cNvCnPr/>
                        <wps:spPr>
                          <a:xfrm flipH="1">
                            <a:off x="4966970" y="1918335"/>
                            <a:ext cx="0" cy="883920"/>
                          </a:xfrm>
                          <a:prstGeom prst="line">
                            <a:avLst/>
                          </a:prstGeom>
                          <a:ln w="9525" cap="flat" cmpd="sng">
                            <a:solidFill>
                              <a:srgbClr val="000000"/>
                            </a:solidFill>
                            <a:prstDash val="solid"/>
                            <a:headEnd type="none" w="med" len="med"/>
                            <a:tailEnd type="triangle" w="med" len="med"/>
                          </a:ln>
                        </wps:spPr>
                        <wps:bodyPr upright="1"/>
                      </wps:wsp>
                      <wps:wsp>
                        <wps:cNvPr id="29" name="直接连接符 217"/>
                        <wps:cNvCnPr/>
                        <wps:spPr>
                          <a:xfrm flipV="1">
                            <a:off x="941705" y="2714625"/>
                            <a:ext cx="1143000" cy="635"/>
                          </a:xfrm>
                          <a:prstGeom prst="line">
                            <a:avLst/>
                          </a:prstGeom>
                          <a:ln w="9525" cap="flat" cmpd="sng">
                            <a:solidFill>
                              <a:srgbClr val="000000"/>
                            </a:solidFill>
                            <a:prstDash val="solid"/>
                            <a:headEnd type="none" w="med" len="med"/>
                            <a:tailEnd type="triangle" w="med" len="med"/>
                          </a:ln>
                        </wps:spPr>
                        <wps:bodyPr upright="1"/>
                      </wps:wsp>
                      <wps:wsp>
                        <wps:cNvPr id="30" name="矩形 219"/>
                        <wps:cNvSpPr/>
                        <wps:spPr>
                          <a:xfrm>
                            <a:off x="2092960" y="2587625"/>
                            <a:ext cx="1174750" cy="264795"/>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both"/>
                                <w:rPr>
                                  <w:rFonts w:hint="eastAsia" w:ascii="Calibri" w:hAnsi="Calibri" w:eastAsia="宋体" w:cs="Times New Roman"/>
                                  <w:sz w:val="21"/>
                                  <w:szCs w:val="21"/>
                                  <w:lang w:eastAsia="zh-CN"/>
                                </w:rPr>
                              </w:pPr>
                              <w:r>
                                <w:rPr>
                                  <w:rFonts w:hint="eastAsia" w:ascii="Calibri" w:hAnsi="Calibri" w:cs="Times New Roman"/>
                                  <w:sz w:val="21"/>
                                  <w:szCs w:val="21"/>
                                  <w:lang w:eastAsia="zh-CN"/>
                                </w:rPr>
                                <w:t>无害化处理车间</w:t>
                              </w:r>
                            </w:p>
                          </w:txbxContent>
                        </wps:txbx>
                        <wps:bodyPr upright="1"/>
                      </wps:wsp>
                      <wps:wsp>
                        <wps:cNvPr id="31" name="矩形 225"/>
                        <wps:cNvSpPr/>
                        <wps:spPr>
                          <a:xfrm>
                            <a:off x="1036955" y="2444750"/>
                            <a:ext cx="691515" cy="26733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0.9</w:t>
                              </w:r>
                            </w:p>
                          </w:txbxContent>
                        </wps:txbx>
                        <wps:bodyPr upright="1"/>
                      </wps:wsp>
                      <wps:wsp>
                        <wps:cNvPr id="32" name="直接连接符 216"/>
                        <wps:cNvCnPr/>
                        <wps:spPr>
                          <a:xfrm flipV="1">
                            <a:off x="3875405" y="1032510"/>
                            <a:ext cx="467995" cy="0"/>
                          </a:xfrm>
                          <a:prstGeom prst="line">
                            <a:avLst/>
                          </a:prstGeom>
                          <a:ln w="9525" cap="flat" cmpd="sng">
                            <a:solidFill>
                              <a:srgbClr val="000000"/>
                            </a:solidFill>
                            <a:prstDash val="solid"/>
                            <a:headEnd type="none" w="med" len="med"/>
                            <a:tailEnd type="triangle" w="med" len="med"/>
                          </a:ln>
                        </wps:spPr>
                        <wps:bodyPr upright="1"/>
                      </wps:wsp>
                      <wps:wsp>
                        <wps:cNvPr id="34" name="直接连接符 233"/>
                        <wps:cNvCnPr/>
                        <wps:spPr>
                          <a:xfrm flipV="1">
                            <a:off x="2640965" y="2355215"/>
                            <a:ext cx="232410" cy="219075"/>
                          </a:xfrm>
                          <a:prstGeom prst="line">
                            <a:avLst/>
                          </a:prstGeom>
                          <a:ln w="9525" cap="flat" cmpd="sng">
                            <a:solidFill>
                              <a:srgbClr val="000000"/>
                            </a:solidFill>
                            <a:prstDash val="lgDash"/>
                            <a:headEnd type="none" w="med" len="med"/>
                            <a:tailEnd type="triangle" w="med" len="med"/>
                          </a:ln>
                        </wps:spPr>
                        <wps:bodyPr upright="1"/>
                      </wps:wsp>
                      <wps:wsp>
                        <wps:cNvPr id="35" name="文本框 234"/>
                        <wps:cNvSpPr txBox="1"/>
                        <wps:spPr>
                          <a:xfrm>
                            <a:off x="2594610" y="2070100"/>
                            <a:ext cx="846455" cy="302260"/>
                          </a:xfrm>
                          <a:prstGeom prst="rect">
                            <a:avLst/>
                          </a:prstGeom>
                          <a:no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cs="Times New Roman"/>
                                  <w:sz w:val="21"/>
                                  <w:szCs w:val="21"/>
                                  <w:lang w:val="en-US" w:eastAsia="zh-CN"/>
                                </w:rPr>
                                <w:t>0.054</w:t>
                              </w:r>
                            </w:p>
                          </w:txbxContent>
                        </wps:txbx>
                        <wps:bodyPr upright="1">
                          <a:spAutoFit/>
                        </wps:bodyPr>
                      </wps:wsp>
                      <wps:wsp>
                        <wps:cNvPr id="36" name="直接连接符 227"/>
                        <wps:cNvCnPr/>
                        <wps:spPr>
                          <a:xfrm flipV="1">
                            <a:off x="3263900" y="2704465"/>
                            <a:ext cx="1080000" cy="635"/>
                          </a:xfrm>
                          <a:prstGeom prst="line">
                            <a:avLst/>
                          </a:prstGeom>
                          <a:ln w="9525" cap="flat" cmpd="sng">
                            <a:solidFill>
                              <a:srgbClr val="000000"/>
                            </a:solidFill>
                            <a:prstDash val="solid"/>
                            <a:headEnd type="none" w="med" len="med"/>
                            <a:tailEnd type="triangle" w="med" len="med"/>
                          </a:ln>
                        </wps:spPr>
                        <wps:bodyPr upright="1"/>
                      </wps:wsp>
                      <wps:wsp>
                        <wps:cNvPr id="37" name="矩形 229"/>
                        <wps:cNvSpPr/>
                        <wps:spPr>
                          <a:xfrm>
                            <a:off x="3639185" y="2465705"/>
                            <a:ext cx="584200"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0.846</w:t>
                              </w:r>
                            </w:p>
                          </w:txbxContent>
                        </wps:txbx>
                        <wps:bodyPr upright="1"/>
                      </wps:wsp>
                      <wps:wsp>
                        <wps:cNvPr id="45" name="文本框 242"/>
                        <wps:cNvSpPr txBox="1"/>
                        <wps:spPr>
                          <a:xfrm>
                            <a:off x="4268470" y="3148330"/>
                            <a:ext cx="658495"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228.477</w:t>
                              </w:r>
                            </w:p>
                          </w:txbxContent>
                        </wps:txbx>
                        <wps:bodyPr wrap="square" upright="1">
                          <a:spAutoFit/>
                        </wps:bodyPr>
                      </wps:wsp>
                      <wps:wsp>
                        <wps:cNvPr id="6" name="直接连接符 244"/>
                        <wps:cNvCnPr/>
                        <wps:spPr>
                          <a:xfrm>
                            <a:off x="941705" y="4243705"/>
                            <a:ext cx="1156970" cy="635"/>
                          </a:xfrm>
                          <a:prstGeom prst="line">
                            <a:avLst/>
                          </a:prstGeom>
                          <a:ln w="9525" cap="flat" cmpd="sng">
                            <a:solidFill>
                              <a:srgbClr val="000000"/>
                            </a:solidFill>
                            <a:prstDash val="solid"/>
                            <a:headEnd type="none" w="med" len="med"/>
                            <a:tailEnd type="triangle" w="med" len="med"/>
                          </a:ln>
                        </wps:spPr>
                        <wps:bodyPr upright="1"/>
                      </wps:wsp>
                      <wps:wsp>
                        <wps:cNvPr id="9" name="矩形 250"/>
                        <wps:cNvSpPr/>
                        <wps:spPr>
                          <a:xfrm>
                            <a:off x="2100580" y="4013200"/>
                            <a:ext cx="912495" cy="32004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lang w:eastAsia="zh-CN"/>
                                </w:rPr>
                                <w:t>除臭墙</w:t>
                              </w:r>
                              <w:r>
                                <w:rPr>
                                  <w:rFonts w:hint="eastAsia" w:ascii="Calibri" w:hAnsi="Calibri" w:cs="Times New Roman"/>
                                  <w:sz w:val="21"/>
                                  <w:szCs w:val="21"/>
                                </w:rPr>
                                <w:t>用水</w:t>
                              </w:r>
                            </w:p>
                            <w:p>
                              <w:pPr>
                                <w:widowControl w:val="0"/>
                                <w:spacing w:line="240" w:lineRule="atLeast"/>
                                <w:ind w:firstLine="0" w:firstLineChars="0"/>
                                <w:jc w:val="center"/>
                                <w:rPr>
                                  <w:rFonts w:ascii="Calibri" w:hAnsi="Calibri" w:cs="Times New Roman"/>
                                  <w:b/>
                                  <w:sz w:val="21"/>
                                  <w:szCs w:val="21"/>
                                </w:rPr>
                              </w:pPr>
                            </w:p>
                          </w:txbxContent>
                        </wps:txbx>
                        <wps:bodyPr lIns="0" tIns="45720" rIns="0" bIns="45720" upright="1"/>
                      </wps:wsp>
                      <wps:wsp>
                        <wps:cNvPr id="12" name="直接连接符 249"/>
                        <wps:cNvCnPr/>
                        <wps:spPr>
                          <a:xfrm flipV="1">
                            <a:off x="2473325" y="3783330"/>
                            <a:ext cx="170815" cy="247015"/>
                          </a:xfrm>
                          <a:prstGeom prst="line">
                            <a:avLst/>
                          </a:prstGeom>
                          <a:ln w="9525" cap="flat" cmpd="sng">
                            <a:solidFill>
                              <a:srgbClr val="000000"/>
                            </a:solidFill>
                            <a:prstDash val="lgDash"/>
                            <a:headEnd type="none" w="med" len="med"/>
                            <a:tailEnd type="triangle" w="med" len="med"/>
                          </a:ln>
                        </wps:spPr>
                        <wps:bodyPr upright="1"/>
                      </wps:wsp>
                      <wps:wsp>
                        <wps:cNvPr id="17" name="文本框 232"/>
                        <wps:cNvSpPr txBox="1"/>
                        <wps:spPr>
                          <a:xfrm>
                            <a:off x="2640330" y="3632200"/>
                            <a:ext cx="806450" cy="302260"/>
                          </a:xfrm>
                          <a:prstGeom prst="rect">
                            <a:avLst/>
                          </a:prstGeom>
                          <a:no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cs="Times New Roman"/>
                                  <w:sz w:val="21"/>
                                  <w:szCs w:val="21"/>
                                  <w:lang w:val="en-US" w:eastAsia="zh-CN"/>
                                </w:rPr>
                                <w:t>126</w:t>
                              </w:r>
                            </w:p>
                          </w:txbxContent>
                        </wps:txbx>
                        <wps:bodyPr upright="1">
                          <a:spAutoFit/>
                        </wps:bodyPr>
                      </wps:wsp>
                      <wps:wsp>
                        <wps:cNvPr id="19" name="矩形 224"/>
                        <wps:cNvSpPr/>
                        <wps:spPr>
                          <a:xfrm>
                            <a:off x="1092835" y="3981450"/>
                            <a:ext cx="490855"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126</w:t>
                              </w:r>
                            </w:p>
                          </w:txbxContent>
                        </wps:txbx>
                        <wps:bodyPr upright="1"/>
                      </wps:wsp>
                    </wpc:wpc>
                  </a:graphicData>
                </a:graphic>
              </wp:anchor>
            </w:drawing>
          </mc:Choice>
          <mc:Fallback>
            <w:pict>
              <v:group id="_x0000_s1026" o:spid="_x0000_s1026" o:spt="203" style="position:absolute;left:0pt;margin-left:-7.4pt;margin-top:12.3pt;height:363.6pt;width:462.1pt;z-index:259311616;mso-width-relative:page;mso-height-relative:page;" coordsize="5868670,4617720" editas="canvas" o:gfxdata="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">
                <o:lock v:ext="edit" aspectratio="f"/>
                <v:shape id="_x0000_s1026" o:spid="_x0000_s1026" style="position:absolute;left:0;top:0;height:4617720;width:5868670;" filled="f" stroked="f" coordsize="21600,21600" o:gfxdata="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">
                  <v:fill on="f" focussize="0,0"/>
                  <v:stroke on="f"/>
                  <v:imagedata o:title=""/>
                  <o:lock v:ext="edit" aspectratio="t"/>
                </v:shape>
                <v:rect id="矩形 213" o:spid="_x0000_s1026" o:spt="1" style="position:absolute;left:0;top:1835785;height:641985;width:322580;" fillcolor="#FFFFFF" filled="t" stroked="t" coordsize="21600,21600" o:gfxdata="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vadQtoAAAAKAQAADwAAAAAAAAABACAAAAAiAAAAZHJzL2Rv&#10;d25yZXYueG1sUEsBAhQAFAAAAAgAh07iQAw52ND/AQAAAQQAAA4AAAAAAAAAAQAgAAAAKQEAAGRy&#10;cy9lMm9Eb2MueG1sUEsFBgAAAAAGAAYAWQEAAJoFAAAAAA==&#10;">
                  <v:fill on="t" opacity="0f" focussize="0,0"/>
                  <v:stroke color="#000000" joinstyle="miter"/>
                  <v:imagedata o:title=""/>
                  <o:lock v:ext="edit" aspectratio="f"/>
                  <v:textbox>
                    <w:txbxContent>
                      <w:p>
                        <w:pPr>
                          <w:widowControl w:val="0"/>
                          <w:spacing w:line="240" w:lineRule="exact"/>
                          <w:ind w:firstLine="0" w:firstLineChars="0"/>
                          <w:rPr>
                            <w:rFonts w:ascii="Calibri" w:hAnsi="Calibri" w:cs="Times New Roman"/>
                            <w:sz w:val="21"/>
                            <w:szCs w:val="21"/>
                          </w:rPr>
                        </w:pPr>
                        <w:r>
                          <w:rPr>
                            <w:rFonts w:hint="eastAsia" w:ascii="Calibri" w:hAnsi="Calibri" w:cs="Times New Roman"/>
                            <w:sz w:val="21"/>
                            <w:szCs w:val="21"/>
                          </w:rPr>
                          <w:t>新鲜水</w:t>
                        </w:r>
                      </w:p>
                    </w:txbxContent>
                  </v:textbox>
                </v:rect>
                <v:line id="直接连接符 214" o:spid="_x0000_s1026" o:spt="20" style="position:absolute;left:354965;top:2140881;height:635;width:582295;"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FATLo3AAAAAoBAAAPAAAAAAAAAAEAIAAAACIAAABkcnMvZG93bnJldi54bWxQSwEC&#10;FAAUAAAACACHTuJAYpfLEvABAACqAwAADgAAAAAAAAABACAAAAArAQAAZHJzL2Uyb0RvYy54bWxQ&#10;SwUGAAAAAAYABgBZAQAAjQUAAAAA&#10;">
                  <v:fill on="f" focussize="0,0"/>
                  <v:stroke color="#000000" joinstyle="round" endarrow="block"/>
                  <v:imagedata o:title=""/>
                  <o:lock v:ext="edit" aspectratio="f"/>
                </v:line>
                <v:line id="直接连接符 215" o:spid="_x0000_s1026" o:spt="20" style="position:absolute;left:944880;top:1179830;height:3060000;width:0;" filled="f" stroked="t" coordsize="21600,21600" o:gfxdata="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GfC1U&#10;2QAAAAoBAAAPAAAAAAAAAAEAIAAAACIAAABkcnMvZG93bnJldi54bWxQSwECFAAUAAAACACHTuJA&#10;0JLSSecBAAClAwAADgAAAAAAAAABACAAAAAoAQAAZHJzL2Uyb0RvYy54bWxQSwUGAAAAAAYABgBZ&#10;AQAAgQUAAAAA&#10;">
                  <v:fill on="f" focussize="0,0"/>
                  <v:stroke color="#000000" joinstyle="round"/>
                  <v:imagedata o:title=""/>
                  <o:lock v:ext="edit" aspectratio="f"/>
                </v:line>
                <v:line id="直接连接符 216" o:spid="_x0000_s1026" o:spt="20" style="position:absolute;left:937260;top:1189355;flip:y;height:0;width:612000;" filled="f" stroked="t" coordsize="21600,21600" o:gfxdata="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Yul2wAAAAoBAAAPAAAAAAAAAAEAIAAAACIAAABkcnMvZG93bnJldi54&#10;bWxQSwECFAAUAAAACACHTuJA3yTRXvcBAACyAwAADgAAAAAAAAABACAAAAAqAQAAZHJzL2Uyb0Rv&#10;Yy54bWxQSwUGAAAAAAYABgBZAQAAkwUAAAAA&#10;">
                  <v:fill on="f" focussize="0,0"/>
                  <v:stroke color="#000000" joinstyle="round" endarrow="block"/>
                  <v:imagedata o:title=""/>
                  <o:lock v:ext="edit" aspectratio="f"/>
                </v:line>
                <v:line id="直接连接符 217" o:spid="_x0000_s1026" o:spt="20" style="position:absolute;left:967740;top:1906534;flip:y;height:635;width:1143000;" filled="f" stroked="t" coordsize="21600,21600" o:gfxdata="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Yul2wAAAAoBAAAPAAAAAAAAAAEAIAAAACIAAABkcnMvZG93bnJldi54&#10;bWxQSwECFAAUAAAACACHTuJAY420TPcBAAC1AwAADgAAAAAAAAABACAAAAAqAQAAZHJzL2Uyb0Rv&#10;Yy54bWxQSwUGAAAAAAYABgBZAQAAkwUAAAAA&#10;">
                  <v:fill on="f" focussize="0,0"/>
                  <v:stroke color="#000000" joinstyle="round" endarrow="block"/>
                  <v:imagedata o:title=""/>
                  <o:lock v:ext="edit" aspectratio="f"/>
                </v:line>
                <v:rect id="矩形 218" o:spid="_x0000_s1026" o:spt="1" style="position:absolute;left:1552575;top:1058691;height:297221;width:882650;" fillcolor="#FFFFFF" filled="t" stroked="t" coordsize="21600,21600" o:gfxdata="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4GaqDbAAAACgEA&#10;AA8AAAAAAAAAAQAgAAAAIgAAAGRycy9kb3ducmV2LnhtbFBLAQIUABQAAAAIAIdO4kAmqLlIFwIA&#10;ADMEAAAOAAAAAAAAAAEAIAAAACoBAABkcnMvZTJvRG9jLnhtbFBLBQYAAAAABgAGAFkBAACzBQAA&#10;AAA=&#10;">
                  <v:fill on="t" opacity="0f" focussize="0,0"/>
                  <v:stroke color="#000000" joinstyle="miter"/>
                  <v:imagedata o:title=""/>
                  <o:lock v:ext="edit" aspectratio="f"/>
                  <v:textbox inset="0mm,1.27mm,0mm,1.27mm">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生猪饮用水</w:t>
                        </w:r>
                      </w:p>
                    </w:txbxContent>
                  </v:textbox>
                </v:rect>
                <v:rect id="矩形 219" o:spid="_x0000_s1026" o:spt="1" style="position:absolute;left:2126615;top:1795393;height:264832;width:850900;" fillcolor="#FFFFFF" filled="t" stroked="t" coordsize="21600,21600" o:gfxdata="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&#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9p1C2gAAAAoBAAAPAAAAAAAAAAEAIAAAACIAAABk&#10;cnMvZG93bnJldi54bWxQSwECFAAUAAAACACHTuJAAXS8vQQCAAAHBAAADgAAAAAAAAABACAAAAAp&#10;AQAAZHJzL2Uyb0RvYy54bWxQSwUGAAAAAAYABgBZAQAAnwUAAAAA&#10;">
                  <v:fill on="t" opacity="0f" focussize="0,0"/>
                  <v:stroke color="#000000" joinstyle="miter"/>
                  <v:imagedata o:title=""/>
                  <o:lock v:ext="edit" aspectratio="f"/>
                  <v:textbo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职工生活</w:t>
                        </w:r>
                      </w:p>
                    </w:txbxContent>
                  </v:textbox>
                </v:rect>
                <v:rect id="矩形 220" o:spid="_x0000_s1026" o:spt="1" style="position:absolute;left:4593590;top:2792095;height:274955;width:1158875;" fillcolor="#FFFFFF" filled="t" stroked="t" coordsize="21600,21600" o:gfxdata="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vadQtoAAAAKAQAADwAAAAAAAAABACAAAAAiAAAA&#10;ZHJzL2Rvd25yZXYueG1sUEsBAhQAFAAAAAgAh07iQEcnJA8FAgAACAQAAA4AAAAAAAAAAQAgAAAA&#10;KQEAAGRycy9lMm9Eb2MueG1sUEsFBgAAAAAGAAYAWQEAAKAFAAAAAA==&#10;">
                  <v:fill on="t" opacity="0f" focussize="0,0"/>
                  <v:stroke color="#000000" joinstyle="miter"/>
                  <v:imagedata o:title=""/>
                  <o:lock v:ext="edit" aspectratio="f"/>
                  <v:textbo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lang w:eastAsia="zh-CN"/>
                          </w:rPr>
                          <w:t>黑膜</w:t>
                        </w:r>
                        <w:r>
                          <w:rPr>
                            <w:rFonts w:hint="eastAsia" w:ascii="Calibri" w:hAnsi="Calibri" w:cs="Times New Roman"/>
                            <w:sz w:val="21"/>
                            <w:szCs w:val="21"/>
                          </w:rPr>
                          <w:t>沼气池</w:t>
                        </w:r>
                      </w:p>
                    </w:txbxContent>
                  </v:textbox>
                </v:rect>
                <v:line id="直接连接符 221" o:spid="_x0000_s1026" o:spt="20" style="position:absolute;left:4821555;top:3063240;height:493395;width:635;"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FATLo3AAAAAoBAAAPAAAAAAAAAAEAIAAAACIAAABkcnMvZG93bnJldi54bWxQSwEC&#10;FAAUAAAACACHTuJAACLNMfABAACrAwAADgAAAAAAAAABACAAAAArAQAAZHJzL2Uyb0RvYy54bWxQ&#10;SwUGAAAAAAYABgBZAQAAjQUAAAAA&#10;">
                  <v:fill on="f" focussize="0,0"/>
                  <v:stroke color="#000000" joinstyle="round" endarrow="block"/>
                  <v:imagedata o:title=""/>
                  <o:lock v:ext="edit" aspectratio="f"/>
                </v:line>
                <v:rect id="矩形 222" o:spid="_x0000_s1026" o:spt="1" style="position:absolute;left:4463415;top:3555857;height:270547;width:496570;" fillcolor="#FFFFFF" filled="t" stroked="t" coordsize="21600,21600" o:gfxdata="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72nULaAAAACgEAAA8AAAAAAAAAAQAgAAAAIgAA&#10;AGRycy9kb3ducmV2LnhtbFBLAQIUABQAAAAIAIdO4kBKUEwrBgIAAAcEAAAOAAAAAAAAAAEAIAAA&#10;ACkBAABkcnMvZTJvRG9jLnhtbFBLBQYAAAAABgAGAFkBAAChBQAAAAA=&#10;">
                  <v:fill on="t" opacity="0f" focussize="0,0"/>
                  <v:stroke color="#000000" joinstyle="miter"/>
                  <v:imagedata o:title=""/>
                  <o:lock v:ext="edit" aspectratio="f"/>
                  <v:textbo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沼液</w:t>
                        </w:r>
                      </w:p>
                    </w:txbxContent>
                  </v:textbox>
                </v:rect>
                <v:rect id="矩形 223" o:spid="_x0000_s1026" o:spt="1" style="position:absolute;left:307975;top:1868170;height:331470;width:654685;"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4nceTaAAAACgEAAA8AAAAAAAAAAQAgAAAAIgAAAGRycy9kb3ducmV2LnhtbFBLAQIUABQA&#10;AAAIAIdO4kAGVTNAtQEAAEcDAAAOAAAAAAAAAAEAIAAAACkBAABkcnMvZTJvRG9jLnhtbFBLBQYA&#10;AAAABgAGAFkBAABQBQAAAAA=&#10;">
                  <v:fill on="t" opacity="0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530.792</w:t>
                        </w:r>
                      </w:p>
                    </w:txbxContent>
                  </v:textbox>
                </v:rect>
                <v:rect id="矩形 224" o:spid="_x0000_s1026" o:spt="1" style="position:absolute;left:1056005;top:3242945;height:198755;width:490855;"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4nceTaAAAACgEAAA8AAAAAAAAAAQAgAAAAIgAAAGRycy9kb3ducmV2LnhtbFBLAQIU&#10;ABQAAAAIAIdO4kDzT2FsuAEAAEgDAAAOAAAAAAAAAAEAIAAAACkBAABkcnMvZTJvRG9jLnhtbFBL&#10;BQYAAAAABgAGAFkBAABTBQ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15.90</w:t>
                        </w:r>
                      </w:p>
                    </w:txbxContent>
                  </v:textbox>
                </v:rect>
                <v:rect id="矩形 225" o:spid="_x0000_s1026" o:spt="1" style="position:absolute;left:1074420;top:1641702;height:267372;width:691515;"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3Hk2gAAAAoBAAAPAAAAAAAAAAEAIAAAACIAAABkcnMvZG93bnJldi54bWxQSwECFAAU&#10;AAAACACHTuJADed6SbYBAABIAwAADgAAAAAAAAABACAAAAApAQAAZHJzL2Uyb0RvYy54bWxQSwUG&#10;AAAAAAYABgBZAQAAUQU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11.52</w:t>
                        </w:r>
                      </w:p>
                    </w:txbxContent>
                  </v:textbox>
                </v:rect>
                <v:line id="直接连接符 226" o:spid="_x0000_s1026" o:spt="20" style="position:absolute;left:2449830;top:1231900;flip:y;height:21590;width:1890395;" filled="f" stroked="t" coordsize="21600,21600" o:gfxdata="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8Ji6XbAAAACgEAAA8AAAAAAAAAAQAgAAAAIgAAAGRycy9kb3du&#10;cmV2LnhtbFBLAQIUABQAAAAIAIdO4kBQCt8W/AEAALgDAAAOAAAAAAAAAAEAIAAAACoBAABkcnMv&#10;ZTJvRG9jLnhtbFBLBQYAAAAABgAGAFkBAACYBQAAAAA=&#10;">
                  <v:fill on="f" focussize="0,0"/>
                  <v:stroke color="#000000" joinstyle="round" endarrow="block"/>
                  <v:imagedata o:title=""/>
                  <o:lock v:ext="edit" aspectratio="f"/>
                </v:line>
                <v:line id="直接连接符 227" o:spid="_x0000_s1026" o:spt="20" style="position:absolute;left:2974340;top:1907804;flip:y;height:635;width:1366520;" filled="f" stroked="t" coordsize="21600,21600" o:gfxdata="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CYul2wAAAAoBAAAPAAAAAAAAAAEAIAAAACIAAABkcnMvZG93bnJl&#10;di54bWxQSwECFAAUAAAACACHTuJAkkkCDPoBAAC2AwAADgAAAAAAAAABACAAAAAqAQAAZHJzL2Uy&#10;b0RvYy54bWxQSwUGAAAAAAYABgBZAQAAlgUAAAAA&#10;">
                  <v:fill on="f" focussize="0,0"/>
                  <v:stroke color="#000000" joinstyle="round" endarrow="block"/>
                  <v:imagedata o:title=""/>
                  <o:lock v:ext="edit" aspectratio="f"/>
                </v:line>
                <v:rect id="矩形 228" o:spid="_x0000_s1026" o:spt="1" style="position:absolute;left:3276600;top:3208655;height:198755;width:598170;"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3Hk2gAAAAoBAAAPAAAAAAAAAAEAIAAAACIAAABkcnMvZG93bnJldi54bWxQSwECFAAU&#10;AAAACACHTuJAblDHPbYBAABIAwAADgAAAAAAAAABACAAAAApAQAAZHJzL2Uyb0RvYy54bWxQSwUG&#10;AAAAAAYABgBZAQAAUQU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14.31</w:t>
                        </w:r>
                      </w:p>
                    </w:txbxContent>
                  </v:textbox>
                </v:rect>
                <v:rect id="矩形 229" o:spid="_x0000_s1026" o:spt="1" style="position:absolute;left:3349625;top:1669011;height:198783;width:584200;"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idx5NoAAAAKAQAADwAAAAAAAAABACAAAAAiAAAAZHJzL2Rvd25yZXYueG1sUEsBAhQA&#10;FAAAAAgAh07iQDRIH+K3AQAASAMAAA4AAAAAAAAAAQAgAAAAKQEAAGRycy9lMm9Eb2MueG1sUEsF&#10;BgAAAAAGAAYAWQEAAFIF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9.216</w:t>
                        </w:r>
                      </w:p>
                    </w:txbxContent>
                  </v:textbox>
                </v:rect>
                <v:shape id="文本框 230" o:spid="_x0000_s1026" o:spt="202" type="#_x0000_t202" style="position:absolute;left:1885315;top:350520;height:330835;width:1151255;" filled="f" stroked="t" coordsize="21600,21600" o:gfxdata="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98eN1wAAAAoBAAAPAAAAAAAAAAEAIAAAACIAAABkcnMvZG93bnJldi54bWxQSwECFAAU&#10;AAAACACHTuJAzIj8lPIBAADOAwAADgAAAAAAAAABACAAAAAmAQAAZHJzL2Uyb0RvYy54bWxQSwUG&#10;AAAAAAYABgBZAQAAigUAAAAA&#10;">
                  <v:fill on="f" focussize="0,0"/>
                  <v:stroke color="#000000" joinstyle="miter"/>
                  <v:imagedata o:title=""/>
                  <o:lock v:ext="edit" aspectratio="f"/>
                  <v:textbox>
                    <w:txbxContent>
                      <w:p>
                        <w:pPr>
                          <w:widowControl w:val="0"/>
                          <w:spacing w:line="240" w:lineRule="auto"/>
                          <w:ind w:firstLine="0" w:firstLineChars="0"/>
                          <w:jc w:val="left"/>
                          <w:rPr>
                            <w:rFonts w:hint="default" w:ascii="Calibri" w:hAnsi="Calibri" w:eastAsia="宋体" w:cs="Times New Roman"/>
                            <w:sz w:val="21"/>
                            <w:szCs w:val="21"/>
                            <w:highlight w:val="yellow"/>
                            <w:lang w:val="en-US" w:eastAsia="zh-CN"/>
                          </w:rPr>
                        </w:pPr>
                        <w:r>
                          <w:rPr>
                            <w:rFonts w:hint="eastAsia" w:ascii="Calibri" w:hAnsi="Calibri" w:cs="Times New Roman"/>
                            <w:sz w:val="21"/>
                            <w:szCs w:val="21"/>
                          </w:rPr>
                          <w:t>猪粪含</w:t>
                        </w:r>
                        <w:r>
                          <w:rPr>
                            <w:rFonts w:hint="eastAsia" w:ascii="Times New Roman" w:hAnsi="Times New Roman" w:cs="Times New Roman"/>
                            <w:sz w:val="21"/>
                            <w:szCs w:val="21"/>
                          </w:rPr>
                          <w:t>水</w:t>
                        </w:r>
                        <w:r>
                          <w:rPr>
                            <w:rFonts w:hint="eastAsia" w:cs="Times New Roman"/>
                            <w:sz w:val="21"/>
                            <w:szCs w:val="21"/>
                            <w:highlight w:val="none"/>
                            <w:lang w:val="en-US" w:eastAsia="zh-CN"/>
                          </w:rPr>
                          <w:t>45.2</w:t>
                        </w:r>
                      </w:p>
                    </w:txbxContent>
                  </v:textbox>
                </v:shape>
                <v:line id="直接连接符 231" o:spid="_x0000_s1026" o:spt="20" style="position:absolute;left:2200275;top:671288;flip:y;height:401376;width:12065;" filled="f" stroked="t" coordsize="21600,21600" o:gfxdata="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po1dnXAAAACgEAAA8AAAAAAAAAAQAgAAAAIgAAAGRycy9kb3ducmV2Lnht&#10;bFBLAQIUABQAAAAIAIdO4kCQ8vi/+gEAALcDAAAOAAAAAAAAAAEAIAAAACYBAABkcnMvZTJvRG9j&#10;LnhtbFBLBQYAAAAABgAGAFkBAACSBQAAAAA=&#10;">
                  <v:fill on="f" focussize="0,0"/>
                  <v:stroke color="#000000" joinstyle="round" dashstyle="longDash" endarrow="block"/>
                  <v:imagedata o:title=""/>
                  <o:lock v:ext="edit" aspectratio="f"/>
                </v:line>
                <v:shape id="文本框 232" o:spid="_x0000_s1026" o:spt="202" type="#_x0000_t202" style="position:absolute;left:2593975;top:2899410;height:302260;width:806450;" filled="f" stroked="f" coordsize="21600,21600" o:gfxdata="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gz9LHYAAAA&#10;CgEAAA8AAAAAAAAAAQAgAAAAIgAAAGRycy9kb3ducmV2LnhtbFBLAQIUABQAAAAIAIdO4kAqnnMR&#10;qwEAACkDAAAOAAAAAAAAAAEAIAAAACcBAABkcnMvZTJvRG9jLnhtbFBLBQYAAAAABgAGAFkBAABE&#10;BQAAAAA=&#10;">
                  <v:fill on="f" focussize="0,0"/>
                  <v:stroke on="f"/>
                  <v:imagedata o:title=""/>
                  <o:lock v:ext="edit" aspectratio="f"/>
                  <v:textbox style="mso-fit-shape-to-text:t;">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cs="Times New Roman"/>
                            <w:sz w:val="21"/>
                            <w:szCs w:val="21"/>
                            <w:lang w:val="en-US" w:eastAsia="zh-CN"/>
                          </w:rPr>
                          <w:t>1.59</w:t>
                        </w:r>
                      </w:p>
                    </w:txbxContent>
                  </v:textbox>
                </v:shape>
                <v:line id="直接连接符 233" o:spid="_x0000_s1026" o:spt="20" style="position:absolute;left:2336165;top:1493727;flip:y;height:219105;width:232410;" filled="f" stroked="t" coordsize="21600,21600" o:gfxdata="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po1dnXAAAACgEAAA8AAAAAAAAAAQAgAAAAIgAAAGRycy9kb3ducmV2&#10;LnhtbFBLAQIUABQAAAAIAIdO4kBERkeD/QEAALkDAAAOAAAAAAAAAAEAIAAAACYBAABkcnMvZTJv&#10;RG9jLnhtbFBLBQYAAAAABgAGAFkBAACVBQAAAAA=&#10;">
                  <v:fill on="f" focussize="0,0"/>
                  <v:stroke color="#000000" joinstyle="round" dashstyle="longDash" endarrow="block"/>
                  <v:imagedata o:title=""/>
                  <o:lock v:ext="edit" aspectratio="f"/>
                </v:line>
                <v:shape id="文本框 234" o:spid="_x0000_s1026" o:spt="202" type="#_x0000_t202" style="position:absolute;left:2494280;top:1333685;height:302260;width:846455;" filled="f" stroked="f" coordsize="21600,21600" o:gfxdata="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DP0sdgA&#10;AAAKAQAADwAAAAAAAAABACAAAAAiAAAAZHJzL2Rvd25yZXYueG1sUEsBAhQAFAAAAAgAh07iQDj1&#10;IIetAQAAKQMAAA4AAAAAAAAAAQAgAAAAJwEAAGRycy9lMm9Eb2MueG1sUEsFBgAAAAAGAAYAWQEA&#10;AEYFAAAAAA==&#10;">
                  <v:fill on="f" focussize="0,0"/>
                  <v:stroke on="f"/>
                  <v:imagedata o:title=""/>
                  <o:lock v:ext="edit" aspectratio="f"/>
                  <v:textbox style="mso-fit-shape-to-text:t;">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cs="Times New Roman"/>
                            <w:sz w:val="21"/>
                            <w:szCs w:val="21"/>
                            <w:lang w:val="en-US" w:eastAsia="zh-CN"/>
                          </w:rPr>
                          <w:t>2.304</w:t>
                        </w:r>
                      </w:p>
                    </w:txbxContent>
                  </v:textbox>
                </v:shape>
                <v:shape id="直接箭头连接符 235" o:spid="_x0000_s1026" o:spt="32" type="#_x0000_t32" style="position:absolute;left:4309745;top:1912885;flip:x;height:635;width:649605;" filled="f" stroked="t" coordsize="21600,21600" o:gfxdata="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n5dpdkAAAAKAQAADwAAAAAAAAABACAAAAAiAAAAZHJzL2Rvd25y&#10;ZXYueG1sUEsBAhQAFAAAAAgAh07iQB2/4779AQAAuQMAAA4AAAAAAAAAAQAgAAAAKAEAAGRycy9l&#10;Mm9Eb2MueG1sUEsFBgAAAAAGAAYAWQEAAJcFAAAAAA==&#10;">
                  <v:fill on="f" focussize="0,0"/>
                  <v:stroke color="#000000" joinstyle="round"/>
                  <v:imagedata o:title=""/>
                  <o:lock v:ext="edit" aspectratio="f"/>
                </v:shape>
                <v:shape id="文本框 236" o:spid="_x0000_s1026" o:spt="202" type="#_x0000_t202" style="position:absolute;left:4356735;top:1628365;height:302260;width:680085;" filled="f" stroked="f" coordsize="21600,21600" o:gfxdata="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YM/Sx2AAA&#10;AAoBAAAPAAAAAAAAAAEAIAAAACIAAABkcnMvZG93bnJldi54bWxQSwECFAAUAAAACACHTuJAHgxh&#10;BawBAAApAwAADgAAAAAAAAABACAAAAAnAQAAZHJzL2Uyb0RvYy54bWxQSwUGAAAAAAYABgBZAQAA&#10;RQUA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238.082</w:t>
                        </w:r>
                      </w:p>
                    </w:txbxContent>
                  </v:textbox>
                </v:shape>
                <v:line id="直接连接符 238" o:spid="_x0000_s1026" o:spt="20" style="position:absolute;left:4698365;top:3849268;height:276263;width:635;"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UBMujcAAAACgEAAA8AAAAAAAAAAQAgAAAAIgAAAGRycy9kb3ducmV2LnhtbFBL&#10;AQIUABQAAAAIAIdO4kDrnyN/8gEAAKsDAAAOAAAAAAAAAAEAIAAAACsBAABkcnMvZTJvRG9jLnht&#10;bFBLBQYAAAAABgAGAFkBAACPBQAAAAA=&#10;">
                  <v:fill on="f" focussize="0,0"/>
                  <v:stroke color="#000000" joinstyle="round" endarrow="block"/>
                  <v:imagedata o:title=""/>
                  <o:lock v:ext="edit" aspectratio="f"/>
                </v:line>
                <v:shape id="文本框 239" o:spid="_x0000_s1026" o:spt="202" type="#_x0000_t202" style="position:absolute;left:4268470;top:4008675;height:493463;width:805180;" filled="f" stroked="f" coordsize="21600,21600" o:gfxdata="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WVFcPYAAAACgEAAA8AAAAAAAAA&#10;AQAgAAAAIgAAAGRycy9kb3ducmV2LnhtbFBLAQIUABQAAAAIAIdO4kCs0GKmnwEAAA8DAAAOAAAA&#10;AAAAAAEAIAAAACcBAABkcnMvZTJvRG9jLnhtbFBLBQYAAAAABgAGAFkBAAA4BQAAAAA=&#10;">
                  <v:fill on="f" focussize="0,0"/>
                  <v:stroke on="f"/>
                  <v:imagedata o:title=""/>
                  <o:lock v:ext="edit" aspectratio="f"/>
                  <v:textbox>
                    <w:txbxContent>
                      <w:p>
                        <w:pPr>
                          <w:widowControl w:val="0"/>
                          <w:spacing w:line="240" w:lineRule="auto"/>
                          <w:ind w:firstLine="0" w:firstLineChars="0"/>
                          <w:jc w:val="center"/>
                          <w:rPr>
                            <w:rFonts w:hint="default" w:ascii="Calibri" w:hAnsi="Calibri" w:eastAsia="宋体" w:cs="Times New Roman"/>
                            <w:sz w:val="21"/>
                            <w:szCs w:val="21"/>
                            <w:lang w:val="en-US" w:eastAsia="zh-CN"/>
                          </w:rPr>
                        </w:pPr>
                        <w:r>
                          <w:rPr>
                            <w:rFonts w:hint="eastAsia" w:ascii="Calibri" w:hAnsi="Calibri" w:cs="Times New Roman"/>
                            <w:sz w:val="21"/>
                            <w:szCs w:val="21"/>
                          </w:rPr>
                          <w:t>土地利用</w:t>
                        </w:r>
                        <w:r>
                          <w:rPr>
                            <w:rFonts w:hint="eastAsia" w:cs="Times New Roman"/>
                            <w:sz w:val="21"/>
                            <w:szCs w:val="21"/>
                            <w:highlight w:val="none"/>
                            <w:lang w:val="en-US" w:eastAsia="zh-CN"/>
                          </w:rPr>
                          <w:t>228.477</w:t>
                        </w:r>
                      </w:p>
                    </w:txbxContent>
                  </v:textbox>
                </v:shape>
                <v:line id="直接连接符 240" o:spid="_x0000_s1026" o:spt="20" style="position:absolute;left:5470525;top:3066415;height:488950;width:635;"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UBMujcAAAACgEAAA8AAAAAAAAAAQAgAAAAIgAAAGRycy9kb3ducmV2LnhtbFBL&#10;AQIUABQAAAAIAIdO4kC+Wqfx8gEAAKsDAAAOAAAAAAAAAAEAIAAAACsBAABkcnMvZTJvRG9jLnht&#10;bFBLBQYAAAAABgAGAFkBAACPBQAAAAA=&#10;">
                  <v:fill on="f" focussize="0,0"/>
                  <v:stroke color="#000000" joinstyle="round" endarrow="block"/>
                  <v:imagedata o:title=""/>
                  <o:lock v:ext="edit" aspectratio="f"/>
                </v:line>
                <v:rect id="矩形 241" o:spid="_x0000_s1026" o:spt="1" style="position:absolute;left:5050155;top:3580625;height:270547;width:617220;" fillcolor="#FFFFFF" filled="t" stroked="t" coordsize="21600,21600" o:gfxdata="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4GaqDbAAAACgEA&#10;AA8AAAAAAAAAAQAgAAAAIgAAAGRycy9kb3ducmV2LnhtbFBLAQIUABQAAAAIAIdO4kCkZcYzFwIA&#10;ADMEAAAOAAAAAAAAAAEAIAAAACoBAABkcnMvZTJvRG9jLnhtbFBLBQYAAAAABgAGAFkBAACzBQAA&#10;AAA=&#10;">
                  <v:fill on="t" opacity="0f" focussize="0,0"/>
                  <v:stroke color="#000000" joinstyle="miter"/>
                  <v:imagedata o:title=""/>
                  <o:lock v:ext="edit" aspectratio="f"/>
                  <v:textbox inset="0mm,1.27mm,0mm,1.27mm">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沼渣带走</w:t>
                        </w:r>
                      </w:p>
                    </w:txbxContent>
                  </v:textbox>
                </v:rect>
                <v:shape id="文本框 242" o:spid="_x0000_s1026" o:spt="202" type="#_x0000_t202" style="position:absolute;left:5069840;top:3227705;height:302260;width:485140;" filled="f" stroked="f" coordsize="21600,21600" o:gfxdata="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YM/Sx2AAA&#10;AAoBAAAPAAAAAAAAAAEAIAAAACIAAABkcnMvZG93bnJldi54bWxQSwECFAAUAAAACACHTuJAxKHM&#10;oKwBAAApAwAADgAAAAAAAAABACAAAAAnAQAAZHJzL2Uyb0RvYy54bWxQSwUGAAAAAAYABgBZAQAA&#10;RQUA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9.605</w:t>
                        </w:r>
                      </w:p>
                    </w:txbxContent>
                  </v:textbox>
                </v:shape>
                <v:rect id="矩形 243" o:spid="_x0000_s1026" o:spt="1" style="position:absolute;left:915035;top:948055;height:198755;width:820420;"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4nceTaAAAACgEAAA8AAAAAAAAAAQAgAAAAIgAAAGRycy9kb3ducmV2LnhtbFBLAQIUABQA&#10;AAAIAIdO4kDGP9uhtQEAAEYDAAAOAAAAAAAAAAEAIAAAACkBAABkcnMvZTJvRG9jLnhtbFBLBQYA&#10;AAAABgAGAFkBAABQBQ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376.472</w:t>
                        </w:r>
                      </w:p>
                    </w:txbxContent>
                  </v:textbox>
                </v:rect>
                <v:line id="直接连接符 244" o:spid="_x0000_s1026" o:spt="20" style="position:absolute;left:953135;top:3440430;height:635;width:1156970;"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QEy6NwAAAAKAQAADwAAAAAAAAABACAAAAAiAAAAZHJzL2Rvd25yZXYueG1sUEsB&#10;AhQAFAAAAAgAh07iQFsWOTnxAQAAqwMAAA4AAAAAAAAAAQAgAAAAKwEAAGRycy9lMm9Eb2MueG1s&#10;UEsFBgAAAAAGAAYAWQEAAI4FAAAAAA==&#10;">
                  <v:fill on="f" focussize="0,0"/>
                  <v:stroke color="#000000" joinstyle="round" endarrow="block"/>
                  <v:imagedata o:title=""/>
                  <o:lock v:ext="edit" aspectratio="f"/>
                </v:line>
                <v:line id="直接连接符 245" o:spid="_x0000_s1026" o:spt="20" style="position:absolute;left:3023870;top:3441700;height:6985;width:1355090;"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UBMujcAAAACgEAAA8AAAAAAAAAAQAgAAAAIgAAAGRycy9kb3ducmV2Lnht&#10;bFBLAQIUABQAAAAIAIdO4kDgYtHk9QEAAK0DAAAOAAAAAAAAAAEAIAAAACsBAABkcnMvZTJvRG9j&#10;LnhtbFBLBQYAAAAABgAGAFkBAACSBQAAAAA=&#10;">
                  <v:fill on="f" focussize="0,0"/>
                  <v:stroke color="#000000" joinstyle="round" endarrow="block"/>
                  <v:imagedata o:title=""/>
                  <o:lock v:ext="edit" aspectratio="f"/>
                </v:line>
                <v:line id="直接连接符 246" o:spid="_x0000_s1026" o:spt="20" style="position:absolute;left:1752600;top:681449;flip:y;height:401376;width:635;" filled="f" stroked="t" coordsize="21600,21600" o:gfxdata="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po1dnXAAAACgEAAA8AAAAAAAAAAQAgAAAAIgAAAGRycy9kb3ducmV2&#10;LnhtbFBLAQIUABQAAAAIAIdO4kBE/2V9/QEAALUDAAAOAAAAAAAAAAEAIAAAACYBAABkcnMvZTJv&#10;RG9jLnhtbFBLBQYAAAAABgAGAFkBAACVBQAAAAA=&#10;">
                  <v:fill on="f" focussize="0,0"/>
                  <v:stroke color="#000000" joinstyle="round" dashstyle="longDash" endarrow="block"/>
                  <v:imagedata o:title=""/>
                  <o:lock v:ext="edit" aspectratio="f"/>
                </v:line>
                <v:rect id="矩形 247" o:spid="_x0000_s1026" o:spt="1" style="position:absolute;left:715645;top:448945;height:326390;width:1224280;"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3Hk2gAAAAoBAAAPAAAAAAAAAAEAIAAAACIAAABkcnMvZG93bnJldi54bWxQSwECFAAU&#10;AAAACACHTuJAtBhgALYBAABHAwAADgAAAAAAAAABACAAAAApAQAAZHJzL2Uyb0RvYy54bWxQSwUG&#10;AAAAAAYABgBZAQAAUQUAAAAA&#10;">
                  <v:fill on="t" opacity="0f" focussize="0,0"/>
                  <v:stroke on="f"/>
                  <v:imagedata o:title=""/>
                  <o:lock v:ext="edit" aspectratio="f"/>
                  <v:textbox>
                    <w:txbxContent>
                      <w:p>
                        <w:pPr>
                          <w:widowControl w:val="0"/>
                          <w:spacing w:line="240" w:lineRule="atLeast"/>
                          <w:ind w:firstLine="0" w:firstLineChars="0"/>
                          <w:rPr>
                            <w:rFonts w:hint="default" w:ascii="Times New Roman" w:hAnsi="Times New Roman" w:eastAsia="宋体" w:cs="Times New Roman"/>
                            <w:sz w:val="21"/>
                            <w:szCs w:val="21"/>
                            <w:lang w:val="en-US" w:eastAsia="zh-CN"/>
                          </w:rPr>
                        </w:pPr>
                        <w:r>
                          <w:rPr>
                            <w:rFonts w:hint="eastAsia" w:ascii="Calibri" w:hAnsi="Calibri" w:cs="Times New Roman"/>
                            <w:sz w:val="21"/>
                            <w:szCs w:val="21"/>
                          </w:rPr>
                          <w:t>体能损耗</w:t>
                        </w:r>
                        <w:r>
                          <w:rPr>
                            <w:rFonts w:hint="eastAsia" w:cs="Times New Roman"/>
                            <w:sz w:val="21"/>
                            <w:szCs w:val="21"/>
                            <w:highlight w:val="none"/>
                            <w:lang w:val="en-US" w:eastAsia="zh-CN"/>
                          </w:rPr>
                          <w:t>152.272</w:t>
                        </w:r>
                      </w:p>
                    </w:txbxContent>
                  </v:textbox>
                </v:rect>
                <v:rect id="矩形 248" o:spid="_x0000_s1026" o:spt="1" style="position:absolute;left:2775585;top:992505;height:294640;width:1156970;"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idx5NoAAAAKAQAADwAAAAAAAAABACAAAAAiAAAAZHJzL2Rvd25yZXYueG1sUEsBAhQA&#10;FAAAAAgAh07iQL6xVOC3AQAASAMAAA4AAAAAAAAAAQAgAAAAKQEAAGRycy9lMm9Eb2MueG1sUEsF&#10;BgAAAAAGAAYAWQEAAFIFAAAAAA==&#10;">
                  <v:fill on="t" opacity="0f" focussize="0,0"/>
                  <v:stroke on="f"/>
                  <v:imagedata o:title=""/>
                  <o:lock v:ext="edit" aspectratio="f"/>
                  <v:textbo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猪尿液</w:t>
                        </w:r>
                        <w:r>
                          <w:rPr>
                            <w:rFonts w:hint="eastAsia" w:cs="Times New Roman"/>
                            <w:sz w:val="21"/>
                            <w:szCs w:val="21"/>
                            <w:lang w:val="en-US" w:eastAsia="zh-CN"/>
                          </w:rPr>
                          <w:t>179</w:t>
                        </w:r>
                      </w:p>
                    </w:txbxContent>
                  </v:textbox>
                </v:rect>
                <v:line id="直接连接符 249" o:spid="_x0000_s1026" o:spt="20" style="position:absolute;left:2466340;top:3069590;flip:y;height:247015;width:170815;" filled="f" stroked="t" coordsize="21600,21600" o:gfxdata="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po1dnXAAAACgEAAA8AAAAAAAAAAQAgAAAAIgAAAGRycy9kb3ducmV2&#10;LnhtbFBLAQIUABQAAAAIAIdO4kB2fkyj/QEAALkDAAAOAAAAAAAAAAEAIAAAACYBAABkcnMvZTJv&#10;RG9jLnhtbFBLBQYAAAAABgAGAFkBAACVBQAAAAA=&#10;">
                  <v:fill on="f" focussize="0,0"/>
                  <v:stroke color="#000000" joinstyle="round" dashstyle="longDash" endarrow="block"/>
                  <v:imagedata o:title=""/>
                  <o:lock v:ext="edit" aspectratio="f"/>
                </v:line>
                <v:rect id="矩形 250" o:spid="_x0000_s1026" o:spt="1" style="position:absolute;left:2111375;top:3294380;height:320040;width:912495;" fillcolor="#FFFFFF" filled="t" stroked="t" coordsize="21600,21600" o:gfxdata="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gZqoNsAAAAKAQAADwAA&#10;AAAAAAABACAAAAAiAAAAZHJzL2Rvd25yZXYueG1sUEsBAhQAFAAAAAgAh07iQBut7rITAgAAMwQA&#10;AA4AAAAAAAAAAQAgAAAAKgEAAGRycy9lMm9Eb2MueG1sUEsFBgAAAAAGAAYAWQEAAK8FAAAAAA==&#10;">
                  <v:fill on="t" opacity="0f" focussize="0,0"/>
                  <v:stroke color="#000000" joinstyle="miter"/>
                  <v:imagedata o:title=""/>
                  <o:lock v:ext="edit" aspectratio="f"/>
                  <v:textbox inset="0mm,1.27mm,0mm,1.27mm">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猪舍冲洗用水</w:t>
                        </w:r>
                      </w:p>
                      <w:p>
                        <w:pPr>
                          <w:widowControl w:val="0"/>
                          <w:spacing w:line="240" w:lineRule="atLeast"/>
                          <w:ind w:firstLine="0" w:firstLineChars="0"/>
                          <w:jc w:val="center"/>
                          <w:rPr>
                            <w:rFonts w:ascii="Calibri" w:hAnsi="Calibri" w:cs="Times New Roman"/>
                            <w:b/>
                            <w:sz w:val="21"/>
                            <w:szCs w:val="21"/>
                          </w:rPr>
                        </w:pPr>
                      </w:p>
                    </w:txbxContent>
                  </v:textbox>
                </v:rect>
                <v:line id="直接连接符 251" o:spid="_x0000_s1026" o:spt="20" style="position:absolute;left:3047365;top:584200;height:0;width:396240;"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QEy6NwAAAAKAQAADwAAAAAAAAABACAAAAAiAAAAZHJzL2Rvd25yZXYueG1sUEsB&#10;AhQAFAAAAAgAh07iQK0VQkbxAQAAqAMAAA4AAAAAAAAAAQAgAAAAKwEAAGRycy9lMm9Eb2MueG1s&#10;UEsFBgAAAAAGAAYAWQEAAI4FAAAAAA==&#10;">
                  <v:fill on="f" focussize="0,0"/>
                  <v:stroke color="#000000" joinstyle="round" endarrow="block"/>
                  <v:imagedata o:title=""/>
                  <o:lock v:ext="edit" aspectratio="f"/>
                </v:line>
                <v:rect id="矩形 252" o:spid="_x0000_s1026" o:spt="1" style="position:absolute;left:3453130;top:437576;height:287695;width:812800;" filled="f" stroked="t" coordsize="21600,21600" o:gfxdata="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dfm3c2QAAAAoBAAAPAAAAAAAAAAEAIAAAACIAAABkcnMvZG93bnJldi54bWxQSwECFAAU&#10;AAAACACHTuJAL6CRcvABAADAAwAADgAAAAAAAAABACAAAAAoAQAAZHJzL2Uyb0RvYy54bWxQSwUG&#10;AAAAAAYABgBZAQAAigUAAAAA&#10;">
                  <v:fill on="f" focussize="0,0"/>
                  <v:stroke color="#000000" joinstyle="miter"/>
                  <v:imagedata o:title=""/>
                  <o:lock v:ext="edit" aspectratio="f"/>
                  <v:textbox>
                    <w:txbxContent>
                      <w:p>
                        <w:pPr>
                          <w:widowControl w:val="0"/>
                          <w:spacing w:line="240" w:lineRule="auto"/>
                          <w:ind w:firstLine="0" w:firstLineChars="0"/>
                          <w:rPr>
                            <w:rFonts w:ascii="Calibri" w:hAnsi="Calibri" w:cs="Times New Roman"/>
                            <w:sz w:val="21"/>
                            <w:szCs w:val="21"/>
                          </w:rPr>
                        </w:pPr>
                        <w:r>
                          <w:rPr>
                            <w:rFonts w:hint="eastAsia" w:ascii="宋体" w:hAnsi="宋体" w:cs="Times New Roman"/>
                            <w:sz w:val="21"/>
                            <w:szCs w:val="21"/>
                          </w:rPr>
                          <w:t>固液分离</w:t>
                        </w:r>
                      </w:p>
                    </w:txbxContent>
                  </v:textbox>
                </v:rect>
                <v:line id="直接连接符 253" o:spid="_x0000_s1026" o:spt="20" style="position:absolute;left:3867785;top:736067;height:284519;width:635;" filled="f" stroked="t" coordsize="21600,21600" o:gfxdata="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Z8LVTZAAAACgEAAA8AAAAAAAAAAQAgAAAAIgAAAGRycy9kb3ducmV2LnhtbFBLAQIUABQAAAAI&#10;AIdO4kCXwvFp7AEAAKYDAAAOAAAAAAAAAAEAIAAAACgBAABkcnMvZTJvRG9jLnhtbFBLBQYAAAAA&#10;BgAGAFkBAACGBQAAAAA=&#10;">
                  <v:fill on="f" focussize="0,0"/>
                  <v:stroke color="#000000" joinstyle="round"/>
                  <v:imagedata o:title=""/>
                  <o:lock v:ext="edit" aspectratio="f"/>
                </v:line>
                <v:line id="直接连接符 254" o:spid="_x0000_s1026" o:spt="20" style="position:absolute;left:4329430;top:1031875;height:2412000;width:0;" filled="f" stroked="t" coordsize="21600,21600" o:gfxdata="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GfC1U2QAAAAoBAAAPAAAAAAAAAAEAIAAAACIAAABkcnMvZG93bnJldi54bWxQSwECFAAUAAAA&#10;CACHTuJAM+JjF+0BAACmAwAADgAAAAAAAAABACAAAAAoAQAAZHJzL2Uyb0RvYy54bWxQSwUGAAAA&#10;AAYABgBZAQAAhwUAAAAA&#10;">
                  <v:fill on="f" focussize="0,0"/>
                  <v:stroke color="#000000" joinstyle="round"/>
                  <v:imagedata o:title=""/>
                  <o:lock v:ext="edit" aspectratio="f"/>
                </v:line>
                <v:rect id="矩形 257" o:spid="_x0000_s1026" o:spt="1" style="position:absolute;left:3810000;top:728980;height:277495;width:584200;"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4nceTaAAAACgEAAA8AAAAAAAAAAQAgAAAAIgAAAGRycy9kb3ducmV2LnhtbFBLAQIUABQA&#10;AAAIAIdO4kAFcq7gtQEAAEcDAAAOAAAAAAAAAAEAIAAAACkBAABkcnMvZTJvRG9jLnhtbFBLBQYA&#10;AAAABgAGAFkBAABQBQ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34.71</w:t>
                        </w:r>
                      </w:p>
                    </w:txbxContent>
                  </v:textbox>
                </v:rect>
                <v:line id="直接连接符 258" o:spid="_x0000_s1026" o:spt="20" style="position:absolute;left:4271645;top:591267;height:635;width:889635;"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QEy6NwAAAAKAQAADwAAAAAAAAABACAAAAAiAAAAZHJzL2Rvd25yZXYueG1sUEsB&#10;AhQAFAAAAAgAh07iQGhnZ87xAQAAqgMAAA4AAAAAAAAAAQAgAAAAKwEAAGRycy9lMm9Eb2MueG1s&#10;UEsFBgAAAAAGAAYAWQEAAI4FAAAAAA==&#10;">
                  <v:fill on="f" focussize="0,0"/>
                  <v:stroke color="#000000" joinstyle="round" endarrow="block"/>
                  <v:imagedata o:title=""/>
                  <o:lock v:ext="edit" aspectratio="f"/>
                </v:line>
                <v:rect id="矩形 259" o:spid="_x0000_s1026" o:spt="1" style="position:absolute;left:4212590;top:294640;height:294005;width:1211580;"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4nceTaAAAACgEAAA8AAAAAAAAAAQAgAAAAIgAAAGRycy9kb3ducmV2LnhtbFBLAQIUABQAAAAI&#10;AIdO4kCW7YPYsgEAAEgDAAAOAAAAAAAAAAEAIAAAACkBAABkcnMvZTJvRG9jLnhtbFBLBQYAAAAA&#10;BgAGAFkBAABNBQAAAAA=&#10;">
                  <v:fill on="t" opacity="0f" focussize="0,0"/>
                  <v:stroke on="f"/>
                  <v:imagedata o:title=""/>
                  <o:lock v:ext="edit" aspectratio="f"/>
                  <v:textbo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猪粪带</w:t>
                        </w:r>
                        <w:r>
                          <w:rPr>
                            <w:rFonts w:hint="eastAsia" w:ascii="Times New Roman" w:hAnsi="Times New Roman" w:cs="Times New Roman"/>
                            <w:sz w:val="21"/>
                            <w:szCs w:val="21"/>
                          </w:rPr>
                          <w:t>走</w:t>
                        </w:r>
                        <w:r>
                          <w:rPr>
                            <w:rFonts w:hint="eastAsia" w:cs="Times New Roman"/>
                            <w:sz w:val="21"/>
                            <w:szCs w:val="21"/>
                            <w:lang w:val="en-US" w:eastAsia="zh-CN"/>
                          </w:rPr>
                          <w:t>10.49</w:t>
                        </w:r>
                      </w:p>
                    </w:txbxContent>
                  </v:textbox>
                </v:rect>
                <v:rect id="矩形 260" o:spid="_x0000_s1026" o:spt="1" style="position:absolute;left:5143500;top:476951;height:259116;width:739775;" filled="f" stroked="t" coordsize="21600,21600" o:gfxdata="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3X5t3NkAAAAKAQAADwAAAAAAAAABACAAAAAiAAAAZHJzL2Rvd25yZXYueG1sUEsBAhQAFAAA&#10;AAgAh07iQB8EjDXuAQAAwAMAAA4AAAAAAAAAAQAgAAAAKAEAAGRycy9lMm9Eb2MueG1sUEsFBgAA&#10;AAAGAAYAWQEAAIgFAAAAAA==&#10;">
                  <v:fill on="f" focussize="0,0"/>
                  <v:stroke color="#000000" joinstyle="miter"/>
                  <v:imagedata o:title=""/>
                  <o:lock v:ext="edit" aspectratio="f"/>
                  <v:textbox>
                    <w:txbxContent>
                      <w:p>
                        <w:pPr>
                          <w:widowControl w:val="0"/>
                          <w:spacing w:line="240" w:lineRule="auto"/>
                          <w:ind w:left="-120" w:leftChars="-50" w:right="-120" w:rightChars="-50" w:firstLine="0" w:firstLineChars="0"/>
                          <w:rPr>
                            <w:rFonts w:hint="eastAsia" w:ascii="Calibri" w:hAnsi="Calibri" w:cs="Times New Roman"/>
                            <w:color w:val="000000"/>
                            <w:sz w:val="21"/>
                            <w:szCs w:val="21"/>
                          </w:rPr>
                        </w:pPr>
                        <w:r>
                          <w:rPr>
                            <w:rFonts w:hint="eastAsia" w:ascii="宋体" w:hAnsi="宋体" w:cs="Times New Roman"/>
                            <w:color w:val="000000"/>
                            <w:sz w:val="21"/>
                            <w:szCs w:val="21"/>
                          </w:rPr>
                          <w:t>固粪处理区</w:t>
                        </w:r>
                      </w:p>
                    </w:txbxContent>
                  </v:textbox>
                </v:rect>
                <v:line id="直接连接符 261" o:spid="_x0000_s1026" o:spt="20" style="position:absolute;left:4966970;top:1918335;flip:x;height:883920;width:0;" filled="f" stroked="t" coordsize="21600,21600" o:gfxdata="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wmLpdsAAAAKAQAADwAAAAAAAAABACAAAAAiAAAAZHJzL2Rvd25y&#10;ZXYueG1sUEsBAhQAFAAAAAgAh07iQN040sj7AQAAswMAAA4AAAAAAAAAAQAgAAAAKgEAAGRycy9l&#10;Mm9Eb2MueG1sUEsFBgAAAAAGAAYAWQEAAJcFAAAAAA==&#10;">
                  <v:fill on="f" focussize="0,0"/>
                  <v:stroke color="#000000" joinstyle="round" endarrow="block"/>
                  <v:imagedata o:title=""/>
                  <o:lock v:ext="edit" aspectratio="f"/>
                </v:line>
                <v:line id="直接连接符 217" o:spid="_x0000_s1026" o:spt="20" style="position:absolute;left:941705;top:2714625;flip:y;height:635;width:1143000;" filled="f" stroked="t" coordsize="21600,21600" o:gfxdata="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wmLpdsAAAAKAQAADwAAAAAAAAABACAAAAAiAAAAZHJzL2Rvd25y&#10;ZXYueG1sUEsBAhQAFAAAAAgAh07iQLM02rX7AQAAtAMAAA4AAAAAAAAAAQAgAAAAKgEAAGRycy9l&#10;Mm9Eb2MueG1sUEsFBgAAAAAGAAYAWQEAAJcFAAAAAA==&#10;">
                  <v:fill on="f" focussize="0,0"/>
                  <v:stroke color="#000000" joinstyle="round" endarrow="block"/>
                  <v:imagedata o:title=""/>
                  <o:lock v:ext="edit" aspectratio="f"/>
                </v:line>
                <v:rect id="矩形 219" o:spid="_x0000_s1026" o:spt="1" style="position:absolute;left:2092960;top:2587625;height:264795;width:1174750;" fillcolor="#FFFFFF" filled="t" stroked="t" coordsize="21600,21600" o:gfxdata="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9p1C2gAAAAoBAAAPAAAAAAAAAAEAIAAAACIAAABk&#10;cnMvZG93bnJldi54bWxQSwECFAAUAAAACACHTuJAKbsxOwQCAAAHBAAADgAAAAAAAAABACAAAAAp&#10;AQAAZHJzL2Uyb0RvYy54bWxQSwUGAAAAAAYABgBZAQAAnwUAAAAA&#10;">
                  <v:fill on="t" opacity="0f" focussize="0,0"/>
                  <v:stroke color="#000000" joinstyle="miter"/>
                  <v:imagedata o:title=""/>
                  <o:lock v:ext="edit" aspectratio="f"/>
                  <v:textbox>
                    <w:txbxContent>
                      <w:p>
                        <w:pPr>
                          <w:widowControl w:val="0"/>
                          <w:spacing w:line="240" w:lineRule="exact"/>
                          <w:ind w:firstLine="0" w:firstLineChars="0"/>
                          <w:jc w:val="both"/>
                          <w:rPr>
                            <w:rFonts w:hint="eastAsia" w:ascii="Calibri" w:hAnsi="Calibri" w:eastAsia="宋体" w:cs="Times New Roman"/>
                            <w:sz w:val="21"/>
                            <w:szCs w:val="21"/>
                            <w:lang w:eastAsia="zh-CN"/>
                          </w:rPr>
                        </w:pPr>
                        <w:r>
                          <w:rPr>
                            <w:rFonts w:hint="eastAsia" w:ascii="Calibri" w:hAnsi="Calibri" w:cs="Times New Roman"/>
                            <w:sz w:val="21"/>
                            <w:szCs w:val="21"/>
                            <w:lang w:eastAsia="zh-CN"/>
                          </w:rPr>
                          <w:t>无害化处理车间</w:t>
                        </w:r>
                      </w:p>
                    </w:txbxContent>
                  </v:textbox>
                </v:rect>
                <v:rect id="矩形 225" o:spid="_x0000_s1026" o:spt="1" style="position:absolute;left:1036955;top:2444750;height:267335;width:691515;"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3Hk2gAAAAoBAAAPAAAAAAAAAAEAIAAAACIAAABkcnMvZG93bnJldi54bWxQSwECFAAU&#10;AAAACACHTuJADhFHobYBAABHAwAADgAAAAAAAAABACAAAAApAQAAZHJzL2Uyb0RvYy54bWxQSwUG&#10;AAAAAAYABgBZAQAAUQU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0.9</w:t>
                        </w:r>
                      </w:p>
                    </w:txbxContent>
                  </v:textbox>
                </v:rect>
                <v:line id="直接连接符 216" o:spid="_x0000_s1026" o:spt="20" style="position:absolute;left:3875405;top:1032510;flip:y;height:0;width:467995;" filled="f" stroked="t" coordsize="21600,21600" o:gfxdata="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wmLpdsAAAAKAQAADwAAAAAAAAABACAAAAAiAAAAZHJzL2Rvd25yZXYu&#10;eG1sUEsBAhQAFAAAAAgAh07iQMcfz+v4AQAAsgMAAA4AAAAAAAAAAQAgAAAAKgEAAGRycy9lMm9E&#10;b2MueG1sUEsFBgAAAAAGAAYAWQEAAJQFAAAAAA==&#10;">
                  <v:fill on="f" focussize="0,0"/>
                  <v:stroke color="#000000" joinstyle="round" endarrow="block"/>
                  <v:imagedata o:title=""/>
                  <o:lock v:ext="edit" aspectratio="f"/>
                </v:line>
                <v:line id="直接连接符 233" o:spid="_x0000_s1026" o:spt="20" style="position:absolute;left:2640965;top:2355215;flip:y;height:219075;width:232410;" filled="f" stroked="t" coordsize="21600,21600" o:gfxdata="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po1dnXAAAACgEAAA8AAAAAAAAAAQAgAAAAIgAAAGRycy9kb3ducmV2&#10;LnhtbFBLAQIUABQAAAAIAIdO4kCCi4AV/QEAALgDAAAOAAAAAAAAAAEAIAAAACYBAABkcnMvZTJv&#10;RG9jLnhtbFBLBQYAAAAABgAGAFkBAACVBQAAAAA=&#10;">
                  <v:fill on="f" focussize="0,0"/>
                  <v:stroke color="#000000" joinstyle="round" dashstyle="longDash" endarrow="block"/>
                  <v:imagedata o:title=""/>
                  <o:lock v:ext="edit" aspectratio="f"/>
                </v:line>
                <v:shape id="文本框 234" o:spid="_x0000_s1026" o:spt="202" type="#_x0000_t202" style="position:absolute;left:2594610;top:2070100;height:302260;width:846455;" filled="f" stroked="f" coordsize="21600,21600" o:gfxdata="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DP0sdgAAAAK&#10;AQAADwAAAAAAAAABACAAAAAiAAAAZHJzL2Rvd25yZXYueG1sUEsBAhQAFAAAAAgAh07iQOtWj2iq&#10;AQAAKAMAAA4AAAAAAAAAAQAgAAAAJwEAAGRycy9lMm9Eb2MueG1sUEsFBgAAAAAGAAYAWQEAAEMF&#10;AAAAAA==&#10;">
                  <v:fill on="f" focussize="0,0"/>
                  <v:stroke on="f"/>
                  <v:imagedata o:title=""/>
                  <o:lock v:ext="edit" aspectratio="f"/>
                  <v:textbox style="mso-fit-shape-to-text:t;">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cs="Times New Roman"/>
                            <w:sz w:val="21"/>
                            <w:szCs w:val="21"/>
                            <w:lang w:val="en-US" w:eastAsia="zh-CN"/>
                          </w:rPr>
                          <w:t>0.054</w:t>
                        </w:r>
                      </w:p>
                    </w:txbxContent>
                  </v:textbox>
                </v:shape>
                <v:line id="直接连接符 227" o:spid="_x0000_s1026" o:spt="20" style="position:absolute;left:3263900;top:2704465;flip:y;height:635;width:1080000;" filled="f" stroked="t" coordsize="21600,21600" o:gfxdata="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wmLpdsAAAAKAQAADwAAAAAAAAABACAAAAAiAAAAZHJzL2Rvd25y&#10;ZXYueG1sUEsBAhQAFAAAAAgAh07iQFnhDzL7AQAAtQMAAA4AAAAAAAAAAQAgAAAAKgEAAGRycy9l&#10;Mm9Eb2MueG1sUEsFBgAAAAAGAAYAWQEAAJcFAAAAAA==&#10;">
                  <v:fill on="f" focussize="0,0"/>
                  <v:stroke color="#000000" joinstyle="round" endarrow="block"/>
                  <v:imagedata o:title=""/>
                  <o:lock v:ext="edit" aspectratio="f"/>
                </v:line>
                <v:rect id="矩形 229" o:spid="_x0000_s1026" o:spt="1" style="position:absolute;left:3639185;top:2465705;height:198755;width:584200;"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idx5NoAAAAKAQAADwAAAAAAAAABACAAAAAiAAAAZHJzL2Rvd25yZXYueG1sUEsBAhQA&#10;FAAAAAgAh07iQFq2Wai3AQAARwMAAA4AAAAAAAAAAQAgAAAAKQEAAGRycy9lMm9Eb2MueG1sUEsF&#10;BgAAAAAGAAYAWQEAAFIF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0.846</w:t>
                        </w:r>
                      </w:p>
                    </w:txbxContent>
                  </v:textbox>
                </v:rect>
                <v:shape id="文本框 242" o:spid="_x0000_s1026" o:spt="202" type="#_x0000_t202" style="position:absolute;left:4268470;top:3148330;height:302260;width:658495;" filled="f" stroked="f" coordsize="21600,21600" o:gfxdata="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YM/Sx2AAAAAoBAAAPAAAAAAAAAAEAIAAAACIAAABkcnMvZG93bnJldi54bWxQSwECFAAUAAAA&#10;CACHTuJAoJ7IVrUBAAA2AwAADgAAAAAAAAABACAAAAAnAQAAZHJzL2Uyb0RvYy54bWxQSwUGAAAA&#10;AAYABgBZAQAATgUA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228.477</w:t>
                        </w:r>
                      </w:p>
                    </w:txbxContent>
                  </v:textbox>
                </v:shape>
                <v:line id="直接连接符 244" o:spid="_x0000_s1026" o:spt="20" style="position:absolute;left:941705;top:4243705;height:635;width:1156970;" filled="f" stroked="t" coordsize="21600,21600" o:gfxdata="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UBMujcAAAACgEAAA8AAAAAAAAAAQAgAAAAIgAAAGRycy9kb3ducmV2LnhtbFBL&#10;AQIUABQAAAAIAIdO4kARZycv8gEAAKkDAAAOAAAAAAAAAAEAIAAAACsBAABkcnMvZTJvRG9jLnht&#10;bFBLBQYAAAAABgAGAFkBAACPBQAAAAA=&#10;">
                  <v:fill on="f" focussize="0,0"/>
                  <v:stroke color="#000000" joinstyle="round" endarrow="block"/>
                  <v:imagedata o:title=""/>
                  <o:lock v:ext="edit" aspectratio="f"/>
                </v:line>
                <v:rect id="矩形 250" o:spid="_x0000_s1026" o:spt="1" style="position:absolute;left:2100580;top:4013200;height:320040;width:912495;" fillcolor="#FFFFFF" filled="t" stroked="t" coordsize="21600,21600" o:gfxdata="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OBmqg2wAAAAoBAAAPAAAA&#10;AAAAAAEAIAAAACIAAABkcnMvZG93bnJldi54bWxQSwECFAAUAAAACACHTuJAtulPsBICAAAxBAAA&#10;DgAAAAAAAAABACAAAAAqAQAAZHJzL2Uyb0RvYy54bWxQSwUGAAAAAAYABgBZAQAArgUAAAAA&#10;">
                  <v:fill on="t" opacity="0f" focussize="0,0"/>
                  <v:stroke color="#000000" joinstyle="miter"/>
                  <v:imagedata o:title=""/>
                  <o:lock v:ext="edit" aspectratio="f"/>
                  <v:textbox inset="0mm,1.27mm,0mm,1.27mm">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lang w:eastAsia="zh-CN"/>
                          </w:rPr>
                          <w:t>除臭墙</w:t>
                        </w:r>
                        <w:r>
                          <w:rPr>
                            <w:rFonts w:hint="eastAsia" w:ascii="Calibri" w:hAnsi="Calibri" w:cs="Times New Roman"/>
                            <w:sz w:val="21"/>
                            <w:szCs w:val="21"/>
                          </w:rPr>
                          <w:t>用水</w:t>
                        </w:r>
                      </w:p>
                      <w:p>
                        <w:pPr>
                          <w:widowControl w:val="0"/>
                          <w:spacing w:line="240" w:lineRule="atLeast"/>
                          <w:ind w:firstLine="0" w:firstLineChars="0"/>
                          <w:jc w:val="center"/>
                          <w:rPr>
                            <w:rFonts w:ascii="Calibri" w:hAnsi="Calibri" w:cs="Times New Roman"/>
                            <w:b/>
                            <w:sz w:val="21"/>
                            <w:szCs w:val="21"/>
                          </w:rPr>
                        </w:pPr>
                      </w:p>
                    </w:txbxContent>
                  </v:textbox>
                </v:rect>
                <v:line id="直接连接符 249" o:spid="_x0000_s1026" o:spt="20" style="position:absolute;left:2473325;top:3783330;flip:y;height:247015;width:170815;" filled="f" stroked="t" coordsize="21600,21600" o:gfxdata="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po1dnXAAAACgEAAA8AAAAAAAAAAQAgAAAAIgAAAGRycy9kb3ducmV2Lnht&#10;bFBLAQIUABQAAAAIAIdO4kAFK7+2+gEAALgDAAAOAAAAAAAAAAEAIAAAACYBAABkcnMvZTJvRG9j&#10;LnhtbFBLBQYAAAAABgAGAFkBAACSBQAAAAA=&#10;">
                  <v:fill on="f" focussize="0,0"/>
                  <v:stroke color="#000000" joinstyle="round" dashstyle="longDash" endarrow="block"/>
                  <v:imagedata o:title=""/>
                  <o:lock v:ext="edit" aspectratio="f"/>
                </v:line>
                <v:shape id="文本框 232" o:spid="_x0000_s1026" o:spt="202" type="#_x0000_t202" style="position:absolute;left:2640330;top:3632200;height:302260;width:806450;" filled="f" stroked="f" coordsize="21600,21600" o:gfxdata="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YM/Sx2AAAAAoB&#10;AAAPAAAAAAAAAAEAIAAAACIAAABkcnMvZG93bnJldi54bWxQSwECFAAUAAAACACHTuJAHqO1C6kB&#10;AAAoAwAADgAAAAAAAAABACAAAAAnAQAAZHJzL2Uyb0RvYy54bWxQSwUGAAAAAAYABgBZAQAAQgUA&#10;AAAA&#10;">
                  <v:fill on="f" focussize="0,0"/>
                  <v:stroke on="f"/>
                  <v:imagedata o:title=""/>
                  <o:lock v:ext="edit" aspectratio="f"/>
                  <v:textbox style="mso-fit-shape-to-text:t;">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cs="Times New Roman"/>
                            <w:sz w:val="21"/>
                            <w:szCs w:val="21"/>
                            <w:lang w:val="en-US" w:eastAsia="zh-CN"/>
                          </w:rPr>
                          <w:t>126</w:t>
                        </w:r>
                      </w:p>
                    </w:txbxContent>
                  </v:textbox>
                </v:shape>
                <v:rect id="矩形 224" o:spid="_x0000_s1026" o:spt="1" style="position:absolute;left:1092835;top:3981450;height:198755;width:490855;" fillcolor="#FFFFFF" filled="t" stroked="f" coordsize="21600,21600" o:gfxdata="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idx5NoAAAAKAQAADwAAAAAAAAABACAAAAAiAAAAZHJzL2Rvd25yZXYueG1sUEsBAhQAFAAA&#10;AAgAh07iQDQnFO+0AQAARwMAAA4AAAAAAAAAAQAgAAAAKQEAAGRycy9lMm9Eb2MueG1sUEsFBgAA&#10;AAAGAAYAWQEAAE8F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126</w:t>
                        </w:r>
                      </w:p>
                    </w:txbxContent>
                  </v:textbox>
                </v:rect>
              </v:group>
            </w:pict>
          </mc:Fallback>
        </mc:AlternateContent>
      </w: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ind w:left="0" w:leftChars="0" w:firstLine="0" w:firstLineChars="0"/>
        <w:jc w:val="center"/>
        <w:rPr>
          <w:rStyle w:val="43"/>
          <w:rFonts w:hint="eastAsia" w:ascii="Times New Roman" w:hAnsi="Times New Roman"/>
          <w:color w:val="auto"/>
          <w:szCs w:val="22"/>
          <w:highlight w:val="none"/>
          <w:lang w:val="en-US" w:eastAsia="zh-CN"/>
        </w:rPr>
      </w:pPr>
      <w:r>
        <w:rPr>
          <w:rStyle w:val="43"/>
          <w:rFonts w:hint="eastAsia" w:ascii="Times New Roman" w:hAnsi="Times New Roman"/>
          <w:color w:val="auto"/>
          <w:szCs w:val="22"/>
          <w:highlight w:val="none"/>
          <w:lang w:val="en-US" w:eastAsia="zh-CN"/>
        </w:rPr>
        <w:t>图</w:t>
      </w:r>
      <w:r>
        <w:rPr>
          <w:rStyle w:val="43"/>
          <w:rFonts w:hint="eastAsia"/>
          <w:color w:val="auto"/>
          <w:szCs w:val="22"/>
          <w:highlight w:val="none"/>
          <w:lang w:val="en-US" w:eastAsia="zh-CN"/>
        </w:rPr>
        <w:t>2.10</w:t>
      </w:r>
      <w:r>
        <w:rPr>
          <w:rStyle w:val="43"/>
          <w:rFonts w:hint="eastAsia" w:ascii="Times New Roman" w:hAnsi="Times New Roman"/>
          <w:color w:val="auto"/>
          <w:szCs w:val="22"/>
          <w:highlight w:val="none"/>
          <w:lang w:val="en-US" w:eastAsia="zh-CN"/>
        </w:rPr>
        <w:t>-</w:t>
      </w:r>
      <w:r>
        <w:rPr>
          <w:rStyle w:val="43"/>
          <w:rFonts w:hint="eastAsia"/>
          <w:color w:val="auto"/>
          <w:szCs w:val="22"/>
          <w:highlight w:val="none"/>
          <w:lang w:val="en-US" w:eastAsia="zh-CN"/>
        </w:rPr>
        <w:t>1</w:t>
      </w:r>
      <w:r>
        <w:rPr>
          <w:rStyle w:val="43"/>
          <w:rFonts w:hint="eastAsia" w:ascii="Times New Roman" w:hAnsi="Times New Roman"/>
          <w:color w:val="auto"/>
          <w:szCs w:val="22"/>
          <w:highlight w:val="none"/>
          <w:lang w:val="en-US" w:eastAsia="zh-CN"/>
        </w:rPr>
        <w:t xml:space="preserve">  项目</w:t>
      </w:r>
      <w:r>
        <w:rPr>
          <w:rStyle w:val="43"/>
          <w:rFonts w:hint="eastAsia"/>
          <w:color w:val="auto"/>
          <w:szCs w:val="22"/>
          <w:highlight w:val="none"/>
          <w:lang w:val="en-US" w:eastAsia="zh-CN"/>
        </w:rPr>
        <w:t>其他</w:t>
      </w:r>
      <w:r>
        <w:rPr>
          <w:rStyle w:val="43"/>
          <w:rFonts w:hint="eastAsia" w:ascii="Times New Roman" w:hAnsi="Times New Roman"/>
          <w:color w:val="auto"/>
          <w:szCs w:val="22"/>
          <w:highlight w:val="none"/>
          <w:lang w:val="en-US" w:eastAsia="zh-CN"/>
        </w:rPr>
        <w:t>季水平衡图（</w:t>
      </w:r>
      <w:r>
        <w:rPr>
          <w:rStyle w:val="43"/>
          <w:rFonts w:hint="eastAsia"/>
          <w:color w:val="auto"/>
          <w:szCs w:val="22"/>
          <w:highlight w:val="none"/>
          <w:lang w:val="en-US" w:eastAsia="zh-CN"/>
        </w:rPr>
        <w:t>243</w:t>
      </w:r>
      <w:r>
        <w:rPr>
          <w:rStyle w:val="43"/>
          <w:rFonts w:hint="eastAsia" w:ascii="Times New Roman" w:hAnsi="Times New Roman"/>
          <w:color w:val="auto"/>
          <w:szCs w:val="22"/>
          <w:highlight w:val="none"/>
          <w:lang w:val="en-US" w:eastAsia="zh-CN"/>
        </w:rPr>
        <w:t>天，单位：m</w:t>
      </w:r>
      <w:r>
        <w:rPr>
          <w:rStyle w:val="43"/>
          <w:rFonts w:hint="eastAsia" w:ascii="Times New Roman" w:hAnsi="Times New Roman"/>
          <w:color w:val="auto"/>
          <w:szCs w:val="22"/>
          <w:highlight w:val="none"/>
          <w:vertAlign w:val="superscript"/>
          <w:lang w:val="en-US" w:eastAsia="zh-CN"/>
        </w:rPr>
        <w:t>3</w:t>
      </w:r>
      <w:r>
        <w:rPr>
          <w:rStyle w:val="43"/>
          <w:rFonts w:hint="eastAsia" w:ascii="Times New Roman" w:hAnsi="Times New Roman"/>
          <w:color w:val="auto"/>
          <w:szCs w:val="22"/>
          <w:highlight w:val="none"/>
          <w:lang w:val="en-US" w:eastAsia="zh-CN"/>
        </w:rPr>
        <w:t>/d）</w:t>
      </w:r>
    </w:p>
    <w:p>
      <w:pPr>
        <w:pStyle w:val="2"/>
        <w:rPr>
          <w:color w:val="auto"/>
          <w:highlight w:val="none"/>
        </w:rPr>
        <w:sectPr>
          <w:pgSz w:w="11906" w:h="16838"/>
          <w:pgMar w:top="1701" w:right="1803" w:bottom="1984" w:left="1587" w:header="851" w:footer="992" w:gutter="0"/>
          <w:pgBorders>
            <w:top w:val="none" w:sz="0" w:space="0"/>
            <w:left w:val="none" w:sz="0" w:space="0"/>
            <w:bottom w:val="none" w:sz="0" w:space="0"/>
            <w:right w:val="none" w:sz="0" w:space="0"/>
          </w:pgBorders>
          <w:cols w:space="0" w:num="1"/>
          <w:docGrid w:type="lines" w:linePitch="332" w:charSpace="0"/>
        </w:sectPr>
      </w:pPr>
    </w:p>
    <w:p>
      <w:pPr>
        <w:pStyle w:val="2"/>
        <w:rPr>
          <w:color w:val="auto"/>
          <w:highlight w:val="none"/>
        </w:rPr>
      </w:pPr>
      <w:r>
        <w:rPr>
          <w:rFonts w:ascii="Times New Roman" w:hAnsi="Times New Roman" w:eastAsia="宋体" w:cs="Times New Roman"/>
          <w:b/>
          <w:bCs/>
          <w:color w:val="auto"/>
          <w:kern w:val="2"/>
          <w:sz w:val="28"/>
          <w:szCs w:val="22"/>
          <w:highlight w:val="none"/>
          <w:u w:val="single"/>
          <w:lang w:val="en-US" w:eastAsia="zh-CN" w:bidi="ar-SA"/>
        </w:rPr>
        <mc:AlternateContent>
          <mc:Choice Requires="wpc">
            <w:drawing>
              <wp:anchor distT="0" distB="0" distL="114300" distR="114300" simplePos="0" relativeHeight="251985920" behindDoc="0" locked="0" layoutInCell="1" allowOverlap="1">
                <wp:simplePos x="0" y="0"/>
                <wp:positionH relativeFrom="column">
                  <wp:posOffset>-156845</wp:posOffset>
                </wp:positionH>
                <wp:positionV relativeFrom="paragraph">
                  <wp:posOffset>150495</wp:posOffset>
                </wp:positionV>
                <wp:extent cx="6139815" cy="5574665"/>
                <wp:effectExtent l="4445" t="0" r="0" b="0"/>
                <wp:wrapNone/>
                <wp:docPr id="373" name="画布 3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9" name="矩形 319"/>
                        <wps:cNvSpPr/>
                        <wps:spPr>
                          <a:xfrm>
                            <a:off x="0" y="1867535"/>
                            <a:ext cx="322580" cy="52197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rPr>
                                  <w:rFonts w:ascii="Calibri" w:hAnsi="Calibri" w:cs="Times New Roman"/>
                                  <w:sz w:val="21"/>
                                  <w:szCs w:val="21"/>
                                </w:rPr>
                              </w:pPr>
                              <w:r>
                                <w:rPr>
                                  <w:rFonts w:hint="eastAsia" w:ascii="Calibri" w:hAnsi="Calibri" w:cs="Times New Roman"/>
                                  <w:sz w:val="21"/>
                                  <w:szCs w:val="21"/>
                                </w:rPr>
                                <w:t>新鲜水</w:t>
                              </w:r>
                            </w:p>
                          </w:txbxContent>
                        </wps:txbx>
                        <wps:bodyPr upright="1"/>
                      </wps:wsp>
                      <wps:wsp>
                        <wps:cNvPr id="320" name="直接连接符 320"/>
                        <wps:cNvCnPr/>
                        <wps:spPr>
                          <a:xfrm>
                            <a:off x="354965" y="2140585"/>
                            <a:ext cx="582295" cy="635"/>
                          </a:xfrm>
                          <a:prstGeom prst="line">
                            <a:avLst/>
                          </a:prstGeom>
                          <a:ln w="9525" cap="flat" cmpd="sng">
                            <a:solidFill>
                              <a:srgbClr val="000000"/>
                            </a:solidFill>
                            <a:prstDash val="solid"/>
                            <a:headEnd type="none" w="med" len="med"/>
                            <a:tailEnd type="triangle" w="med" len="med"/>
                          </a:ln>
                        </wps:spPr>
                        <wps:bodyPr upright="1"/>
                      </wps:wsp>
                      <wps:wsp>
                        <wps:cNvPr id="321" name="直接连接符 321"/>
                        <wps:cNvCnPr/>
                        <wps:spPr>
                          <a:xfrm flipH="1">
                            <a:off x="960755" y="999790"/>
                            <a:ext cx="635" cy="4284000"/>
                          </a:xfrm>
                          <a:prstGeom prst="line">
                            <a:avLst/>
                          </a:prstGeom>
                          <a:ln w="9525" cap="flat" cmpd="sng">
                            <a:solidFill>
                              <a:srgbClr val="000000"/>
                            </a:solidFill>
                            <a:prstDash val="solid"/>
                            <a:headEnd type="none" w="med" len="med"/>
                            <a:tailEnd type="none" w="med" len="med"/>
                          </a:ln>
                        </wps:spPr>
                        <wps:bodyPr upright="1"/>
                      </wps:wsp>
                      <wps:wsp>
                        <wps:cNvPr id="322" name="直接连接符 322"/>
                        <wps:cNvCnPr/>
                        <wps:spPr>
                          <a:xfrm flipV="1">
                            <a:off x="953135" y="1196975"/>
                            <a:ext cx="612000" cy="0"/>
                          </a:xfrm>
                          <a:prstGeom prst="line">
                            <a:avLst/>
                          </a:prstGeom>
                          <a:ln w="9525" cap="flat" cmpd="sng">
                            <a:solidFill>
                              <a:srgbClr val="000000"/>
                            </a:solidFill>
                            <a:prstDash val="solid"/>
                            <a:headEnd type="none" w="med" len="med"/>
                            <a:tailEnd type="triangle" w="med" len="med"/>
                          </a:ln>
                        </wps:spPr>
                        <wps:bodyPr upright="1"/>
                      </wps:wsp>
                      <wps:wsp>
                        <wps:cNvPr id="323" name="直接连接符 323"/>
                        <wps:cNvCnPr/>
                        <wps:spPr>
                          <a:xfrm flipV="1">
                            <a:off x="967740" y="1906270"/>
                            <a:ext cx="1143000" cy="635"/>
                          </a:xfrm>
                          <a:prstGeom prst="line">
                            <a:avLst/>
                          </a:prstGeom>
                          <a:ln w="9525" cap="flat" cmpd="sng">
                            <a:solidFill>
                              <a:srgbClr val="000000"/>
                            </a:solidFill>
                            <a:prstDash val="solid"/>
                            <a:headEnd type="none" w="med" len="med"/>
                            <a:tailEnd type="triangle" w="med" len="med"/>
                          </a:ln>
                        </wps:spPr>
                        <wps:bodyPr upright="1"/>
                      </wps:wsp>
                      <wps:wsp>
                        <wps:cNvPr id="324" name="矩形 324"/>
                        <wps:cNvSpPr/>
                        <wps:spPr>
                          <a:xfrm>
                            <a:off x="1552575" y="1058545"/>
                            <a:ext cx="882650" cy="29718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生猪饮用水</w:t>
                              </w:r>
                            </w:p>
                          </w:txbxContent>
                        </wps:txbx>
                        <wps:bodyPr lIns="0" tIns="45720" rIns="0" bIns="45720" upright="1"/>
                      </wps:wsp>
                      <wps:wsp>
                        <wps:cNvPr id="325" name="矩形 325"/>
                        <wps:cNvSpPr/>
                        <wps:spPr>
                          <a:xfrm>
                            <a:off x="2126615" y="1795145"/>
                            <a:ext cx="850900" cy="264795"/>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职工生活</w:t>
                              </w:r>
                            </w:p>
                          </w:txbxContent>
                        </wps:txbx>
                        <wps:bodyPr upright="1"/>
                      </wps:wsp>
                      <wps:wsp>
                        <wps:cNvPr id="326" name="矩形 326"/>
                        <wps:cNvSpPr/>
                        <wps:spPr>
                          <a:xfrm>
                            <a:off x="4514215" y="2799080"/>
                            <a:ext cx="1158875" cy="274955"/>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lang w:eastAsia="zh-CN"/>
                                </w:rPr>
                                <w:t>黑膜</w:t>
                              </w:r>
                              <w:r>
                                <w:rPr>
                                  <w:rFonts w:hint="eastAsia" w:ascii="Calibri" w:hAnsi="Calibri" w:cs="Times New Roman"/>
                                  <w:sz w:val="21"/>
                                  <w:szCs w:val="21"/>
                                </w:rPr>
                                <w:t>沼气池</w:t>
                              </w:r>
                            </w:p>
                          </w:txbxContent>
                        </wps:txbx>
                        <wps:bodyPr upright="1"/>
                      </wps:wsp>
                      <wps:wsp>
                        <wps:cNvPr id="327" name="直接连接符 327"/>
                        <wps:cNvCnPr/>
                        <wps:spPr>
                          <a:xfrm>
                            <a:off x="4789170" y="3070225"/>
                            <a:ext cx="635" cy="493395"/>
                          </a:xfrm>
                          <a:prstGeom prst="line">
                            <a:avLst/>
                          </a:prstGeom>
                          <a:ln w="9525" cap="flat" cmpd="sng">
                            <a:solidFill>
                              <a:srgbClr val="000000"/>
                            </a:solidFill>
                            <a:prstDash val="solid"/>
                            <a:headEnd type="none" w="med" len="med"/>
                            <a:tailEnd type="triangle" w="med" len="med"/>
                          </a:ln>
                        </wps:spPr>
                        <wps:bodyPr upright="1"/>
                      </wps:wsp>
                      <wps:wsp>
                        <wps:cNvPr id="328" name="矩形 328"/>
                        <wps:cNvSpPr/>
                        <wps:spPr>
                          <a:xfrm>
                            <a:off x="4463415" y="3555365"/>
                            <a:ext cx="496570" cy="27051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沼液</w:t>
                              </w:r>
                            </w:p>
                          </w:txbxContent>
                        </wps:txbx>
                        <wps:bodyPr upright="1"/>
                      </wps:wsp>
                      <wps:wsp>
                        <wps:cNvPr id="329" name="矩形 329"/>
                        <wps:cNvSpPr/>
                        <wps:spPr>
                          <a:xfrm>
                            <a:off x="354965" y="1867535"/>
                            <a:ext cx="551180" cy="331470"/>
                          </a:xfrm>
                          <a:prstGeom prst="rect">
                            <a:avLst/>
                          </a:prstGeom>
                          <a:solidFill>
                            <a:srgbClr val="FFFFFF">
                              <a:alpha val="0"/>
                            </a:srgbClr>
                          </a:solid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p>
                          </w:txbxContent>
                        </wps:txbx>
                        <wps:bodyPr upright="1"/>
                      </wps:wsp>
                      <wps:wsp>
                        <wps:cNvPr id="330" name="矩形 330"/>
                        <wps:cNvSpPr/>
                        <wps:spPr>
                          <a:xfrm>
                            <a:off x="1048385" y="3376930"/>
                            <a:ext cx="490855"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15.90</w:t>
                              </w:r>
                            </w:p>
                          </w:txbxContent>
                        </wps:txbx>
                        <wps:bodyPr upright="1"/>
                      </wps:wsp>
                      <wps:wsp>
                        <wps:cNvPr id="331" name="矩形 331"/>
                        <wps:cNvSpPr/>
                        <wps:spPr>
                          <a:xfrm>
                            <a:off x="1074420" y="1641475"/>
                            <a:ext cx="691515" cy="26733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11.52</w:t>
                              </w:r>
                            </w:p>
                          </w:txbxContent>
                        </wps:txbx>
                        <wps:bodyPr upright="1"/>
                      </wps:wsp>
                      <wps:wsp>
                        <wps:cNvPr id="332" name="直接连接符 332"/>
                        <wps:cNvCnPr/>
                        <wps:spPr>
                          <a:xfrm flipV="1">
                            <a:off x="2413000" y="1231900"/>
                            <a:ext cx="1890395" cy="21590"/>
                          </a:xfrm>
                          <a:prstGeom prst="line">
                            <a:avLst/>
                          </a:prstGeom>
                          <a:ln w="9525" cap="flat" cmpd="sng">
                            <a:solidFill>
                              <a:srgbClr val="000000"/>
                            </a:solidFill>
                            <a:prstDash val="solid"/>
                            <a:headEnd type="none" w="med" len="med"/>
                            <a:tailEnd type="triangle" w="med" len="med"/>
                          </a:ln>
                        </wps:spPr>
                        <wps:bodyPr upright="1"/>
                      </wps:wsp>
                      <wps:wsp>
                        <wps:cNvPr id="333" name="直接连接符 333"/>
                        <wps:cNvCnPr/>
                        <wps:spPr>
                          <a:xfrm flipV="1">
                            <a:off x="2974340" y="1907540"/>
                            <a:ext cx="1366520" cy="635"/>
                          </a:xfrm>
                          <a:prstGeom prst="line">
                            <a:avLst/>
                          </a:prstGeom>
                          <a:ln w="9525" cap="flat" cmpd="sng">
                            <a:solidFill>
                              <a:srgbClr val="000000"/>
                            </a:solidFill>
                            <a:prstDash val="solid"/>
                            <a:headEnd type="none" w="med" len="med"/>
                            <a:tailEnd type="triangle" w="med" len="med"/>
                          </a:ln>
                        </wps:spPr>
                        <wps:bodyPr upright="1"/>
                      </wps:wsp>
                      <wps:wsp>
                        <wps:cNvPr id="334" name="矩形 334"/>
                        <wps:cNvSpPr/>
                        <wps:spPr>
                          <a:xfrm>
                            <a:off x="3268980" y="3342640"/>
                            <a:ext cx="598170"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14.31</w:t>
                              </w:r>
                            </w:p>
                          </w:txbxContent>
                        </wps:txbx>
                        <wps:bodyPr upright="1"/>
                      </wps:wsp>
                      <wps:wsp>
                        <wps:cNvPr id="335" name="矩形 335"/>
                        <wps:cNvSpPr/>
                        <wps:spPr>
                          <a:xfrm>
                            <a:off x="3349625" y="1668780"/>
                            <a:ext cx="584200"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9.216</w:t>
                              </w:r>
                            </w:p>
                          </w:txbxContent>
                        </wps:txbx>
                        <wps:bodyPr upright="1"/>
                      </wps:wsp>
                      <wps:wsp>
                        <wps:cNvPr id="336" name="文本框 336"/>
                        <wps:cNvSpPr txBox="1"/>
                        <wps:spPr>
                          <a:xfrm>
                            <a:off x="1884680" y="358775"/>
                            <a:ext cx="1119505" cy="330835"/>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left"/>
                                <w:rPr>
                                  <w:rFonts w:hint="default" w:ascii="Calibri" w:hAnsi="Calibri" w:eastAsia="宋体" w:cs="Times New Roman"/>
                                  <w:sz w:val="21"/>
                                  <w:szCs w:val="21"/>
                                  <w:lang w:val="en-US" w:eastAsia="zh-CN"/>
                                </w:rPr>
                              </w:pPr>
                              <w:r>
                                <w:rPr>
                                  <w:rFonts w:hint="eastAsia" w:ascii="Calibri" w:hAnsi="Calibri" w:cs="Times New Roman"/>
                                  <w:sz w:val="21"/>
                                  <w:szCs w:val="21"/>
                                </w:rPr>
                                <w:t>猪粪含</w:t>
                              </w:r>
                              <w:r>
                                <w:rPr>
                                  <w:rFonts w:hint="eastAsia" w:ascii="Times New Roman" w:hAnsi="Times New Roman" w:cs="Times New Roman"/>
                                  <w:sz w:val="21"/>
                                  <w:szCs w:val="21"/>
                                </w:rPr>
                                <w:t>水</w:t>
                              </w:r>
                              <w:r>
                                <w:rPr>
                                  <w:rFonts w:hint="eastAsia" w:cs="Times New Roman"/>
                                  <w:sz w:val="21"/>
                                  <w:szCs w:val="21"/>
                                  <w:highlight w:val="none"/>
                                  <w:lang w:val="en-US" w:eastAsia="zh-CN"/>
                                </w:rPr>
                                <w:t>45.2</w:t>
                              </w:r>
                            </w:p>
                          </w:txbxContent>
                        </wps:txbx>
                        <wps:bodyPr upright="1"/>
                      </wps:wsp>
                      <wps:wsp>
                        <wps:cNvPr id="337" name="直接连接符 337"/>
                        <wps:cNvCnPr/>
                        <wps:spPr>
                          <a:xfrm flipV="1">
                            <a:off x="2200275" y="671195"/>
                            <a:ext cx="12065" cy="401320"/>
                          </a:xfrm>
                          <a:prstGeom prst="line">
                            <a:avLst/>
                          </a:prstGeom>
                          <a:ln w="9525" cap="flat" cmpd="sng">
                            <a:solidFill>
                              <a:srgbClr val="000000"/>
                            </a:solidFill>
                            <a:prstDash val="lgDash"/>
                            <a:headEnd type="none" w="med" len="med"/>
                            <a:tailEnd type="triangle" w="med" len="med"/>
                          </a:ln>
                        </wps:spPr>
                        <wps:bodyPr upright="1"/>
                      </wps:wsp>
                      <wps:wsp>
                        <wps:cNvPr id="338" name="文本框 338"/>
                        <wps:cNvSpPr txBox="1"/>
                        <wps:spPr>
                          <a:xfrm>
                            <a:off x="2586355" y="3033395"/>
                            <a:ext cx="806450" cy="302260"/>
                          </a:xfrm>
                          <a:prstGeom prst="rect">
                            <a:avLst/>
                          </a:prstGeom>
                          <a:noFill/>
                          <a:ln>
                            <a:noFill/>
                          </a:ln>
                        </wps:spPr>
                        <wps:txbx>
                          <w:txbxContent>
                            <w:p>
                              <w:pPr>
                                <w:widowControl w:val="0"/>
                                <w:spacing w:line="240" w:lineRule="auto"/>
                                <w:ind w:firstLine="0" w:firstLineChars="0"/>
                                <w:rPr>
                                  <w:rFonts w:hint="default" w:ascii="Calibri" w:hAnsi="Calibri" w:cs="Times New Roman"/>
                                  <w:sz w:val="21"/>
                                  <w:szCs w:val="21"/>
                                  <w:lang w:val="en-US"/>
                                </w:rPr>
                              </w:pPr>
                              <w:r>
                                <w:rPr>
                                  <w:rFonts w:hint="eastAsia" w:ascii="Calibri" w:hAnsi="Calibri" w:cs="Times New Roman"/>
                                  <w:sz w:val="21"/>
                                  <w:szCs w:val="21"/>
                                </w:rPr>
                                <w:t>损耗</w:t>
                              </w:r>
                              <w:r>
                                <w:rPr>
                                  <w:rFonts w:hint="eastAsia" w:cs="Times New Roman"/>
                                  <w:sz w:val="21"/>
                                  <w:szCs w:val="21"/>
                                  <w:lang w:val="en-US" w:eastAsia="zh-CN"/>
                                </w:rPr>
                                <w:t>1.59</w:t>
                              </w:r>
                            </w:p>
                          </w:txbxContent>
                        </wps:txbx>
                        <wps:bodyPr upright="1">
                          <a:spAutoFit/>
                        </wps:bodyPr>
                      </wps:wsp>
                      <wps:wsp>
                        <wps:cNvPr id="339" name="直接连接符 339"/>
                        <wps:cNvCnPr/>
                        <wps:spPr>
                          <a:xfrm flipV="1">
                            <a:off x="2336165" y="1493520"/>
                            <a:ext cx="232410" cy="219075"/>
                          </a:xfrm>
                          <a:prstGeom prst="line">
                            <a:avLst/>
                          </a:prstGeom>
                          <a:ln w="9525" cap="flat" cmpd="sng">
                            <a:solidFill>
                              <a:srgbClr val="000000"/>
                            </a:solidFill>
                            <a:prstDash val="lgDash"/>
                            <a:headEnd type="none" w="med" len="med"/>
                            <a:tailEnd type="triangle" w="med" len="med"/>
                          </a:ln>
                        </wps:spPr>
                        <wps:bodyPr upright="1"/>
                      </wps:wsp>
                      <wps:wsp>
                        <wps:cNvPr id="340" name="文本框 340"/>
                        <wps:cNvSpPr txBox="1"/>
                        <wps:spPr>
                          <a:xfrm>
                            <a:off x="2494280" y="1333500"/>
                            <a:ext cx="846455" cy="302260"/>
                          </a:xfrm>
                          <a:prstGeom prst="rect">
                            <a:avLst/>
                          </a:prstGeom>
                          <a:no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cs="Times New Roman"/>
                                  <w:sz w:val="21"/>
                                  <w:szCs w:val="21"/>
                                  <w:lang w:val="en-US" w:eastAsia="zh-CN"/>
                                </w:rPr>
                                <w:t>2.304</w:t>
                              </w:r>
                            </w:p>
                          </w:txbxContent>
                        </wps:txbx>
                        <wps:bodyPr upright="1">
                          <a:spAutoFit/>
                        </wps:bodyPr>
                      </wps:wsp>
                      <wps:wsp>
                        <wps:cNvPr id="341" name="直接箭头连接符 341"/>
                        <wps:cNvCnPr/>
                        <wps:spPr>
                          <a:xfrm flipH="1">
                            <a:off x="4309745" y="1912620"/>
                            <a:ext cx="649605" cy="635"/>
                          </a:xfrm>
                          <a:prstGeom prst="straightConnector1">
                            <a:avLst/>
                          </a:prstGeom>
                          <a:ln w="9525" cap="flat" cmpd="sng">
                            <a:solidFill>
                              <a:srgbClr val="000000"/>
                            </a:solidFill>
                            <a:prstDash val="solid"/>
                            <a:headEnd type="none" w="med" len="med"/>
                            <a:tailEnd type="none" w="med" len="med"/>
                          </a:ln>
                        </wps:spPr>
                        <wps:bodyPr/>
                      </wps:wsp>
                      <wps:wsp>
                        <wps:cNvPr id="342" name="文本框 342"/>
                        <wps:cNvSpPr txBox="1"/>
                        <wps:spPr>
                          <a:xfrm>
                            <a:off x="4356735" y="1628140"/>
                            <a:ext cx="680085"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355.982</w:t>
                              </w:r>
                            </w:p>
                          </w:txbxContent>
                        </wps:txbx>
                        <wps:bodyPr upright="1">
                          <a:spAutoFit/>
                        </wps:bodyPr>
                      </wps:wsp>
                      <wps:wsp>
                        <wps:cNvPr id="343" name="文本框 343"/>
                        <wps:cNvSpPr txBox="1"/>
                        <wps:spPr>
                          <a:xfrm>
                            <a:off x="4234815" y="3208655"/>
                            <a:ext cx="675640"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346.377</w:t>
                              </w:r>
                            </w:p>
                          </w:txbxContent>
                        </wps:txbx>
                        <wps:bodyPr upright="1">
                          <a:spAutoFit/>
                        </wps:bodyPr>
                      </wps:wsp>
                      <wps:wsp>
                        <wps:cNvPr id="344" name="直接连接符 344"/>
                        <wps:cNvCnPr/>
                        <wps:spPr>
                          <a:xfrm>
                            <a:off x="4698365" y="3848735"/>
                            <a:ext cx="635" cy="276225"/>
                          </a:xfrm>
                          <a:prstGeom prst="line">
                            <a:avLst/>
                          </a:prstGeom>
                          <a:ln w="9525" cap="flat" cmpd="sng">
                            <a:solidFill>
                              <a:srgbClr val="000000"/>
                            </a:solidFill>
                            <a:prstDash val="solid"/>
                            <a:headEnd type="none" w="med" len="med"/>
                            <a:tailEnd type="triangle" w="med" len="med"/>
                          </a:ln>
                        </wps:spPr>
                        <wps:bodyPr upright="1"/>
                      </wps:wsp>
                      <wps:wsp>
                        <wps:cNvPr id="345" name="文本框 345"/>
                        <wps:cNvSpPr txBox="1"/>
                        <wps:spPr>
                          <a:xfrm>
                            <a:off x="4268470" y="4008120"/>
                            <a:ext cx="805180" cy="493395"/>
                          </a:xfrm>
                          <a:prstGeom prst="rect">
                            <a:avLst/>
                          </a:prstGeom>
                          <a:noFill/>
                          <a:ln>
                            <a:noFill/>
                          </a:ln>
                        </wps:spPr>
                        <wps:txbx>
                          <w:txbxContent>
                            <w:p>
                              <w:pPr>
                                <w:widowControl w:val="0"/>
                                <w:spacing w:line="240" w:lineRule="auto"/>
                                <w:ind w:firstLine="0" w:firstLineChars="0"/>
                                <w:jc w:val="center"/>
                                <w:rPr>
                                  <w:rFonts w:hint="default" w:ascii="Calibri" w:hAnsi="Calibri" w:eastAsia="宋体" w:cs="Times New Roman"/>
                                  <w:sz w:val="21"/>
                                  <w:szCs w:val="21"/>
                                  <w:lang w:val="en-US" w:eastAsia="zh-CN"/>
                                </w:rPr>
                              </w:pPr>
                              <w:r>
                                <w:rPr>
                                  <w:rFonts w:hint="eastAsia" w:ascii="Calibri" w:hAnsi="Calibri" w:cs="Times New Roman"/>
                                  <w:sz w:val="21"/>
                                  <w:szCs w:val="21"/>
                                </w:rPr>
                                <w:t>土地利用</w:t>
                              </w:r>
                              <w:r>
                                <w:rPr>
                                  <w:rFonts w:hint="eastAsia" w:cs="Times New Roman"/>
                                  <w:sz w:val="21"/>
                                  <w:szCs w:val="21"/>
                                  <w:highlight w:val="none"/>
                                  <w:lang w:val="en-US" w:eastAsia="zh-CN"/>
                                </w:rPr>
                                <w:t>346.377</w:t>
                              </w:r>
                            </w:p>
                          </w:txbxContent>
                        </wps:txbx>
                        <wps:bodyPr upright="1"/>
                      </wps:wsp>
                      <wps:wsp>
                        <wps:cNvPr id="346" name="直接连接符 346"/>
                        <wps:cNvCnPr/>
                        <wps:spPr>
                          <a:xfrm>
                            <a:off x="5454650" y="3081020"/>
                            <a:ext cx="635" cy="488950"/>
                          </a:xfrm>
                          <a:prstGeom prst="line">
                            <a:avLst/>
                          </a:prstGeom>
                          <a:ln w="9525" cap="flat" cmpd="sng">
                            <a:solidFill>
                              <a:srgbClr val="000000"/>
                            </a:solidFill>
                            <a:prstDash val="solid"/>
                            <a:headEnd type="none" w="med" len="med"/>
                            <a:tailEnd type="triangle" w="med" len="med"/>
                          </a:ln>
                        </wps:spPr>
                        <wps:bodyPr upright="1"/>
                      </wps:wsp>
                      <wps:wsp>
                        <wps:cNvPr id="347" name="矩形 347"/>
                        <wps:cNvSpPr/>
                        <wps:spPr>
                          <a:xfrm>
                            <a:off x="5050155" y="3580130"/>
                            <a:ext cx="617220" cy="27051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沼渣带走</w:t>
                              </w:r>
                            </w:p>
                          </w:txbxContent>
                        </wps:txbx>
                        <wps:bodyPr lIns="0" tIns="45720" rIns="0" bIns="45720" upright="1"/>
                      </wps:wsp>
                      <wps:wsp>
                        <wps:cNvPr id="348" name="文本框 348"/>
                        <wps:cNvSpPr txBox="1"/>
                        <wps:spPr>
                          <a:xfrm>
                            <a:off x="5030470" y="3234690"/>
                            <a:ext cx="485140"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9.605</w:t>
                              </w:r>
                            </w:p>
                          </w:txbxContent>
                        </wps:txbx>
                        <wps:bodyPr upright="1">
                          <a:spAutoFit/>
                        </wps:bodyPr>
                      </wps:wsp>
                      <wps:wsp>
                        <wps:cNvPr id="349" name="矩形 349"/>
                        <wps:cNvSpPr/>
                        <wps:spPr>
                          <a:xfrm>
                            <a:off x="956945" y="962660"/>
                            <a:ext cx="820420"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645.656</w:t>
                              </w:r>
                            </w:p>
                          </w:txbxContent>
                        </wps:txbx>
                        <wps:bodyPr upright="1"/>
                      </wps:wsp>
                      <wps:wsp>
                        <wps:cNvPr id="350" name="直接连接符 350"/>
                        <wps:cNvCnPr/>
                        <wps:spPr>
                          <a:xfrm>
                            <a:off x="945515" y="3574415"/>
                            <a:ext cx="1156970" cy="635"/>
                          </a:xfrm>
                          <a:prstGeom prst="line">
                            <a:avLst/>
                          </a:prstGeom>
                          <a:ln w="9525" cap="flat" cmpd="sng">
                            <a:solidFill>
                              <a:srgbClr val="000000"/>
                            </a:solidFill>
                            <a:prstDash val="solid"/>
                            <a:headEnd type="none" w="med" len="med"/>
                            <a:tailEnd type="triangle" w="med" len="med"/>
                          </a:ln>
                        </wps:spPr>
                        <wps:bodyPr upright="1"/>
                      </wps:wsp>
                      <wps:wsp>
                        <wps:cNvPr id="351" name="直接连接符 351"/>
                        <wps:cNvCnPr/>
                        <wps:spPr>
                          <a:xfrm>
                            <a:off x="3016250" y="3575685"/>
                            <a:ext cx="1355090" cy="6985"/>
                          </a:xfrm>
                          <a:prstGeom prst="line">
                            <a:avLst/>
                          </a:prstGeom>
                          <a:ln w="9525" cap="flat" cmpd="sng">
                            <a:solidFill>
                              <a:srgbClr val="000000"/>
                            </a:solidFill>
                            <a:prstDash val="solid"/>
                            <a:headEnd type="none" w="med" len="med"/>
                            <a:tailEnd type="triangle" w="med" len="med"/>
                          </a:ln>
                        </wps:spPr>
                        <wps:bodyPr upright="1"/>
                      </wps:wsp>
                      <wps:wsp>
                        <wps:cNvPr id="352" name="直接连接符 352"/>
                        <wps:cNvCnPr/>
                        <wps:spPr>
                          <a:xfrm flipV="1">
                            <a:off x="1752600" y="681355"/>
                            <a:ext cx="635" cy="401320"/>
                          </a:xfrm>
                          <a:prstGeom prst="line">
                            <a:avLst/>
                          </a:prstGeom>
                          <a:ln w="9525" cap="flat" cmpd="sng">
                            <a:solidFill>
                              <a:srgbClr val="000000"/>
                            </a:solidFill>
                            <a:prstDash val="lgDash"/>
                            <a:headEnd type="none" w="med" len="med"/>
                            <a:tailEnd type="triangle" w="med" len="med"/>
                          </a:ln>
                        </wps:spPr>
                        <wps:bodyPr upright="1"/>
                      </wps:wsp>
                      <wps:wsp>
                        <wps:cNvPr id="353" name="矩形 353"/>
                        <wps:cNvSpPr/>
                        <wps:spPr>
                          <a:xfrm>
                            <a:off x="741680" y="464185"/>
                            <a:ext cx="1224280" cy="326390"/>
                          </a:xfrm>
                          <a:prstGeom prst="rect">
                            <a:avLst/>
                          </a:prstGeom>
                          <a:solidFill>
                            <a:srgbClr val="FFFFFF">
                              <a:alpha val="0"/>
                            </a:srgbClr>
                          </a:solidFill>
                          <a:ln>
                            <a:noFill/>
                          </a:ln>
                        </wps:spPr>
                        <wps:txbx>
                          <w:txbxContent>
                            <w:p>
                              <w:pPr>
                                <w:widowControl w:val="0"/>
                                <w:spacing w:line="240" w:lineRule="atLeast"/>
                                <w:ind w:firstLine="0" w:firstLineChars="0"/>
                                <w:rPr>
                                  <w:rFonts w:hint="default" w:ascii="Times New Roman" w:hAnsi="Times New Roman" w:eastAsia="宋体" w:cs="Times New Roman"/>
                                  <w:sz w:val="21"/>
                                  <w:szCs w:val="21"/>
                                  <w:lang w:val="en-US" w:eastAsia="zh-CN"/>
                                </w:rPr>
                              </w:pPr>
                              <w:r>
                                <w:rPr>
                                  <w:rFonts w:hint="eastAsia" w:ascii="Calibri" w:hAnsi="Calibri" w:cs="Times New Roman"/>
                                  <w:sz w:val="21"/>
                                  <w:szCs w:val="21"/>
                                </w:rPr>
                                <w:t>体能损耗</w:t>
                              </w:r>
                              <w:r>
                                <w:rPr>
                                  <w:rFonts w:hint="eastAsia" w:cs="Times New Roman"/>
                                  <w:sz w:val="21"/>
                                  <w:szCs w:val="21"/>
                                  <w:lang w:val="en-US" w:eastAsia="zh-CN"/>
                                </w:rPr>
                                <w:t>303.556</w:t>
                              </w:r>
                            </w:p>
                          </w:txbxContent>
                        </wps:txbx>
                        <wps:bodyPr upright="1"/>
                      </wps:wsp>
                      <wps:wsp>
                        <wps:cNvPr id="354" name="矩形 354"/>
                        <wps:cNvSpPr/>
                        <wps:spPr>
                          <a:xfrm>
                            <a:off x="2709545" y="1008380"/>
                            <a:ext cx="1156970" cy="294640"/>
                          </a:xfrm>
                          <a:prstGeom prst="rect">
                            <a:avLst/>
                          </a:prstGeom>
                          <a:solidFill>
                            <a:srgbClr val="FFFFFF">
                              <a:alpha val="0"/>
                            </a:srgbClr>
                          </a:solid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猪尿液</w:t>
                              </w:r>
                              <w:r>
                                <w:rPr>
                                  <w:rFonts w:hint="eastAsia" w:cs="Times New Roman"/>
                                  <w:sz w:val="21"/>
                                  <w:szCs w:val="21"/>
                                  <w:lang w:val="en-US" w:eastAsia="zh-CN"/>
                                </w:rPr>
                                <w:t>296.9</w:t>
                              </w:r>
                            </w:p>
                          </w:txbxContent>
                        </wps:txbx>
                        <wps:bodyPr upright="1"/>
                      </wps:wsp>
                      <wps:wsp>
                        <wps:cNvPr id="355" name="直接连接符 355"/>
                        <wps:cNvCnPr/>
                        <wps:spPr>
                          <a:xfrm flipV="1">
                            <a:off x="2458720" y="3203575"/>
                            <a:ext cx="170815" cy="247015"/>
                          </a:xfrm>
                          <a:prstGeom prst="line">
                            <a:avLst/>
                          </a:prstGeom>
                          <a:ln w="9525" cap="flat" cmpd="sng">
                            <a:solidFill>
                              <a:srgbClr val="000000"/>
                            </a:solidFill>
                            <a:prstDash val="lgDash"/>
                            <a:headEnd type="none" w="med" len="med"/>
                            <a:tailEnd type="triangle" w="med" len="med"/>
                          </a:ln>
                        </wps:spPr>
                        <wps:bodyPr upright="1"/>
                      </wps:wsp>
                      <wps:wsp>
                        <wps:cNvPr id="356" name="矩形 356"/>
                        <wps:cNvSpPr/>
                        <wps:spPr>
                          <a:xfrm>
                            <a:off x="2103755" y="3428365"/>
                            <a:ext cx="912495" cy="32004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猪舍冲洗用水</w:t>
                              </w:r>
                            </w:p>
                            <w:p>
                              <w:pPr>
                                <w:widowControl w:val="0"/>
                                <w:spacing w:line="240" w:lineRule="atLeast"/>
                                <w:ind w:firstLine="0" w:firstLineChars="0"/>
                                <w:jc w:val="center"/>
                                <w:rPr>
                                  <w:rFonts w:ascii="Calibri" w:hAnsi="Calibri" w:cs="Times New Roman"/>
                                  <w:b/>
                                  <w:sz w:val="21"/>
                                  <w:szCs w:val="21"/>
                                </w:rPr>
                              </w:pPr>
                            </w:p>
                          </w:txbxContent>
                        </wps:txbx>
                        <wps:bodyPr lIns="0" tIns="45720" rIns="0" bIns="45720" upright="1"/>
                      </wps:wsp>
                      <wps:wsp>
                        <wps:cNvPr id="357" name="直接连接符 357"/>
                        <wps:cNvCnPr/>
                        <wps:spPr>
                          <a:xfrm>
                            <a:off x="2991485" y="583565"/>
                            <a:ext cx="474980" cy="6985"/>
                          </a:xfrm>
                          <a:prstGeom prst="line">
                            <a:avLst/>
                          </a:prstGeom>
                          <a:ln w="9525" cap="flat" cmpd="sng">
                            <a:solidFill>
                              <a:srgbClr val="000000"/>
                            </a:solidFill>
                            <a:prstDash val="solid"/>
                            <a:headEnd type="none" w="med" len="med"/>
                            <a:tailEnd type="triangle" w="med" len="med"/>
                          </a:ln>
                        </wps:spPr>
                        <wps:bodyPr upright="1"/>
                      </wps:wsp>
                      <wps:wsp>
                        <wps:cNvPr id="358" name="矩形 358"/>
                        <wps:cNvSpPr/>
                        <wps:spPr>
                          <a:xfrm>
                            <a:off x="3453130" y="437515"/>
                            <a:ext cx="812800" cy="287655"/>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rPr>
                                  <w:rFonts w:ascii="Calibri" w:hAnsi="Calibri" w:cs="Times New Roman"/>
                                  <w:sz w:val="21"/>
                                  <w:szCs w:val="21"/>
                                </w:rPr>
                              </w:pPr>
                              <w:r>
                                <w:rPr>
                                  <w:rFonts w:hint="eastAsia" w:ascii="宋体" w:hAnsi="宋体" w:cs="Times New Roman"/>
                                  <w:sz w:val="21"/>
                                  <w:szCs w:val="21"/>
                                </w:rPr>
                                <w:t>固液分离</w:t>
                              </w:r>
                            </w:p>
                          </w:txbxContent>
                        </wps:txbx>
                        <wps:bodyPr upright="1"/>
                      </wps:wsp>
                      <wps:wsp>
                        <wps:cNvPr id="359" name="直接连接符 359"/>
                        <wps:cNvCnPr/>
                        <wps:spPr>
                          <a:xfrm>
                            <a:off x="3867785" y="735965"/>
                            <a:ext cx="635" cy="284480"/>
                          </a:xfrm>
                          <a:prstGeom prst="line">
                            <a:avLst/>
                          </a:prstGeom>
                          <a:ln w="9525" cap="flat" cmpd="sng">
                            <a:solidFill>
                              <a:srgbClr val="000000"/>
                            </a:solidFill>
                            <a:prstDash val="solid"/>
                            <a:headEnd type="none" w="med" len="med"/>
                            <a:tailEnd type="none" w="med" len="med"/>
                          </a:ln>
                        </wps:spPr>
                        <wps:bodyPr upright="1"/>
                      </wps:wsp>
                      <wps:wsp>
                        <wps:cNvPr id="360" name="直接连接符 360"/>
                        <wps:cNvCnPr/>
                        <wps:spPr>
                          <a:xfrm>
                            <a:off x="4323080" y="987425"/>
                            <a:ext cx="0" cy="2592000"/>
                          </a:xfrm>
                          <a:prstGeom prst="line">
                            <a:avLst/>
                          </a:prstGeom>
                          <a:ln w="9525" cap="flat" cmpd="sng">
                            <a:solidFill>
                              <a:srgbClr val="000000"/>
                            </a:solidFill>
                            <a:prstDash val="solid"/>
                            <a:headEnd type="none" w="med" len="med"/>
                            <a:tailEnd type="none" w="med" len="med"/>
                          </a:ln>
                        </wps:spPr>
                        <wps:bodyPr upright="1"/>
                      </wps:wsp>
                      <wps:wsp>
                        <wps:cNvPr id="362" name="直接连接符 362"/>
                        <wps:cNvCnPr/>
                        <wps:spPr>
                          <a:xfrm>
                            <a:off x="3858260" y="1007110"/>
                            <a:ext cx="464820" cy="635"/>
                          </a:xfrm>
                          <a:prstGeom prst="line">
                            <a:avLst/>
                          </a:prstGeom>
                          <a:ln w="9525" cap="flat" cmpd="sng">
                            <a:solidFill>
                              <a:srgbClr val="000000"/>
                            </a:solidFill>
                            <a:prstDash val="solid"/>
                            <a:headEnd type="none" w="med" len="med"/>
                            <a:tailEnd type="arrow" w="med" len="med"/>
                          </a:ln>
                        </wps:spPr>
                        <wps:bodyPr upright="1"/>
                      </wps:wsp>
                      <wps:wsp>
                        <wps:cNvPr id="363" name="矩形 363"/>
                        <wps:cNvSpPr/>
                        <wps:spPr>
                          <a:xfrm>
                            <a:off x="3806825" y="725170"/>
                            <a:ext cx="584200" cy="27749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34.71</w:t>
                              </w:r>
                            </w:p>
                            <w:p>
                              <w:pPr>
                                <w:rPr>
                                  <w:rFonts w:hint="default"/>
                                  <w:lang w:val="en-US" w:eastAsia="zh-CN"/>
                                </w:rPr>
                              </w:pPr>
                            </w:p>
                          </w:txbxContent>
                        </wps:txbx>
                        <wps:bodyPr upright="1"/>
                      </wps:wsp>
                      <wps:wsp>
                        <wps:cNvPr id="364" name="直接连接符 364"/>
                        <wps:cNvCnPr/>
                        <wps:spPr>
                          <a:xfrm>
                            <a:off x="4271645" y="591185"/>
                            <a:ext cx="889635" cy="635"/>
                          </a:xfrm>
                          <a:prstGeom prst="line">
                            <a:avLst/>
                          </a:prstGeom>
                          <a:ln w="9525" cap="flat" cmpd="sng">
                            <a:solidFill>
                              <a:srgbClr val="000000"/>
                            </a:solidFill>
                            <a:prstDash val="solid"/>
                            <a:headEnd type="none" w="med" len="med"/>
                            <a:tailEnd type="triangle" w="med" len="med"/>
                          </a:ln>
                        </wps:spPr>
                        <wps:bodyPr upright="1"/>
                      </wps:wsp>
                      <wps:wsp>
                        <wps:cNvPr id="365" name="矩形 365"/>
                        <wps:cNvSpPr/>
                        <wps:spPr>
                          <a:xfrm>
                            <a:off x="4156710" y="302260"/>
                            <a:ext cx="1211580" cy="294005"/>
                          </a:xfrm>
                          <a:prstGeom prst="rect">
                            <a:avLst/>
                          </a:prstGeom>
                          <a:solidFill>
                            <a:srgbClr val="FFFFFF">
                              <a:alpha val="0"/>
                            </a:srgbClr>
                          </a:solid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猪粪带</w:t>
                              </w:r>
                              <w:r>
                                <w:rPr>
                                  <w:rFonts w:hint="eastAsia" w:ascii="Times New Roman" w:hAnsi="Times New Roman" w:cs="Times New Roman"/>
                                  <w:sz w:val="21"/>
                                  <w:szCs w:val="21"/>
                                </w:rPr>
                                <w:t>走</w:t>
                              </w:r>
                              <w:r>
                                <w:rPr>
                                  <w:rFonts w:hint="eastAsia" w:cs="Times New Roman"/>
                                  <w:sz w:val="21"/>
                                  <w:szCs w:val="21"/>
                                  <w:lang w:val="en-US" w:eastAsia="zh-CN"/>
                                </w:rPr>
                                <w:t>10.49</w:t>
                              </w:r>
                            </w:p>
                          </w:txbxContent>
                        </wps:txbx>
                        <wps:bodyPr upright="1"/>
                      </wps:wsp>
                      <wps:wsp>
                        <wps:cNvPr id="366" name="矩形 366"/>
                        <wps:cNvSpPr/>
                        <wps:spPr>
                          <a:xfrm>
                            <a:off x="5143500" y="476885"/>
                            <a:ext cx="739775" cy="259080"/>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left="-120" w:leftChars="-50" w:right="-120" w:rightChars="-50" w:firstLine="0" w:firstLineChars="0"/>
                                <w:rPr>
                                  <w:rFonts w:hint="eastAsia" w:ascii="Calibri" w:hAnsi="Calibri" w:cs="Times New Roman"/>
                                  <w:color w:val="000000"/>
                                  <w:sz w:val="21"/>
                                  <w:szCs w:val="21"/>
                                </w:rPr>
                              </w:pPr>
                              <w:r>
                                <w:rPr>
                                  <w:rFonts w:hint="eastAsia" w:ascii="宋体" w:hAnsi="宋体" w:cs="Times New Roman"/>
                                  <w:color w:val="000000"/>
                                  <w:sz w:val="21"/>
                                  <w:szCs w:val="21"/>
                                </w:rPr>
                                <w:t>固粪处理区</w:t>
                              </w:r>
                            </w:p>
                          </w:txbxContent>
                        </wps:txbx>
                        <wps:bodyPr upright="1"/>
                      </wps:wsp>
                      <wps:wsp>
                        <wps:cNvPr id="367" name="直接连接符 367"/>
                        <wps:cNvCnPr/>
                        <wps:spPr>
                          <a:xfrm flipH="1">
                            <a:off x="4958715" y="1901825"/>
                            <a:ext cx="0" cy="883920"/>
                          </a:xfrm>
                          <a:prstGeom prst="line">
                            <a:avLst/>
                          </a:prstGeom>
                          <a:ln w="9525" cap="flat" cmpd="sng">
                            <a:solidFill>
                              <a:srgbClr val="000000"/>
                            </a:solidFill>
                            <a:prstDash val="solid"/>
                            <a:headEnd type="none" w="med" len="med"/>
                            <a:tailEnd type="triangle" w="med" len="med"/>
                          </a:ln>
                        </wps:spPr>
                        <wps:bodyPr upright="1"/>
                      </wps:wsp>
                      <wps:wsp>
                        <wps:cNvPr id="368" name="直接连接符 368"/>
                        <wps:cNvCnPr/>
                        <wps:spPr>
                          <a:xfrm>
                            <a:off x="953770" y="4441825"/>
                            <a:ext cx="756000" cy="635"/>
                          </a:xfrm>
                          <a:prstGeom prst="line">
                            <a:avLst/>
                          </a:prstGeom>
                          <a:ln w="9525" cap="flat" cmpd="sng">
                            <a:solidFill>
                              <a:srgbClr val="000000"/>
                            </a:solidFill>
                            <a:prstDash val="solid"/>
                            <a:headEnd type="none" w="med" len="med"/>
                            <a:tailEnd type="triangle" w="med" len="med"/>
                          </a:ln>
                        </wps:spPr>
                        <wps:bodyPr upright="1"/>
                      </wps:wsp>
                      <wps:wsp>
                        <wps:cNvPr id="369" name="矩形 369"/>
                        <wps:cNvSpPr/>
                        <wps:spPr>
                          <a:xfrm>
                            <a:off x="1699260" y="4294505"/>
                            <a:ext cx="1054100" cy="30480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喷雾降温用水</w:t>
                              </w:r>
                            </w:p>
                          </w:txbxContent>
                        </wps:txbx>
                        <wps:bodyPr lIns="0" tIns="45720" rIns="0" bIns="45720" upright="1"/>
                      </wps:wsp>
                      <wps:wsp>
                        <wps:cNvPr id="370" name="文本框 370"/>
                        <wps:cNvSpPr txBox="1"/>
                        <wps:spPr>
                          <a:xfrm>
                            <a:off x="1597660" y="3862070"/>
                            <a:ext cx="1790700" cy="29210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rPr>
                                <w:t>蒸发、风力损耗</w:t>
                              </w:r>
                              <w:r>
                                <w:rPr>
                                  <w:rFonts w:hint="eastAsia" w:cs="Times New Roman"/>
                                  <w:sz w:val="21"/>
                                  <w:szCs w:val="21"/>
                                  <w:lang w:val="en-US" w:eastAsia="zh-CN"/>
                                </w:rPr>
                                <w:t>24.552</w:t>
                              </w:r>
                            </w:p>
                          </w:txbxContent>
                        </wps:txbx>
                        <wps:bodyPr upright="1"/>
                      </wps:wsp>
                      <wps:wsp>
                        <wps:cNvPr id="371" name="直接连接符 371"/>
                        <wps:cNvCnPr/>
                        <wps:spPr>
                          <a:xfrm flipV="1">
                            <a:off x="2057400" y="4120515"/>
                            <a:ext cx="154940" cy="173990"/>
                          </a:xfrm>
                          <a:prstGeom prst="line">
                            <a:avLst/>
                          </a:prstGeom>
                          <a:ln w="9525" cap="flat" cmpd="sng">
                            <a:solidFill>
                              <a:srgbClr val="000000"/>
                            </a:solidFill>
                            <a:prstDash val="lgDash"/>
                            <a:headEnd type="none" w="med" len="med"/>
                            <a:tailEnd type="triangle" w="med" len="med"/>
                          </a:ln>
                        </wps:spPr>
                        <wps:bodyPr upright="1"/>
                      </wps:wsp>
                      <wps:wsp>
                        <wps:cNvPr id="372" name="矩形 372"/>
                        <wps:cNvSpPr/>
                        <wps:spPr>
                          <a:xfrm>
                            <a:off x="999490" y="4156075"/>
                            <a:ext cx="622300" cy="238760"/>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cs="Times New Roman"/>
                                  <w:sz w:val="21"/>
                                  <w:szCs w:val="21"/>
                                  <w:lang w:val="en-US"/>
                                </w:rPr>
                              </w:pPr>
                              <w:r>
                                <w:rPr>
                                  <w:rFonts w:hint="eastAsia" w:cs="Times New Roman"/>
                                  <w:sz w:val="21"/>
                                  <w:szCs w:val="21"/>
                                  <w:lang w:val="en-US" w:eastAsia="zh-CN"/>
                                </w:rPr>
                                <w:t>24.552</w:t>
                              </w:r>
                            </w:p>
                          </w:txbxContent>
                        </wps:txbx>
                        <wps:bodyPr upright="1"/>
                      </wps:wsp>
                      <wps:wsp>
                        <wps:cNvPr id="38" name="矩形 38"/>
                        <wps:cNvSpPr/>
                        <wps:spPr>
                          <a:xfrm>
                            <a:off x="1068705" y="2519680"/>
                            <a:ext cx="490855"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0.9</w:t>
                              </w:r>
                            </w:p>
                          </w:txbxContent>
                        </wps:txbx>
                        <wps:bodyPr upright="1"/>
                      </wps:wsp>
                      <wps:wsp>
                        <wps:cNvPr id="39" name="矩形 39"/>
                        <wps:cNvSpPr/>
                        <wps:spPr>
                          <a:xfrm>
                            <a:off x="3289300" y="2485390"/>
                            <a:ext cx="598170" cy="19875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0.846</w:t>
                              </w:r>
                            </w:p>
                          </w:txbxContent>
                        </wps:txbx>
                        <wps:bodyPr upright="1"/>
                      </wps:wsp>
                      <wps:wsp>
                        <wps:cNvPr id="40" name="直接连接符 40"/>
                        <wps:cNvCnPr/>
                        <wps:spPr>
                          <a:xfrm>
                            <a:off x="965835" y="2717165"/>
                            <a:ext cx="1156970" cy="635"/>
                          </a:xfrm>
                          <a:prstGeom prst="line">
                            <a:avLst/>
                          </a:prstGeom>
                          <a:ln w="9525" cap="flat" cmpd="sng">
                            <a:solidFill>
                              <a:srgbClr val="000000"/>
                            </a:solidFill>
                            <a:prstDash val="solid"/>
                            <a:headEnd type="none" w="med" len="med"/>
                            <a:tailEnd type="triangle" w="med" len="med"/>
                          </a:ln>
                        </wps:spPr>
                        <wps:bodyPr upright="1"/>
                      </wps:wsp>
                      <wps:wsp>
                        <wps:cNvPr id="41" name="直接连接符 41"/>
                        <wps:cNvCnPr/>
                        <wps:spPr>
                          <a:xfrm>
                            <a:off x="3171190" y="2718435"/>
                            <a:ext cx="1188085" cy="0"/>
                          </a:xfrm>
                          <a:prstGeom prst="line">
                            <a:avLst/>
                          </a:prstGeom>
                          <a:ln w="9525" cap="flat" cmpd="sng">
                            <a:solidFill>
                              <a:srgbClr val="000000"/>
                            </a:solidFill>
                            <a:prstDash val="solid"/>
                            <a:headEnd type="none" w="med" len="med"/>
                            <a:tailEnd type="triangle" w="med" len="med"/>
                          </a:ln>
                        </wps:spPr>
                        <wps:bodyPr upright="1"/>
                      </wps:wsp>
                      <wps:wsp>
                        <wps:cNvPr id="42" name="直接连接符 42"/>
                        <wps:cNvCnPr/>
                        <wps:spPr>
                          <a:xfrm flipV="1">
                            <a:off x="2479040" y="2291080"/>
                            <a:ext cx="170815" cy="247015"/>
                          </a:xfrm>
                          <a:prstGeom prst="line">
                            <a:avLst/>
                          </a:prstGeom>
                          <a:ln w="9525" cap="flat" cmpd="sng">
                            <a:solidFill>
                              <a:srgbClr val="000000"/>
                            </a:solidFill>
                            <a:prstDash val="lgDash"/>
                            <a:headEnd type="none" w="med" len="med"/>
                            <a:tailEnd type="triangle" w="med" len="med"/>
                          </a:ln>
                        </wps:spPr>
                        <wps:bodyPr upright="1"/>
                      </wps:wsp>
                      <wps:wsp>
                        <wps:cNvPr id="43" name="矩形 43"/>
                        <wps:cNvSpPr/>
                        <wps:spPr>
                          <a:xfrm>
                            <a:off x="2124075" y="2571115"/>
                            <a:ext cx="1038860" cy="32004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tLeast"/>
                                <w:ind w:firstLine="0" w:firstLineChars="0"/>
                                <w:jc w:val="center"/>
                                <w:rPr>
                                  <w:rFonts w:hint="eastAsia" w:ascii="Calibri" w:hAnsi="Calibri" w:eastAsia="宋体" w:cs="Times New Roman"/>
                                  <w:b/>
                                  <w:sz w:val="21"/>
                                  <w:szCs w:val="21"/>
                                  <w:lang w:eastAsia="zh-CN"/>
                                </w:rPr>
                              </w:pPr>
                              <w:r>
                                <w:rPr>
                                  <w:rFonts w:hint="eastAsia" w:ascii="Calibri" w:hAnsi="Calibri" w:cs="Times New Roman"/>
                                  <w:b w:val="0"/>
                                  <w:bCs/>
                                  <w:sz w:val="21"/>
                                  <w:szCs w:val="21"/>
                                  <w:lang w:eastAsia="zh-CN"/>
                                </w:rPr>
                                <w:t>无害化处理车间</w:t>
                              </w:r>
                            </w:p>
                          </w:txbxContent>
                        </wps:txbx>
                        <wps:bodyPr lIns="0" tIns="45720" rIns="0" bIns="45720" upright="1"/>
                      </wps:wsp>
                      <wps:wsp>
                        <wps:cNvPr id="44" name="文本框 44"/>
                        <wps:cNvSpPr txBox="1"/>
                        <wps:spPr>
                          <a:xfrm>
                            <a:off x="2211705" y="2084705"/>
                            <a:ext cx="846455" cy="302260"/>
                          </a:xfrm>
                          <a:prstGeom prst="rect">
                            <a:avLst/>
                          </a:prstGeom>
                          <a:no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cs="Times New Roman"/>
                                  <w:sz w:val="21"/>
                                  <w:szCs w:val="21"/>
                                  <w:lang w:val="en-US" w:eastAsia="zh-CN"/>
                                </w:rPr>
                                <w:t>0.054</w:t>
                              </w:r>
                            </w:p>
                          </w:txbxContent>
                        </wps:txbx>
                        <wps:bodyPr upright="1">
                          <a:spAutoFit/>
                        </wps:bodyPr>
                      </wps:wsp>
                      <wps:wsp>
                        <wps:cNvPr id="47" name="矩形 47"/>
                        <wps:cNvSpPr/>
                        <wps:spPr>
                          <a:xfrm>
                            <a:off x="322580" y="1894205"/>
                            <a:ext cx="691515" cy="26733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824.528</w:t>
                              </w:r>
                            </w:p>
                          </w:txbxContent>
                        </wps:txbx>
                        <wps:bodyPr upright="1"/>
                      </wps:wsp>
                      <wps:wsp>
                        <wps:cNvPr id="20" name="直接连接符 20"/>
                        <wps:cNvCnPr/>
                        <wps:spPr>
                          <a:xfrm>
                            <a:off x="973455" y="5283200"/>
                            <a:ext cx="756285" cy="635"/>
                          </a:xfrm>
                          <a:prstGeom prst="line">
                            <a:avLst/>
                          </a:prstGeom>
                          <a:ln w="9525" cap="flat" cmpd="sng">
                            <a:solidFill>
                              <a:srgbClr val="000000"/>
                            </a:solidFill>
                            <a:prstDash val="solid"/>
                            <a:headEnd type="none" w="med" len="med"/>
                            <a:tailEnd type="triangle" w="med" len="med"/>
                          </a:ln>
                        </wps:spPr>
                        <wps:bodyPr upright="1"/>
                      </wps:wsp>
                      <wps:wsp>
                        <wps:cNvPr id="23" name="矩形 23"/>
                        <wps:cNvSpPr/>
                        <wps:spPr>
                          <a:xfrm>
                            <a:off x="1060450" y="4997450"/>
                            <a:ext cx="622300" cy="238760"/>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cs="Times New Roman"/>
                                  <w:sz w:val="21"/>
                                  <w:szCs w:val="21"/>
                                  <w:lang w:val="en-US"/>
                                </w:rPr>
                              </w:pPr>
                              <w:r>
                                <w:rPr>
                                  <w:rFonts w:hint="eastAsia" w:cs="Times New Roman"/>
                                  <w:sz w:val="21"/>
                                  <w:szCs w:val="21"/>
                                  <w:lang w:val="en-US" w:eastAsia="zh-CN"/>
                                </w:rPr>
                                <w:t>126</w:t>
                              </w:r>
                            </w:p>
                          </w:txbxContent>
                        </wps:txbx>
                        <wps:bodyPr upright="1"/>
                      </wps:wsp>
                      <wps:wsp>
                        <wps:cNvPr id="25" name="矩形 25"/>
                        <wps:cNvSpPr/>
                        <wps:spPr>
                          <a:xfrm>
                            <a:off x="1727835" y="5069205"/>
                            <a:ext cx="1054100" cy="30480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lang w:eastAsia="zh-CN"/>
                                </w:rPr>
                                <w:t>除臭墙</w:t>
                              </w:r>
                              <w:r>
                                <w:rPr>
                                  <w:rFonts w:hint="eastAsia" w:ascii="Calibri" w:hAnsi="Calibri" w:cs="Times New Roman"/>
                                  <w:sz w:val="21"/>
                                  <w:szCs w:val="21"/>
                                </w:rPr>
                                <w:t>用水</w:t>
                              </w:r>
                            </w:p>
                          </w:txbxContent>
                        </wps:txbx>
                        <wps:bodyPr lIns="0" tIns="45720" rIns="0" bIns="45720" upright="1"/>
                      </wps:wsp>
                      <wps:wsp>
                        <wps:cNvPr id="33" name="文本框 33"/>
                        <wps:cNvSpPr txBox="1"/>
                        <wps:spPr>
                          <a:xfrm>
                            <a:off x="2148205" y="4632960"/>
                            <a:ext cx="1790700" cy="29210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rPr>
                                <w:t>损耗</w:t>
                              </w:r>
                              <w:r>
                                <w:rPr>
                                  <w:rFonts w:hint="eastAsia" w:cs="Times New Roman"/>
                                  <w:sz w:val="21"/>
                                  <w:szCs w:val="21"/>
                                  <w:lang w:val="en-US" w:eastAsia="zh-CN"/>
                                </w:rPr>
                                <w:t>126</w:t>
                              </w:r>
                            </w:p>
                          </w:txbxContent>
                        </wps:txbx>
                        <wps:bodyPr upright="1"/>
                      </wps:wsp>
                      <wps:wsp>
                        <wps:cNvPr id="46" name="直接连接符 46"/>
                        <wps:cNvCnPr/>
                        <wps:spPr>
                          <a:xfrm flipV="1">
                            <a:off x="2164080" y="4894580"/>
                            <a:ext cx="154940" cy="173990"/>
                          </a:xfrm>
                          <a:prstGeom prst="line">
                            <a:avLst/>
                          </a:prstGeom>
                          <a:ln w="9525" cap="flat" cmpd="sng">
                            <a:solidFill>
                              <a:srgbClr val="000000"/>
                            </a:solidFill>
                            <a:prstDash val="lgDash"/>
                            <a:headEnd type="none" w="med" len="med"/>
                            <a:tailEnd type="triangle" w="med" len="med"/>
                          </a:ln>
                        </wps:spPr>
                        <wps:bodyPr upright="1"/>
                      </wps:wsp>
                    </wpc:wpc>
                  </a:graphicData>
                </a:graphic>
              </wp:anchor>
            </w:drawing>
          </mc:Choice>
          <mc:Fallback>
            <w:pict>
              <v:group id="_x0000_s1026" o:spid="_x0000_s1026" o:spt="203" style="position:absolute;left:0pt;margin-left:-12.35pt;margin-top:11.85pt;height:438.95pt;width:483.45pt;z-index:251985920;mso-width-relative:page;mso-height-relative:page;" coordsize="6139815,5574665" editas="canvas" o:gfxdata="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">
                <o:lock v:ext="edit" aspectratio="f"/>
                <v:shape id="_x0000_s1026" o:spid="_x0000_s1026" style="position:absolute;left:0;top:0;height:5574665;width:6139815;" filled="f" stroked="f" coordsize="21600,21600" o:gfxdata="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">
                  <v:fill on="f" focussize="0,0"/>
                  <v:stroke on="f"/>
                  <v:imagedata o:title=""/>
                  <o:lock v:ext="edit" aspectratio="t"/>
                </v:shape>
                <v:rect id="_x0000_s1026" o:spid="_x0000_s1026" o:spt="1" style="position:absolute;left:0;top:1867535;height:521970;width:322580;" fillcolor="#FFFFFF" filled="t" stroked="t" coordsize="21600,21600" o:gfxdata="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RF+C2QAAAAoBAAAPAAAAAAAAAAEAIAAAACIAAABkcnMvZG93&#10;bnJldi54bWxQSwECFAAUAAAACACHTuJAH0zI4/8BAAABBAAADgAAAAAAAAABACAAAAAoAQAAZHJz&#10;L2Uyb0RvYy54bWxQSwUGAAAAAAYABgBZAQAAmQUAAAAA&#10;">
                  <v:fill on="t" opacity="0f" focussize="0,0"/>
                  <v:stroke color="#000000" joinstyle="miter"/>
                  <v:imagedata o:title=""/>
                  <o:lock v:ext="edit" aspectratio="f"/>
                  <v:textbox>
                    <w:txbxContent>
                      <w:p>
                        <w:pPr>
                          <w:widowControl w:val="0"/>
                          <w:spacing w:line="240" w:lineRule="exact"/>
                          <w:ind w:firstLine="0" w:firstLineChars="0"/>
                          <w:rPr>
                            <w:rFonts w:ascii="Calibri" w:hAnsi="Calibri" w:cs="Times New Roman"/>
                            <w:sz w:val="21"/>
                            <w:szCs w:val="21"/>
                          </w:rPr>
                        </w:pPr>
                        <w:r>
                          <w:rPr>
                            <w:rFonts w:hint="eastAsia" w:ascii="Calibri" w:hAnsi="Calibri" w:cs="Times New Roman"/>
                            <w:sz w:val="21"/>
                            <w:szCs w:val="21"/>
                          </w:rPr>
                          <w:t>新鲜水</w:t>
                        </w:r>
                      </w:p>
                    </w:txbxContent>
                  </v:textbox>
                </v:rect>
                <v:line id="_x0000_s1026" o:spid="_x0000_s1026" o:spt="20" style="position:absolute;left:354965;top:2140585;height:635;width:582295;" filled="f" stroked="t" coordsize="21600,21600" o:gfxdata="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uz8CjaAAAACgEAAA8AAAAAAAAAAQAgAAAAIgAAAGRycy9kb3ducmV2LnhtbFBLAQIU&#10;ABQAAAAIAIdO4kDaUSMK8QEAAKoDAAAOAAAAAAAAAAEAIAAAACkBAABkcnMvZTJvRG9jLnhtbFBL&#10;BQYAAAAABgAGAFkBAACMBQAAAAA=&#10;">
                  <v:fill on="f" focussize="0,0"/>
                  <v:stroke color="#000000" joinstyle="round" endarrow="block"/>
                  <v:imagedata o:title=""/>
                  <o:lock v:ext="edit" aspectratio="f"/>
                </v:line>
                <v:line id="_x0000_s1026" o:spid="_x0000_s1026" o:spt="20" style="position:absolute;left:960755;top:999790;flip:x;height:4284000;width:635;" filled="f" stroked="t" coordsize="21600,21600" o:gfxdata="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uUoe/2AAAAAoBAAAPAAAAAAAAAAEAIAAAACIAAABkcnMvZG93bnJldi54bWxQSwECFAAU&#10;AAAACACHTuJASDj7sfEBAACwAwAADgAAAAAAAAABACAAAAAnAQAAZHJzL2Uyb0RvYy54bWxQSwUG&#10;AAAAAAYABgBZAQAAigUAAAAA&#10;">
                  <v:fill on="f" focussize="0,0"/>
                  <v:stroke color="#000000" joinstyle="round"/>
                  <v:imagedata o:title=""/>
                  <o:lock v:ext="edit" aspectratio="f"/>
                </v:line>
                <v:line id="_x0000_s1026" o:spid="_x0000_s1026" o:spt="20" style="position:absolute;left:953135;top:1196975;flip:y;height:0;width:612000;" filled="f" stroked="t" coordsize="21600,21600" o:gfxdata="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btJZdoAAAAKAQAADwAAAAAAAAABACAAAAAiAAAAZHJzL2Rvd25yZXYueG1s&#10;UEsBAhQAFAAAAAgAh07iQN6IdjH2AQAAsgMAAA4AAAAAAAAAAQAgAAAAKQEAAGRycy9lMm9Eb2Mu&#10;eG1sUEsFBgAAAAAGAAYAWQEAAJEFAAAAAA==&#10;">
                  <v:fill on="f" focussize="0,0"/>
                  <v:stroke color="#000000" joinstyle="round" endarrow="block"/>
                  <v:imagedata o:title=""/>
                  <o:lock v:ext="edit" aspectratio="f"/>
                </v:line>
                <v:line id="_x0000_s1026" o:spid="_x0000_s1026" o:spt="20" style="position:absolute;left:967740;top:1906270;flip:y;height:635;width:1143000;" filled="f" stroked="t" coordsize="21600,21600" o:gfxdata="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G7SWXaAAAACgEAAA8AAAAAAAAAAQAgAAAAIgAAAGRycy9kb3ducmV2Lnht&#10;bFBLAQIUABQAAAAIAIdO4kB1TxTj9wEAALUDAAAOAAAAAAAAAAEAIAAAACkBAABkcnMvZTJvRG9j&#10;LnhtbFBLBQYAAAAABgAGAFkBAACSBQAAAAA=&#10;">
                  <v:fill on="f" focussize="0,0"/>
                  <v:stroke color="#000000" joinstyle="round" endarrow="block"/>
                  <v:imagedata o:title=""/>
                  <o:lock v:ext="edit" aspectratio="f"/>
                </v:line>
                <v:rect id="_x0000_s1026" o:spid="_x0000_s1026" o:spt="1" style="position:absolute;left:1552575;top:1058545;height:297180;width:882650;" fillcolor="#FFFFFF" filled="t" stroked="t" coordsize="21600,21600" o:gfxdata="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C0qGDbAAAACgEA&#10;AA8AAAAAAAAAAQAgAAAAIgAAAGRycy9kb3ducmV2LnhtbFBLAQIUABQAAAAIAIdO4kAaJDDqFwIA&#10;ADMEAAAOAAAAAAAAAAEAIAAAACoBAABkcnMvZTJvRG9jLnhtbFBLBQYAAAAABgAGAFkBAACzBQAA&#10;AAA=&#10;">
                  <v:fill on="t" opacity="0f" focussize="0,0"/>
                  <v:stroke color="#000000" joinstyle="miter"/>
                  <v:imagedata o:title=""/>
                  <o:lock v:ext="edit" aspectratio="f"/>
                  <v:textbox inset="0mm,1.27mm,0mm,1.27mm">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生猪饮用水</w:t>
                        </w:r>
                      </w:p>
                    </w:txbxContent>
                  </v:textbox>
                </v:rect>
                <v:rect id="_x0000_s1026" o:spid="_x0000_s1026" o:spt="1" style="position:absolute;left:2126615;top:1795145;height:264795;width:850900;" fillcolor="#FFFFFF" filled="t" stroked="t" coordsize="21600,21600" o:gfxdata="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QRF+C2QAAAAoBAAAPAAAAAAAAAAEAIAAAACIAAABkcnMv&#10;ZG93bnJldi54bWxQSwECFAAUAAAACACHTuJAY4xsNAICAAAHBAAADgAAAAAAAAABACAAAAAoAQAA&#10;ZHJzL2Uyb0RvYy54bWxQSwUGAAAAAAYABgBZAQAAnAUAAAAA&#10;">
                  <v:fill on="t" opacity="0f" focussize="0,0"/>
                  <v:stroke color="#000000" joinstyle="miter"/>
                  <v:imagedata o:title=""/>
                  <o:lock v:ext="edit" aspectratio="f"/>
                  <v:textbo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职工生活</w:t>
                        </w:r>
                      </w:p>
                    </w:txbxContent>
                  </v:textbox>
                </v:rect>
                <v:rect id="_x0000_s1026" o:spid="_x0000_s1026" o:spt="1" style="position:absolute;left:4514215;top:2799080;height:274955;width:1158875;" fillcolor="#FFFFFF" filled="t" stroked="t" coordsize="21600,21600" o:gfxdata="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QRF+C2QAAAAoBAAAPAAAAAAAAAAEAIAAAACIAAABkcnMv&#10;ZG93bnJldi54bWxQSwECFAAUAAAACACHTuJA8CmHAgICAAAIBAAADgAAAAAAAAABACAAAAAoAQAA&#10;ZHJzL2Uyb0RvYy54bWxQSwUGAAAAAAYABgBZAQAAnAUAAAAA&#10;">
                  <v:fill on="t" opacity="0f" focussize="0,0"/>
                  <v:stroke color="#000000" joinstyle="miter"/>
                  <v:imagedata o:title=""/>
                  <o:lock v:ext="edit" aspectratio="f"/>
                  <v:textbo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lang w:eastAsia="zh-CN"/>
                          </w:rPr>
                          <w:t>黑膜</w:t>
                        </w:r>
                        <w:r>
                          <w:rPr>
                            <w:rFonts w:hint="eastAsia" w:ascii="Calibri" w:hAnsi="Calibri" w:cs="Times New Roman"/>
                            <w:sz w:val="21"/>
                            <w:szCs w:val="21"/>
                          </w:rPr>
                          <w:t>沼气池</w:t>
                        </w:r>
                      </w:p>
                    </w:txbxContent>
                  </v:textbox>
                </v:rect>
                <v:line id="_x0000_s1026" o:spid="_x0000_s1026" o:spt="20" style="position:absolute;left:4789170;top:3070225;height:493395;width:635;" filled="f" stroked="t" coordsize="21600,21600" o:gfxdata="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uz8CjaAAAACgEAAA8AAAAAAAAAAQAgAAAAIgAAAGRycy9kb3ducmV2LnhtbFBL&#10;AQIUABQAAAAIAIdO4kC3iaGC9AEAAKsDAAAOAAAAAAAAAAEAIAAAACkBAABkcnMvZTJvRG9jLnht&#10;bFBLBQYAAAAABgAGAFkBAACPBQAAAAA=&#10;">
                  <v:fill on="f" focussize="0,0"/>
                  <v:stroke color="#000000" joinstyle="round" endarrow="block"/>
                  <v:imagedata o:title=""/>
                  <o:lock v:ext="edit" aspectratio="f"/>
                </v:line>
                <v:rect id="_x0000_s1026" o:spid="_x0000_s1026" o:spt="1" style="position:absolute;left:4463415;top:3555365;height:270510;width:496570;" fillcolor="#FFFFFF" filled="t" stroked="t" coordsize="21600,21600" o:gfxdata="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BEX4LZAAAACgEAAA8AAAAAAAAAAQAgAAAAIgAAAGRy&#10;cy9kb3ducmV2LnhtbFBLAQIUABQAAAAIAIdO4kDxvFmSBAIAAAcEAAAOAAAAAAAAAAEAIAAAACgB&#10;AABkcnMvZTJvRG9jLnhtbFBLBQYAAAAABgAGAFkBAACeBQAAAAA=&#10;">
                  <v:fill on="t" opacity="0f" focussize="0,0"/>
                  <v:stroke color="#000000" joinstyle="miter"/>
                  <v:imagedata o:title=""/>
                  <o:lock v:ext="edit" aspectratio="f"/>
                  <v:textbox>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沼液</w:t>
                        </w:r>
                      </w:p>
                    </w:txbxContent>
                  </v:textbox>
                </v:rect>
                <v:rect id="_x0000_s1026" o:spid="_x0000_s1026" o:spt="1" style="position:absolute;left:354965;top:1867535;height:331470;width:551180;" fillcolor="#FFFFFF" filled="t" stroked="f" coordsize="21600,21600" o:gfxdata="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8JWzJNkAAAAKAQAADwAAAAAAAAABACAAAAAiAAAAZHJzL2Rvd25yZXYueG1sUEsBAhQAFAAA&#10;AAgAh07iQEW4Ghi1AQAARwMAAA4AAAAAAAAAAQAgAAAAKAEAAGRycy9lMm9Eb2MueG1sUEsFBgAA&#10;AAAGAAYAWQEAAE8FAAAAAA==&#10;">
                  <v:fill on="t" opacity="0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p>
                    </w:txbxContent>
                  </v:textbox>
                </v:rect>
                <v:rect id="_x0000_s1026" o:spid="_x0000_s1026" o:spt="1" style="position:absolute;left:1048385;top:3376930;height:198755;width:490855;" fillcolor="#FFFFFF" filled="t" stroked="f" coordsize="21600,21600" o:gfxdata="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8JWzJNkAAAAKAQAADwAAAAAAAAABACAAAAAiAAAAZHJzL2Rvd25yZXYueG1sUEsBAhQAFAAA&#10;AAgAh07iQGhiCAi1AQAASAMAAA4AAAAAAAAAAQAgAAAAKAEAAGRycy9lMm9Eb2MueG1sUEsFBgAA&#10;AAAGAAYAWQEAAE8F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15.90</w:t>
                        </w:r>
                      </w:p>
                    </w:txbxContent>
                  </v:textbox>
                </v:rect>
                <v:rect id="_x0000_s1026" o:spid="_x0000_s1026" o:spt="1" style="position:absolute;left:1074420;top:1641475;height:267335;width:691515;" fillcolor="#FFFFFF" filled="t" stroked="f" coordsize="21600,21600" o:gfxdata="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8JWzJNkAAAAKAQAADwAAAAAAAAABACAAAAAiAAAAZHJzL2Rvd25yZXYueG1sUEsBAhQAFAAA&#10;AAgAh07iQJf2oU21AQAASAMAAA4AAAAAAAAAAQAgAAAAKAEAAGRycy9lMm9Eb2MueG1sUEsFBgAA&#10;AAAGAAYAWQEAAE8F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11.52</w:t>
                        </w:r>
                      </w:p>
                    </w:txbxContent>
                  </v:textbox>
                </v:rect>
                <v:line id="_x0000_s1026" o:spid="_x0000_s1026" o:spt="20" style="position:absolute;left:2413000;top:1231900;flip:y;height:21590;width:1890395;" filled="f" stroked="t" coordsize="21600,21600" o:gfxdata="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btJZdoAAAAKAQAADwAAAAAAAAABACAAAAAiAAAAZHJzL2Rvd25yZXYu&#10;eG1sUEsBAhQAFAAAAAgAh07iQPYRrWL5AQAAuAMAAA4AAAAAAAAAAQAgAAAAKQEAAGRycy9lMm9E&#10;b2MueG1sUEsFBgAAAAAGAAYAWQEAAJQFAAAAAA==&#10;">
                  <v:fill on="f" focussize="0,0"/>
                  <v:stroke color="#000000" joinstyle="round" endarrow="block"/>
                  <v:imagedata o:title=""/>
                  <o:lock v:ext="edit" aspectratio="f"/>
                </v:line>
                <v:line id="_x0000_s1026" o:spid="_x0000_s1026" o:spt="20" style="position:absolute;left:2974340;top:1907540;flip:y;height:635;width:1366520;" filled="f" stroked="t" coordsize="21600,21600" o:gfxdata="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xu0ll2gAAAAoBAAAPAAAAAAAAAAEAIAAAACIAAABkcnMvZG93bnJldi54&#10;bWxQSwECFAAUAAAACACHTuJAz9tuFfgBAAC2AwAADgAAAAAAAAABACAAAAApAQAAZHJzL2Uyb0Rv&#10;Yy54bWxQSwUGAAAAAAYABgBZAQAAkwUAAAAA&#10;">
                  <v:fill on="f" focussize="0,0"/>
                  <v:stroke color="#000000" joinstyle="round" endarrow="block"/>
                  <v:imagedata o:title=""/>
                  <o:lock v:ext="edit" aspectratio="f"/>
                </v:line>
                <v:rect id="_x0000_s1026" o:spid="_x0000_s1026" o:spt="1" style="position:absolute;left:3268980;top:3342640;height:198755;width:598170;" fillcolor="#FFFFFF" filled="t" stroked="f" coordsize="21600,21600" o:gfxdata="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wlbMk2QAAAAoBAAAPAAAAAAAAAAEAIAAAACIAAABkcnMvZG93bnJldi54bWxQSwECFAAUAAAA&#10;CACHTuJA7gOkNLQBAABIAwAADgAAAAAAAAABACAAAAAoAQAAZHJzL2Uyb0RvYy54bWxQSwUGAAAA&#10;AAYABgBZAQAATgU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14.31</w:t>
                        </w:r>
                      </w:p>
                    </w:txbxContent>
                  </v:textbox>
                </v:rect>
                <v:rect id="_x0000_s1026" o:spid="_x0000_s1026" o:spt="1" style="position:absolute;left:3349625;top:1668780;height:198755;width:584200;" fillcolor="#FFFFFF" filled="t" stroked="f" coordsize="21600,21600" o:gfxdata="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8JWzJNkAAAAKAQAADwAAAAAAAAABACAAAAAiAAAAZHJzL2Rvd25yZXYueG1sUEsBAhQAFAAA&#10;AAgAh07iQFxVSVq1AQAASAMAAA4AAAAAAAAAAQAgAAAAKAEAAGRycy9lMm9Eb2MueG1sUEsFBgAA&#10;AAAGAAYAWQEAAE8F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9.216</w:t>
                        </w:r>
                      </w:p>
                    </w:txbxContent>
                  </v:textbox>
                </v:rect>
                <v:shape id="_x0000_s1026" o:spid="_x0000_s1026" o:spt="202" type="#_x0000_t202" style="position:absolute;left:1884680;top:358775;height:330835;width:1119505;" filled="f" stroked="t" coordsize="21600,21600" o:gfxdata="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FFBU3XAAAACgEAAA8AAAAAAAAAAQAgAAAAIgAAAGRycy9kb3ducmV2LnhtbFBL&#10;AQIUABQAAAAIAIdO4kA1beur9wEAAM4DAAAOAAAAAAAAAAEAIAAAACYBAABkcnMvZTJvRG9jLnht&#10;bFBLBQYAAAAABgAGAFkBAACPBQAAAAA=&#10;">
                  <v:fill on="f" focussize="0,0"/>
                  <v:stroke color="#000000" joinstyle="miter"/>
                  <v:imagedata o:title=""/>
                  <o:lock v:ext="edit" aspectratio="f"/>
                  <v:textbox>
                    <w:txbxContent>
                      <w:p>
                        <w:pPr>
                          <w:widowControl w:val="0"/>
                          <w:spacing w:line="240" w:lineRule="auto"/>
                          <w:ind w:firstLine="0" w:firstLineChars="0"/>
                          <w:jc w:val="left"/>
                          <w:rPr>
                            <w:rFonts w:hint="default" w:ascii="Calibri" w:hAnsi="Calibri" w:eastAsia="宋体" w:cs="Times New Roman"/>
                            <w:sz w:val="21"/>
                            <w:szCs w:val="21"/>
                            <w:lang w:val="en-US" w:eastAsia="zh-CN"/>
                          </w:rPr>
                        </w:pPr>
                        <w:r>
                          <w:rPr>
                            <w:rFonts w:hint="eastAsia" w:ascii="Calibri" w:hAnsi="Calibri" w:cs="Times New Roman"/>
                            <w:sz w:val="21"/>
                            <w:szCs w:val="21"/>
                          </w:rPr>
                          <w:t>猪粪含</w:t>
                        </w:r>
                        <w:r>
                          <w:rPr>
                            <w:rFonts w:hint="eastAsia" w:ascii="Times New Roman" w:hAnsi="Times New Roman" w:cs="Times New Roman"/>
                            <w:sz w:val="21"/>
                            <w:szCs w:val="21"/>
                          </w:rPr>
                          <w:t>水</w:t>
                        </w:r>
                        <w:r>
                          <w:rPr>
                            <w:rFonts w:hint="eastAsia" w:cs="Times New Roman"/>
                            <w:sz w:val="21"/>
                            <w:szCs w:val="21"/>
                            <w:highlight w:val="none"/>
                            <w:lang w:val="en-US" w:eastAsia="zh-CN"/>
                          </w:rPr>
                          <w:t>45.2</w:t>
                        </w:r>
                      </w:p>
                    </w:txbxContent>
                  </v:textbox>
                </v:shape>
                <v:line id="_x0000_s1026" o:spid="_x0000_s1026" o:spt="20" style="position:absolute;left:2200275;top:671195;flip:y;height:401320;width:12065;" filled="f" stroked="t" coordsize="21600,21600" o:gfxdata="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2hcZ1gAAAAoBAAAPAAAAAAAAAAEAIAAAACIAAABkcnMvZG93bnJldi54&#10;bWxQSwECFAAUAAAACACHTuJA0ZjRC/wBAAC3AwAADgAAAAAAAAABACAAAAAlAQAAZHJzL2Uyb0Rv&#10;Yy54bWxQSwUGAAAAAAYABgBZAQAAkwUAAAAA&#10;">
                  <v:fill on="f" focussize="0,0"/>
                  <v:stroke color="#000000" joinstyle="round" dashstyle="longDash" endarrow="block"/>
                  <v:imagedata o:title=""/>
                  <o:lock v:ext="edit" aspectratio="f"/>
                </v:line>
                <v:shape id="_x0000_s1026" o:spid="_x0000_s1026" o:spt="202" type="#_x0000_t202" style="position:absolute;left:2586355;top:3033395;height:302260;width:806450;" filled="f" stroked="f" coordsize="21600,21600" o:gfxdata="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WgTZx1wAAAAoB&#10;AAAPAAAAAAAAAAEAIAAAACIAAABkcnMvZG93bnJldi54bWxQSwECFAAUAAAACACHTuJApO87JKoB&#10;AAApAwAADgAAAAAAAAABACAAAAAmAQAAZHJzL2Uyb0RvYy54bWxQSwUGAAAAAAYABgBZAQAAQgUA&#10;AAAA&#10;">
                  <v:fill on="f" focussize="0,0"/>
                  <v:stroke on="f"/>
                  <v:imagedata o:title=""/>
                  <o:lock v:ext="edit" aspectratio="f"/>
                  <v:textbox style="mso-fit-shape-to-text:t;">
                    <w:txbxContent>
                      <w:p>
                        <w:pPr>
                          <w:widowControl w:val="0"/>
                          <w:spacing w:line="240" w:lineRule="auto"/>
                          <w:ind w:firstLine="0" w:firstLineChars="0"/>
                          <w:rPr>
                            <w:rFonts w:hint="default" w:ascii="Calibri" w:hAnsi="Calibri" w:cs="Times New Roman"/>
                            <w:sz w:val="21"/>
                            <w:szCs w:val="21"/>
                            <w:lang w:val="en-US"/>
                          </w:rPr>
                        </w:pPr>
                        <w:r>
                          <w:rPr>
                            <w:rFonts w:hint="eastAsia" w:ascii="Calibri" w:hAnsi="Calibri" w:cs="Times New Roman"/>
                            <w:sz w:val="21"/>
                            <w:szCs w:val="21"/>
                          </w:rPr>
                          <w:t>损耗</w:t>
                        </w:r>
                        <w:r>
                          <w:rPr>
                            <w:rFonts w:hint="eastAsia" w:cs="Times New Roman"/>
                            <w:sz w:val="21"/>
                            <w:szCs w:val="21"/>
                            <w:lang w:val="en-US" w:eastAsia="zh-CN"/>
                          </w:rPr>
                          <w:t>1.59</w:t>
                        </w:r>
                      </w:p>
                    </w:txbxContent>
                  </v:textbox>
                </v:shape>
                <v:line id="_x0000_s1026" o:spid="_x0000_s1026" o:spt="20" style="position:absolute;left:2336165;top:1493520;flip:y;height:219075;width:232410;" filled="f" stroked="t" coordsize="21600,21600" o:gfxdata="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NoXGdYAAAAKAQAADwAAAAAAAAABACAAAAAiAAAAZHJzL2Rvd25yZXYueG1s&#10;UEsBAhQAFAAAAAgAh07iQGqVs476AQAAuQMAAA4AAAAAAAAAAQAgAAAAJQEAAGRycy9lMm9Eb2Mu&#10;eG1sUEsFBgAAAAAGAAYAWQEAAJEFAAAAAA==&#10;">
                  <v:fill on="f" focussize="0,0"/>
                  <v:stroke color="#000000" joinstyle="round" dashstyle="longDash" endarrow="block"/>
                  <v:imagedata o:title=""/>
                  <o:lock v:ext="edit" aspectratio="f"/>
                </v:line>
                <v:shape id="_x0000_s1026" o:spid="_x0000_s1026" o:spt="202" type="#_x0000_t202" style="position:absolute;left:2494280;top:1333500;height:302260;width:846455;" filled="f" stroked="f" coordsize="21600,21600" o:gfxdata="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aBNnHXAAAACgEA&#10;AA8AAAAAAAAAAQAgAAAAIgAAAGRycy9kb3ducmV2LnhtbFBLAQIUABQAAAAIAIdO4kC68vBdqQEA&#10;ACkDAAAOAAAAAAAAAAEAIAAAACYBAABkcnMvZTJvRG9jLnhtbFBLBQYAAAAABgAGAFkBAABBBQAA&#10;AAA=&#10;">
                  <v:fill on="f" focussize="0,0"/>
                  <v:stroke on="f"/>
                  <v:imagedata o:title=""/>
                  <o:lock v:ext="edit" aspectratio="f"/>
                  <v:textbox style="mso-fit-shape-to-text:t;">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cs="Times New Roman"/>
                            <w:sz w:val="21"/>
                            <w:szCs w:val="21"/>
                            <w:lang w:val="en-US" w:eastAsia="zh-CN"/>
                          </w:rPr>
                          <w:t>2.304</w:t>
                        </w:r>
                      </w:p>
                    </w:txbxContent>
                  </v:textbox>
                </v:shape>
                <v:shape id="_x0000_s1026" o:spid="_x0000_s1026" o:spt="32" type="#_x0000_t32" style="position:absolute;left:4309745;top:1912620;flip:x;height:635;width:649605;" filled="f" stroked="t" coordsize="21600,21600" o:gfxdata="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zMn2XXAAAACgEAAA8AAAAAAAAAAQAgAAAAIgAAAGRycy9kb3ducmV2LnhtbFBL&#10;AQIUABQAAAAIAIdO4kCqk3K49wEAALkDAAAOAAAAAAAAAAEAIAAAACYBAABkcnMvZTJvRG9jLnht&#10;bFBLBQYAAAAABgAGAFkBAACPBQAAAAA=&#10;">
                  <v:fill on="f" focussize="0,0"/>
                  <v:stroke color="#000000" joinstyle="round"/>
                  <v:imagedata o:title=""/>
                  <o:lock v:ext="edit" aspectratio="f"/>
                </v:shape>
                <v:shape id="_x0000_s1026" o:spid="_x0000_s1026" o:spt="202" type="#_x0000_t202" style="position:absolute;left:4356735;top:1628140;height:302260;width:680085;" filled="f" stroked="f" coordsize="21600,21600" o:gfxdata="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WgTZx1wAAAAoB&#10;AAAPAAAAAAAAAAEAIAAAACIAAABkcnMvZG93bnJldi54bWxQSwECFAAUAAAACACHTuJAO3LLRaoB&#10;AAApAwAADgAAAAAAAAABACAAAAAmAQAAZHJzL2Uyb0RvYy54bWxQSwUGAAAAAAYABgBZAQAAQgUA&#10;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355.982</w:t>
                        </w:r>
                      </w:p>
                    </w:txbxContent>
                  </v:textbox>
                </v:shape>
                <v:shape id="_x0000_s1026" o:spid="_x0000_s1026" o:spt="202" type="#_x0000_t202" style="position:absolute;left:4234815;top:3208655;height:302260;width:675640;" filled="f" stroked="f" coordsize="21600,21600" o:gfxdata="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1oE2cdcAAAAK&#10;AQAADwAAAAAAAAABACAAAAAiAAAAZHJzL2Rvd25yZXYueG1sUEsBAhQAFAAAAAgAh07iQMp7ATGr&#10;AQAAKQMAAA4AAAAAAAAAAQAgAAAAJgEAAGRycy9lMm9Eb2MueG1sUEsFBgAAAAAGAAYAWQEAAEMF&#10;AA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346.377</w:t>
                        </w:r>
                      </w:p>
                    </w:txbxContent>
                  </v:textbox>
                </v:shape>
                <v:line id="_x0000_s1026" o:spid="_x0000_s1026" o:spt="20" style="position:absolute;left:4698365;top:3848735;height:276225;width:635;" filled="f" stroked="t" coordsize="21600,21600" o:gfxdata="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7PwKNoAAAAKAQAADwAAAAAAAAABACAAAAAiAAAAZHJzL2Rvd25yZXYueG1sUEsB&#10;AhQAFAAAAAgAh07iQF7r6ZjzAQAAqwMAAA4AAAAAAAAAAQAgAAAAKQEAAGRycy9lMm9Eb2MueG1s&#10;UEsFBgAAAAAGAAYAWQEAAI4FAAAAAA==&#10;">
                  <v:fill on="f" focussize="0,0"/>
                  <v:stroke color="#000000" joinstyle="round" endarrow="block"/>
                  <v:imagedata o:title=""/>
                  <o:lock v:ext="edit" aspectratio="f"/>
                </v:line>
                <v:shape id="_x0000_s1026" o:spid="_x0000_s1026" o:spt="202" type="#_x0000_t202" style="position:absolute;left:4268470;top:4008120;height:493395;width:805180;" filled="f" stroked="f" coordsize="21600,21600" o:gfxdata="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LJ9cD1wAAAAoBAAAPAAAAAAAAAAEAIAAA&#10;ACIAAABkcnMvZG93bnJldi54bWxQSwECFAAUAAAACACHTuJAk14LppsBAAAPAwAADgAAAAAAAAAB&#10;ACAAAAAmAQAAZHJzL2Uyb0RvYy54bWxQSwUGAAAAAAYABgBZAQAAMwUAAAAA&#10;">
                  <v:fill on="f" focussize="0,0"/>
                  <v:stroke on="f"/>
                  <v:imagedata o:title=""/>
                  <o:lock v:ext="edit" aspectratio="f"/>
                  <v:textbox>
                    <w:txbxContent>
                      <w:p>
                        <w:pPr>
                          <w:widowControl w:val="0"/>
                          <w:spacing w:line="240" w:lineRule="auto"/>
                          <w:ind w:firstLine="0" w:firstLineChars="0"/>
                          <w:jc w:val="center"/>
                          <w:rPr>
                            <w:rFonts w:hint="default" w:ascii="Calibri" w:hAnsi="Calibri" w:eastAsia="宋体" w:cs="Times New Roman"/>
                            <w:sz w:val="21"/>
                            <w:szCs w:val="21"/>
                            <w:lang w:val="en-US" w:eastAsia="zh-CN"/>
                          </w:rPr>
                        </w:pPr>
                        <w:r>
                          <w:rPr>
                            <w:rFonts w:hint="eastAsia" w:ascii="Calibri" w:hAnsi="Calibri" w:cs="Times New Roman"/>
                            <w:sz w:val="21"/>
                            <w:szCs w:val="21"/>
                          </w:rPr>
                          <w:t>土地利用</w:t>
                        </w:r>
                        <w:r>
                          <w:rPr>
                            <w:rFonts w:hint="eastAsia" w:cs="Times New Roman"/>
                            <w:sz w:val="21"/>
                            <w:szCs w:val="21"/>
                            <w:highlight w:val="none"/>
                            <w:lang w:val="en-US" w:eastAsia="zh-CN"/>
                          </w:rPr>
                          <w:t>346.377</w:t>
                        </w:r>
                      </w:p>
                    </w:txbxContent>
                  </v:textbox>
                </v:shape>
                <v:line id="_x0000_s1026" o:spid="_x0000_s1026" o:spt="20" style="position:absolute;left:5454650;top:3081020;height:488950;width:635;" filled="f" stroked="t" coordsize="21600,21600" o:gfxdata="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Ls/Ao2gAAAAoBAAAPAAAAAAAAAAEAIAAAACIAAABkcnMvZG93bnJldi54bWxQSwECFAAU&#10;AAAACACHTuJAhN+88e8BAACrAwAADgAAAAAAAAABACAAAAApAQAAZHJzL2Uyb0RvYy54bWxQSwUG&#10;AAAAAAYABgBZAQAAigUAAAAA&#10;">
                  <v:fill on="f" focussize="0,0"/>
                  <v:stroke color="#000000" joinstyle="round" endarrow="block"/>
                  <v:imagedata o:title=""/>
                  <o:lock v:ext="edit" aspectratio="f"/>
                </v:line>
                <v:rect id="_x0000_s1026" o:spid="_x0000_s1026" o:spt="1" style="position:absolute;left:5050155;top:3580130;height:270510;width:617220;" fillcolor="#FFFFFF" filled="t" stroked="t" coordsize="21600,21600" o:gfxdata="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LSoYNsAAAAKAQAA&#10;DwAAAAAAAAABACAAAAAiAAAAZHJzL2Rvd25yZXYueG1sUEsBAhQAFAAAAAgAh07iQPS0bQMWAgAA&#10;MwQAAA4AAAAAAAAAAQAgAAAAKgEAAGRycy9lMm9Eb2MueG1sUEsFBgAAAAAGAAYAWQEAALIFAAAA&#10;AA==&#10;">
                  <v:fill on="t" opacity="0f" focussize="0,0"/>
                  <v:stroke color="#000000" joinstyle="miter"/>
                  <v:imagedata o:title=""/>
                  <o:lock v:ext="edit" aspectratio="f"/>
                  <v:textbox inset="0mm,1.27mm,0mm,1.27mm">
                    <w:txbxContent>
                      <w:p>
                        <w:pPr>
                          <w:widowControl w:val="0"/>
                          <w:spacing w:line="240" w:lineRule="exact"/>
                          <w:ind w:firstLine="0" w:firstLineChars="0"/>
                          <w:jc w:val="center"/>
                          <w:rPr>
                            <w:rFonts w:ascii="Calibri" w:hAnsi="Calibri" w:cs="Times New Roman"/>
                            <w:sz w:val="21"/>
                            <w:szCs w:val="21"/>
                          </w:rPr>
                        </w:pPr>
                        <w:r>
                          <w:rPr>
                            <w:rFonts w:hint="eastAsia" w:ascii="Calibri" w:hAnsi="Calibri" w:cs="Times New Roman"/>
                            <w:sz w:val="21"/>
                            <w:szCs w:val="21"/>
                          </w:rPr>
                          <w:t>沼渣带走</w:t>
                        </w:r>
                      </w:p>
                    </w:txbxContent>
                  </v:textbox>
                </v:rect>
                <v:shape id="_x0000_s1026" o:spid="_x0000_s1026" o:spt="202" type="#_x0000_t202" style="position:absolute;left:5030470;top:3234690;height:302260;width:485140;" filled="f" stroked="f" coordsize="21600,21600" o:gfxdata="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aBNnHXAAAACgEA&#10;AA8AAAAAAAAAAQAgAAAAIgAAAGRycy9kb3ducmV2LnhtbFBLAQIUABQAAAAIAIdO4kC3hxjyqQEA&#10;ACkDAAAOAAAAAAAAAAEAIAAAACYBAABkcnMvZTJvRG9jLnhtbFBLBQYAAAAABgAGAFkBAABBBQAA&#10;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9.605</w:t>
                        </w:r>
                      </w:p>
                    </w:txbxContent>
                  </v:textbox>
                </v:shape>
                <v:rect id="_x0000_s1026" o:spid="_x0000_s1026" o:spt="1" style="position:absolute;left:956945;top:962660;height:198755;width:820420;" fillcolor="#FFFFFF" filled="t" stroked="f" coordsize="21600,21600" o:gfxdata="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8JWzJNkAAAAKAQAADwAAAAAAAAABACAAAAAiAAAAZHJzL2Rvd25yZXYueG1sUEsBAhQAFAAAAAgA&#10;h07iQL1RttOyAQAARgMAAA4AAAAAAAAAAQAgAAAAKAEAAGRycy9lMm9Eb2MueG1sUEsFBgAAAAAG&#10;AAYAWQEAAEwF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645.656</w:t>
                        </w:r>
                      </w:p>
                    </w:txbxContent>
                  </v:textbox>
                </v:rect>
                <v:line id="_x0000_s1026" o:spid="_x0000_s1026" o:spt="20" style="position:absolute;left:945515;top:3574415;height:635;width:1156970;" filled="f" stroked="t" coordsize="21600,21600" o:gfxdata="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7PwKNoAAAAKAQAADwAAAAAAAAABACAAAAAiAAAAZHJzL2Rvd25yZXYueG1sUEsBAhQA&#10;FAAAAAgAh07iQFqo8E/wAQAAqwMAAA4AAAAAAAAAAQAgAAAAKQEAAGRycy9lMm9Eb2MueG1sUEsF&#10;BgAAAAAGAAYAWQEAAIsFAAAAAA==&#10;">
                  <v:fill on="f" focussize="0,0"/>
                  <v:stroke color="#000000" joinstyle="round" endarrow="block"/>
                  <v:imagedata o:title=""/>
                  <o:lock v:ext="edit" aspectratio="f"/>
                </v:line>
                <v:line id="_x0000_s1026" o:spid="_x0000_s1026" o:spt="20" style="position:absolute;left:3016250;top:3575685;height:6985;width:1355090;" filled="f" stroked="t" coordsize="21600,21600" o:gfxdata="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uz8CjaAAAACgEAAA8AAAAAAAAAAQAgAAAAIgAAAGRycy9kb3ducmV2LnhtbFBLAQIU&#10;ABQAAAAIAIdO4kCH06/x8QEAAK0DAAAOAAAAAAAAAAEAIAAAACkBAABkcnMvZTJvRG9jLnhtbFBL&#10;BQYAAAAABgAGAFkBAACMBQAAAAA=&#10;">
                  <v:fill on="f" focussize="0,0"/>
                  <v:stroke color="#000000" joinstyle="round" endarrow="block"/>
                  <v:imagedata o:title=""/>
                  <o:lock v:ext="edit" aspectratio="f"/>
                </v:line>
                <v:line id="_x0000_s1026" o:spid="_x0000_s1026" o:spt="20" style="position:absolute;left:1752600;top:681355;flip:y;height:401320;width:635;" filled="f" stroked="t" coordsize="21600,21600" o:gfxdata="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aFxnWAAAACgEAAA8AAAAAAAAAAQAgAAAAIgAAAGRycy9kb3ducmV2Lnht&#10;bFBLAQIUABQAAAAIAIdO4kDWl6wh+wEAALUDAAAOAAAAAAAAAAEAIAAAACUBAABkcnMvZTJvRG9j&#10;LnhtbFBLBQYAAAAABgAGAFkBAACSBQAAAAA=&#10;">
                  <v:fill on="f" focussize="0,0"/>
                  <v:stroke color="#000000" joinstyle="round" dashstyle="longDash" endarrow="block"/>
                  <v:imagedata o:title=""/>
                  <o:lock v:ext="edit" aspectratio="f"/>
                </v:line>
                <v:rect id="_x0000_s1026" o:spid="_x0000_s1026" o:spt="1" style="position:absolute;left:741680;top:464185;height:326390;width:1224280;" fillcolor="#FFFFFF" filled="t" stroked="f" coordsize="21600,21600" o:gfxdata="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wlbMk2QAAAAoBAAAPAAAAAAAAAAEAIAAAACIAAABkcnMvZG93bnJldi54bWxQSwECFAAUAAAA&#10;CACHTuJAb2AjzLQBAABHAwAADgAAAAAAAAABACAAAAAoAQAAZHJzL2Uyb0RvYy54bWxQSwUGAAAA&#10;AAYABgBZAQAATgUAAAAA&#10;">
                  <v:fill on="t" opacity="0f" focussize="0,0"/>
                  <v:stroke on="f"/>
                  <v:imagedata o:title=""/>
                  <o:lock v:ext="edit" aspectratio="f"/>
                  <v:textbox>
                    <w:txbxContent>
                      <w:p>
                        <w:pPr>
                          <w:widowControl w:val="0"/>
                          <w:spacing w:line="240" w:lineRule="atLeast"/>
                          <w:ind w:firstLine="0" w:firstLineChars="0"/>
                          <w:rPr>
                            <w:rFonts w:hint="default" w:ascii="Times New Roman" w:hAnsi="Times New Roman" w:eastAsia="宋体" w:cs="Times New Roman"/>
                            <w:sz w:val="21"/>
                            <w:szCs w:val="21"/>
                            <w:lang w:val="en-US" w:eastAsia="zh-CN"/>
                          </w:rPr>
                        </w:pPr>
                        <w:r>
                          <w:rPr>
                            <w:rFonts w:hint="eastAsia" w:ascii="Calibri" w:hAnsi="Calibri" w:cs="Times New Roman"/>
                            <w:sz w:val="21"/>
                            <w:szCs w:val="21"/>
                          </w:rPr>
                          <w:t>体能损耗</w:t>
                        </w:r>
                        <w:r>
                          <w:rPr>
                            <w:rFonts w:hint="eastAsia" w:cs="Times New Roman"/>
                            <w:sz w:val="21"/>
                            <w:szCs w:val="21"/>
                            <w:lang w:val="en-US" w:eastAsia="zh-CN"/>
                          </w:rPr>
                          <w:t>303.556</w:t>
                        </w:r>
                      </w:p>
                    </w:txbxContent>
                  </v:textbox>
                </v:rect>
                <v:rect id="_x0000_s1026" o:spid="_x0000_s1026" o:spt="1" style="position:absolute;left:2709545;top:1008380;height:294640;width:1156970;" fillcolor="#FFFFFF" filled="t" stroked="f" coordsize="21600,21600" o:gfxdata="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wlbMk2QAAAAoBAAAPAAAAAAAAAAEAIAAAACIAAABkcnMvZG93bnJldi54bWxQSwECFAAU&#10;AAAACACHTuJAZztmmLcBAABJAwAADgAAAAAAAAABACAAAAAoAQAAZHJzL2Uyb0RvYy54bWxQSwUG&#10;AAAAAAYABgBZAQAAUQUAAAAA&#10;">
                  <v:fill on="t" opacity="0f" focussize="0,0"/>
                  <v:stroke on="f"/>
                  <v:imagedata o:title=""/>
                  <o:lock v:ext="edit" aspectratio="f"/>
                  <v:textbo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猪尿液</w:t>
                        </w:r>
                        <w:r>
                          <w:rPr>
                            <w:rFonts w:hint="eastAsia" w:cs="Times New Roman"/>
                            <w:sz w:val="21"/>
                            <w:szCs w:val="21"/>
                            <w:lang w:val="en-US" w:eastAsia="zh-CN"/>
                          </w:rPr>
                          <w:t>296.9</w:t>
                        </w:r>
                      </w:p>
                    </w:txbxContent>
                  </v:textbox>
                </v:rect>
                <v:line id="_x0000_s1026" o:spid="_x0000_s1026" o:spt="20" style="position:absolute;left:2458720;top:3203575;flip:y;height:247015;width:170815;" filled="f" stroked="t" coordsize="21600,21600" o:gfxdata="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aFxnWAAAACgEAAA8AAAAAAAAAAQAgAAAAIgAAAGRycy9kb3ducmV2Lnht&#10;bFBLAQIUABQAAAAIAIdO4kBKtCWd+wEAALkDAAAOAAAAAAAAAAEAIAAAACUBAABkcnMvZTJvRG9j&#10;LnhtbFBLBQYAAAAABgAGAFkBAACSBQAAAAA=&#10;">
                  <v:fill on="f" focussize="0,0"/>
                  <v:stroke color="#000000" joinstyle="round" dashstyle="longDash" endarrow="block"/>
                  <v:imagedata o:title=""/>
                  <o:lock v:ext="edit" aspectratio="f"/>
                </v:line>
                <v:rect id="_x0000_s1026" o:spid="_x0000_s1026" o:spt="1" style="position:absolute;left:2103755;top:3428365;height:320040;width:912495;" fillcolor="#FFFFFF" filled="t" stroked="t" coordsize="21600,21600" o:gfxdata="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AtKhg2wAAAAoBAAAP&#10;AAAAAAAAAAEAIAAAACIAAABkcnMvZG93bnJldi54bWxQSwECFAAUAAAACACHTuJAtGp7uxUCAAAz&#10;BAAADgAAAAAAAAABACAAAAAqAQAAZHJzL2Uyb0RvYy54bWxQSwUGAAAAAAYABgBZAQAAsQUAAAAA&#10;">
                  <v:fill on="t" opacity="0f" focussize="0,0"/>
                  <v:stroke color="#000000" joinstyle="miter"/>
                  <v:imagedata o:title=""/>
                  <o:lock v:ext="edit" aspectratio="f"/>
                  <v:textbox inset="0mm,1.27mm,0mm,1.27mm">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猪舍冲洗用水</w:t>
                        </w:r>
                      </w:p>
                      <w:p>
                        <w:pPr>
                          <w:widowControl w:val="0"/>
                          <w:spacing w:line="240" w:lineRule="atLeast"/>
                          <w:ind w:firstLine="0" w:firstLineChars="0"/>
                          <w:jc w:val="center"/>
                          <w:rPr>
                            <w:rFonts w:ascii="Calibri" w:hAnsi="Calibri" w:cs="Times New Roman"/>
                            <w:b/>
                            <w:sz w:val="21"/>
                            <w:szCs w:val="21"/>
                          </w:rPr>
                        </w:pPr>
                      </w:p>
                    </w:txbxContent>
                  </v:textbox>
                </v:rect>
                <v:line id="_x0000_s1026" o:spid="_x0000_s1026" o:spt="20" style="position:absolute;left:2991485;top:583565;height:6985;width:474980;" filled="f" stroked="t" coordsize="21600,21600" o:gfxdata="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7PwKNoAAAAKAQAADwAAAAAAAAABACAAAAAiAAAAZHJzL2Rvd25yZXYueG1sUEsB&#10;AhQAFAAAAAgAh07iQGxSvAnzAQAAqwMAAA4AAAAAAAAAAQAgAAAAKQEAAGRycy9lMm9Eb2MueG1s&#10;UEsFBgAAAAAGAAYAWQEAAI4FAAAAAA==&#10;">
                  <v:fill on="f" focussize="0,0"/>
                  <v:stroke color="#000000" joinstyle="round" endarrow="block"/>
                  <v:imagedata o:title=""/>
                  <o:lock v:ext="edit" aspectratio="f"/>
                </v:line>
                <v:rect id="_x0000_s1026" o:spid="_x0000_s1026" o:spt="1" style="position:absolute;left:3453130;top:437515;height:287655;width:812800;" filled="f" stroked="t" coordsize="21600,21600" o:gfxdata="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PMrxzYAAAACgEAAA8AAAAAAAAAAQAgAAAAIgAAAGRycy9kb3ducmV2LnhtbFBLAQIUABQA&#10;AAAIAIdO4kD7ZgFq8AEAAMADAAAOAAAAAAAAAAEAIAAAACcBAABkcnMvZTJvRG9jLnhtbFBLBQYA&#10;AAAABgAGAFkBAACJBQAAAAA=&#10;">
                  <v:fill on="f" focussize="0,0"/>
                  <v:stroke color="#000000" joinstyle="miter"/>
                  <v:imagedata o:title=""/>
                  <o:lock v:ext="edit" aspectratio="f"/>
                  <v:textbox>
                    <w:txbxContent>
                      <w:p>
                        <w:pPr>
                          <w:widowControl w:val="0"/>
                          <w:spacing w:line="240" w:lineRule="auto"/>
                          <w:ind w:firstLine="0" w:firstLineChars="0"/>
                          <w:rPr>
                            <w:rFonts w:ascii="Calibri" w:hAnsi="Calibri" w:cs="Times New Roman"/>
                            <w:sz w:val="21"/>
                            <w:szCs w:val="21"/>
                          </w:rPr>
                        </w:pPr>
                        <w:r>
                          <w:rPr>
                            <w:rFonts w:hint="eastAsia" w:ascii="宋体" w:hAnsi="宋体" w:cs="Times New Roman"/>
                            <w:sz w:val="21"/>
                            <w:szCs w:val="21"/>
                          </w:rPr>
                          <w:t>固液分离</w:t>
                        </w:r>
                      </w:p>
                    </w:txbxContent>
                  </v:textbox>
                </v:rect>
                <v:line id="_x0000_s1026" o:spid="_x0000_s1026" o:spt="20" style="position:absolute;left:3867785;top:735965;height:284480;width:635;" filled="f" stroked="t" coordsize="21600,21600" o:gfxdata="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I&#10;zu+U2AAAAAoBAAAPAAAAAAAAAAEAIAAAACIAAABkcnMvZG93bnJldi54bWxQSwECFAAUAAAACACH&#10;TuJAMpxZI+sBAACmAwAADgAAAAAAAAABACAAAAAnAQAAZHJzL2Uyb0RvYy54bWxQSwUGAAAAAAYA&#10;BgBZAQAAhAUAAAAA&#10;">
                  <v:fill on="f" focussize="0,0"/>
                  <v:stroke color="#000000" joinstyle="round"/>
                  <v:imagedata o:title=""/>
                  <o:lock v:ext="edit" aspectratio="f"/>
                </v:line>
                <v:line id="_x0000_s1026" o:spid="_x0000_s1026" o:spt="20" style="position:absolute;left:4323080;top:987425;height:2592000;width:0;" filled="f" stroked="t" coordsize="21600,21600" o:gfxdata="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jO&#10;75TYAAAACgEAAA8AAAAAAAAAAQAgAAAAIgAAAGRycy9kb3ducmV2LnhtbFBLAQIUABQAAAAIAIdO&#10;4kCdEnyi6gEAAKUDAAAOAAAAAAAAAAEAIAAAACcBAABkcnMvZTJvRG9jLnhtbFBLBQYAAAAABgAG&#10;AFkBAACDBQAAAAA=&#10;">
                  <v:fill on="f" focussize="0,0"/>
                  <v:stroke color="#000000" joinstyle="round"/>
                  <v:imagedata o:title=""/>
                  <o:lock v:ext="edit" aspectratio="f"/>
                </v:line>
                <v:line id="_x0000_s1026" o:spid="_x0000_s1026" o:spt="20" style="position:absolute;left:3858260;top:1007110;height:635;width:464820;" filled="f" stroked="t" coordsize="21600,21600" o:gfxdata="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ium19oAAAAKAQAADwAAAAAAAAABACAAAAAiAAAAZHJzL2Rvd25yZXYueG1sUEsBAhQAFAAA&#10;AAgAh07iQIXLfyrtAQAAqAMAAA4AAAAAAAAAAQAgAAAAKQEAAGRycy9lMm9Eb2MueG1sUEsFBgAA&#10;AAAGAAYAWQEAAIgFAAAAAA==&#10;">
                  <v:fill on="f" focussize="0,0"/>
                  <v:stroke color="#000000" joinstyle="round" endarrow="open"/>
                  <v:imagedata o:title=""/>
                  <o:lock v:ext="edit" aspectratio="f"/>
                </v:line>
                <v:rect id="_x0000_s1026" o:spid="_x0000_s1026" o:spt="1" style="position:absolute;left:3806825;top:725170;height:277495;width:584200;" fillcolor="#FFFFFF" filled="t" stroked="f" coordsize="21600,21600" o:gfxdata="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wlbMk2QAAAAoBAAAPAAAAAAAAAAEAIAAAACIAAABkcnMvZG93bnJldi54bWxQSwECFAAUAAAA&#10;CACHTuJAx5jVsrQBAABHAwAADgAAAAAAAAABACAAAAAoAQAAZHJzL2Uyb0RvYy54bWxQSwUGAAAA&#10;AAYABgBZAQAATgU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34.71</w:t>
                        </w:r>
                      </w:p>
                      <w:p>
                        <w:pPr>
                          <w:rPr>
                            <w:rFonts w:hint="default"/>
                            <w:lang w:val="en-US" w:eastAsia="zh-CN"/>
                          </w:rPr>
                        </w:pPr>
                      </w:p>
                    </w:txbxContent>
                  </v:textbox>
                </v:rect>
                <v:line id="_x0000_s1026" o:spid="_x0000_s1026" o:spt="20" style="position:absolute;left:4271645;top:591185;height:635;width:889635;" filled="f" stroked="t" coordsize="21600,21600" o:gfxdata="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7PwKNoAAAAKAQAADwAAAAAAAAABACAAAAAiAAAAZHJzL2Rvd25yZXYueG1sUEsBAhQA&#10;FAAAAAgAh07iQABXeTjwAQAAqgMAAA4AAAAAAAAAAQAgAAAAKQEAAGRycy9lMm9Eb2MueG1sUEsF&#10;BgAAAAAGAAYAWQEAAIsFAAAAAA==&#10;">
                  <v:fill on="f" focussize="0,0"/>
                  <v:stroke color="#000000" joinstyle="round" endarrow="block"/>
                  <v:imagedata o:title=""/>
                  <o:lock v:ext="edit" aspectratio="f"/>
                </v:line>
                <v:rect id="_x0000_s1026" o:spid="_x0000_s1026" o:spt="1" style="position:absolute;left:4156710;top:302260;height:294005;width:1211580;" fillcolor="#FFFFFF" filled="t" stroked="f" coordsize="21600,21600" o:gfxdata="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CVsyTZAAAACgEAAA8AAAAAAAAAAQAgAAAAIgAAAGRycy9kb3ducmV2LnhtbFBLAQIUABQA&#10;AAAIAIdO4kCToMlPtgEAAEgDAAAOAAAAAAAAAAEAIAAAACgBAABkcnMvZTJvRG9jLnhtbFBLBQYA&#10;AAAABgAGAFkBAABQBQAAAAA=&#10;">
                  <v:fill on="t" opacity="0f" focussize="0,0"/>
                  <v:stroke on="f"/>
                  <v:imagedata o:title=""/>
                  <o:lock v:ext="edit" aspectratio="f"/>
                  <v:textbo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猪粪带</w:t>
                        </w:r>
                        <w:r>
                          <w:rPr>
                            <w:rFonts w:hint="eastAsia" w:ascii="Times New Roman" w:hAnsi="Times New Roman" w:cs="Times New Roman"/>
                            <w:sz w:val="21"/>
                            <w:szCs w:val="21"/>
                          </w:rPr>
                          <w:t>走</w:t>
                        </w:r>
                        <w:r>
                          <w:rPr>
                            <w:rFonts w:hint="eastAsia" w:cs="Times New Roman"/>
                            <w:sz w:val="21"/>
                            <w:szCs w:val="21"/>
                            <w:lang w:val="en-US" w:eastAsia="zh-CN"/>
                          </w:rPr>
                          <w:t>10.49</w:t>
                        </w:r>
                      </w:p>
                    </w:txbxContent>
                  </v:textbox>
                </v:rect>
                <v:rect id="_x0000_s1026" o:spid="_x0000_s1026" o:spt="1" style="position:absolute;left:5143500;top:476885;height:259080;width:739775;" filled="f" stroked="t" coordsize="21600,21600" o:gfxdata="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8yvHNgAAAAKAQAADwAAAAAAAAABACAAAAAiAAAAZHJzL2Rvd25yZXYueG1sUEsBAhQA&#10;FAAAAAgAh07iQIolmJjyAQAAwAMAAA4AAAAAAAAAAQAgAAAAJwEAAGRycy9lMm9Eb2MueG1sUEsF&#10;BgAAAAAGAAYAWQEAAIsFAAAAAA==&#10;">
                  <v:fill on="f" focussize="0,0"/>
                  <v:stroke color="#000000" joinstyle="miter"/>
                  <v:imagedata o:title=""/>
                  <o:lock v:ext="edit" aspectratio="f"/>
                  <v:textbox>
                    <w:txbxContent>
                      <w:p>
                        <w:pPr>
                          <w:widowControl w:val="0"/>
                          <w:spacing w:line="240" w:lineRule="auto"/>
                          <w:ind w:left="-120" w:leftChars="-50" w:right="-120" w:rightChars="-50" w:firstLine="0" w:firstLineChars="0"/>
                          <w:rPr>
                            <w:rFonts w:hint="eastAsia" w:ascii="Calibri" w:hAnsi="Calibri" w:cs="Times New Roman"/>
                            <w:color w:val="000000"/>
                            <w:sz w:val="21"/>
                            <w:szCs w:val="21"/>
                          </w:rPr>
                        </w:pPr>
                        <w:r>
                          <w:rPr>
                            <w:rFonts w:hint="eastAsia" w:ascii="宋体" w:hAnsi="宋体" w:cs="Times New Roman"/>
                            <w:color w:val="000000"/>
                            <w:sz w:val="21"/>
                            <w:szCs w:val="21"/>
                          </w:rPr>
                          <w:t>固粪处理区</w:t>
                        </w:r>
                      </w:p>
                    </w:txbxContent>
                  </v:textbox>
                </v:rect>
                <v:line id="_x0000_s1026" o:spid="_x0000_s1026" o:spt="20" style="position:absolute;left:4958715;top:1901825;flip:x;height:883920;width:0;" filled="f" stroked="t" coordsize="21600,21600" o:gfxdata="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G7SWXaAAAACgEAAA8AAAAAAAAAAQAgAAAAIgAAAGRycy9kb3ducmV2&#10;LnhtbFBLAQIUABQAAAAIAIdO4kDWjMxw+gEAALMDAAAOAAAAAAAAAAEAIAAAACkBAABkcnMvZTJv&#10;RG9jLnhtbFBLBQYAAAAABgAGAFkBAACVBQAAAAA=&#10;">
                  <v:fill on="f" focussize="0,0"/>
                  <v:stroke color="#000000" joinstyle="round" endarrow="block"/>
                  <v:imagedata o:title=""/>
                  <o:lock v:ext="edit" aspectratio="f"/>
                </v:line>
                <v:line id="_x0000_s1026" o:spid="_x0000_s1026" o:spt="20" style="position:absolute;left:953770;top:4441825;height:635;width:756000;" filled="f" stroked="t" coordsize="21600,21600" o:gfxdata="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7PwKNoAAAAKAQAADwAAAAAAAAABACAAAAAiAAAAZHJzL2Rvd25yZXYueG1sUEsBAhQA&#10;FAAAAAgAh07iQEmcqGnwAQAAqgMAAA4AAAAAAAAAAQAgAAAAKQEAAGRycy9lMm9Eb2MueG1sUEsF&#10;BgAAAAAGAAYAWQEAAIsFAAAAAA==&#10;">
                  <v:fill on="f" focussize="0,0"/>
                  <v:stroke color="#000000" joinstyle="round" endarrow="block"/>
                  <v:imagedata o:title=""/>
                  <o:lock v:ext="edit" aspectratio="f"/>
                </v:line>
                <v:rect id="_x0000_s1026" o:spid="_x0000_s1026" o:spt="1" style="position:absolute;left:1699260;top:4294505;height:304800;width:1054100;" fillcolor="#FFFFFF" filled="t" stroked="t" coordsize="21600,21600" o:gfxdata="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LSoYNsAAAAKAQAA&#10;DwAAAAAAAAABACAAAAAiAAAAZHJzL2Rvd25yZXYueG1sUEsBAhQAFAAAAAgAh07iQKcQPyQWAgAA&#10;NAQAAA4AAAAAAAAAAQAgAAAAKgEAAGRycy9lMm9Eb2MueG1sUEsFBgAAAAAGAAYAWQEAALIFAAAA&#10;AA==&#10;">
                  <v:fill on="t" opacity="0f" focussize="0,0"/>
                  <v:stroke color="#000000" joinstyle="miter"/>
                  <v:imagedata o:title=""/>
                  <o:lock v:ext="edit" aspectratio="f"/>
                  <v:textbox inset="0mm,1.27mm,0mm,1.27mm">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喷雾降温用水</w:t>
                        </w:r>
                      </w:p>
                    </w:txbxContent>
                  </v:textbox>
                </v:rect>
                <v:shape id="_x0000_s1026" o:spid="_x0000_s1026" o:spt="202" type="#_x0000_t202" style="position:absolute;left:1597660;top:3862070;height:292100;width:1790700;" filled="f" stroked="f" coordsize="21600,21600" o:gfxdata="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sn1wPXAAAACgEAAA8AAAAAAAAAAQAgAAAA&#10;IgAAAGRycy9kb3ducmV2LnhtbFBLAQIUABQAAAAIAIdO4kA1+manmgEAABADAAAOAAAAAAAAAAEA&#10;IAAAACYBAABkcnMvZTJvRG9jLnhtbFBLBQYAAAAABgAGAFkBAAAyBQAAAAA=&#10;">
                  <v:fill on="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rPr>
                          <w:t>蒸发、风力损耗</w:t>
                        </w:r>
                        <w:r>
                          <w:rPr>
                            <w:rFonts w:hint="eastAsia" w:cs="Times New Roman"/>
                            <w:sz w:val="21"/>
                            <w:szCs w:val="21"/>
                            <w:lang w:val="en-US" w:eastAsia="zh-CN"/>
                          </w:rPr>
                          <w:t>24.552</w:t>
                        </w:r>
                      </w:p>
                    </w:txbxContent>
                  </v:textbox>
                </v:shape>
                <v:line id="_x0000_s1026" o:spid="_x0000_s1026" o:spt="20" style="position:absolute;left:2057400;top:4120515;flip:y;height:173990;width:154940;" filled="f" stroked="t" coordsize="21600,21600" o:gfxdata="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U2hcZ1gAAAAoBAAAPAAAAAAAAAAEAIAAAACIAAABkcnMvZG93bnJl&#10;di54bWxQSwECFAAUAAAACACHTuJAZrqCB/8BAAC5AwAADgAAAAAAAAABACAAAAAlAQAAZHJzL2Uy&#10;b0RvYy54bWxQSwUGAAAAAAYABgBZAQAAlgUAAAAA&#10;">
                  <v:fill on="f" focussize="0,0"/>
                  <v:stroke color="#000000" joinstyle="round" dashstyle="longDash" endarrow="block"/>
                  <v:imagedata o:title=""/>
                  <o:lock v:ext="edit" aspectratio="f"/>
                </v:line>
                <v:rect id="_x0000_s1026" o:spid="_x0000_s1026" o:spt="1" style="position:absolute;left:999490;top:4156075;height:238760;width:622300;" fillcolor="#FFFFFF" filled="t" stroked="f" coordsize="21600,21600" o:gfxdata="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8JWzJNkAAAAKAQAADwAAAAAAAAABACAAAAAiAAAAZHJzL2Rvd25yZXYueG1sUEsBAhQAFAAA&#10;AAgAh07iQPBYbHS1AQAARwMAAA4AAAAAAAAAAQAgAAAAKAEAAGRycy9lMm9Eb2MueG1sUEsFBgAA&#10;AAAGAAYAWQEAAE8F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cs="Times New Roman"/>
                            <w:sz w:val="21"/>
                            <w:szCs w:val="21"/>
                            <w:lang w:val="en-US"/>
                          </w:rPr>
                        </w:pPr>
                        <w:r>
                          <w:rPr>
                            <w:rFonts w:hint="eastAsia" w:cs="Times New Roman"/>
                            <w:sz w:val="21"/>
                            <w:szCs w:val="21"/>
                            <w:lang w:val="en-US" w:eastAsia="zh-CN"/>
                          </w:rPr>
                          <w:t>24.552</w:t>
                        </w:r>
                      </w:p>
                    </w:txbxContent>
                  </v:textbox>
                </v:rect>
                <v:rect id="_x0000_s1026" o:spid="_x0000_s1026" o:spt="1" style="position:absolute;left:1068705;top:2519680;height:198755;width:490855;" fillcolor="#FFFFFF" filled="t" stroked="f" coordsize="21600,21600" o:gfxdata="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wlbMk2QAAAAoBAAAPAAAAAAAAAAEAIAAAACIAAABkcnMvZG93bnJldi54bWxQSwECFAAUAAAA&#10;CACHTuJAZUwrZ7QBAABGAwAADgAAAAAAAAABACAAAAAoAQAAZHJzL2Uyb0RvYy54bWxQSwUGAAAA&#10;AAYABgBZAQAATgU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0.9</w:t>
                        </w:r>
                      </w:p>
                    </w:txbxContent>
                  </v:textbox>
                </v:rect>
                <v:rect id="_x0000_s1026" o:spid="_x0000_s1026" o:spt="1" style="position:absolute;left:3289300;top:2485390;height:198755;width:598170;" fillcolor="#FFFFFF" filled="t" stroked="f" coordsize="21600,21600" o:gfxdata="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8JWzJNkAAAAKAQAADwAAAAAAAAABACAAAAAiAAAAZHJzL2Rvd25yZXYueG1sUEsBAhQAFAAA&#10;AAgAh07iQAqSvLK1AQAARgMAAA4AAAAAAAAAAQAgAAAAKAEAAGRycy9lMm9Eb2MueG1sUEsFBgAA&#10;AAAGAAYAWQEAAE8F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0.846</w:t>
                        </w:r>
                      </w:p>
                    </w:txbxContent>
                  </v:textbox>
                </v:rect>
                <v:line id="_x0000_s1026" o:spid="_x0000_s1026" o:spt="20" style="position:absolute;left:965835;top:2717165;height:635;width:1156970;" filled="f" stroked="t" coordsize="21600,21600" o:gfxdata="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7PwKNoAAAAKAQAADwAAAAAAAAABACAAAAAiAAAAZHJzL2Rvd25yZXYueG1sUEsBAhQA&#10;FAAAAAgAh07iQNIVqR3wAQAAqQMAAA4AAAAAAAAAAQAgAAAAKQEAAGRycy9lMm9Eb2MueG1sUEsF&#10;BgAAAAAGAAYAWQEAAIsFAAAAAA==&#10;">
                  <v:fill on="f" focussize="0,0"/>
                  <v:stroke color="#000000" joinstyle="round" endarrow="block"/>
                  <v:imagedata o:title=""/>
                  <o:lock v:ext="edit" aspectratio="f"/>
                </v:line>
                <v:line id="_x0000_s1026" o:spid="_x0000_s1026" o:spt="20" style="position:absolute;left:3171190;top:2718435;height:0;width:1188085;" filled="f" stroked="t" coordsize="21600,21600" o:gfxdata="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Ls/Ao2gAAAAoBAAAPAAAAAAAAAAEAIAAAACIAAABkcnMvZG93bnJldi54bWxQSwEC&#10;FAAUAAAACACHTuJAuuDZtvIBAACoAwAADgAAAAAAAAABACAAAAApAQAAZHJzL2Uyb0RvYy54bWxQ&#10;SwUGAAAAAAYABgBZAQAAjQUAAAAA&#10;">
                  <v:fill on="f" focussize="0,0"/>
                  <v:stroke color="#000000" joinstyle="round" endarrow="block"/>
                  <v:imagedata o:title=""/>
                  <o:lock v:ext="edit" aspectratio="f"/>
                </v:line>
                <v:line id="_x0000_s1026" o:spid="_x0000_s1026" o:spt="20" style="position:absolute;left:2479040;top:2291080;flip:y;height:247015;width:170815;" filled="f" stroked="t" coordsize="21600,21600" o:gfxdata="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TaFxnWAAAACgEAAA8AAAAAAAAAAQAgAAAAIgAAAGRycy9kb3ducmV2LnhtbFBL&#10;AQIUABQAAAAIAIdO4kA9lr7M+AEAALcDAAAOAAAAAAAAAAEAIAAAACUBAABkcnMvZTJvRG9jLnht&#10;bFBLBQYAAAAABgAGAFkBAACPBQAAAAA=&#10;">
                  <v:fill on="f" focussize="0,0"/>
                  <v:stroke color="#000000" joinstyle="round" dashstyle="longDash" endarrow="block"/>
                  <v:imagedata o:title=""/>
                  <o:lock v:ext="edit" aspectratio="f"/>
                </v:line>
                <v:rect id="_x0000_s1026" o:spid="_x0000_s1026" o:spt="1" style="position:absolute;left:2124075;top:2571115;height:320040;width:1038860;" fillcolor="#FFFFFF" filled="t" stroked="t" coordsize="21600,21600" o:gfxdata="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C0qGDbAAAACgEA&#10;AA8AAAAAAAAAAQAgAAAAIgAAAGRycy9kb3ducmV2LnhtbFBLAQIUABQAAAAIAIdO4kDLUlyuFwIA&#10;ADIEAAAOAAAAAAAAAAEAIAAAACoBAABkcnMvZTJvRG9jLnhtbFBLBQYAAAAABgAGAFkBAACzBQAA&#10;AAA=&#10;">
                  <v:fill on="t" opacity="0f" focussize="0,0"/>
                  <v:stroke color="#000000" joinstyle="miter"/>
                  <v:imagedata o:title=""/>
                  <o:lock v:ext="edit" aspectratio="f"/>
                  <v:textbox inset="0mm,1.27mm,0mm,1.27mm">
                    <w:txbxContent>
                      <w:p>
                        <w:pPr>
                          <w:widowControl w:val="0"/>
                          <w:spacing w:line="240" w:lineRule="atLeast"/>
                          <w:ind w:firstLine="0" w:firstLineChars="0"/>
                          <w:jc w:val="center"/>
                          <w:rPr>
                            <w:rFonts w:hint="eastAsia" w:ascii="Calibri" w:hAnsi="Calibri" w:eastAsia="宋体" w:cs="Times New Roman"/>
                            <w:b/>
                            <w:sz w:val="21"/>
                            <w:szCs w:val="21"/>
                            <w:lang w:eastAsia="zh-CN"/>
                          </w:rPr>
                        </w:pPr>
                        <w:r>
                          <w:rPr>
                            <w:rFonts w:hint="eastAsia" w:ascii="Calibri" w:hAnsi="Calibri" w:cs="Times New Roman"/>
                            <w:b w:val="0"/>
                            <w:bCs/>
                            <w:sz w:val="21"/>
                            <w:szCs w:val="21"/>
                            <w:lang w:eastAsia="zh-CN"/>
                          </w:rPr>
                          <w:t>无害化处理车间</w:t>
                        </w:r>
                      </w:p>
                    </w:txbxContent>
                  </v:textbox>
                </v:rect>
                <v:shape id="_x0000_s1026" o:spid="_x0000_s1026" o:spt="202" type="#_x0000_t202" style="position:absolute;left:2211705;top:2084705;height:302260;width:846455;" filled="f" stroked="f" coordsize="21600,21600" o:gfxdata="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1oE2cdcAAAAKAQAA&#10;DwAAAAAAAAABACAAAAAiAAAAZHJzL2Rvd25yZXYueG1sUEsBAhQAFAAAAAgAh07iQGYCE8ioAQAA&#10;JwMAAA4AAAAAAAAAAQAgAAAAJgEAAGRycy9lMm9Eb2MueG1sUEsFBgAAAAAGAAYAWQEAAEAFAAAA&#10;AA==&#10;">
                  <v:fill on="f" focussize="0,0"/>
                  <v:stroke on="f"/>
                  <v:imagedata o:title=""/>
                  <o:lock v:ext="edit" aspectratio="f"/>
                  <v:textbox style="mso-fit-shape-to-text:t;">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损耗</w:t>
                        </w:r>
                        <w:r>
                          <w:rPr>
                            <w:rFonts w:hint="eastAsia" w:cs="Times New Roman"/>
                            <w:sz w:val="21"/>
                            <w:szCs w:val="21"/>
                            <w:lang w:val="en-US" w:eastAsia="zh-CN"/>
                          </w:rPr>
                          <w:t>0.054</w:t>
                        </w:r>
                      </w:p>
                    </w:txbxContent>
                  </v:textbox>
                </v:shape>
                <v:rect id="_x0000_s1026" o:spid="_x0000_s1026" o:spt="1" style="position:absolute;left:322580;top:1894205;height:267335;width:691515;" fillcolor="#FFFFFF" filled="t" stroked="f" coordsize="21600,21600" o:gfxdata="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8JWzJNkAAAAKAQAADwAAAAAAAAABACAAAAAiAAAAZHJzL2Rvd25yZXYueG1sUEsBAhQAFAAA&#10;AAgAh07iQMyZtRS1AQAARQMAAA4AAAAAAAAAAQAgAAAAKAEAAGRycy9lMm9Eb2MueG1sUEsFBgAA&#10;AAAGAAYAWQEAAE8FA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824.528</w:t>
                        </w:r>
                      </w:p>
                    </w:txbxContent>
                  </v:textbox>
                </v:rect>
                <v:line id="_x0000_s1026" o:spid="_x0000_s1026" o:spt="20" style="position:absolute;left:973455;top:5283200;height:635;width:756285;" filled="f" stroked="t" coordsize="21600,21600" o:gfxdata="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uz8CjaAAAACgEAAA8AAAAAAAAAAQAgAAAAIgAAAGRycy9kb3ducmV2LnhtbFBLAQIUABQA&#10;AAAIAIdO4kCE7lP37gEAAKgDAAAOAAAAAAAAAAEAIAAAACkBAABkcnMvZTJvRG9jLnhtbFBLBQYA&#10;AAAABgAGAFkBAACJBQAAAAA=&#10;">
                  <v:fill on="f" focussize="0,0"/>
                  <v:stroke color="#000000" joinstyle="round" endarrow="block"/>
                  <v:imagedata o:title=""/>
                  <o:lock v:ext="edit" aspectratio="f"/>
                </v:line>
                <v:rect id="_x0000_s1026" o:spid="_x0000_s1026" o:spt="1" style="position:absolute;left:1060450;top:4997450;height:238760;width:622300;" fillcolor="#FFFFFF" filled="t" stroked="f" coordsize="21600,21600" o:gfxdata="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CVsyTZAAAACgEAAA8AAAAAAAAAAQAgAAAAIgAAAGRycy9kb3ducmV2LnhtbFBLAQIUABQAAAAI&#10;AIdO4kCLCJhdswEAAEYDAAAOAAAAAAAAAAEAIAAAACgBAABkcnMvZTJvRG9jLnhtbFBLBQYAAAAA&#10;BgAGAFkBAABNBQ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cs="Times New Roman"/>
                            <w:sz w:val="21"/>
                            <w:szCs w:val="21"/>
                            <w:lang w:val="en-US"/>
                          </w:rPr>
                        </w:pPr>
                        <w:r>
                          <w:rPr>
                            <w:rFonts w:hint="eastAsia" w:cs="Times New Roman"/>
                            <w:sz w:val="21"/>
                            <w:szCs w:val="21"/>
                            <w:lang w:val="en-US" w:eastAsia="zh-CN"/>
                          </w:rPr>
                          <w:t>126</w:t>
                        </w:r>
                      </w:p>
                    </w:txbxContent>
                  </v:textbox>
                </v:rect>
                <v:rect id="_x0000_s1026" o:spid="_x0000_s1026" o:spt="1" style="position:absolute;left:1727835;top:5069205;height:304800;width:1054100;" fillcolor="#FFFFFF" filled="t" stroked="t" coordsize="21600,21600" o:gfxdata="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C0qGDbAAAACgEAAA8A&#10;AAAAAAAAAQAgAAAAIgAAAGRycy9kb3ducmV2LnhtbFBLAQIUABQAAAAIAIdO4kDtWrFkFAIAADIE&#10;AAAOAAAAAAAAAAEAIAAAACoBAABkcnMvZTJvRG9jLnhtbFBLBQYAAAAABgAGAFkBAACwBQAAAAA=&#10;">
                  <v:fill on="t" opacity="0f" focussize="0,0"/>
                  <v:stroke color="#000000" joinstyle="miter"/>
                  <v:imagedata o:title=""/>
                  <o:lock v:ext="edit" aspectratio="f"/>
                  <v:textbox inset="0mm,1.27mm,0mm,1.27mm">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lang w:eastAsia="zh-CN"/>
                          </w:rPr>
                          <w:t>除臭墙</w:t>
                        </w:r>
                        <w:r>
                          <w:rPr>
                            <w:rFonts w:hint="eastAsia" w:ascii="Calibri" w:hAnsi="Calibri" w:cs="Times New Roman"/>
                            <w:sz w:val="21"/>
                            <w:szCs w:val="21"/>
                          </w:rPr>
                          <w:t>用水</w:t>
                        </w:r>
                      </w:p>
                    </w:txbxContent>
                  </v:textbox>
                </v:rect>
                <v:shape id="_x0000_s1026" o:spid="_x0000_s1026" o:spt="202" type="#_x0000_t202" style="position:absolute;left:2148205;top:4632960;height:292100;width:1790700;" filled="f" stroked="f" coordsize="21600,21600" o:gfxdata="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LJ9cD1wAAAAoBAAAPAAAAAAAAAAEA&#10;IAAAACIAAABkcnMvZG93bnJldi54bWxQSwECFAAUAAAACACHTuJAKF3zSp4BAAAOAwAADgAAAAAA&#10;AAABACAAAAAmAQAAZHJzL2Uyb0RvYy54bWxQSwUGAAAAAAYABgBZAQAANgUAAAAA&#10;">
                  <v:fill on="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rPr>
                          <w:t>损耗</w:t>
                        </w:r>
                        <w:r>
                          <w:rPr>
                            <w:rFonts w:hint="eastAsia" w:cs="Times New Roman"/>
                            <w:sz w:val="21"/>
                            <w:szCs w:val="21"/>
                            <w:lang w:val="en-US" w:eastAsia="zh-CN"/>
                          </w:rPr>
                          <w:t>126</w:t>
                        </w:r>
                      </w:p>
                    </w:txbxContent>
                  </v:textbox>
                </v:shape>
                <v:line id="_x0000_s1026" o:spid="_x0000_s1026" o:spt="20" style="position:absolute;left:2164080;top:4894580;flip:y;height:173990;width:154940;" filled="f" stroked="t" coordsize="21600,21600" o:gfxdata="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aFxnWAAAACgEAAA8AAAAAAAAAAQAgAAAAIgAAAGRycy9kb3ducmV2Lnht&#10;bFBLAQIUABQAAAAIAIdO4kAVSqOC+wEAALcDAAAOAAAAAAAAAAEAIAAAACUBAABkcnMvZTJvRG9j&#10;LnhtbFBLBQYAAAAABgAGAFkBAACSBQAAAAA=&#10;">
                  <v:fill on="f" focussize="0,0"/>
                  <v:stroke color="#000000" joinstyle="round" dashstyle="longDash" endarrow="block"/>
                  <v:imagedata o:title=""/>
                  <o:lock v:ext="edit" aspectratio="f"/>
                </v:line>
              </v:group>
            </w:pict>
          </mc:Fallback>
        </mc:AlternateContent>
      </w: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ind w:left="0" w:leftChars="0" w:firstLine="0" w:firstLineChars="0"/>
        <w:jc w:val="center"/>
        <w:rPr>
          <w:rStyle w:val="43"/>
          <w:rFonts w:hint="eastAsia" w:ascii="Times New Roman" w:hAnsi="Times New Roman"/>
          <w:color w:val="auto"/>
          <w:szCs w:val="22"/>
          <w:highlight w:val="none"/>
          <w:lang w:val="en-US" w:eastAsia="zh-CN"/>
        </w:rPr>
      </w:pPr>
    </w:p>
    <w:p>
      <w:pPr>
        <w:pStyle w:val="2"/>
        <w:ind w:left="0" w:leftChars="0" w:firstLine="0" w:firstLineChars="0"/>
        <w:jc w:val="center"/>
        <w:rPr>
          <w:rStyle w:val="43"/>
          <w:rFonts w:hint="eastAsia" w:ascii="Times New Roman" w:hAnsi="Times New Roman"/>
          <w:color w:val="auto"/>
          <w:szCs w:val="22"/>
          <w:highlight w:val="none"/>
          <w:lang w:val="en-US" w:eastAsia="zh-CN"/>
        </w:rPr>
      </w:pPr>
    </w:p>
    <w:p>
      <w:pPr>
        <w:pStyle w:val="2"/>
        <w:ind w:left="0" w:leftChars="0" w:firstLine="0" w:firstLineChars="0"/>
        <w:jc w:val="center"/>
        <w:rPr>
          <w:rStyle w:val="43"/>
          <w:rFonts w:hint="eastAsia" w:ascii="Times New Roman" w:hAnsi="Times New Roman"/>
          <w:color w:val="auto"/>
          <w:szCs w:val="22"/>
          <w:highlight w:val="none"/>
          <w:lang w:val="en-US" w:eastAsia="zh-CN"/>
        </w:rPr>
      </w:pPr>
    </w:p>
    <w:p>
      <w:pPr>
        <w:pStyle w:val="2"/>
        <w:ind w:left="0" w:leftChars="0" w:firstLine="0" w:firstLineChars="0"/>
        <w:jc w:val="center"/>
        <w:rPr>
          <w:rStyle w:val="43"/>
          <w:rFonts w:hint="eastAsia" w:ascii="Times New Roman" w:hAnsi="Times New Roman"/>
          <w:color w:val="auto"/>
          <w:szCs w:val="22"/>
          <w:highlight w:val="none"/>
          <w:lang w:val="en-US" w:eastAsia="zh-CN"/>
        </w:rPr>
      </w:pPr>
      <w:r>
        <w:rPr>
          <w:rStyle w:val="43"/>
          <w:rFonts w:hint="eastAsia" w:ascii="Times New Roman" w:hAnsi="Times New Roman"/>
          <w:color w:val="auto"/>
          <w:szCs w:val="22"/>
          <w:highlight w:val="none"/>
          <w:lang w:val="en-US" w:eastAsia="zh-CN"/>
        </w:rPr>
        <w:t>图</w:t>
      </w:r>
      <w:r>
        <w:rPr>
          <w:rStyle w:val="43"/>
          <w:rFonts w:hint="eastAsia"/>
          <w:color w:val="auto"/>
          <w:szCs w:val="22"/>
          <w:highlight w:val="none"/>
          <w:lang w:val="en-US" w:eastAsia="zh-CN"/>
        </w:rPr>
        <w:t>2.10</w:t>
      </w:r>
      <w:r>
        <w:rPr>
          <w:rStyle w:val="43"/>
          <w:rFonts w:hint="eastAsia" w:ascii="Times New Roman" w:hAnsi="Times New Roman"/>
          <w:color w:val="auto"/>
          <w:szCs w:val="22"/>
          <w:highlight w:val="none"/>
          <w:lang w:val="en-US" w:eastAsia="zh-CN"/>
        </w:rPr>
        <w:t>-</w:t>
      </w:r>
      <w:r>
        <w:rPr>
          <w:rStyle w:val="43"/>
          <w:rFonts w:hint="eastAsia"/>
          <w:color w:val="auto"/>
          <w:szCs w:val="22"/>
          <w:highlight w:val="none"/>
          <w:lang w:val="en-US" w:eastAsia="zh-CN"/>
        </w:rPr>
        <w:t>2</w:t>
      </w:r>
      <w:r>
        <w:rPr>
          <w:rStyle w:val="43"/>
          <w:rFonts w:hint="eastAsia" w:ascii="Times New Roman" w:hAnsi="Times New Roman"/>
          <w:color w:val="auto"/>
          <w:szCs w:val="22"/>
          <w:highlight w:val="none"/>
          <w:lang w:val="en-US" w:eastAsia="zh-CN"/>
        </w:rPr>
        <w:t xml:space="preserve">  项目</w:t>
      </w:r>
      <w:r>
        <w:rPr>
          <w:rStyle w:val="43"/>
          <w:rFonts w:hint="eastAsia"/>
          <w:color w:val="auto"/>
          <w:szCs w:val="22"/>
          <w:highlight w:val="none"/>
          <w:lang w:val="en-US" w:eastAsia="zh-CN"/>
        </w:rPr>
        <w:t>夏</w:t>
      </w:r>
      <w:r>
        <w:rPr>
          <w:rStyle w:val="43"/>
          <w:rFonts w:hint="eastAsia" w:ascii="Times New Roman" w:hAnsi="Times New Roman"/>
          <w:color w:val="auto"/>
          <w:szCs w:val="22"/>
          <w:highlight w:val="none"/>
          <w:lang w:val="en-US" w:eastAsia="zh-CN"/>
        </w:rPr>
        <w:t>季水平衡图（</w:t>
      </w:r>
      <w:r>
        <w:rPr>
          <w:rStyle w:val="43"/>
          <w:rFonts w:hint="eastAsia"/>
          <w:color w:val="auto"/>
          <w:szCs w:val="22"/>
          <w:highlight w:val="none"/>
          <w:lang w:val="en-US" w:eastAsia="zh-CN"/>
        </w:rPr>
        <w:t>122</w:t>
      </w:r>
      <w:r>
        <w:rPr>
          <w:rStyle w:val="43"/>
          <w:rFonts w:hint="eastAsia" w:ascii="Times New Roman" w:hAnsi="Times New Roman"/>
          <w:color w:val="auto"/>
          <w:szCs w:val="22"/>
          <w:highlight w:val="none"/>
          <w:lang w:val="en-US" w:eastAsia="zh-CN"/>
        </w:rPr>
        <w:t>天，单位：m</w:t>
      </w:r>
      <w:r>
        <w:rPr>
          <w:rStyle w:val="43"/>
          <w:rFonts w:hint="eastAsia" w:ascii="Times New Roman" w:hAnsi="Times New Roman"/>
          <w:color w:val="auto"/>
          <w:szCs w:val="22"/>
          <w:highlight w:val="none"/>
          <w:vertAlign w:val="superscript"/>
          <w:lang w:val="en-US" w:eastAsia="zh-CN"/>
        </w:rPr>
        <w:t>3</w:t>
      </w:r>
      <w:r>
        <w:rPr>
          <w:rStyle w:val="43"/>
          <w:rFonts w:hint="eastAsia" w:ascii="Times New Roman" w:hAnsi="Times New Roman"/>
          <w:color w:val="auto"/>
          <w:szCs w:val="22"/>
          <w:highlight w:val="none"/>
          <w:lang w:val="en-US" w:eastAsia="zh-CN"/>
        </w:rPr>
        <w:t>/d）</w:t>
      </w:r>
    </w:p>
    <w:p>
      <w:pPr>
        <w:pStyle w:val="2"/>
        <w:rPr>
          <w:color w:val="auto"/>
          <w:highlight w:val="none"/>
        </w:rPr>
        <w:sectPr>
          <w:pgSz w:w="11906" w:h="16838"/>
          <w:pgMar w:top="1701" w:right="1803" w:bottom="1984" w:left="1587" w:header="851" w:footer="992" w:gutter="0"/>
          <w:pgBorders>
            <w:top w:val="none" w:sz="0" w:space="0"/>
            <w:left w:val="none" w:sz="0" w:space="0"/>
            <w:bottom w:val="none" w:sz="0" w:space="0"/>
            <w:right w:val="none" w:sz="0" w:space="0"/>
          </w:pgBorders>
          <w:cols w:space="0" w:num="1"/>
          <w:docGrid w:type="lines" w:linePitch="332" w:charSpace="0"/>
        </w:sectPr>
      </w:pPr>
    </w:p>
    <w:p>
      <w:pPr>
        <w:pStyle w:val="5"/>
        <w:spacing w:before="66"/>
        <w:ind w:firstLine="0" w:firstLineChars="0"/>
        <w:rPr>
          <w:rFonts w:hint="eastAsia" w:cs="Times New Roman"/>
          <w:color w:val="auto"/>
          <w:highlight w:val="none"/>
          <w:lang w:val="en-US" w:eastAsia="zh-CN"/>
        </w:rPr>
      </w:pPr>
      <w:r>
        <w:rPr>
          <w:rFonts w:hint="eastAsia" w:cs="Times New Roman"/>
          <w:color w:val="auto"/>
          <w:highlight w:val="none"/>
          <w:lang w:val="en-US" w:eastAsia="zh-CN"/>
        </w:rPr>
        <w:t>2.10.2物料平衡</w:t>
      </w:r>
    </w:p>
    <w:p>
      <w:pPr>
        <w:pStyle w:val="40"/>
        <w:rPr>
          <w:rFonts w:cs="Times New Roman"/>
          <w:color w:val="auto"/>
          <w:highlight w:val="none"/>
        </w:rPr>
      </w:pPr>
      <w:r>
        <w:rPr>
          <w:rFonts w:hint="default" w:ascii="Times New Roman" w:hAnsi="Times New Roman" w:eastAsia="宋体" w:cs="Times New Roman"/>
          <w:b/>
          <w:color w:val="auto"/>
          <w:kern w:val="2"/>
          <w:sz w:val="28"/>
          <w:szCs w:val="22"/>
          <w:highlight w:val="none"/>
          <w:lang w:val="en-US" w:eastAsia="zh-CN" w:bidi="ar-SA"/>
        </w:rPr>
        <mc:AlternateContent>
          <mc:Choice Requires="wpc">
            <w:drawing>
              <wp:anchor distT="0" distB="0" distL="114300" distR="114300" simplePos="0" relativeHeight="259346432" behindDoc="0" locked="0" layoutInCell="1" allowOverlap="1">
                <wp:simplePos x="0" y="0"/>
                <wp:positionH relativeFrom="column">
                  <wp:posOffset>38100</wp:posOffset>
                </wp:positionH>
                <wp:positionV relativeFrom="paragraph">
                  <wp:posOffset>92710</wp:posOffset>
                </wp:positionV>
                <wp:extent cx="5450840" cy="5520690"/>
                <wp:effectExtent l="0" t="0" r="0" b="0"/>
                <wp:wrapSquare wrapText="bothSides"/>
                <wp:docPr id="180" name="画布 1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 name="矩形 48"/>
                        <wps:cNvSpPr/>
                        <wps:spPr>
                          <a:xfrm>
                            <a:off x="123825" y="1384935"/>
                            <a:ext cx="467360" cy="27178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rPr>
                                  <w:rFonts w:ascii="Calibri" w:hAnsi="Calibri" w:cs="Times New Roman"/>
                                  <w:sz w:val="21"/>
                                  <w:szCs w:val="21"/>
                                </w:rPr>
                              </w:pPr>
                              <w:r>
                                <w:rPr>
                                  <w:rFonts w:hint="eastAsia" w:ascii="Calibri" w:hAnsi="Calibri" w:cs="Times New Roman"/>
                                  <w:sz w:val="21"/>
                                  <w:szCs w:val="21"/>
                                </w:rPr>
                                <w:t>饲料</w:t>
                              </w:r>
                            </w:p>
                          </w:txbxContent>
                        </wps:txbx>
                        <wps:bodyPr upright="1"/>
                      </wps:wsp>
                      <wps:wsp>
                        <wps:cNvPr id="49" name="矩形 49"/>
                        <wps:cNvSpPr/>
                        <wps:spPr>
                          <a:xfrm>
                            <a:off x="1081405" y="403860"/>
                            <a:ext cx="688975" cy="249555"/>
                          </a:xfrm>
                          <a:prstGeom prst="rect">
                            <a:avLst/>
                          </a:prstGeom>
                          <a:solidFill>
                            <a:srgbClr val="FFFFFF">
                              <a:alpha val="0"/>
                            </a:srgbClr>
                          </a:solidFill>
                          <a:ln>
                            <a:noFill/>
                          </a:ln>
                        </wps:spPr>
                        <wps:txbx>
                          <w:txbxContent>
                            <w:p>
                              <w:pPr>
                                <w:widowControl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15.76</w:t>
                              </w:r>
                            </w:p>
                          </w:txbxContent>
                        </wps:txbx>
                        <wps:bodyPr upright="1"/>
                      </wps:wsp>
                      <wps:wsp>
                        <wps:cNvPr id="50" name="直接连接符 50"/>
                        <wps:cNvCnPr/>
                        <wps:spPr>
                          <a:xfrm>
                            <a:off x="600710" y="1525905"/>
                            <a:ext cx="563880" cy="635"/>
                          </a:xfrm>
                          <a:prstGeom prst="line">
                            <a:avLst/>
                          </a:prstGeom>
                          <a:ln w="9525" cap="flat" cmpd="sng">
                            <a:solidFill>
                              <a:srgbClr val="000000"/>
                            </a:solidFill>
                            <a:prstDash val="solid"/>
                            <a:headEnd type="none" w="med" len="med"/>
                            <a:tailEnd type="triangle" w="med" len="med"/>
                          </a:ln>
                        </wps:spPr>
                        <wps:bodyPr upright="1"/>
                      </wps:wsp>
                      <wps:wsp>
                        <wps:cNvPr id="51" name="直接连接符 51"/>
                        <wps:cNvCnPr/>
                        <wps:spPr>
                          <a:xfrm>
                            <a:off x="1158208" y="673103"/>
                            <a:ext cx="619105" cy="600"/>
                          </a:xfrm>
                          <a:prstGeom prst="line">
                            <a:avLst/>
                          </a:prstGeom>
                          <a:ln w="9525" cap="flat" cmpd="sng">
                            <a:solidFill>
                              <a:srgbClr val="000000"/>
                            </a:solidFill>
                            <a:prstDash val="solid"/>
                            <a:headEnd type="none" w="med" len="med"/>
                            <a:tailEnd type="triangle" w="med" len="med"/>
                          </a:ln>
                        </wps:spPr>
                        <wps:bodyPr upright="1"/>
                      </wps:wsp>
                      <wps:wsp>
                        <wps:cNvPr id="52" name="直接连接符 52"/>
                        <wps:cNvCnPr/>
                        <wps:spPr>
                          <a:xfrm>
                            <a:off x="1158809" y="669203"/>
                            <a:ext cx="0" cy="1584000"/>
                          </a:xfrm>
                          <a:prstGeom prst="line">
                            <a:avLst/>
                          </a:prstGeom>
                          <a:ln w="9525" cap="flat" cmpd="sng">
                            <a:solidFill>
                              <a:srgbClr val="000000"/>
                            </a:solidFill>
                            <a:prstDash val="solid"/>
                            <a:headEnd type="none" w="med" len="med"/>
                            <a:tailEnd type="none" w="med" len="med"/>
                          </a:ln>
                        </wps:spPr>
                        <wps:bodyPr upright="1"/>
                      </wps:wsp>
                      <wps:wsp>
                        <wps:cNvPr id="55" name="矩形 55"/>
                        <wps:cNvSpPr/>
                        <wps:spPr>
                          <a:xfrm>
                            <a:off x="1763313" y="509203"/>
                            <a:ext cx="797006" cy="288301"/>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lang w:eastAsia="zh-CN"/>
                                </w:rPr>
                                <w:t>保育</w:t>
                              </w:r>
                              <w:r>
                                <w:rPr>
                                  <w:rFonts w:hint="eastAsia" w:ascii="Calibri" w:hAnsi="Calibri" w:cs="Times New Roman"/>
                                  <w:sz w:val="21"/>
                                  <w:szCs w:val="21"/>
                                </w:rPr>
                                <w:t>猪</w:t>
                              </w:r>
                            </w:p>
                          </w:txbxContent>
                        </wps:txbx>
                        <wps:bodyPr lIns="0" tIns="50400" rIns="0" bIns="46800" upright="1"/>
                      </wps:wsp>
                      <wps:wsp>
                        <wps:cNvPr id="56" name="直接连接符 56"/>
                        <wps:cNvCnPr/>
                        <wps:spPr>
                          <a:xfrm>
                            <a:off x="2567319" y="669203"/>
                            <a:ext cx="691505" cy="700"/>
                          </a:xfrm>
                          <a:prstGeom prst="line">
                            <a:avLst/>
                          </a:prstGeom>
                          <a:ln w="9525" cap="flat" cmpd="sng">
                            <a:solidFill>
                              <a:srgbClr val="000000"/>
                            </a:solidFill>
                            <a:prstDash val="solid"/>
                            <a:headEnd type="none" w="med" len="med"/>
                            <a:tailEnd type="triangle" w="med" len="med"/>
                          </a:ln>
                        </wps:spPr>
                        <wps:bodyPr upright="1"/>
                      </wps:wsp>
                      <wps:wsp>
                        <wps:cNvPr id="57" name="矩形 57"/>
                        <wps:cNvSpPr/>
                        <wps:spPr>
                          <a:xfrm>
                            <a:off x="640080" y="1294130"/>
                            <a:ext cx="652145" cy="196850"/>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r>
                                <w:rPr>
                                  <w:rFonts w:hint="eastAsia" w:cs="Times New Roman"/>
                                  <w:sz w:val="21"/>
                                  <w:szCs w:val="21"/>
                                  <w:lang w:val="en-US" w:eastAsia="zh-CN"/>
                                </w:rPr>
                                <w:t>12.95</w:t>
                              </w:r>
                            </w:p>
                          </w:txbxContent>
                        </wps:txbx>
                        <wps:bodyPr upright="1"/>
                      </wps:wsp>
                      <wps:wsp>
                        <wps:cNvPr id="60" name="直接连接符 60"/>
                        <wps:cNvCnPr/>
                        <wps:spPr>
                          <a:xfrm flipV="1">
                            <a:off x="2212916" y="311102"/>
                            <a:ext cx="217802" cy="219101"/>
                          </a:xfrm>
                          <a:prstGeom prst="line">
                            <a:avLst/>
                          </a:prstGeom>
                          <a:ln w="9525" cap="flat" cmpd="sng">
                            <a:solidFill>
                              <a:srgbClr val="000000"/>
                            </a:solidFill>
                            <a:prstDash val="lgDash"/>
                            <a:headEnd type="none" w="med" len="med"/>
                            <a:tailEnd type="triangle" w="med" len="med"/>
                          </a:ln>
                        </wps:spPr>
                        <wps:bodyPr upright="1"/>
                      </wps:wsp>
                      <wps:wsp>
                        <wps:cNvPr id="62" name="矩形 62"/>
                        <wps:cNvSpPr/>
                        <wps:spPr>
                          <a:xfrm>
                            <a:off x="1836413" y="77400"/>
                            <a:ext cx="1355710" cy="260401"/>
                          </a:xfrm>
                          <a:prstGeom prst="rect">
                            <a:avLst/>
                          </a:prstGeom>
                          <a:solidFill>
                            <a:srgbClr val="FFFFFF">
                              <a:alpha val="0"/>
                            </a:srgbClr>
                          </a:solidFill>
                          <a:ln>
                            <a:noFill/>
                          </a:ln>
                        </wps:spPr>
                        <wps:txbx>
                          <w:txbxContent>
                            <w:p>
                              <w:pPr>
                                <w:widowControl w:val="0"/>
                                <w:spacing w:line="240" w:lineRule="atLeast"/>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生长吸收</w:t>
                              </w:r>
                              <w:r>
                                <w:rPr>
                                  <w:rFonts w:hint="eastAsia" w:ascii="Times New Roman" w:hAnsi="Times New Roman" w:cs="Times New Roman"/>
                                  <w:sz w:val="21"/>
                                  <w:szCs w:val="21"/>
                                  <w:lang w:val="en-US" w:eastAsia="zh-CN"/>
                                </w:rPr>
                                <w:t>1</w:t>
                              </w:r>
                              <w:r>
                                <w:rPr>
                                  <w:rFonts w:hint="eastAsia" w:cs="Times New Roman"/>
                                  <w:sz w:val="21"/>
                                  <w:szCs w:val="21"/>
                                  <w:lang w:val="en-US" w:eastAsia="zh-CN"/>
                                </w:rPr>
                                <w:t>4.26</w:t>
                              </w:r>
                            </w:p>
                          </w:txbxContent>
                        </wps:txbx>
                        <wps:bodyPr upright="1"/>
                      </wps:wsp>
                      <wps:wsp>
                        <wps:cNvPr id="66" name="直接箭头连接符 66"/>
                        <wps:cNvCnPr/>
                        <wps:spPr>
                          <a:xfrm>
                            <a:off x="3825828" y="672403"/>
                            <a:ext cx="248902" cy="2600"/>
                          </a:xfrm>
                          <a:prstGeom prst="straightConnector1">
                            <a:avLst/>
                          </a:prstGeom>
                          <a:ln w="9525" cap="flat" cmpd="sng">
                            <a:solidFill>
                              <a:srgbClr val="000000"/>
                            </a:solidFill>
                            <a:prstDash val="solid"/>
                            <a:headEnd type="none" w="med" len="med"/>
                            <a:tailEnd type="none" w="med" len="med"/>
                          </a:ln>
                        </wps:spPr>
                        <wps:bodyPr/>
                      </wps:wsp>
                      <wps:wsp>
                        <wps:cNvPr id="67" name="矩形 67"/>
                        <wps:cNvSpPr/>
                        <wps:spPr>
                          <a:xfrm>
                            <a:off x="2688590" y="387985"/>
                            <a:ext cx="488315" cy="331470"/>
                          </a:xfrm>
                          <a:prstGeom prst="rect">
                            <a:avLst/>
                          </a:prstGeom>
                          <a:solidFill>
                            <a:srgbClr val="FFFFFF">
                              <a:alpha val="0"/>
                            </a:srgbClr>
                          </a:solid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1.5</w:t>
                              </w:r>
                            </w:p>
                          </w:txbxContent>
                        </wps:txbx>
                        <wps:bodyPr upright="1"/>
                      </wps:wsp>
                      <wps:wsp>
                        <wps:cNvPr id="75" name="直接箭头连接符 75"/>
                        <wps:cNvCnPr/>
                        <wps:spPr>
                          <a:xfrm flipH="1">
                            <a:off x="4053205" y="1479550"/>
                            <a:ext cx="600710" cy="3810"/>
                          </a:xfrm>
                          <a:prstGeom prst="straightConnector1">
                            <a:avLst/>
                          </a:prstGeom>
                          <a:ln w="9525" cap="flat" cmpd="sng">
                            <a:solidFill>
                              <a:srgbClr val="000000"/>
                            </a:solidFill>
                            <a:prstDash val="solid"/>
                            <a:headEnd type="none" w="med" len="med"/>
                            <a:tailEnd type="none" w="med" len="med"/>
                          </a:ln>
                        </wps:spPr>
                        <wps:bodyPr/>
                      </wps:wsp>
                      <wps:wsp>
                        <wps:cNvPr id="76" name="文本框 76"/>
                        <wps:cNvSpPr txBox="1"/>
                        <wps:spPr>
                          <a:xfrm>
                            <a:off x="4094480" y="1209675"/>
                            <a:ext cx="623570" cy="30480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11.3</w:t>
                              </w:r>
                            </w:p>
                          </w:txbxContent>
                        </wps:txbx>
                        <wps:bodyPr upright="1"/>
                      </wps:wsp>
                      <wps:wsp>
                        <wps:cNvPr id="77" name="直接连接符 77"/>
                        <wps:cNvCnPr/>
                        <wps:spPr>
                          <a:xfrm flipH="1">
                            <a:off x="4066540" y="667385"/>
                            <a:ext cx="0" cy="1620000"/>
                          </a:xfrm>
                          <a:prstGeom prst="line">
                            <a:avLst/>
                          </a:prstGeom>
                          <a:ln w="9525" cap="flat" cmpd="sng">
                            <a:solidFill>
                              <a:srgbClr val="000000"/>
                            </a:solidFill>
                            <a:prstDash val="solid"/>
                            <a:headEnd type="none" w="med" len="med"/>
                            <a:tailEnd type="none" w="med" len="med"/>
                          </a:ln>
                        </wps:spPr>
                        <wps:bodyPr upright="1"/>
                      </wps:wsp>
                      <wps:wsp>
                        <wps:cNvPr id="78" name="矩形 78"/>
                        <wps:cNvSpPr/>
                        <wps:spPr>
                          <a:xfrm>
                            <a:off x="3054350" y="3121025"/>
                            <a:ext cx="895985" cy="294005"/>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rPr>
                                  <w:rFonts w:hint="eastAsia" w:ascii="Calibri" w:hAnsi="Calibri" w:cs="Times New Roman"/>
                                  <w:sz w:val="21"/>
                                  <w:szCs w:val="21"/>
                                </w:rPr>
                              </w:pPr>
                              <w:r>
                                <w:rPr>
                                  <w:rFonts w:hint="eastAsia" w:ascii="Calibri" w:hAnsi="Calibri" w:cs="Times New Roman"/>
                                  <w:sz w:val="21"/>
                                  <w:szCs w:val="21"/>
                                </w:rPr>
                                <w:t>固粪处理区</w:t>
                              </w:r>
                            </w:p>
                          </w:txbxContent>
                        </wps:txbx>
                        <wps:bodyPr lIns="0" tIns="50400" rIns="0" bIns="46800" upright="1"/>
                      </wps:wsp>
                      <wps:wsp>
                        <wps:cNvPr id="79" name="文本框 79"/>
                        <wps:cNvSpPr txBox="1"/>
                        <wps:spPr>
                          <a:xfrm>
                            <a:off x="4033520" y="3023870"/>
                            <a:ext cx="504825"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w:t>
                              </w:r>
                              <w:r>
                                <w:rPr>
                                  <w:rFonts w:hint="eastAsia" w:cs="Times New Roman"/>
                                  <w:sz w:val="21"/>
                                  <w:szCs w:val="21"/>
                                  <w:lang w:val="en-US" w:eastAsia="zh-CN"/>
                                </w:rPr>
                                <w:t>65</w:t>
                              </w:r>
                            </w:p>
                          </w:txbxContent>
                        </wps:txbx>
                        <wps:bodyPr upright="1">
                          <a:spAutoFit/>
                        </wps:bodyPr>
                      </wps:wsp>
                      <wps:wsp>
                        <wps:cNvPr id="80" name="文本框 80"/>
                        <wps:cNvSpPr txBox="1"/>
                        <wps:spPr>
                          <a:xfrm>
                            <a:off x="4089400" y="3933190"/>
                            <a:ext cx="605155"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w:t>
                              </w:r>
                              <w:r>
                                <w:rPr>
                                  <w:rFonts w:hint="eastAsia" w:cs="Times New Roman"/>
                                  <w:sz w:val="21"/>
                                  <w:szCs w:val="21"/>
                                  <w:lang w:val="en-US" w:eastAsia="zh-CN"/>
                                </w:rPr>
                                <w:t>65</w:t>
                              </w:r>
                            </w:p>
                          </w:txbxContent>
                        </wps:txbx>
                        <wps:bodyPr upright="1">
                          <a:spAutoFit/>
                        </wps:bodyPr>
                      </wps:wsp>
                      <wps:wsp>
                        <wps:cNvPr id="81" name="直接箭头连接符 81"/>
                        <wps:cNvCnPr/>
                        <wps:spPr>
                          <a:xfrm>
                            <a:off x="2232660" y="3312160"/>
                            <a:ext cx="816610" cy="635"/>
                          </a:xfrm>
                          <a:prstGeom prst="straightConnector1">
                            <a:avLst/>
                          </a:prstGeom>
                          <a:ln w="9525" cap="flat" cmpd="sng">
                            <a:solidFill>
                              <a:srgbClr val="000000"/>
                            </a:solidFill>
                            <a:prstDash val="solid"/>
                            <a:headEnd type="triangle" w="med" len="med"/>
                            <a:tailEnd type="none" w="med" len="med"/>
                          </a:ln>
                        </wps:spPr>
                        <wps:bodyPr/>
                      </wps:wsp>
                      <wps:wsp>
                        <wps:cNvPr id="82" name="直接箭头连接符 82"/>
                        <wps:cNvCnPr/>
                        <wps:spPr>
                          <a:xfrm flipV="1">
                            <a:off x="3414395" y="4472305"/>
                            <a:ext cx="6985" cy="492760"/>
                          </a:xfrm>
                          <a:prstGeom prst="straightConnector1">
                            <a:avLst/>
                          </a:prstGeom>
                          <a:ln w="9525" cap="flat" cmpd="sng">
                            <a:solidFill>
                              <a:srgbClr val="000000"/>
                            </a:solidFill>
                            <a:prstDash val="solid"/>
                            <a:headEnd type="triangle" w="med" len="med"/>
                            <a:tailEnd type="none" w="med" len="med"/>
                          </a:ln>
                        </wps:spPr>
                        <wps:bodyPr/>
                      </wps:wsp>
                      <wps:wsp>
                        <wps:cNvPr id="83" name="直接箭头连接符 83"/>
                        <wps:cNvCnPr/>
                        <wps:spPr>
                          <a:xfrm flipH="1" flipV="1">
                            <a:off x="3952875" y="3314700"/>
                            <a:ext cx="709295" cy="1270"/>
                          </a:xfrm>
                          <a:prstGeom prst="straightConnector1">
                            <a:avLst/>
                          </a:prstGeom>
                          <a:ln w="9525" cap="flat" cmpd="sng">
                            <a:solidFill>
                              <a:srgbClr val="000000"/>
                            </a:solidFill>
                            <a:prstDash val="solid"/>
                            <a:headEnd type="none" w="med" len="med"/>
                            <a:tailEnd type="triangle" w="med" len="med"/>
                          </a:ln>
                        </wps:spPr>
                        <wps:bodyPr/>
                      </wps:wsp>
                      <wps:wsp>
                        <wps:cNvPr id="84" name="矩形 84"/>
                        <wps:cNvSpPr/>
                        <wps:spPr>
                          <a:xfrm>
                            <a:off x="1781175" y="3181985"/>
                            <a:ext cx="623570" cy="258445"/>
                          </a:xfrm>
                          <a:prstGeom prst="rect">
                            <a:avLst/>
                          </a:prstGeom>
                          <a:noFill/>
                          <a:ln>
                            <a:noFill/>
                          </a:ln>
                        </wps:spPr>
                        <wps:txbx>
                          <w:txbxContent>
                            <w:p>
                              <w:pPr>
                                <w:widowControl w:val="0"/>
                                <w:spacing w:line="240" w:lineRule="auto"/>
                                <w:ind w:firstLine="0" w:firstLineChars="0"/>
                                <w:rPr>
                                  <w:rFonts w:ascii="Calibri" w:hAnsi="Calibri" w:cs="Times New Roman"/>
                                  <w:sz w:val="21"/>
                                  <w:szCs w:val="21"/>
                                </w:rPr>
                              </w:pPr>
                              <w:r>
                                <w:rPr>
                                  <w:rFonts w:hint="eastAsia" w:ascii="Calibri" w:hAnsi="Calibri" w:cs="Times New Roman"/>
                                  <w:sz w:val="21"/>
                                  <w:szCs w:val="21"/>
                                </w:rPr>
                                <w:t>有机肥</w:t>
                              </w:r>
                            </w:p>
                          </w:txbxContent>
                        </wps:txbx>
                        <wps:bodyPr lIns="0" tIns="50400" rIns="0" bIns="46800" upright="1"/>
                      </wps:wsp>
                      <wps:wsp>
                        <wps:cNvPr id="85" name="直接箭头连接符 85"/>
                        <wps:cNvCnPr/>
                        <wps:spPr>
                          <a:xfrm>
                            <a:off x="4658995" y="1477010"/>
                            <a:ext cx="0" cy="2844000"/>
                          </a:xfrm>
                          <a:prstGeom prst="straightConnector1">
                            <a:avLst/>
                          </a:prstGeom>
                          <a:ln w="9525" cap="flat" cmpd="sng">
                            <a:solidFill>
                              <a:srgbClr val="000000"/>
                            </a:solidFill>
                            <a:prstDash val="solid"/>
                            <a:headEnd type="none" w="med" len="med"/>
                            <a:tailEnd type="none" w="med" len="med"/>
                          </a:ln>
                        </wps:spPr>
                        <wps:bodyPr/>
                      </wps:wsp>
                      <wps:wsp>
                        <wps:cNvPr id="86" name="直接箭头连接符 86"/>
                        <wps:cNvCnPr/>
                        <wps:spPr>
                          <a:xfrm flipH="1">
                            <a:off x="4026535" y="4319270"/>
                            <a:ext cx="650240" cy="635"/>
                          </a:xfrm>
                          <a:prstGeom prst="straightConnector1">
                            <a:avLst/>
                          </a:prstGeom>
                          <a:ln w="9525" cap="flat" cmpd="sng">
                            <a:solidFill>
                              <a:srgbClr val="000000"/>
                            </a:solidFill>
                            <a:prstDash val="solid"/>
                            <a:headEnd type="none" w="med" len="med"/>
                            <a:tailEnd type="triangle" w="med" len="med"/>
                          </a:ln>
                        </wps:spPr>
                        <wps:bodyPr/>
                      </wps:wsp>
                      <wps:wsp>
                        <wps:cNvPr id="87" name="直接连接符 87"/>
                        <wps:cNvCnPr/>
                        <wps:spPr>
                          <a:xfrm>
                            <a:off x="3562350" y="4466590"/>
                            <a:ext cx="278765" cy="260350"/>
                          </a:xfrm>
                          <a:prstGeom prst="line">
                            <a:avLst/>
                          </a:prstGeom>
                          <a:ln w="9525" cap="flat" cmpd="sng">
                            <a:solidFill>
                              <a:srgbClr val="000000"/>
                            </a:solidFill>
                            <a:prstDash val="lgDash"/>
                            <a:headEnd type="none" w="med" len="med"/>
                            <a:tailEnd type="triangle" w="med" len="med"/>
                          </a:ln>
                        </wps:spPr>
                        <wps:bodyPr upright="1"/>
                      </wps:wsp>
                      <wps:wsp>
                        <wps:cNvPr id="88" name="矩形 88"/>
                        <wps:cNvSpPr/>
                        <wps:spPr>
                          <a:xfrm>
                            <a:off x="3682365" y="4796790"/>
                            <a:ext cx="890270" cy="326390"/>
                          </a:xfrm>
                          <a:prstGeom prst="rect">
                            <a:avLst/>
                          </a:prstGeom>
                          <a:solidFill>
                            <a:srgbClr val="FFFFFF">
                              <a:alpha val="0"/>
                            </a:srgbClr>
                          </a:solidFill>
                          <a:ln>
                            <a:noFill/>
                          </a:ln>
                        </wps:spPr>
                        <wps:txbx>
                          <w:txbxContent>
                            <w:p>
                              <w:pPr>
                                <w:widowControl w:val="0"/>
                                <w:spacing w:line="240" w:lineRule="atLeast"/>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rPr>
                                <w:t>降解2.</w:t>
                              </w:r>
                              <w:r>
                                <w:rPr>
                                  <w:rFonts w:hint="eastAsia" w:cs="Times New Roman"/>
                                  <w:sz w:val="21"/>
                                  <w:szCs w:val="21"/>
                                  <w:lang w:val="en-US" w:eastAsia="zh-CN"/>
                                </w:rPr>
                                <w:t>825</w:t>
                              </w:r>
                            </w:p>
                          </w:txbxContent>
                        </wps:txbx>
                        <wps:bodyPr upright="1"/>
                      </wps:wsp>
                      <wps:wsp>
                        <wps:cNvPr id="89" name="文本框 89"/>
                        <wps:cNvSpPr txBox="1"/>
                        <wps:spPr>
                          <a:xfrm>
                            <a:off x="2425700" y="3004185"/>
                            <a:ext cx="633730"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7.345</w:t>
                              </w:r>
                            </w:p>
                          </w:txbxContent>
                        </wps:txbx>
                        <wps:bodyPr upright="1">
                          <a:spAutoFit/>
                        </wps:bodyPr>
                      </wps:wsp>
                      <wps:wsp>
                        <wps:cNvPr id="90" name="矩形 90"/>
                        <wps:cNvSpPr/>
                        <wps:spPr>
                          <a:xfrm>
                            <a:off x="2807970" y="4193540"/>
                            <a:ext cx="1229360" cy="271780"/>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315" w:firstLineChars="150"/>
                                <w:rPr>
                                  <w:rFonts w:ascii="Calibri" w:hAnsi="Calibri" w:cs="Times New Roman"/>
                                  <w:sz w:val="21"/>
                                  <w:szCs w:val="21"/>
                                </w:rPr>
                              </w:pPr>
                              <w:r>
                                <w:rPr>
                                  <w:rFonts w:hint="eastAsia" w:ascii="Calibri" w:hAnsi="Calibri" w:cs="Times New Roman"/>
                                  <w:sz w:val="21"/>
                                  <w:szCs w:val="21"/>
                                </w:rPr>
                                <w:t>污水处理站</w:t>
                              </w:r>
                            </w:p>
                          </w:txbxContent>
                        </wps:txbx>
                        <wps:bodyPr lIns="0" tIns="50400" rIns="0" bIns="46800" upright="1"/>
                      </wps:wsp>
                      <wps:wsp>
                        <wps:cNvPr id="91" name="文本框 91"/>
                        <wps:cNvSpPr txBox="1"/>
                        <wps:spPr>
                          <a:xfrm>
                            <a:off x="1958975" y="4920615"/>
                            <a:ext cx="723900" cy="513080"/>
                          </a:xfrm>
                          <a:prstGeom prst="rect">
                            <a:avLst/>
                          </a:prstGeom>
                          <a:noFill/>
                          <a:ln>
                            <a:noFill/>
                          </a:ln>
                        </wps:spPr>
                        <wps:txbx>
                          <w:txbxContent>
                            <w:p>
                              <w:pPr>
                                <w:widowControl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rPr>
                                <w:t>土地利用</w:t>
                              </w:r>
                              <w:r>
                                <w:rPr>
                                  <w:rFonts w:hint="eastAsia" w:ascii="Times New Roman" w:hAnsi="Times New Roman" w:cs="Times New Roman"/>
                                  <w:sz w:val="21"/>
                                  <w:szCs w:val="21"/>
                                  <w:lang w:val="en-US" w:eastAsia="zh-CN"/>
                                </w:rPr>
                                <w:t>1.</w:t>
                              </w:r>
                              <w:r>
                                <w:rPr>
                                  <w:rFonts w:hint="eastAsia" w:cs="Times New Roman"/>
                                  <w:sz w:val="21"/>
                                  <w:szCs w:val="21"/>
                                  <w:lang w:val="en-US" w:eastAsia="zh-CN"/>
                                </w:rPr>
                                <w:t>13</w:t>
                              </w:r>
                            </w:p>
                          </w:txbxContent>
                        </wps:txbx>
                        <wps:bodyPr upright="1">
                          <a:spAutoFit/>
                        </wps:bodyPr>
                      </wps:wsp>
                      <wps:wsp>
                        <wps:cNvPr id="92" name="矩形 92"/>
                        <wps:cNvSpPr/>
                        <wps:spPr>
                          <a:xfrm>
                            <a:off x="3258824" y="526403"/>
                            <a:ext cx="567004" cy="292101"/>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rPr>
                                  <w:rFonts w:ascii="Calibri" w:hAnsi="Calibri" w:cs="Times New Roman"/>
                                  <w:sz w:val="21"/>
                                  <w:szCs w:val="21"/>
                                </w:rPr>
                              </w:pPr>
                              <w:r>
                                <w:rPr>
                                  <w:rFonts w:hint="eastAsia" w:ascii="Calibri" w:hAnsi="Calibri" w:cs="Times New Roman"/>
                                  <w:sz w:val="21"/>
                                  <w:szCs w:val="21"/>
                                </w:rPr>
                                <w:t>猪粪</w:t>
                              </w:r>
                            </w:p>
                          </w:txbxContent>
                        </wps:txbx>
                        <wps:bodyPr lIns="0" tIns="50400" rIns="0" bIns="46800" upright="1"/>
                      </wps:wsp>
                      <wps:wsp>
                        <wps:cNvPr id="93" name="直接箭头连接符 93"/>
                        <wps:cNvCnPr/>
                        <wps:spPr>
                          <a:xfrm flipH="1">
                            <a:off x="2148840" y="4347845"/>
                            <a:ext cx="650240" cy="635"/>
                          </a:xfrm>
                          <a:prstGeom prst="straightConnector1">
                            <a:avLst/>
                          </a:prstGeom>
                          <a:ln w="9525" cap="flat" cmpd="sng">
                            <a:solidFill>
                              <a:srgbClr val="000000"/>
                            </a:solidFill>
                            <a:prstDash val="solid"/>
                            <a:headEnd type="none" w="med" len="med"/>
                            <a:tailEnd type="triangle" w="med" len="med"/>
                          </a:ln>
                        </wps:spPr>
                        <wps:bodyPr/>
                      </wps:wsp>
                      <wps:wsp>
                        <wps:cNvPr id="94" name="矩形 94"/>
                        <wps:cNvSpPr/>
                        <wps:spPr>
                          <a:xfrm>
                            <a:off x="3179445" y="4967605"/>
                            <a:ext cx="447040" cy="283210"/>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沼液</w:t>
                              </w:r>
                            </w:p>
                          </w:txbxContent>
                        </wps:txbx>
                        <wps:bodyPr lIns="0" tIns="50400" rIns="0" bIns="46800" upright="1"/>
                      </wps:wsp>
                      <wps:wsp>
                        <wps:cNvPr id="95" name="文本框 95"/>
                        <wps:cNvSpPr txBox="1"/>
                        <wps:spPr>
                          <a:xfrm>
                            <a:off x="2857500" y="4677410"/>
                            <a:ext cx="587375" cy="30226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r>
                                <w:rPr>
                                  <w:rFonts w:hint="eastAsia" w:cs="Times New Roman"/>
                                  <w:sz w:val="21"/>
                                  <w:szCs w:val="21"/>
                                  <w:lang w:val="en-US" w:eastAsia="zh-CN"/>
                                </w:rPr>
                                <w:t>13</w:t>
                              </w:r>
                            </w:p>
                          </w:txbxContent>
                        </wps:txbx>
                        <wps:bodyPr upright="1">
                          <a:spAutoFit/>
                        </wps:bodyPr>
                      </wps:wsp>
                      <wps:wsp>
                        <wps:cNvPr id="96" name="直接箭头连接符 96"/>
                        <wps:cNvCnPr/>
                        <wps:spPr>
                          <a:xfrm flipH="1">
                            <a:off x="2680335" y="5139690"/>
                            <a:ext cx="494030" cy="635"/>
                          </a:xfrm>
                          <a:prstGeom prst="straightConnector1">
                            <a:avLst/>
                          </a:prstGeom>
                          <a:ln w="9525" cap="flat" cmpd="sng">
                            <a:solidFill>
                              <a:srgbClr val="000000"/>
                            </a:solidFill>
                            <a:prstDash val="solid"/>
                            <a:headEnd type="none" w="med" len="med"/>
                            <a:tailEnd type="triangle" w="med" len="med"/>
                          </a:ln>
                        </wps:spPr>
                        <wps:bodyPr/>
                      </wps:wsp>
                      <wps:wsp>
                        <wps:cNvPr id="97" name="矩形 97"/>
                        <wps:cNvSpPr/>
                        <wps:spPr>
                          <a:xfrm>
                            <a:off x="1699895" y="4168775"/>
                            <a:ext cx="447040" cy="283210"/>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沼渣</w:t>
                              </w:r>
                            </w:p>
                          </w:txbxContent>
                        </wps:txbx>
                        <wps:bodyPr lIns="0" tIns="50400" rIns="0" bIns="46800" upright="1"/>
                      </wps:wsp>
                      <wps:wsp>
                        <wps:cNvPr id="98" name="直接箭头连接符 98"/>
                        <wps:cNvCnPr/>
                        <wps:spPr>
                          <a:xfrm flipV="1">
                            <a:off x="1958975" y="3728720"/>
                            <a:ext cx="3810" cy="426720"/>
                          </a:xfrm>
                          <a:prstGeom prst="straightConnector1">
                            <a:avLst/>
                          </a:prstGeom>
                          <a:ln w="9525" cap="flat" cmpd="sng">
                            <a:solidFill>
                              <a:srgbClr val="000000"/>
                            </a:solidFill>
                            <a:prstDash val="solid"/>
                            <a:headEnd type="none" w="med" len="med"/>
                            <a:tailEnd type="none" w="med" len="med"/>
                          </a:ln>
                        </wps:spPr>
                        <wps:bodyPr/>
                      </wps:wsp>
                      <wps:wsp>
                        <wps:cNvPr id="99" name="直接箭头连接符 99"/>
                        <wps:cNvCnPr/>
                        <wps:spPr>
                          <a:xfrm flipV="1">
                            <a:off x="1948815" y="3715385"/>
                            <a:ext cx="1629410" cy="20320"/>
                          </a:xfrm>
                          <a:prstGeom prst="straightConnector1">
                            <a:avLst/>
                          </a:prstGeom>
                          <a:ln w="9525" cap="flat" cmpd="sng">
                            <a:solidFill>
                              <a:srgbClr val="000000"/>
                            </a:solidFill>
                            <a:prstDash val="solid"/>
                            <a:headEnd type="none" w="med" len="med"/>
                            <a:tailEnd type="none" w="med" len="med"/>
                          </a:ln>
                        </wps:spPr>
                        <wps:bodyPr/>
                      </wps:wsp>
                      <wps:wsp>
                        <wps:cNvPr id="101" name="直接箭头连接符 101"/>
                        <wps:cNvCnPr/>
                        <wps:spPr>
                          <a:xfrm flipV="1">
                            <a:off x="3577590" y="3430905"/>
                            <a:ext cx="635" cy="287655"/>
                          </a:xfrm>
                          <a:prstGeom prst="straightConnector1">
                            <a:avLst/>
                          </a:prstGeom>
                          <a:ln w="9525" cap="flat" cmpd="sng">
                            <a:solidFill>
                              <a:srgbClr val="000000"/>
                            </a:solidFill>
                            <a:prstDash val="solid"/>
                            <a:headEnd type="none" w="med" len="med"/>
                            <a:tailEnd type="triangle" w="med" len="med"/>
                          </a:ln>
                        </wps:spPr>
                        <wps:bodyPr/>
                      </wps:wsp>
                      <wps:wsp>
                        <wps:cNvPr id="103" name="文本框 103"/>
                        <wps:cNvSpPr txBox="1"/>
                        <wps:spPr>
                          <a:xfrm>
                            <a:off x="2203450" y="4046220"/>
                            <a:ext cx="580390" cy="28321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r>
                                <w:rPr>
                                  <w:rFonts w:hint="eastAsia" w:cs="Times New Roman"/>
                                  <w:sz w:val="21"/>
                                  <w:szCs w:val="21"/>
                                  <w:lang w:val="en-US" w:eastAsia="zh-CN"/>
                                </w:rPr>
                                <w:t>695</w:t>
                              </w:r>
                            </w:p>
                          </w:txbxContent>
                        </wps:txbx>
                        <wps:bodyPr upright="1"/>
                      </wps:wsp>
                      <wps:wsp>
                        <wps:cNvPr id="108" name="直接连接符 108"/>
                        <wps:cNvCnPr/>
                        <wps:spPr>
                          <a:xfrm>
                            <a:off x="1163320" y="2256155"/>
                            <a:ext cx="619125" cy="635"/>
                          </a:xfrm>
                          <a:prstGeom prst="line">
                            <a:avLst/>
                          </a:prstGeom>
                          <a:ln w="9525" cap="flat" cmpd="sng">
                            <a:solidFill>
                              <a:srgbClr val="000000"/>
                            </a:solidFill>
                            <a:prstDash val="solid"/>
                            <a:headEnd type="none" w="med" len="med"/>
                            <a:tailEnd type="triangle" w="med" len="med"/>
                          </a:ln>
                        </wps:spPr>
                        <wps:bodyPr upright="1"/>
                      </wps:wsp>
                      <wps:wsp>
                        <wps:cNvPr id="110" name="矩形 110"/>
                        <wps:cNvSpPr/>
                        <wps:spPr>
                          <a:xfrm>
                            <a:off x="1752600" y="2159635"/>
                            <a:ext cx="882650" cy="26670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育肥猪</w:t>
                              </w:r>
                            </w:p>
                            <w:p>
                              <w:pPr>
                                <w:widowControl w:val="0"/>
                                <w:spacing w:line="240" w:lineRule="atLeast"/>
                                <w:ind w:firstLine="0" w:firstLineChars="0"/>
                                <w:jc w:val="center"/>
                                <w:rPr>
                                  <w:rFonts w:ascii="Calibri" w:hAnsi="Calibri" w:cs="Times New Roman"/>
                                  <w:b/>
                                  <w:sz w:val="21"/>
                                  <w:szCs w:val="21"/>
                                </w:rPr>
                              </w:pPr>
                            </w:p>
                          </w:txbxContent>
                        </wps:txbx>
                        <wps:bodyPr lIns="0" tIns="45720" rIns="0" bIns="45720" upright="1"/>
                      </wps:wsp>
                      <wps:wsp>
                        <wps:cNvPr id="111" name="直接连接符 111"/>
                        <wps:cNvCnPr/>
                        <wps:spPr>
                          <a:xfrm>
                            <a:off x="2639060" y="2291080"/>
                            <a:ext cx="589915" cy="635"/>
                          </a:xfrm>
                          <a:prstGeom prst="line">
                            <a:avLst/>
                          </a:prstGeom>
                          <a:ln w="9525" cap="flat" cmpd="sng">
                            <a:solidFill>
                              <a:srgbClr val="000000"/>
                            </a:solidFill>
                            <a:prstDash val="solid"/>
                            <a:headEnd type="none" w="med" len="med"/>
                            <a:tailEnd type="triangle" w="med" len="med"/>
                          </a:ln>
                        </wps:spPr>
                        <wps:bodyPr upright="1"/>
                      </wps:wsp>
                      <wps:wsp>
                        <wps:cNvPr id="112" name="矩形 112"/>
                        <wps:cNvSpPr/>
                        <wps:spPr>
                          <a:xfrm>
                            <a:off x="3213735" y="2131695"/>
                            <a:ext cx="567055" cy="306070"/>
                          </a:xfrm>
                          <a:prstGeom prst="rect">
                            <a:avLst/>
                          </a:prstGeom>
                          <a:noFill/>
                          <a:ln w="9525" cap="flat" cmpd="sng">
                            <a:solidFill>
                              <a:srgbClr val="000000"/>
                            </a:solidFill>
                            <a:prstDash val="solid"/>
                            <a:miter/>
                            <a:headEnd type="none" w="med" len="med"/>
                            <a:tailEnd type="none" w="med" len="med"/>
                          </a:ln>
                        </wps:spPr>
                        <wps:txbx>
                          <w:txbxContent>
                            <w:p>
                              <w:pPr>
                                <w:widowControl w:val="0"/>
                                <w:spacing w:line="240" w:lineRule="auto"/>
                                <w:ind w:firstLine="210" w:firstLineChars="100"/>
                                <w:rPr>
                                  <w:rFonts w:ascii="Calibri" w:hAnsi="Calibri" w:cs="Times New Roman"/>
                                  <w:sz w:val="21"/>
                                  <w:szCs w:val="21"/>
                                </w:rPr>
                              </w:pPr>
                              <w:r>
                                <w:rPr>
                                  <w:rFonts w:hint="eastAsia" w:ascii="Calibri" w:hAnsi="Calibri" w:cs="Times New Roman"/>
                                  <w:sz w:val="21"/>
                                  <w:szCs w:val="21"/>
                                </w:rPr>
                                <w:t>猪粪</w:t>
                              </w:r>
                            </w:p>
                          </w:txbxContent>
                        </wps:txbx>
                        <wps:bodyPr lIns="0" tIns="50400" rIns="0" bIns="46800" upright="1"/>
                      </wps:wsp>
                      <wps:wsp>
                        <wps:cNvPr id="114" name="直接连接符 114"/>
                        <wps:cNvCnPr/>
                        <wps:spPr>
                          <a:xfrm flipV="1">
                            <a:off x="2167890" y="2028190"/>
                            <a:ext cx="243205" cy="147320"/>
                          </a:xfrm>
                          <a:prstGeom prst="line">
                            <a:avLst/>
                          </a:prstGeom>
                          <a:ln w="9525" cap="flat" cmpd="sng">
                            <a:solidFill>
                              <a:srgbClr val="000000"/>
                            </a:solidFill>
                            <a:prstDash val="lgDash"/>
                            <a:headEnd type="none" w="med" len="med"/>
                            <a:tailEnd type="triangle" w="med" len="med"/>
                          </a:ln>
                        </wps:spPr>
                        <wps:bodyPr upright="1"/>
                      </wps:wsp>
                      <wps:wsp>
                        <wps:cNvPr id="122" name="直接箭头连接符 122"/>
                        <wps:cNvCnPr/>
                        <wps:spPr>
                          <a:xfrm flipV="1">
                            <a:off x="3775075" y="2277745"/>
                            <a:ext cx="303530" cy="4445"/>
                          </a:xfrm>
                          <a:prstGeom prst="straightConnector1">
                            <a:avLst/>
                          </a:prstGeom>
                          <a:ln w="9525" cap="flat" cmpd="sng">
                            <a:solidFill>
                              <a:srgbClr val="000000"/>
                            </a:solidFill>
                            <a:prstDash val="solid"/>
                            <a:headEnd type="none" w="med" len="med"/>
                            <a:tailEnd type="none" w="med" len="med"/>
                          </a:ln>
                        </wps:spPr>
                        <wps:bodyPr/>
                      </wps:wsp>
                      <wps:wsp>
                        <wps:cNvPr id="138" name="矩形 138"/>
                        <wps:cNvSpPr/>
                        <wps:spPr>
                          <a:xfrm>
                            <a:off x="1086485" y="1996440"/>
                            <a:ext cx="727710" cy="198755"/>
                          </a:xfrm>
                          <a:prstGeom prst="rect">
                            <a:avLst/>
                          </a:prstGeom>
                          <a:solidFill>
                            <a:srgbClr val="FFFFFF">
                              <a:alpha val="0"/>
                            </a:srgbClr>
                          </a:solidFill>
                          <a:ln>
                            <a:noFill/>
                          </a:ln>
                        </wps:spPr>
                        <wps:txbx>
                          <w:txbxContent>
                            <w:p>
                              <w:pPr>
                                <w:widowControl w:val="0"/>
                                <w:spacing w:line="200" w:lineRule="exact"/>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97.18</w:t>
                              </w:r>
                            </w:p>
                          </w:txbxContent>
                        </wps:txbx>
                        <wps:bodyPr upright="1"/>
                      </wps:wsp>
                      <wps:wsp>
                        <wps:cNvPr id="154" name="文本框 154"/>
                        <wps:cNvSpPr txBox="1"/>
                        <wps:spPr>
                          <a:xfrm>
                            <a:off x="1616075" y="1729105"/>
                            <a:ext cx="1373505" cy="302260"/>
                          </a:xfrm>
                          <a:prstGeom prst="rect">
                            <a:avLst/>
                          </a:prstGeom>
                          <a:no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生长吸收</w:t>
                              </w:r>
                              <w:r>
                                <w:rPr>
                                  <w:rFonts w:hint="eastAsia" w:cs="Times New Roman"/>
                                  <w:sz w:val="21"/>
                                  <w:szCs w:val="21"/>
                                  <w:lang w:val="en-US" w:eastAsia="zh-CN"/>
                                </w:rPr>
                                <w:t>87.38</w:t>
                              </w:r>
                            </w:p>
                          </w:txbxContent>
                        </wps:txbx>
                        <wps:bodyPr upright="1">
                          <a:spAutoFit/>
                        </wps:bodyPr>
                      </wps:wsp>
                      <wps:wsp>
                        <wps:cNvPr id="176" name="矩形 176"/>
                        <wps:cNvSpPr/>
                        <wps:spPr>
                          <a:xfrm>
                            <a:off x="2669540" y="2018030"/>
                            <a:ext cx="485775" cy="216535"/>
                          </a:xfrm>
                          <a:prstGeom prst="rect">
                            <a:avLst/>
                          </a:prstGeom>
                          <a:solidFill>
                            <a:srgbClr val="FFFFFF">
                              <a:alpha val="0"/>
                            </a:srgbClr>
                          </a:solidFill>
                          <a:ln>
                            <a:noFill/>
                          </a:ln>
                        </wps:spPr>
                        <wps:txb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9.8</w:t>
                              </w:r>
                            </w:p>
                          </w:txbxContent>
                        </wps:txbx>
                        <wps:bodyPr upright="1"/>
                      </wps:wsp>
                      <wps:wsp>
                        <wps:cNvPr id="179" name="文本框 179"/>
                        <wps:cNvSpPr txBox="1"/>
                        <wps:spPr>
                          <a:xfrm>
                            <a:off x="2235835" y="3505200"/>
                            <a:ext cx="580390" cy="28321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r>
                                <w:rPr>
                                  <w:rFonts w:hint="eastAsia" w:cs="Times New Roman"/>
                                  <w:sz w:val="21"/>
                                  <w:szCs w:val="21"/>
                                  <w:lang w:val="en-US" w:eastAsia="zh-CN"/>
                                </w:rPr>
                                <w:t>695</w:t>
                              </w:r>
                            </w:p>
                          </w:txbxContent>
                        </wps:txbx>
                        <wps:bodyPr upright="1"/>
                      </wps:wsp>
                    </wpc:wpc>
                  </a:graphicData>
                </a:graphic>
              </wp:anchor>
            </w:drawing>
          </mc:Choice>
          <mc:Fallback>
            <w:pict>
              <v:group id="_x0000_s1026" o:spid="_x0000_s1026" o:spt="203" style="position:absolute;left:0pt;margin-left:3pt;margin-top:7.3pt;height:434.7pt;width:429.2pt;mso-wrap-distance-bottom:0pt;mso-wrap-distance-left:9pt;mso-wrap-distance-right:9pt;mso-wrap-distance-top:0pt;z-index:259346432;mso-width-relative:page;mso-height-relative:page;" coordsize="5450840,5520690" editas="canvas" o:gfxdata="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">
                <o:lock v:ext="edit" aspectratio="f"/>
                <v:shape id="_x0000_s1026" o:spid="_x0000_s1026" style="position:absolute;left:0;top:0;height:5520690;width:5450840;" filled="f" stroked="f" coordsize="21600,21600" o:gfxdata="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">
                  <v:fill on="f" focussize="0,0"/>
                  <v:stroke on="f"/>
                  <v:imagedata o:title=""/>
                  <o:lock v:ext="edit" aspectratio="t"/>
                </v:shape>
                <v:rect id="_x0000_s1026" o:spid="_x0000_s1026" o:spt="1" style="position:absolute;left:123825;top:1384935;height:271780;width:467360;" fillcolor="#FFFFFF" filled="t" stroked="t" coordsize="21600,21600" o:gfxdata="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bYFAXXAAAACAEAAA8AAAAAAAAAAQAgAAAAIgAAAGRycy9kb3du&#10;cmV2LnhtbFBLAQIUABQAAAAIAIdO4kB/HwdnAAIAAAQEAAAOAAAAAAAAAAEAIAAAACYBAABkcnMv&#10;ZTJvRG9jLnhtbFBLBQYAAAAABgAGAFkBAACYBQAAAAA=&#10;">
                  <v:fill on="t" opacity="0f" focussize="0,0"/>
                  <v:stroke color="#000000" joinstyle="miter"/>
                  <v:imagedata o:title=""/>
                  <o:lock v:ext="edit" aspectratio="f"/>
                  <v:textbox>
                    <w:txbxContent>
                      <w:p>
                        <w:pPr>
                          <w:widowControl w:val="0"/>
                          <w:spacing w:line="240" w:lineRule="auto"/>
                          <w:ind w:firstLine="0" w:firstLineChars="0"/>
                          <w:rPr>
                            <w:rFonts w:ascii="Calibri" w:hAnsi="Calibri" w:cs="Times New Roman"/>
                            <w:sz w:val="21"/>
                            <w:szCs w:val="21"/>
                          </w:rPr>
                        </w:pPr>
                        <w:r>
                          <w:rPr>
                            <w:rFonts w:hint="eastAsia" w:ascii="Calibri" w:hAnsi="Calibri" w:cs="Times New Roman"/>
                            <w:sz w:val="21"/>
                            <w:szCs w:val="21"/>
                          </w:rPr>
                          <w:t>饲料</w:t>
                        </w:r>
                      </w:p>
                    </w:txbxContent>
                  </v:textbox>
                </v:rect>
                <v:rect id="_x0000_s1026" o:spid="_x0000_s1026" o:spt="1" style="position:absolute;left:1081405;top:403860;height:249555;width:688975;" fillcolor="#FFFFFF" filled="t" stroked="f" coordsize="21600,21600" o:gfxdata="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2&#10;QSKG1wAAAAgBAAAPAAAAAAAAAAEAIAAAACIAAABkcnMvZG93bnJldi54bWxQSwECFAAUAAAACACH&#10;TuJAgY29MbMBAABFAwAADgAAAAAAAAABACAAAAAmAQAAZHJzL2Uyb0RvYy54bWxQSwUGAAAAAAYA&#10;BgBZAQAASwUAAAAA&#10;">
                  <v:fill on="t" opacity="0f" focussize="0,0"/>
                  <v:stroke on="f"/>
                  <v:imagedata o:title=""/>
                  <o:lock v:ext="edit" aspectratio="f"/>
                  <v:textbox>
                    <w:txbxContent>
                      <w:p>
                        <w:pPr>
                          <w:widowControl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15.76</w:t>
                        </w:r>
                      </w:p>
                    </w:txbxContent>
                  </v:textbox>
                </v:rect>
                <v:line id="_x0000_s1026" o:spid="_x0000_s1026" o:spt="20" style="position:absolute;left:600710;top:1525905;height:635;width:563880;" filled="f" stroked="t" coordsize="21600,21600" o:gfxdata="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HdJbTZAAAACAEAAA8AAAAAAAAAAQAgAAAAIgAAAGRycy9kb3ducmV2LnhtbFBLAQIUABQA&#10;AAAIAIdO4kB8RPvh7wEAAKgDAAAOAAAAAAAAAAEAIAAAACgBAABkcnMvZTJvRG9jLnhtbFBLBQYA&#10;AAAABgAGAFkBAACJBQAAAAA=&#10;">
                  <v:fill on="f" focussize="0,0"/>
                  <v:stroke color="#000000" joinstyle="round" endarrow="block"/>
                  <v:imagedata o:title=""/>
                  <o:lock v:ext="edit" aspectratio="f"/>
                </v:line>
                <v:line id="_x0000_s1026" o:spid="_x0000_s1026" o:spt="20" style="position:absolute;left:1158208;top:673103;height:600;width:619105;" filled="f" stroked="t" coordsize="21600,21600" o:gfxdata="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h3SW02QAAAAgBAAAPAAAAAAAAAAEAIAAAACIAAABkcnMvZG93bnJldi54bWxQSwECFAAU&#10;AAAACACHTuJAGds35/ABAACoAwAADgAAAAAAAAABACAAAAAoAQAAZHJzL2Uyb0RvYy54bWxQSwUG&#10;AAAAAAYABgBZAQAAigUAAAAA&#10;">
                  <v:fill on="f" focussize="0,0"/>
                  <v:stroke color="#000000" joinstyle="round" endarrow="block"/>
                  <v:imagedata o:title=""/>
                  <o:lock v:ext="edit" aspectratio="f"/>
                </v:line>
                <v:line id="_x0000_s1026" o:spid="_x0000_s1026" o:spt="20" style="position:absolute;left:1158809;top:669203;height:1584000;width:0;" filled="f" stroked="t" coordsize="21600,21600" o:gfxdata="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jIhJbW&#10;AAAACAEAAA8AAAAAAAAAAQAgAAAAIgAAAGRycy9kb3ducmV2LnhtbFBLAQIUABQAAAAIAIdO4kAj&#10;8LwK6QEAAKMDAAAOAAAAAAAAAAEAIAAAACUBAABkcnMvZTJvRG9jLnhtbFBLBQYAAAAABgAGAFkB&#10;AACABQAAAAA=&#10;">
                  <v:fill on="f" focussize="0,0"/>
                  <v:stroke color="#000000" joinstyle="round"/>
                  <v:imagedata o:title=""/>
                  <o:lock v:ext="edit" aspectratio="f"/>
                </v:line>
                <v:rect id="_x0000_s1026" o:spid="_x0000_s1026" o:spt="1" style="position:absolute;left:1763313;top:509203;height:288301;width:797006;" filled="f" stroked="t" coordsize="21600,21600" o:gfxdata="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yKwjs1QAAAAgBAAAPAAAAAAAAAAEAIAAAACIAAABkcnMvZG93&#10;bnJldi54bWxQSwECFAAUAAAACACHTuJAhBQ4pgMCAADqAwAADgAAAAAAAAABACAAAAAkAQAAZHJz&#10;L2Uyb0RvYy54bWxQSwUGAAAAAAYABgBZAQAAmQUAAAAA&#10;">
                  <v:fill on="f" focussize="0,0"/>
                  <v:stroke color="#000000" joinstyle="miter"/>
                  <v:imagedata o:title=""/>
                  <o:lock v:ext="edit" aspectratio="f"/>
                  <v:textbox inset="0mm,1.4mm,0mm,1.3mm">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lang w:eastAsia="zh-CN"/>
                          </w:rPr>
                          <w:t>保育</w:t>
                        </w:r>
                        <w:r>
                          <w:rPr>
                            <w:rFonts w:hint="eastAsia" w:ascii="Calibri" w:hAnsi="Calibri" w:cs="Times New Roman"/>
                            <w:sz w:val="21"/>
                            <w:szCs w:val="21"/>
                          </w:rPr>
                          <w:t>猪</w:t>
                        </w:r>
                      </w:p>
                    </w:txbxContent>
                  </v:textbox>
                </v:rect>
                <v:line id="_x0000_s1026" o:spid="_x0000_s1026" o:spt="20" style="position:absolute;left:2567319;top:669203;height:700;width:691505;" filled="f" stroked="t" coordsize="21600,21600" o:gfxdata="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HdJbTZAAAACAEAAA8AAAAAAAAAAQAgAAAAIgAAAGRycy9kb3ducmV2LnhtbFBLAQIU&#10;ABQAAAAIAIdO4kALyAa58gEAAKgDAAAOAAAAAAAAAAEAIAAAACgBAABkcnMvZTJvRG9jLnhtbFBL&#10;BQYAAAAABgAGAFkBAACMBQAAAAA=&#10;">
                  <v:fill on="f" focussize="0,0"/>
                  <v:stroke color="#000000" joinstyle="round" endarrow="block"/>
                  <v:imagedata o:title=""/>
                  <o:lock v:ext="edit" aspectratio="f"/>
                </v:line>
                <v:rect id="_x0000_s1026" o:spid="_x0000_s1026" o:spt="1" style="position:absolute;left:640080;top:1294130;height:196850;width:652145;" fillcolor="#FFFFFF" filled="t" stroked="f" coordsize="21600,21600" o:gfxdata="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ZB&#10;IobXAAAACAEAAA8AAAAAAAAAAQAgAAAAIgAAAGRycy9kb3ducmV2LnhtbFBLAQIUABQAAAAIAIdO&#10;4kCBdl0VsgEAAEUDAAAOAAAAAAAAAAEAIAAAACYBAABkcnMvZTJvRG9jLnhtbFBLBQYAAAAABgAG&#10;AFkBAABKBQ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r>
                          <w:rPr>
                            <w:rFonts w:hint="eastAsia" w:cs="Times New Roman"/>
                            <w:sz w:val="21"/>
                            <w:szCs w:val="21"/>
                            <w:lang w:val="en-US" w:eastAsia="zh-CN"/>
                          </w:rPr>
                          <w:t>12.95</w:t>
                        </w:r>
                      </w:p>
                    </w:txbxContent>
                  </v:textbox>
                </v:rect>
                <v:line id="_x0000_s1026" o:spid="_x0000_s1026" o:spt="20" style="position:absolute;left:2212916;top:311102;flip:y;height:219101;width:217802;" filled="f" stroked="t" coordsize="21600,21600" o:gfxdata="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4k/6A1AAAAAgBAAAPAAAAAAAAAAEAIAAAACIAAABkcnMvZG93bnJldi54bWxQSwEC&#10;FAAUAAAACACHTuJA208WuPgBAAC2AwAADgAAAAAAAAABACAAAAAjAQAAZHJzL2Uyb0RvYy54bWxQ&#10;SwUGAAAAAAYABgBZAQAAjQUAAAAA&#10;">
                  <v:fill on="f" focussize="0,0"/>
                  <v:stroke color="#000000" joinstyle="round" dashstyle="longDash" endarrow="block"/>
                  <v:imagedata o:title=""/>
                  <o:lock v:ext="edit" aspectratio="f"/>
                </v:line>
                <v:rect id="_x0000_s1026" o:spid="_x0000_s1026" o:spt="1" style="position:absolute;left:1836413;top:77400;height:260401;width:1355710;" fillcolor="#FFFFFF" filled="t" stroked="f" coordsize="21600,21600" o:gfxdata="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kEi&#10;htcAAAAIAQAADwAAAAAAAAABACAAAAAiAAAAZHJzL2Rvd25yZXYueG1sUEsBAhQAFAAAAAgAh07i&#10;QFccP4+xAQAARQMAAA4AAAAAAAAAAQAgAAAAJgEAAGRycy9lMm9Eb2MueG1sUEsFBgAAAAAGAAYA&#10;WQEAAEkFAAAAAA==&#10;">
                  <v:fill on="t" opacity="0f" focussize="0,0"/>
                  <v:stroke on="f"/>
                  <v:imagedata o:title=""/>
                  <o:lock v:ext="edit" aspectratio="f"/>
                  <v:textbox>
                    <w:txbxContent>
                      <w:p>
                        <w:pPr>
                          <w:widowControl w:val="0"/>
                          <w:spacing w:line="240" w:lineRule="atLeast"/>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生长吸收</w:t>
                        </w:r>
                        <w:r>
                          <w:rPr>
                            <w:rFonts w:hint="eastAsia" w:ascii="Times New Roman" w:hAnsi="Times New Roman" w:cs="Times New Roman"/>
                            <w:sz w:val="21"/>
                            <w:szCs w:val="21"/>
                            <w:lang w:val="en-US" w:eastAsia="zh-CN"/>
                          </w:rPr>
                          <w:t>1</w:t>
                        </w:r>
                        <w:r>
                          <w:rPr>
                            <w:rFonts w:hint="eastAsia" w:cs="Times New Roman"/>
                            <w:sz w:val="21"/>
                            <w:szCs w:val="21"/>
                            <w:lang w:val="en-US" w:eastAsia="zh-CN"/>
                          </w:rPr>
                          <w:t>4.26</w:t>
                        </w:r>
                      </w:p>
                    </w:txbxContent>
                  </v:textbox>
                </v:rect>
                <v:shape id="_x0000_s1026" o:spid="_x0000_s1026" o:spt="32" type="#_x0000_t32" style="position:absolute;left:3825828;top:672403;height:2600;width:248902;" filled="f" stroked="t" coordsize="21600,21600" o:gfxdata="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4i6oc1wAAAAgBAAAPAAAAAAAAAAEAIAAAACIAAABkcnMvZG93bnJldi54bWxQSwEC&#10;FAAUAAAACACHTuJANXhkefUBAACtAwAADgAAAAAAAAABACAAAAAmAQAAZHJzL2Uyb0RvYy54bWxQ&#10;SwUGAAAAAAYABgBZAQAAjQUAAAAA&#10;">
                  <v:fill on="f" focussize="0,0"/>
                  <v:stroke color="#000000" joinstyle="round"/>
                  <v:imagedata o:title=""/>
                  <o:lock v:ext="edit" aspectratio="f"/>
                </v:shape>
                <v:rect id="_x0000_s1026" o:spid="_x0000_s1026" o:spt="1" style="position:absolute;left:2688590;top:387985;height:331470;width:488315;" fillcolor="#FFFFFF" filled="t" stroked="f" coordsize="21600,21600" o:gfxdata="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2&#10;QSKG1wAAAAgBAAAPAAAAAAAAAAEAIAAAACIAAABkcnMvZG93bnJldi54bWxQSwECFAAUAAAACACH&#10;TuJAnWdHXbMBAABFAwAADgAAAAAAAAABACAAAAAmAQAAZHJzL2Uyb0RvYy54bWxQSwUGAAAAAAYA&#10;BgBZAQAASwUAAAAA&#10;">
                  <v:fill on="t" opacity="0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1.5</w:t>
                        </w:r>
                      </w:p>
                    </w:txbxContent>
                  </v:textbox>
                </v:rect>
                <v:shape id="_x0000_s1026" o:spid="_x0000_s1026" o:spt="32" type="#_x0000_t32" style="position:absolute;left:4053205;top:1479550;flip:x;height:3810;width:600710;" filled="f" stroked="t" coordsize="21600,21600" o:gfxdata="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50dqfVAAAACAEAAA8AAAAAAAAAAQAgAAAAIgAAAGRycy9kb3ducmV2LnhtbFBL&#10;AQIUABQAAAAIAIdO4kCXZTsA+QEAALgDAAAOAAAAAAAAAAEAIAAAACQBAABkcnMvZTJvRG9jLnht&#10;bFBLBQYAAAAABgAGAFkBAACPBQAAAAA=&#10;">
                  <v:fill on="f" focussize="0,0"/>
                  <v:stroke color="#000000" joinstyle="round"/>
                  <v:imagedata o:title=""/>
                  <o:lock v:ext="edit" aspectratio="f"/>
                </v:shape>
                <v:shape id="_x0000_s1026" o:spid="_x0000_s1026" o:spt="202" type="#_x0000_t202" style="position:absolute;left:4094480;top:1209675;height:304800;width:623570;" filled="f" stroked="f" coordsize="21600,21600" o:gfxdata="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rPrIc9YAAAAIAQAADwAAAAAAAAABACAA&#10;AAAiAAAAZHJzL2Rvd25yZXYueG1sUEsBAhQAFAAAAAgAh07iQOYOsU2dAQAADQMAAA4AAAAAAAAA&#10;AQAgAAAAJQEAAGRycy9lMm9Eb2MueG1sUEsFBgAAAAAGAAYAWQEAADQFAAAAAA==&#10;">
                  <v:fill on="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11.3</w:t>
                        </w:r>
                      </w:p>
                    </w:txbxContent>
                  </v:textbox>
                </v:shape>
                <v:line id="_x0000_s1026" o:spid="_x0000_s1026" o:spt="20" style="position:absolute;left:4066540;top:667385;flip:x;height:1620000;width:0;" filled="f" stroked="t" coordsize="21600,21600" o:gfxdata="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a9PYbWAAAACAEAAA8AAAAAAAAAAQAgAAAAIgAAAGRycy9kb3ducmV2LnhtbFBLAQIUABQA&#10;AAAIAIdO4kBLiEd68gEAAK0DAAAOAAAAAAAAAAEAIAAAACUBAABkcnMvZTJvRG9jLnhtbFBLBQYA&#10;AAAABgAGAFkBAACJBQAAAAA=&#10;">
                  <v:fill on="f" focussize="0,0"/>
                  <v:stroke color="#000000" joinstyle="round"/>
                  <v:imagedata o:title=""/>
                  <o:lock v:ext="edit" aspectratio="f"/>
                </v:line>
                <v:rect id="_x0000_s1026" o:spid="_x0000_s1026" o:spt="1" style="position:absolute;left:3054350;top:3121025;height:294005;width:895985;" filled="f" stroked="t" coordsize="21600,21600" o:gfxdata="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isI7NUAAAAIAQAADwAAAAAAAAABACAAAAAiAAAAZHJz&#10;L2Rvd25yZXYueG1sUEsBAhQAFAAAAAgAh07iQN7LrREHAgAA6wMAAA4AAAAAAAAAAQAgAAAAJAEA&#10;AGRycy9lMm9Eb2MueG1sUEsFBgAAAAAGAAYAWQEAAJ0FAAAAAA==&#10;">
                  <v:fill on="f" focussize="0,0"/>
                  <v:stroke color="#000000" joinstyle="miter"/>
                  <v:imagedata o:title=""/>
                  <o:lock v:ext="edit" aspectratio="f"/>
                  <v:textbox inset="0mm,1.4mm,0mm,1.3mm">
                    <w:txbxContent>
                      <w:p>
                        <w:pPr>
                          <w:widowControl w:val="0"/>
                          <w:spacing w:line="240" w:lineRule="auto"/>
                          <w:ind w:firstLine="0" w:firstLineChars="0"/>
                          <w:rPr>
                            <w:rFonts w:hint="eastAsia" w:ascii="Calibri" w:hAnsi="Calibri" w:cs="Times New Roman"/>
                            <w:sz w:val="21"/>
                            <w:szCs w:val="21"/>
                          </w:rPr>
                        </w:pPr>
                        <w:r>
                          <w:rPr>
                            <w:rFonts w:hint="eastAsia" w:ascii="Calibri" w:hAnsi="Calibri" w:cs="Times New Roman"/>
                            <w:sz w:val="21"/>
                            <w:szCs w:val="21"/>
                          </w:rPr>
                          <w:t>固粪处理区</w:t>
                        </w:r>
                      </w:p>
                    </w:txbxContent>
                  </v:textbox>
                </v:rect>
                <v:shape id="_x0000_s1026" o:spid="_x0000_s1026" o:spt="202" type="#_x0000_t202" style="position:absolute;left:4033520;top:3023870;height:302260;width:504825;" filled="f" stroked="f" coordsize="21600,21600" o:gfxdata="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M9TNHVAAAACAEAAA8A&#10;AAAAAAAAAQAgAAAAIgAAAGRycy9kb3ducmV2LnhtbFBLAQIUABQAAAAIAIdO4kBSdqVLqAEAACcD&#10;AAAOAAAAAAAAAAEAIAAAACQBAABkcnMvZTJvRG9jLnhtbFBLBQYAAAAABgAGAFkBAAA+BQA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w:t>
                        </w:r>
                        <w:r>
                          <w:rPr>
                            <w:rFonts w:hint="eastAsia" w:cs="Times New Roman"/>
                            <w:sz w:val="21"/>
                            <w:szCs w:val="21"/>
                            <w:lang w:val="en-US" w:eastAsia="zh-CN"/>
                          </w:rPr>
                          <w:t>65</w:t>
                        </w:r>
                      </w:p>
                    </w:txbxContent>
                  </v:textbox>
                </v:shape>
                <v:shape id="_x0000_s1026" o:spid="_x0000_s1026" o:spt="202" type="#_x0000_t202" style="position:absolute;left:4089400;top:3933190;height:302260;width:605155;" filled="f" stroked="f" coordsize="21600,21600" o:gfxdata="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jPUzR1QAAAAgBAAAP&#10;AAAAAAAAAAEAIAAAACIAAABkcnMvZG93bnJldi54bWxQSwECFAAUAAAACACHTuJAgL6VKakBAAAn&#10;AwAADgAAAAAAAAABACAAAAAkAQAAZHJzL2Uyb0RvYy54bWxQSwUGAAAAAAYABgBZAQAAPwUAAA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w:t>
                        </w:r>
                        <w:r>
                          <w:rPr>
                            <w:rFonts w:hint="eastAsia" w:cs="Times New Roman"/>
                            <w:sz w:val="21"/>
                            <w:szCs w:val="21"/>
                            <w:lang w:val="en-US" w:eastAsia="zh-CN"/>
                          </w:rPr>
                          <w:t>65</w:t>
                        </w:r>
                      </w:p>
                    </w:txbxContent>
                  </v:textbox>
                </v:shape>
                <v:shape id="_x0000_s1026" o:spid="_x0000_s1026" o:spt="32" type="#_x0000_t32" style="position:absolute;left:2232660;top:3312160;height:635;width:816610;" filled="f" stroked="t" coordsize="21600,21600" o:gfxdata="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hjCSnVAAAACAEAAA8AAAAAAAAAAQAgAAAAIgAAAGRycy9kb3ducmV2LnhtbFBLAQIU&#10;ABQAAAAIAIdO4kDi6Q8S9gEAALEDAAAOAAAAAAAAAAEAIAAAACQBAABkcnMvZTJvRG9jLnhtbFBL&#10;BQYAAAAABgAGAFkBAACMBQAAAAA=&#10;">
                  <v:fill on="f" focussize="0,0"/>
                  <v:stroke color="#000000" joinstyle="round" startarrow="block"/>
                  <v:imagedata o:title=""/>
                  <o:lock v:ext="edit" aspectratio="f"/>
                </v:shape>
                <v:shape id="_x0000_s1026" o:spid="_x0000_s1026" o:spt="32" type="#_x0000_t32" style="position:absolute;left:3414395;top:4472305;flip:y;height:492760;width:6985;" filled="f" stroked="t" coordsize="21600,21600" o:gfxdata="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FFWz2AAAAAgBAAAPAAAAAAAAAAEAIAAAACIAAABkcnMv&#10;ZG93bnJldi54bWxQSwECFAAUAAAACACHTuJAuyyWLwMCAAC8AwAADgAAAAAAAAABACAAAAAnAQAA&#10;ZHJzL2Uyb0RvYy54bWxQSwUGAAAAAAYABgBZAQAAnAUAAAAA&#10;">
                  <v:fill on="f" focussize="0,0"/>
                  <v:stroke color="#000000" joinstyle="round" startarrow="block"/>
                  <v:imagedata o:title=""/>
                  <o:lock v:ext="edit" aspectratio="f"/>
                </v:shape>
                <v:shape id="_x0000_s1026" o:spid="_x0000_s1026" o:spt="32" type="#_x0000_t32" style="position:absolute;left:3952875;top:3314700;flip:x y;height:1270;width:709295;" filled="f" stroked="t" coordsize="21600,21600" o:gfxdata="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Tdld1wAAAAgBAAAPAAAAAAAAAAEAIAAAACIAAABkcnMv&#10;ZG93bnJldi54bWxQSwECFAAUAAAACACHTuJAKOvnHgQCAADGAwAADgAAAAAAAAABACAAAAAmAQAA&#10;ZHJzL2Uyb0RvYy54bWxQSwUGAAAAAAYABgBZAQAAnAUAAAAA&#10;">
                  <v:fill on="f" focussize="0,0"/>
                  <v:stroke color="#000000" joinstyle="round" endarrow="block"/>
                  <v:imagedata o:title=""/>
                  <o:lock v:ext="edit" aspectratio="f"/>
                </v:shape>
                <v:rect id="_x0000_s1026" o:spid="_x0000_s1026" o:spt="1" style="position:absolute;left:1781175;top:3181985;height:258445;width:623570;" filled="f" stroked="f" coordsize="21600,21600" o:gfxdata="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la+zzXAAAA&#10;CAEAAA8AAAAAAAAAAQAgAAAAIgAAAGRycy9kb3ducmV2LnhtbFBLAQIUABQAAAAIAIdO4kCdlaC2&#10;rAEAACwDAAAOAAAAAAAAAAEAIAAAACYBAABkcnMvZTJvRG9jLnhtbFBLBQYAAAAABgAGAFkBAABE&#10;BQAAAAA=&#10;">
                  <v:fill on="f" focussize="0,0"/>
                  <v:stroke on="f"/>
                  <v:imagedata o:title=""/>
                  <o:lock v:ext="edit" aspectratio="f"/>
                  <v:textbox inset="0mm,1.4mm,0mm,1.3mm">
                    <w:txbxContent>
                      <w:p>
                        <w:pPr>
                          <w:widowControl w:val="0"/>
                          <w:spacing w:line="240" w:lineRule="auto"/>
                          <w:ind w:firstLine="0" w:firstLineChars="0"/>
                          <w:rPr>
                            <w:rFonts w:ascii="Calibri" w:hAnsi="Calibri" w:cs="Times New Roman"/>
                            <w:sz w:val="21"/>
                            <w:szCs w:val="21"/>
                          </w:rPr>
                        </w:pPr>
                        <w:r>
                          <w:rPr>
                            <w:rFonts w:hint="eastAsia" w:ascii="Calibri" w:hAnsi="Calibri" w:cs="Times New Roman"/>
                            <w:sz w:val="21"/>
                            <w:szCs w:val="21"/>
                          </w:rPr>
                          <w:t>有机肥</w:t>
                        </w:r>
                      </w:p>
                    </w:txbxContent>
                  </v:textbox>
                </v:rect>
                <v:shape id="_x0000_s1026" o:spid="_x0000_s1026" o:spt="32" type="#_x0000_t32" style="position:absolute;left:4658995;top:1477010;height:2844000;width:0;" filled="f" stroked="t" coordsize="21600,21600" o:gfxdata="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4i6oc1wAAAAgBAAAPAAAAAAAAAAEAIAAAACIAAABkcnMvZG93bnJldi54bWxQSwECFAAU&#10;AAAACACHTuJARPvCpvIBAACsAwAADgAAAAAAAAABACAAAAAmAQAAZHJzL2Uyb0RvYy54bWxQSwUG&#10;AAAAAAYABgBZAQAAigUAAAAA&#10;">
                  <v:fill on="f" focussize="0,0"/>
                  <v:stroke color="#000000" joinstyle="round"/>
                  <v:imagedata o:title=""/>
                  <o:lock v:ext="edit" aspectratio="f"/>
                </v:shape>
                <v:shape id="_x0000_s1026" o:spid="_x0000_s1026" o:spt="32" type="#_x0000_t32" style="position:absolute;left:4026535;top:4319270;flip:x;height:635;width:650240;" filled="f" stroked="t" coordsize="21600,21600" o:gfxdata="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h/EudcAAAAIAQAADwAAAAAAAAABACAAAAAiAAAAZHJzL2Rvd25y&#10;ZXYueG1sUEsBAhQAFAAAAAgAh07iQPNIstD/AQAAuwMAAA4AAAAAAAAAAQAgAAAAJgEAAGRycy9l&#10;Mm9Eb2MueG1sUEsFBgAAAAAGAAYAWQEAAJcFAAAAAA==&#10;">
                  <v:fill on="f" focussize="0,0"/>
                  <v:stroke color="#000000" joinstyle="round" endarrow="block"/>
                  <v:imagedata o:title=""/>
                  <o:lock v:ext="edit" aspectratio="f"/>
                </v:shape>
                <v:line id="_x0000_s1026" o:spid="_x0000_s1026" o:spt="20" style="position:absolute;left:3562350;top:4466590;height:260350;width:278765;" filled="f" stroked="t" coordsize="21600,21600" o:gfxdata="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UFENjWAAAACAEAAA8AAAAAAAAAAQAgAAAAIgAAAGRycy9kb3ducmV2LnhtbFBLAQIUABQA&#10;AAAIAIdO4kBZSMsK8gEAAK0DAAAOAAAAAAAAAAEAIAAAACUBAABkcnMvZTJvRG9jLnhtbFBLBQYA&#10;AAAABgAGAFkBAACJBQAAAAA=&#10;">
                  <v:fill on="f" focussize="0,0"/>
                  <v:stroke color="#000000" joinstyle="round" dashstyle="longDash" endarrow="block"/>
                  <v:imagedata o:title=""/>
                  <o:lock v:ext="edit" aspectratio="f"/>
                </v:line>
                <v:rect id="_x0000_s1026" o:spid="_x0000_s1026" o:spt="1" style="position:absolute;left:3682365;top:4796790;height:326390;width:890270;" fillcolor="#FFFFFF" filled="t" stroked="f" coordsize="21600,21600" o:gfxdata="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ZBIobXAAAACAEAAA8AAAAAAAAAAQAgAAAAIgAAAGRycy9kb3ducmV2LnhtbFBLAQIUABQAAAAI&#10;AIdO4kBdR90vtQEAAEYDAAAOAAAAAAAAAAEAIAAAACYBAABkcnMvZTJvRG9jLnhtbFBLBQYAAAAA&#10;BgAGAFkBAABNBQAAAAA=&#10;">
                  <v:fill on="t" opacity="0f" focussize="0,0"/>
                  <v:stroke on="f"/>
                  <v:imagedata o:title=""/>
                  <o:lock v:ext="edit" aspectratio="f"/>
                  <v:textbox>
                    <w:txbxContent>
                      <w:p>
                        <w:pPr>
                          <w:widowControl w:val="0"/>
                          <w:spacing w:line="240" w:lineRule="atLeast"/>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rPr>
                          <w:t>降解2.</w:t>
                        </w:r>
                        <w:r>
                          <w:rPr>
                            <w:rFonts w:hint="eastAsia" w:cs="Times New Roman"/>
                            <w:sz w:val="21"/>
                            <w:szCs w:val="21"/>
                            <w:lang w:val="en-US" w:eastAsia="zh-CN"/>
                          </w:rPr>
                          <w:t>825</w:t>
                        </w:r>
                      </w:p>
                    </w:txbxContent>
                  </v:textbox>
                </v:rect>
                <v:shape id="_x0000_s1026" o:spid="_x0000_s1026" o:spt="202" type="#_x0000_t202" style="position:absolute;left:2425700;top:3004185;height:302260;width:633730;" filled="f" stroked="f" coordsize="21600,21600" o:gfxdata="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4z1M0dUAAAAIAQAA&#10;DwAAAAAAAAABACAAAAAiAAAAZHJzL2Rvd25yZXYueG1sUEsBAhQAFAAAAAgAh07iQDM9O0SqAQAA&#10;JwMAAA4AAAAAAAAAAQAgAAAAJAEAAGRycy9lMm9Eb2MueG1sUEsFBgAAAAAGAAYAWQEAAEAFAAAA&#10;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7.345</w:t>
                        </w:r>
                      </w:p>
                    </w:txbxContent>
                  </v:textbox>
                </v:shape>
                <v:rect id="_x0000_s1026" o:spid="_x0000_s1026" o:spt="1" style="position:absolute;left:2807970;top:4193540;height:271780;width:1229360;" filled="f" stroked="t" coordsize="21600,21600" o:gfxdata="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IrCOzVAAAACAEAAA8AAAAAAAAAAQAgAAAAIgAAAGRycy9k&#10;b3ducmV2LnhtbFBLAQIUABQAAAAIAIdO4kBouFDrBQIAAOwDAAAOAAAAAAAAAAEAIAAAACQBAABk&#10;cnMvZTJvRG9jLnhtbFBLBQYAAAAABgAGAFkBAACbBQAAAAA=&#10;">
                  <v:fill on="f" focussize="0,0"/>
                  <v:stroke color="#000000" joinstyle="miter"/>
                  <v:imagedata o:title=""/>
                  <o:lock v:ext="edit" aspectratio="f"/>
                  <v:textbox inset="0mm,1.4mm,0mm,1.3mm">
                    <w:txbxContent>
                      <w:p>
                        <w:pPr>
                          <w:widowControl w:val="0"/>
                          <w:spacing w:line="240" w:lineRule="auto"/>
                          <w:ind w:firstLine="315" w:firstLineChars="150"/>
                          <w:rPr>
                            <w:rFonts w:ascii="Calibri" w:hAnsi="Calibri" w:cs="Times New Roman"/>
                            <w:sz w:val="21"/>
                            <w:szCs w:val="21"/>
                          </w:rPr>
                        </w:pPr>
                        <w:r>
                          <w:rPr>
                            <w:rFonts w:hint="eastAsia" w:ascii="Calibri" w:hAnsi="Calibri" w:cs="Times New Roman"/>
                            <w:sz w:val="21"/>
                            <w:szCs w:val="21"/>
                          </w:rPr>
                          <w:t>污水处理站</w:t>
                        </w:r>
                      </w:p>
                    </w:txbxContent>
                  </v:textbox>
                </v:rect>
                <v:shape id="_x0000_s1026" o:spid="_x0000_s1026" o:spt="202" type="#_x0000_t202" style="position:absolute;left:1958975;top:4920615;height:513080;width:723900;" filled="f" stroked="f" coordsize="21600,21600" o:gfxdata="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OM9TNHVAAAACAEA&#10;AA8AAAAAAAAAAQAgAAAAIgAAAGRycy9kb3ducmV2LnhtbFBLAQIUABQAAAAIAIdO4kDBBy92qwEA&#10;ACcDAAAOAAAAAAAAAAEAIAAAACQBAABkcnMvZTJvRG9jLnhtbFBLBQYAAAAABgAGAFkBAABBBQAA&#10;AAA=&#10;">
                  <v:fill on="f" focussize="0,0"/>
                  <v:stroke on="f"/>
                  <v:imagedata o:title=""/>
                  <o:lock v:ext="edit" aspectratio="f"/>
                  <v:textbox style="mso-fit-shape-to-text:t;">
                    <w:txbxContent>
                      <w:p>
                        <w:pPr>
                          <w:widowControl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rPr>
                          <w:t>土地利用</w:t>
                        </w:r>
                        <w:r>
                          <w:rPr>
                            <w:rFonts w:hint="eastAsia" w:ascii="Times New Roman" w:hAnsi="Times New Roman" w:cs="Times New Roman"/>
                            <w:sz w:val="21"/>
                            <w:szCs w:val="21"/>
                            <w:lang w:val="en-US" w:eastAsia="zh-CN"/>
                          </w:rPr>
                          <w:t>1.</w:t>
                        </w:r>
                        <w:r>
                          <w:rPr>
                            <w:rFonts w:hint="eastAsia" w:cs="Times New Roman"/>
                            <w:sz w:val="21"/>
                            <w:szCs w:val="21"/>
                            <w:lang w:val="en-US" w:eastAsia="zh-CN"/>
                          </w:rPr>
                          <w:t>13</w:t>
                        </w:r>
                      </w:p>
                    </w:txbxContent>
                  </v:textbox>
                </v:shape>
                <v:rect id="_x0000_s1026" o:spid="_x0000_s1026" o:spt="1" style="position:absolute;left:3258824;top:526403;height:292101;width:567004;" filled="f" stroked="t" coordsize="21600,21600" o:gfxdata="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isI7NUAAAAIAQAADwAAAAAAAAABACAAAAAiAAAAZHJzL2Rv&#10;d25yZXYueG1sUEsBAhQAFAAAAAgAh07iQI/sgmEEAgAA6gMAAA4AAAAAAAAAAQAgAAAAJAEAAGRy&#10;cy9lMm9Eb2MueG1sUEsFBgAAAAAGAAYAWQEAAJoFAAAAAA==&#10;">
                  <v:fill on="f" focussize="0,0"/>
                  <v:stroke color="#000000" joinstyle="miter"/>
                  <v:imagedata o:title=""/>
                  <o:lock v:ext="edit" aspectratio="f"/>
                  <v:textbox inset="0mm,1.4mm,0mm,1.3mm">
                    <w:txbxContent>
                      <w:p>
                        <w:pPr>
                          <w:widowControl w:val="0"/>
                          <w:spacing w:line="240" w:lineRule="auto"/>
                          <w:ind w:firstLine="0" w:firstLineChars="0"/>
                          <w:rPr>
                            <w:rFonts w:ascii="Calibri" w:hAnsi="Calibri" w:cs="Times New Roman"/>
                            <w:sz w:val="21"/>
                            <w:szCs w:val="21"/>
                          </w:rPr>
                        </w:pPr>
                        <w:r>
                          <w:rPr>
                            <w:rFonts w:hint="eastAsia" w:ascii="Calibri" w:hAnsi="Calibri" w:cs="Times New Roman"/>
                            <w:sz w:val="21"/>
                            <w:szCs w:val="21"/>
                          </w:rPr>
                          <w:t>猪粪</w:t>
                        </w:r>
                      </w:p>
                    </w:txbxContent>
                  </v:textbox>
                </v:rect>
                <v:shape id="_x0000_s1026" o:spid="_x0000_s1026" o:spt="32" type="#_x0000_t32" style="position:absolute;left:2148840;top:4347845;flip:x;height:635;width:650240;" filled="f" stroked="t" coordsize="21600,21600" o:gfxdata="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YfxLnXAAAACAEAAA8AAAAAAAAAAQAgAAAAIgAAAGRycy9kb3du&#10;cmV2LnhtbFBLAQIUABQAAAAIAIdO4kD5PAR0AAIAALsDAAAOAAAAAAAAAAEAIAAAACYBAABkcnMv&#10;ZTJvRG9jLnhtbFBLBQYAAAAABgAGAFkBAACYBQAAAAA=&#10;">
                  <v:fill on="f" focussize="0,0"/>
                  <v:stroke color="#000000" joinstyle="round" endarrow="block"/>
                  <v:imagedata o:title=""/>
                  <o:lock v:ext="edit" aspectratio="f"/>
                </v:shape>
                <v:rect id="_x0000_s1026" o:spid="_x0000_s1026" o:spt="1" style="position:absolute;left:3179445;top:4967605;height:283210;width:447040;" filled="f" stroked="t" coordsize="21600,21600" o:gfxdata="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isI7NUAAAAIAQAADwAAAAAAAAABACAAAAAiAAAAZHJz&#10;L2Rvd25yZXYueG1sUEsBAhQAFAAAAAgAh07iQFBcJ/wHAgAA6wMAAA4AAAAAAAAAAQAgAAAAJAEA&#10;AGRycy9lMm9Eb2MueG1sUEsFBgAAAAAGAAYAWQEAAJ0FAAAAAA==&#10;">
                  <v:fill on="f" focussize="0,0"/>
                  <v:stroke color="#000000" joinstyle="miter"/>
                  <v:imagedata o:title=""/>
                  <o:lock v:ext="edit" aspectratio="f"/>
                  <v:textbox inset="0mm,1.4mm,0mm,1.3mm">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沼液</w:t>
                        </w:r>
                      </w:p>
                    </w:txbxContent>
                  </v:textbox>
                </v:rect>
                <v:shape id="_x0000_s1026" o:spid="_x0000_s1026" o:spt="202" type="#_x0000_t202" style="position:absolute;left:2857500;top:4677410;height:302260;width:587375;" filled="f" stroked="f" coordsize="21600,21600" o:gfxdata="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4z1M0dUAAAAIAQAA&#10;DwAAAAAAAAABACAAAAAiAAAAZHJzL2Rvd25yZXYueG1sUEsBAhQAFAAAAAgAh07iQHSboP+qAQAA&#10;JwMAAA4AAAAAAAAAAQAgAAAAJAEAAGRycy9lMm9Eb2MueG1sUEsFBgAAAAAGAAYAWQEAAEAFAAAA&#10;AA==&#10;">
                  <v:fill on="f" focussize="0,0"/>
                  <v:stroke on="f"/>
                  <v:imagedata o:title=""/>
                  <o:lock v:ext="edit" aspectratio="f"/>
                  <v:textbox style="mso-fit-shape-to-text:t;">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r>
                          <w:rPr>
                            <w:rFonts w:hint="eastAsia" w:cs="Times New Roman"/>
                            <w:sz w:val="21"/>
                            <w:szCs w:val="21"/>
                            <w:lang w:val="en-US" w:eastAsia="zh-CN"/>
                          </w:rPr>
                          <w:t>13</w:t>
                        </w:r>
                      </w:p>
                    </w:txbxContent>
                  </v:textbox>
                </v:shape>
                <v:shape id="_x0000_s1026" o:spid="_x0000_s1026" o:spt="32" type="#_x0000_t32" style="position:absolute;left:2680335;top:5139690;flip:x;height:635;width:494030;" filled="f" stroked="t" coordsize="21600,21600" o:gfxdata="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YfxLnXAAAACAEAAA8AAAAAAAAAAQAgAAAAIgAAAGRycy9kb3du&#10;cmV2LnhtbFBLAQIUABQAAAAIAIdO4kDBcajPAAIAALsDAAAOAAAAAAAAAAEAIAAAACYBAABkcnMv&#10;ZTJvRG9jLnhtbFBLBQYAAAAABgAGAFkBAACYBQAAAAA=&#10;">
                  <v:fill on="f" focussize="0,0"/>
                  <v:stroke color="#000000" joinstyle="round" endarrow="block"/>
                  <v:imagedata o:title=""/>
                  <o:lock v:ext="edit" aspectratio="f"/>
                </v:shape>
                <v:rect id="_x0000_s1026" o:spid="_x0000_s1026" o:spt="1" style="position:absolute;left:1699895;top:4168775;height:283210;width:447040;" filled="f" stroked="t" coordsize="21600,21600" o:gfxdata="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&#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IrCOzVAAAACAEAAA8AAAAAAAAAAQAgAAAAIgAAAGRy&#10;cy9kb3ducmV2LnhtbFBLAQIUABQAAAAIAIdO4kAjQW/XCAIAAOsDAAAOAAAAAAAAAAEAIAAAACQB&#10;AABkcnMvZTJvRG9jLnhtbFBLBQYAAAAABgAGAFkBAACeBQAAAAA=&#10;">
                  <v:fill on="f" focussize="0,0"/>
                  <v:stroke color="#000000" joinstyle="miter"/>
                  <v:imagedata o:title=""/>
                  <o:lock v:ext="edit" aspectratio="f"/>
                  <v:textbox inset="0mm,1.4mm,0mm,1.3mm">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沼渣</w:t>
                        </w:r>
                      </w:p>
                    </w:txbxContent>
                  </v:textbox>
                </v:rect>
                <v:shape id="_x0000_s1026" o:spid="_x0000_s1026" o:spt="32" type="#_x0000_t32" style="position:absolute;left:1958975;top:3728720;flip:y;height:426720;width:3810;" filled="f" stroked="t" coordsize="21600,21600" o:gfxdata="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50dqfVAAAACAEAAA8AAAAAAAAAAQAgAAAAIgAAAGRycy9kb3ducmV2LnhtbFBL&#10;AQIUABQAAAAIAIdO4kAR4v7w+QEAALgDAAAOAAAAAAAAAAEAIAAAACQBAABkcnMvZTJvRG9jLnht&#10;bFBLBQYAAAAABgAGAFkBAACPBQAAAAA=&#10;">
                  <v:fill on="f" focussize="0,0"/>
                  <v:stroke color="#000000" joinstyle="round"/>
                  <v:imagedata o:title=""/>
                  <o:lock v:ext="edit" aspectratio="f"/>
                </v:shape>
                <v:shape id="_x0000_s1026" o:spid="_x0000_s1026" o:spt="32" type="#_x0000_t32" style="position:absolute;left:1948815;top:3715385;flip:y;height:20320;width:1629410;" filled="f" stroked="t" coordsize="21600,21600" o:gfxdata="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OdHan1QAAAAgBAAAPAAAAAAAAAAEAIAAAACIAAABkcnMvZG93bnJldi54&#10;bWxQSwECFAAUAAAACACHTuJAyixLMf0BAAC6AwAADgAAAAAAAAABACAAAAAkAQAAZHJzL2Uyb0Rv&#10;Yy54bWxQSwUGAAAAAAYABgBZAQAAkwUAAAAA&#10;">
                  <v:fill on="f" focussize="0,0"/>
                  <v:stroke color="#000000" joinstyle="round"/>
                  <v:imagedata o:title=""/>
                  <o:lock v:ext="edit" aspectratio="f"/>
                </v:shape>
                <v:shape id="_x0000_s1026" o:spid="_x0000_s1026" o:spt="32" type="#_x0000_t32" style="position:absolute;left:3577590;top:3430905;flip:y;height:287655;width:635;" filled="f" stroked="t" coordsize="21600,21600" o:gfxdata="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WH8S51wAAAAgBAAAPAAAAAAAAAAEAIAAAACIAAABkcnMvZG93&#10;bnJldi54bWxQSwECFAAUAAAACACHTuJAhYeXSQECAAC9AwAADgAAAAAAAAABACAAAAAmAQAAZHJz&#10;L2Uyb0RvYy54bWxQSwUGAAAAAAYABgBZAQAAmQUAAAAA&#10;">
                  <v:fill on="f" focussize="0,0"/>
                  <v:stroke color="#000000" joinstyle="round" endarrow="block"/>
                  <v:imagedata o:title=""/>
                  <o:lock v:ext="edit" aspectratio="f"/>
                </v:shape>
                <v:shape id="_x0000_s1026" o:spid="_x0000_s1026" o:spt="202" type="#_x0000_t202" style="position:absolute;left:2203450;top:4046220;height:283210;width:580390;" filled="f" stroked="f" coordsize="21600,21600" o:gfxdata="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rPrIc9YAAAAIAQAADwAAAAAAAAABACAA&#10;AAAiAAAAZHJzL2Rvd25yZXYueG1sUEsBAhQAFAAAAAgAh07iQKUhP0qdAQAADwMAAA4AAAAAAAAA&#10;AQAgAAAAJQEAAGRycy9lMm9Eb2MueG1sUEsFBgAAAAAGAAYAWQEAADQFAAAAAA==&#10;">
                  <v:fill on="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r>
                          <w:rPr>
                            <w:rFonts w:hint="eastAsia" w:cs="Times New Roman"/>
                            <w:sz w:val="21"/>
                            <w:szCs w:val="21"/>
                            <w:lang w:val="en-US" w:eastAsia="zh-CN"/>
                          </w:rPr>
                          <w:t>695</w:t>
                        </w:r>
                      </w:p>
                    </w:txbxContent>
                  </v:textbox>
                </v:shape>
                <v:line id="_x0000_s1026" o:spid="_x0000_s1026" o:spt="20" style="position:absolute;left:1163320;top:2256155;height:635;width:619125;" filled="f" stroked="t" coordsize="21600,21600" o:gfxdata="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d0ltNkAAAAIAQAADwAAAAAAAAABACAAAAAiAAAAZHJzL2Rvd25yZXYueG1sUEsBAhQA&#10;FAAAAAgAh07iQG4YThrxAQAAqwMAAA4AAAAAAAAAAQAgAAAAKAEAAGRycy9lMm9Eb2MueG1sUEsF&#10;BgAAAAAGAAYAWQEAAIsFAAAAAA==&#10;">
                  <v:fill on="f" focussize="0,0"/>
                  <v:stroke color="#000000" joinstyle="round" endarrow="block"/>
                  <v:imagedata o:title=""/>
                  <o:lock v:ext="edit" aspectratio="f"/>
                </v:line>
                <v:rect id="_x0000_s1026" o:spid="_x0000_s1026" o:spt="1" style="position:absolute;left:1752600;top:2159635;height:266700;width:882650;" fillcolor="#FFFFFF" filled="t" stroked="t" coordsize="21600,21600" o:gfxdata="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VD4lDZAAAACAEAAA8AAAAA&#10;AAAAAQAgAAAAIgAAAGRycy9kb3ducmV2LnhtbFBLAQIUABQAAAAIAIdO4kBPy/GsEwIAADMEAAAO&#10;AAAAAAAAAAEAIAAAACgBAABkcnMvZTJvRG9jLnhtbFBLBQYAAAAABgAGAFkBAACtBQAAAAA=&#10;">
                  <v:fill on="t" opacity="0f" focussize="0,0"/>
                  <v:stroke color="#000000" joinstyle="miter"/>
                  <v:imagedata o:title=""/>
                  <o:lock v:ext="edit" aspectratio="f"/>
                  <v:textbox inset="0mm,1.27mm,0mm,1.27mm">
                    <w:txbxContent>
                      <w:p>
                        <w:pPr>
                          <w:widowControl w:val="0"/>
                          <w:spacing w:line="240" w:lineRule="atLeast"/>
                          <w:ind w:firstLine="0" w:firstLineChars="0"/>
                          <w:jc w:val="center"/>
                          <w:rPr>
                            <w:rFonts w:ascii="Calibri" w:hAnsi="Calibri" w:cs="Times New Roman"/>
                            <w:sz w:val="21"/>
                            <w:szCs w:val="21"/>
                          </w:rPr>
                        </w:pPr>
                        <w:r>
                          <w:rPr>
                            <w:rFonts w:hint="eastAsia" w:ascii="Calibri" w:hAnsi="Calibri" w:cs="Times New Roman"/>
                            <w:sz w:val="21"/>
                            <w:szCs w:val="21"/>
                          </w:rPr>
                          <w:t>育肥猪</w:t>
                        </w:r>
                      </w:p>
                      <w:p>
                        <w:pPr>
                          <w:widowControl w:val="0"/>
                          <w:spacing w:line="240" w:lineRule="atLeast"/>
                          <w:ind w:firstLine="0" w:firstLineChars="0"/>
                          <w:jc w:val="center"/>
                          <w:rPr>
                            <w:rFonts w:ascii="Calibri" w:hAnsi="Calibri" w:cs="Times New Roman"/>
                            <w:b/>
                            <w:sz w:val="21"/>
                            <w:szCs w:val="21"/>
                          </w:rPr>
                        </w:pPr>
                      </w:p>
                    </w:txbxContent>
                  </v:textbox>
                </v:rect>
                <v:line id="_x0000_s1026" o:spid="_x0000_s1026" o:spt="20" style="position:absolute;left:2639060;top:2291080;height:635;width:589915;" filled="f" stroked="t" coordsize="21600,21600" o:gfxdata="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h3SW02QAAAAgBAAAPAAAAAAAAAAEAIAAAACIAAABkcnMvZG93bnJldi54bWxQSwECFAAUAAAA&#10;CACHTuJA0OGcV+0BAACrAwAADgAAAAAAAAABACAAAAAoAQAAZHJzL2Uyb0RvYy54bWxQSwUGAAAA&#10;AAYABgBZAQAAhwUAAAAA&#10;">
                  <v:fill on="f" focussize="0,0"/>
                  <v:stroke color="#000000" joinstyle="round" endarrow="block"/>
                  <v:imagedata o:title=""/>
                  <o:lock v:ext="edit" aspectratio="f"/>
                </v:line>
                <v:rect id="_x0000_s1026" o:spid="_x0000_s1026" o:spt="1" style="position:absolute;left:3213735;top:2131695;height:306070;width:567055;" filled="f" stroked="t" coordsize="21600,21600" o:gfxdata="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isI7NUAAAAIAQAADwAAAAAAAAABACAAAAAiAAAAZHJz&#10;L2Rvd25yZXYueG1sUEsBAhQAFAAAAAgAh07iQN4zw/MHAgAA7QMAAA4AAAAAAAAAAQAgAAAAJAEA&#10;AGRycy9lMm9Eb2MueG1sUEsFBgAAAAAGAAYAWQEAAJ0FAAAAAA==&#10;">
                  <v:fill on="f" focussize="0,0"/>
                  <v:stroke color="#000000" joinstyle="miter"/>
                  <v:imagedata o:title=""/>
                  <o:lock v:ext="edit" aspectratio="f"/>
                  <v:textbox inset="0mm,1.4mm,0mm,1.3mm">
                    <w:txbxContent>
                      <w:p>
                        <w:pPr>
                          <w:widowControl w:val="0"/>
                          <w:spacing w:line="240" w:lineRule="auto"/>
                          <w:ind w:firstLine="210" w:firstLineChars="100"/>
                          <w:rPr>
                            <w:rFonts w:ascii="Calibri" w:hAnsi="Calibri" w:cs="Times New Roman"/>
                            <w:sz w:val="21"/>
                            <w:szCs w:val="21"/>
                          </w:rPr>
                        </w:pPr>
                        <w:r>
                          <w:rPr>
                            <w:rFonts w:hint="eastAsia" w:ascii="Calibri" w:hAnsi="Calibri" w:cs="Times New Roman"/>
                            <w:sz w:val="21"/>
                            <w:szCs w:val="21"/>
                          </w:rPr>
                          <w:t>猪粪</w:t>
                        </w:r>
                      </w:p>
                    </w:txbxContent>
                  </v:textbox>
                </v:rect>
                <v:line id="_x0000_s1026" o:spid="_x0000_s1026" o:spt="20" style="position:absolute;left:2167890;top:2028190;flip:y;height:147320;width:243205;" filled="f" stroked="t" coordsize="21600,21600" o:gfxdata="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4k/6A1AAAAAgBAAAPAAAAAAAAAAEAIAAAACIAAABkcnMvZG93bnJldi54bWxQSwEC&#10;FAAUAAAACACHTuJALzUwy/gBAAC5AwAADgAAAAAAAAABACAAAAAjAQAAZHJzL2Uyb0RvYy54bWxQ&#10;SwUGAAAAAAYABgBZAQAAjQUAAAAA&#10;">
                  <v:fill on="f" focussize="0,0"/>
                  <v:stroke color="#000000" joinstyle="round" dashstyle="longDash" endarrow="block"/>
                  <v:imagedata o:title=""/>
                  <o:lock v:ext="edit" aspectratio="f"/>
                </v:line>
                <v:shape id="_x0000_s1026" o:spid="_x0000_s1026" o:spt="32" type="#_x0000_t32" style="position:absolute;left:3775075;top:2277745;flip:y;height:4445;width:303530;" filled="f" stroked="t" coordsize="21600,21600" o:gfxdata="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nR2p9UAAAAIAQAADwAAAAAAAAABACAAAAAiAAAAZHJzL2Rvd25yZXYueG1s&#10;UEsBAhQAFAAAAAgAh07iQNACB3T7AQAAugMAAA4AAAAAAAAAAQAgAAAAJAEAAGRycy9lMm9Eb2Mu&#10;eG1sUEsFBgAAAAAGAAYAWQEAAJEFAAAAAA==&#10;">
                  <v:fill on="f" focussize="0,0"/>
                  <v:stroke color="#000000" joinstyle="round"/>
                  <v:imagedata o:title=""/>
                  <o:lock v:ext="edit" aspectratio="f"/>
                </v:shape>
                <v:rect id="_x0000_s1026" o:spid="_x0000_s1026" o:spt="1" style="position:absolute;left:1086485;top:1996440;height:198755;width:727710;" fillcolor="#FFFFFF" filled="t" stroked="f" coordsize="21600,21600" o:gfxdata="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kEihtcAAAAIAQAADwAAAAAAAAABACAAAAAiAAAAZHJzL2Rvd25yZXYueG1sUEsBAhQAFAAAAAgA&#10;h07iQADM47a0AQAASAMAAA4AAAAAAAAAAQAgAAAAJgEAAGRycy9lMm9Eb2MueG1sUEsFBgAAAAAG&#10;AAYAWQEAAEwFAAAAAA==&#10;">
                  <v:fill on="t" opacity="0f" focussize="0,0"/>
                  <v:stroke on="f"/>
                  <v:imagedata o:title=""/>
                  <o:lock v:ext="edit" aspectratio="f"/>
                  <v:textbox>
                    <w:txbxContent>
                      <w:p>
                        <w:pPr>
                          <w:widowControl w:val="0"/>
                          <w:spacing w:line="200" w:lineRule="exact"/>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97.18</w:t>
                        </w:r>
                      </w:p>
                    </w:txbxContent>
                  </v:textbox>
                </v:rect>
                <v:shape id="_x0000_s1026" o:spid="_x0000_s1026" o:spt="202" type="#_x0000_t202" style="position:absolute;left:1616075;top:1729105;height:302260;width:1373505;" filled="f" stroked="f" coordsize="21600,21600" o:gfxdata="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jPUzR1QAAAAgBAAAP&#10;AAAAAAAAAAEAIAAAACIAAABkcnMvZG93bnJldi54bWxQSwECFAAUAAAACACHTuJA9E9f3qkBAAAq&#10;AwAADgAAAAAAAAABACAAAAAkAQAAZHJzL2Uyb0RvYy54bWxQSwUGAAAAAAYABgBZAQAAPwUAAAAA&#10;">
                  <v:fill on="f" focussize="0,0"/>
                  <v:stroke on="f"/>
                  <v:imagedata o:title=""/>
                  <o:lock v:ext="edit" aspectratio="f"/>
                  <v:textbox style="mso-fit-shape-to-text:t;">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生长吸收</w:t>
                        </w:r>
                        <w:r>
                          <w:rPr>
                            <w:rFonts w:hint="eastAsia" w:cs="Times New Roman"/>
                            <w:sz w:val="21"/>
                            <w:szCs w:val="21"/>
                            <w:lang w:val="en-US" w:eastAsia="zh-CN"/>
                          </w:rPr>
                          <w:t>87.38</w:t>
                        </w:r>
                      </w:p>
                    </w:txbxContent>
                  </v:textbox>
                </v:shape>
                <v:rect id="_x0000_s1026" o:spid="_x0000_s1026" o:spt="1" style="position:absolute;left:2669540;top:2018030;height:216535;width:485775;" fillcolor="#FFFFFF" filled="t" stroked="f" coordsize="21600,21600" o:gfxdata="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ZBIobXAAAACAEAAA8AAAAAAAAAAQAgAAAAIgAAAGRycy9kb3ducmV2LnhtbFBLAQIUABQAAAAI&#10;AIdO4kBl7aobtQEAAEgDAAAOAAAAAAAAAAEAIAAAACYBAABkcnMvZTJvRG9jLnhtbFBLBQYAAAAA&#10;BgAGAFkBAABNBQAAAAA=&#10;">
                  <v:fill on="t" opacity="0f" focussize="0,0"/>
                  <v:stroke on="f"/>
                  <v:imagedata o:title=""/>
                  <o:lock v:ext="edit" aspectratio="f"/>
                  <v:textbox>
                    <w:txbxContent>
                      <w:p>
                        <w:pPr>
                          <w:widowControl w:val="0"/>
                          <w:spacing w:line="200" w:lineRule="exact"/>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9.8</w:t>
                        </w:r>
                      </w:p>
                    </w:txbxContent>
                  </v:textbox>
                </v:rect>
                <v:shape id="_x0000_s1026" o:spid="_x0000_s1026" o:spt="202" type="#_x0000_t202" style="position:absolute;left:2235835;top:3505200;height:283210;width:580390;" filled="f" stroked="f" coordsize="21600,21600" o:gfxdata="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z6yHPWAAAACAEAAA8AAAAAAAAAAQAg&#10;AAAAIgAAAGRycy9kb3ducmV2LnhtbFBLAQIUABQAAAAIAIdO4kDhc+ZxngEAAA8DAAAOAAAAAAAA&#10;AAEAIAAAACUBAABkcnMvZTJvRG9jLnhtbFBLBQYAAAAABgAGAFkBAAA1BQAAAAA=&#10;">
                  <v:fill on="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r>
                          <w:rPr>
                            <w:rFonts w:hint="eastAsia" w:cs="Times New Roman"/>
                            <w:sz w:val="21"/>
                            <w:szCs w:val="21"/>
                            <w:lang w:val="en-US" w:eastAsia="zh-CN"/>
                          </w:rPr>
                          <w:t>695</w:t>
                        </w:r>
                      </w:p>
                    </w:txbxContent>
                  </v:textbox>
                </v:shape>
                <w10:wrap type="square"/>
              </v:group>
            </w:pict>
          </mc:Fallback>
        </mc:AlternateContent>
      </w:r>
    </w:p>
    <w:p>
      <w:pPr>
        <w:pStyle w:val="40"/>
        <w:rPr>
          <w:rFonts w:hint="eastAsia" w:cs="Times New Roman"/>
          <w:color w:val="auto"/>
          <w:highlight w:val="none"/>
        </w:rPr>
        <w:sectPr>
          <w:pgSz w:w="11906" w:h="16838"/>
          <w:pgMar w:top="1701" w:right="1803" w:bottom="1984" w:left="1587" w:header="851" w:footer="992" w:gutter="0"/>
          <w:pgBorders>
            <w:top w:val="none" w:sz="0" w:space="0"/>
            <w:left w:val="none" w:sz="0" w:space="0"/>
            <w:bottom w:val="none" w:sz="0" w:space="0"/>
            <w:right w:val="none" w:sz="0" w:space="0"/>
          </w:pgBorders>
          <w:cols w:space="0" w:num="1"/>
          <w:docGrid w:type="lines" w:linePitch="332" w:charSpace="0"/>
        </w:sectPr>
      </w:pPr>
      <w:r>
        <w:rPr>
          <w:rFonts w:cs="Times New Roman"/>
          <w:color w:val="auto"/>
          <w:highlight w:val="none"/>
        </w:rPr>
        <w:t>图</w:t>
      </w:r>
      <w:r>
        <w:rPr>
          <w:rFonts w:hint="eastAsia" w:cs="Times New Roman"/>
          <w:color w:val="auto"/>
          <w:highlight w:val="none"/>
          <w:lang w:val="en-US" w:eastAsia="zh-CN"/>
        </w:rPr>
        <w:t>2</w:t>
      </w:r>
      <w:r>
        <w:rPr>
          <w:rFonts w:hint="eastAsia" w:cs="Times New Roman"/>
          <w:color w:val="auto"/>
          <w:highlight w:val="none"/>
        </w:rPr>
        <w:t>.</w:t>
      </w:r>
      <w:r>
        <w:rPr>
          <w:rFonts w:hint="eastAsia" w:cs="Times New Roman"/>
          <w:color w:val="auto"/>
          <w:highlight w:val="none"/>
          <w:lang w:val="en-US" w:eastAsia="zh-CN"/>
        </w:rPr>
        <w:t>10</w:t>
      </w:r>
      <w:r>
        <w:rPr>
          <w:rFonts w:cs="Times New Roman"/>
          <w:color w:val="auto"/>
          <w:highlight w:val="none"/>
        </w:rPr>
        <w:t>-</w:t>
      </w:r>
      <w:r>
        <w:rPr>
          <w:rFonts w:hint="eastAsia" w:cs="Times New Roman"/>
          <w:color w:val="auto"/>
          <w:highlight w:val="none"/>
          <w:lang w:val="en-US" w:eastAsia="zh-CN"/>
        </w:rPr>
        <w:t>3</w:t>
      </w:r>
      <w:r>
        <w:rPr>
          <w:rFonts w:cs="Times New Roman"/>
          <w:color w:val="auto"/>
          <w:highlight w:val="none"/>
        </w:rPr>
        <w:t>项目</w:t>
      </w:r>
      <w:r>
        <w:rPr>
          <w:rFonts w:hint="eastAsia" w:cs="Times New Roman"/>
          <w:color w:val="auto"/>
          <w:highlight w:val="none"/>
        </w:rPr>
        <w:t>物料</w:t>
      </w:r>
      <w:r>
        <w:rPr>
          <w:rFonts w:cs="Times New Roman"/>
          <w:color w:val="auto"/>
          <w:highlight w:val="none"/>
        </w:rPr>
        <w:t>平衡图</w:t>
      </w:r>
      <w:r>
        <w:rPr>
          <w:rFonts w:hint="eastAsia" w:cs="Times New Roman"/>
          <w:color w:val="auto"/>
          <w:highlight w:val="none"/>
        </w:rPr>
        <w:t xml:space="preserve">  单位：干t/d</w:t>
      </w:r>
    </w:p>
    <w:p>
      <w:pPr>
        <w:pStyle w:val="4"/>
        <w:spacing w:before="132"/>
        <w:rPr>
          <w:color w:val="auto"/>
          <w:highlight w:val="none"/>
        </w:rPr>
      </w:pPr>
      <w:bookmarkStart w:id="24" w:name="_Toc8029"/>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11</w:t>
      </w:r>
      <w:r>
        <w:rPr>
          <w:color w:val="auto"/>
          <w:highlight w:val="none"/>
        </w:rPr>
        <w:t>污染源强</w:t>
      </w:r>
      <w:bookmarkEnd w:id="24"/>
    </w:p>
    <w:p>
      <w:pPr>
        <w:ind w:firstLine="480"/>
        <w:rPr>
          <w:color w:val="auto"/>
          <w:highlight w:val="none"/>
        </w:rPr>
      </w:pPr>
      <w:r>
        <w:rPr>
          <w:rFonts w:hint="eastAsia"/>
          <w:color w:val="auto"/>
          <w:highlight w:val="none"/>
        </w:rPr>
        <w:t>施工期污染源强及措施见</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8</w:t>
      </w:r>
      <w:r>
        <w:rPr>
          <w:rFonts w:hint="eastAsia"/>
          <w:color w:val="auto"/>
          <w:highlight w:val="none"/>
        </w:rPr>
        <w:t>.1章节</w:t>
      </w:r>
      <w:r>
        <w:rPr>
          <w:color w:val="auto"/>
          <w:highlight w:val="none"/>
        </w:rPr>
        <w:t>。</w:t>
      </w:r>
    </w:p>
    <w:p>
      <w:pPr>
        <w:pStyle w:val="5"/>
        <w:spacing w:before="66"/>
        <w:ind w:firstLine="0" w:firstLineChars="0"/>
        <w:rPr>
          <w:rFonts w:cs="Times New Roman"/>
          <w:color w:val="auto"/>
          <w:highlight w:val="none"/>
        </w:rPr>
      </w:pPr>
      <w:r>
        <w:rPr>
          <w:rFonts w:hint="eastAsia" w:cs="Times New Roman"/>
          <w:color w:val="auto"/>
          <w:highlight w:val="none"/>
          <w:lang w:val="en-US" w:eastAsia="zh-CN"/>
        </w:rPr>
        <w:t>2</w:t>
      </w:r>
      <w:r>
        <w:rPr>
          <w:rFonts w:cs="Times New Roman"/>
          <w:color w:val="auto"/>
          <w:highlight w:val="none"/>
        </w:rPr>
        <w:t>.</w:t>
      </w:r>
      <w:r>
        <w:rPr>
          <w:rFonts w:hint="eastAsia" w:cs="Times New Roman"/>
          <w:color w:val="auto"/>
          <w:highlight w:val="none"/>
          <w:lang w:val="en-US" w:eastAsia="zh-CN"/>
        </w:rPr>
        <w:t>11</w:t>
      </w:r>
      <w:r>
        <w:rPr>
          <w:rFonts w:hint="eastAsia" w:cs="Times New Roman"/>
          <w:color w:val="auto"/>
          <w:highlight w:val="none"/>
        </w:rPr>
        <w:t>.1</w:t>
      </w:r>
      <w:r>
        <w:rPr>
          <w:rFonts w:hint="eastAsia" w:cs="Times New Roman"/>
          <w:color w:val="auto"/>
          <w:highlight w:val="none"/>
          <w:lang w:eastAsia="zh-CN"/>
        </w:rPr>
        <w:t>营运期</w:t>
      </w:r>
      <w:r>
        <w:rPr>
          <w:rFonts w:hint="eastAsia" w:cs="Times New Roman"/>
          <w:color w:val="auto"/>
          <w:highlight w:val="none"/>
        </w:rPr>
        <w:t>污染源强</w:t>
      </w:r>
    </w:p>
    <w:p>
      <w:pPr>
        <w:ind w:firstLine="480"/>
        <w:rPr>
          <w:rFonts w:cs="Times New Roman"/>
          <w:color w:val="auto"/>
          <w:highlight w:val="none"/>
        </w:rPr>
      </w:pPr>
      <w:r>
        <w:rPr>
          <w:rFonts w:hint="eastAsia" w:cs="Times New Roman"/>
          <w:color w:val="auto"/>
          <w:highlight w:val="none"/>
        </w:rPr>
        <w:t>本项目年出栏</w:t>
      </w:r>
      <w:r>
        <w:rPr>
          <w:rFonts w:hint="eastAsia" w:cs="Times New Roman"/>
          <w:color w:val="auto"/>
          <w:highlight w:val="none"/>
          <w:lang w:val="en-US" w:eastAsia="zh-CN"/>
        </w:rPr>
        <w:t>17.2</w:t>
      </w:r>
      <w:r>
        <w:rPr>
          <w:rFonts w:hint="eastAsia" w:cs="Times New Roman"/>
          <w:color w:val="auto"/>
          <w:highlight w:val="none"/>
        </w:rPr>
        <w:t>万头</w:t>
      </w:r>
      <w:r>
        <w:rPr>
          <w:rFonts w:hint="eastAsia" w:cs="Times New Roman"/>
          <w:color w:val="auto"/>
          <w:highlight w:val="none"/>
          <w:lang w:eastAsia="zh-CN"/>
        </w:rPr>
        <w:t>商品</w:t>
      </w:r>
      <w:r>
        <w:rPr>
          <w:rFonts w:hint="eastAsia" w:cs="Times New Roman"/>
          <w:color w:val="auto"/>
          <w:highlight w:val="none"/>
        </w:rPr>
        <w:t>猪</w:t>
      </w:r>
      <w:r>
        <w:rPr>
          <w:rFonts w:hint="eastAsia" w:cs="Times New Roman"/>
          <w:color w:val="auto"/>
          <w:highlight w:val="none"/>
          <w:lang w:eastAsia="zh-CN"/>
        </w:rPr>
        <w:t>，</w:t>
      </w:r>
      <w:r>
        <w:rPr>
          <w:rFonts w:hint="eastAsia" w:cs="Times New Roman"/>
          <w:color w:val="auto"/>
          <w:highlight w:val="none"/>
        </w:rPr>
        <w:t>采用环保部认定的干清粪工艺，堆肥采用改良后的条垛堆肥工艺。根据工艺流程，建设项目营运期产生的污染主要是</w:t>
      </w:r>
      <w:r>
        <w:rPr>
          <w:rFonts w:hint="eastAsia" w:cs="Times New Roman"/>
          <w:color w:val="auto"/>
          <w:highlight w:val="none"/>
          <w:lang w:eastAsia="zh-CN"/>
        </w:rPr>
        <w:t>废气</w:t>
      </w:r>
      <w:r>
        <w:rPr>
          <w:rFonts w:hint="eastAsia" w:cs="Times New Roman"/>
          <w:color w:val="auto"/>
          <w:highlight w:val="none"/>
        </w:rPr>
        <w:t>、食堂油烟、</w:t>
      </w:r>
      <w:r>
        <w:rPr>
          <w:rFonts w:hint="eastAsia" w:cs="Times New Roman"/>
          <w:color w:val="auto"/>
          <w:highlight w:val="none"/>
          <w:lang w:eastAsia="zh-CN"/>
        </w:rPr>
        <w:t>废</w:t>
      </w:r>
      <w:r>
        <w:rPr>
          <w:rFonts w:hint="eastAsia" w:cs="Times New Roman"/>
          <w:color w:val="auto"/>
          <w:highlight w:val="none"/>
        </w:rPr>
        <w:t>水</w:t>
      </w:r>
      <w:r>
        <w:rPr>
          <w:rFonts w:hint="eastAsia" w:cs="Times New Roman"/>
          <w:color w:val="auto"/>
          <w:highlight w:val="none"/>
          <w:lang w:eastAsia="zh-CN"/>
        </w:rPr>
        <w:t>、生产噪声</w:t>
      </w:r>
      <w:r>
        <w:rPr>
          <w:rFonts w:hint="eastAsia" w:cs="Times New Roman"/>
          <w:color w:val="auto"/>
          <w:highlight w:val="none"/>
        </w:rPr>
        <w:t>及运行过程中产生的固废、生活垃圾等。</w:t>
      </w:r>
    </w:p>
    <w:p>
      <w:pPr>
        <w:pStyle w:val="6"/>
        <w:ind w:firstLine="482"/>
        <w:rPr>
          <w:color w:val="auto"/>
          <w:highlight w:val="none"/>
        </w:rPr>
      </w:pP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11</w:t>
      </w:r>
      <w:r>
        <w:rPr>
          <w:rFonts w:hint="eastAsia"/>
          <w:color w:val="auto"/>
          <w:highlight w:val="none"/>
        </w:rPr>
        <w:t>.</w:t>
      </w:r>
      <w:r>
        <w:rPr>
          <w:rFonts w:hint="eastAsia"/>
          <w:color w:val="auto"/>
          <w:highlight w:val="none"/>
          <w:lang w:val="en-US" w:eastAsia="zh-CN"/>
        </w:rPr>
        <w:t>1</w:t>
      </w:r>
      <w:r>
        <w:rPr>
          <w:rFonts w:hint="eastAsia"/>
          <w:color w:val="auto"/>
          <w:highlight w:val="none"/>
        </w:rPr>
        <w:t>.1废气</w:t>
      </w:r>
    </w:p>
    <w:p>
      <w:pPr>
        <w:ind w:firstLine="480"/>
        <w:rPr>
          <w:rFonts w:hint="eastAsia" w:cs="Times New Roman"/>
          <w:color w:val="auto"/>
          <w:highlight w:val="none"/>
        </w:rPr>
      </w:pPr>
      <w:r>
        <w:rPr>
          <w:rFonts w:hint="eastAsia" w:cs="Times New Roman"/>
          <w:color w:val="auto"/>
          <w:highlight w:val="none"/>
        </w:rPr>
        <w:t>项目运行过程中产生的大气污染物主要为养殖过程猪舍产生的恶臭气体、污水处理过程及固粪处理区产生的恶臭气体、</w:t>
      </w:r>
      <w:r>
        <w:rPr>
          <w:rFonts w:hint="eastAsia" w:cs="Times New Roman"/>
          <w:color w:val="auto"/>
          <w:highlight w:val="none"/>
          <w:lang w:eastAsia="zh-CN"/>
        </w:rPr>
        <w:t>无害化处理车间废气、</w:t>
      </w:r>
      <w:r>
        <w:rPr>
          <w:rFonts w:hint="eastAsia" w:cs="Times New Roman"/>
          <w:color w:val="auto"/>
          <w:highlight w:val="none"/>
        </w:rPr>
        <w:t>沼气</w:t>
      </w:r>
      <w:r>
        <w:rPr>
          <w:rFonts w:hint="eastAsia" w:cs="Times New Roman"/>
          <w:color w:val="auto"/>
          <w:highlight w:val="none"/>
          <w:lang w:eastAsia="zh-CN"/>
        </w:rPr>
        <w:t>锅炉</w:t>
      </w:r>
      <w:r>
        <w:rPr>
          <w:rFonts w:hint="eastAsia" w:cs="Times New Roman"/>
          <w:color w:val="auto"/>
          <w:highlight w:val="none"/>
        </w:rPr>
        <w:t>燃烧废气</w:t>
      </w:r>
      <w:r>
        <w:rPr>
          <w:rFonts w:hint="eastAsia" w:cs="Times New Roman"/>
          <w:color w:val="auto"/>
          <w:highlight w:val="none"/>
          <w:lang w:eastAsia="zh-CN"/>
        </w:rPr>
        <w:t>、火炬燃烧废气、</w:t>
      </w:r>
      <w:r>
        <w:rPr>
          <w:rFonts w:hint="eastAsia" w:cs="Times New Roman"/>
          <w:color w:val="auto"/>
          <w:highlight w:val="none"/>
        </w:rPr>
        <w:t>食堂油烟</w:t>
      </w:r>
      <w:r>
        <w:rPr>
          <w:rFonts w:hint="eastAsia" w:cs="Times New Roman"/>
          <w:color w:val="auto"/>
          <w:highlight w:val="none"/>
          <w:lang w:eastAsia="zh-CN"/>
        </w:rPr>
        <w:t>等</w:t>
      </w:r>
      <w:r>
        <w:rPr>
          <w:rFonts w:hint="eastAsia" w:cs="Times New Roman"/>
          <w:color w:val="auto"/>
          <w:highlight w:val="none"/>
        </w:rPr>
        <w:t>。</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cs="Times New Roman"/>
          <w:color w:val="auto"/>
          <w:highlight w:val="none"/>
        </w:rPr>
      </w:pPr>
      <w:r>
        <w:rPr>
          <w:rFonts w:hint="eastAsia" w:cs="Times New Roman"/>
          <w:color w:val="auto"/>
          <w:highlight w:val="none"/>
        </w:rPr>
        <w:t>影响畜禽场恶臭气体产生的主要原因是清粪方式、管理水平、粪便和污水处理程度，同时也与场址选择、场地规划和布局、畜舍设计、畜舍通风等有关。恶臭气体主要成分为NH</w:t>
      </w:r>
      <w:r>
        <w:rPr>
          <w:rFonts w:hint="eastAsia" w:cs="Times New Roman"/>
          <w:color w:val="auto"/>
          <w:highlight w:val="none"/>
          <w:vertAlign w:val="subscript"/>
        </w:rPr>
        <w:t>3</w:t>
      </w:r>
      <w:r>
        <w:rPr>
          <w:rFonts w:hint="eastAsia" w:cs="Times New Roman"/>
          <w:color w:val="auto"/>
          <w:highlight w:val="none"/>
        </w:rPr>
        <w:t>、H</w:t>
      </w:r>
      <w:r>
        <w:rPr>
          <w:rFonts w:hint="eastAsia" w:cs="Times New Roman"/>
          <w:color w:val="auto"/>
          <w:highlight w:val="none"/>
          <w:vertAlign w:val="subscript"/>
        </w:rPr>
        <w:t>2</w:t>
      </w:r>
      <w:r>
        <w:rPr>
          <w:rFonts w:hint="eastAsia" w:cs="Times New Roman"/>
          <w:color w:val="auto"/>
          <w:highlight w:val="none"/>
        </w:rPr>
        <w:t>S，NH</w:t>
      </w:r>
      <w:r>
        <w:rPr>
          <w:rFonts w:hint="eastAsia" w:cs="Times New Roman"/>
          <w:color w:val="auto"/>
          <w:highlight w:val="none"/>
          <w:vertAlign w:val="subscript"/>
        </w:rPr>
        <w:t>3</w:t>
      </w:r>
      <w:r>
        <w:rPr>
          <w:rFonts w:hint="eastAsia" w:cs="Times New Roman"/>
          <w:color w:val="auto"/>
          <w:highlight w:val="none"/>
        </w:rPr>
        <w:t>和H</w:t>
      </w:r>
      <w:r>
        <w:rPr>
          <w:rFonts w:hint="eastAsia" w:cs="Times New Roman"/>
          <w:color w:val="auto"/>
          <w:highlight w:val="none"/>
          <w:vertAlign w:val="subscript"/>
        </w:rPr>
        <w:t>2</w:t>
      </w:r>
      <w:r>
        <w:rPr>
          <w:rFonts w:hint="eastAsia" w:cs="Times New Roman"/>
          <w:color w:val="auto"/>
          <w:highlight w:val="none"/>
        </w:rPr>
        <w:t>S的排放强度受很多因素的影响，除前述因素外还包括生产工艺、气温、湿度、猪群种类、通风情况以及粪污堆积时间等。</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ascii="Times New Roman" w:hAnsi="Times New Roman" w:eastAsia="宋体" w:cs="Times New Roman"/>
          <w:color w:val="auto"/>
          <w:kern w:val="2"/>
          <w:sz w:val="24"/>
          <w:szCs w:val="24"/>
          <w:highlight w:val="none"/>
          <w:lang w:val="en-US" w:eastAsia="zh-CN" w:bidi="ar-SA"/>
        </w:rPr>
      </w:pPr>
      <w:r>
        <w:rPr>
          <w:rFonts w:hint="eastAsia" w:cs="Times New Roman"/>
          <w:color w:val="auto"/>
          <w:highlight w:val="none"/>
        </w:rPr>
        <w:t>恶臭气体污染物源强确定：项目区内恶臭气体主要来自养殖区恶臭、污水处理工程</w:t>
      </w:r>
      <w:r>
        <w:rPr>
          <w:rFonts w:hint="eastAsia" w:ascii="Times New Roman" w:hAnsi="Times New Roman" w:eastAsia="宋体" w:cs="Times New Roman"/>
          <w:color w:val="auto"/>
          <w:kern w:val="2"/>
          <w:sz w:val="24"/>
          <w:szCs w:val="24"/>
          <w:highlight w:val="none"/>
          <w:lang w:val="en-US" w:eastAsia="zh-CN" w:bidi="ar-SA"/>
        </w:rPr>
        <w:t>恶臭、固废处理区恶臭等</w:t>
      </w:r>
      <w:r>
        <w:rPr>
          <w:rFonts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tabs>
          <w:tab w:val="left" w:pos="864"/>
        </w:tabs>
        <w:kinsoku/>
        <w:wordWrap/>
        <w:overflowPunct/>
        <w:topLinePunct w:val="0"/>
        <w:autoSpaceDE/>
        <w:autoSpaceDN/>
        <w:bidi w:val="0"/>
        <w:adjustRightInd/>
        <w:snapToGrid/>
        <w:ind w:firstLine="480" w:firstLineChars="200"/>
        <w:textAlignment w:val="auto"/>
        <w:outlineLvl w:val="9"/>
        <w:rPr>
          <w:rFonts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1、养殖过程猪舍恶臭气体</w:t>
      </w:r>
    </w:p>
    <w:p>
      <w:pPr>
        <w:pStyle w:val="105"/>
        <w:keepNext w:val="0"/>
        <w:keepLines w:val="0"/>
        <w:pageBreakBefore w:val="0"/>
        <w:widowControl/>
        <w:kinsoku/>
        <w:wordWrap/>
        <w:overflowPunct/>
        <w:topLinePunct w:val="0"/>
        <w:autoSpaceDE/>
        <w:autoSpaceDN/>
        <w:bidi w:val="0"/>
        <w:adjustRightInd/>
        <w:snapToGrid/>
        <w:ind w:firstLine="480" w:firstLineChars="200"/>
        <w:textAlignment w:val="auto"/>
        <w:rPr>
          <w:rFonts w:ascii="Times New Roman" w:hAnsi="Times New Roman"/>
          <w:b w:val="0"/>
          <w:bCs w:val="0"/>
          <w:color w:val="auto"/>
          <w:sz w:val="24"/>
          <w:szCs w:val="24"/>
          <w:highlight w:val="none"/>
          <w:u w:val="none"/>
        </w:rPr>
      </w:pPr>
      <w:r>
        <w:rPr>
          <w:rFonts w:ascii="Times New Roman" w:hAnsi="Times New Roman" w:eastAsia="宋体" w:cs="Times New Roman"/>
          <w:color w:val="auto"/>
          <w:kern w:val="2"/>
          <w:sz w:val="24"/>
          <w:szCs w:val="24"/>
          <w:highlight w:val="none"/>
          <w:lang w:val="en-US" w:eastAsia="zh-CN" w:bidi="ar-SA"/>
        </w:rPr>
        <w:t>养殖过程恶臭气体主要产生于猪舍内，为有效核定出臭气中NH</w:t>
      </w:r>
      <w:r>
        <w:rPr>
          <w:rFonts w:ascii="Times New Roman" w:hAnsi="Times New Roman" w:eastAsia="宋体" w:cs="Times New Roman"/>
          <w:color w:val="auto"/>
          <w:kern w:val="2"/>
          <w:sz w:val="24"/>
          <w:szCs w:val="24"/>
          <w:highlight w:val="none"/>
          <w:vertAlign w:val="subscript"/>
          <w:lang w:val="en-US" w:eastAsia="zh-CN" w:bidi="ar-SA"/>
        </w:rPr>
        <w:t>3</w:t>
      </w:r>
      <w:r>
        <w:rPr>
          <w:rFonts w:ascii="Times New Roman" w:hAnsi="Times New Roman" w:eastAsia="宋体" w:cs="Times New Roman"/>
          <w:color w:val="auto"/>
          <w:kern w:val="2"/>
          <w:sz w:val="24"/>
          <w:szCs w:val="24"/>
          <w:highlight w:val="none"/>
          <w:lang w:val="en-US" w:eastAsia="zh-CN" w:bidi="ar-SA"/>
        </w:rPr>
        <w:t>、H</w:t>
      </w:r>
      <w:r>
        <w:rPr>
          <w:rFonts w:ascii="Times New Roman" w:hAnsi="Times New Roman" w:eastAsia="宋体" w:cs="Times New Roman"/>
          <w:color w:val="auto"/>
          <w:kern w:val="2"/>
          <w:sz w:val="24"/>
          <w:szCs w:val="24"/>
          <w:highlight w:val="none"/>
          <w:vertAlign w:val="subscript"/>
          <w:lang w:val="en-US" w:eastAsia="zh-CN" w:bidi="ar-SA"/>
        </w:rPr>
        <w:t>2</w:t>
      </w:r>
      <w:r>
        <w:rPr>
          <w:rFonts w:ascii="Times New Roman" w:hAnsi="Times New Roman" w:eastAsia="宋体" w:cs="Times New Roman"/>
          <w:color w:val="auto"/>
          <w:kern w:val="2"/>
          <w:sz w:val="24"/>
          <w:szCs w:val="24"/>
          <w:highlight w:val="none"/>
          <w:lang w:val="en-US" w:eastAsia="zh-CN" w:bidi="ar-SA"/>
        </w:rPr>
        <w:t>S产生情况，本次评价类比已建成并完成</w:t>
      </w:r>
      <w:r>
        <w:rPr>
          <w:rFonts w:ascii="Times New Roman" w:hAnsi="Times New Roman"/>
          <w:color w:val="auto"/>
          <w:sz w:val="24"/>
          <w:szCs w:val="24"/>
          <w:highlight w:val="none"/>
        </w:rPr>
        <w:t>验收的</w:t>
      </w:r>
      <w:r>
        <w:rPr>
          <w:rFonts w:ascii="Times New Roman" w:hAnsi="Times New Roman"/>
          <w:color w:val="auto"/>
          <w:sz w:val="24"/>
          <w:highlight w:val="none"/>
        </w:rPr>
        <w:t>唐河牧原农牧有限公司唐河十场建设项目的环评及验收报告（年存栏2300母猪场，2016年12月通过环评验收）、牧原食品有限公司卧龙七场（年出栏10万头育肥猪，已通过环评验收）环评及验收报告，牧原公司内乡二十四场（年存栏1万头母猪场，2013年6月取得批复，现已全部投产）的数据，并结合牧原公司其他养殖场多年统计的相关数据。育肥猪NH</w:t>
      </w:r>
      <w:r>
        <w:rPr>
          <w:rFonts w:ascii="Times New Roman" w:hAnsi="Times New Roman"/>
          <w:color w:val="auto"/>
          <w:sz w:val="24"/>
          <w:highlight w:val="none"/>
          <w:vertAlign w:val="subscript"/>
        </w:rPr>
        <w:t>3</w:t>
      </w:r>
      <w:r>
        <w:rPr>
          <w:rFonts w:ascii="Times New Roman" w:hAnsi="Times New Roman"/>
          <w:color w:val="auto"/>
          <w:sz w:val="24"/>
          <w:highlight w:val="none"/>
        </w:rPr>
        <w:t>产生源强为0.2g/头·d，H</w:t>
      </w:r>
      <w:r>
        <w:rPr>
          <w:rFonts w:ascii="Times New Roman" w:hAnsi="Times New Roman"/>
          <w:color w:val="auto"/>
          <w:sz w:val="24"/>
          <w:highlight w:val="none"/>
          <w:vertAlign w:val="subscript"/>
        </w:rPr>
        <w:t>2</w:t>
      </w:r>
      <w:r>
        <w:rPr>
          <w:rFonts w:ascii="Times New Roman" w:hAnsi="Times New Roman"/>
          <w:color w:val="auto"/>
          <w:sz w:val="24"/>
          <w:highlight w:val="none"/>
        </w:rPr>
        <w:t>S产生源强为0.017g/头·d（保育猪乘以0.2的系数）。</w:t>
      </w:r>
      <w:r>
        <w:rPr>
          <w:rFonts w:ascii="Times New Roman" w:hAnsi="Times New Roman"/>
          <w:color w:val="auto"/>
          <w:sz w:val="24"/>
          <w:szCs w:val="24"/>
          <w:highlight w:val="none"/>
        </w:rPr>
        <w:t>以上数据是在猪舍没有采取任何措施的情况下的产生量，本项目拟采用节水型饮水器、及时清粪</w:t>
      </w:r>
      <w:r>
        <w:rPr>
          <w:rFonts w:hint="eastAsia"/>
          <w:color w:val="auto"/>
          <w:sz w:val="24"/>
          <w:szCs w:val="24"/>
          <w:highlight w:val="none"/>
          <w:lang w:eastAsia="zh-CN"/>
        </w:rPr>
        <w:t>、喷洒除臭剂、配备除臭墙除臭</w:t>
      </w:r>
      <w:r>
        <w:rPr>
          <w:rFonts w:ascii="Times New Roman" w:hAnsi="Times New Roman"/>
          <w:color w:val="auto"/>
          <w:sz w:val="24"/>
          <w:szCs w:val="24"/>
          <w:highlight w:val="none"/>
        </w:rPr>
        <w:t>等措施对项目产生的H</w:t>
      </w:r>
      <w:r>
        <w:rPr>
          <w:rFonts w:ascii="Times New Roman" w:hAnsi="Times New Roman"/>
          <w:color w:val="auto"/>
          <w:sz w:val="24"/>
          <w:szCs w:val="24"/>
          <w:highlight w:val="none"/>
          <w:vertAlign w:val="subscript"/>
        </w:rPr>
        <w:t>2</w:t>
      </w:r>
      <w:r>
        <w:rPr>
          <w:rFonts w:ascii="Times New Roman" w:hAnsi="Times New Roman"/>
          <w:color w:val="auto"/>
          <w:sz w:val="24"/>
          <w:szCs w:val="24"/>
          <w:highlight w:val="none"/>
        </w:rPr>
        <w:t>S和NH</w:t>
      </w:r>
      <w:r>
        <w:rPr>
          <w:rFonts w:ascii="Times New Roman" w:hAnsi="Times New Roman"/>
          <w:color w:val="auto"/>
          <w:sz w:val="24"/>
          <w:szCs w:val="24"/>
          <w:highlight w:val="none"/>
          <w:vertAlign w:val="subscript"/>
        </w:rPr>
        <w:t>3</w:t>
      </w:r>
      <w:r>
        <w:rPr>
          <w:rFonts w:ascii="Times New Roman" w:hAnsi="Times New Roman"/>
          <w:color w:val="auto"/>
          <w:sz w:val="24"/>
          <w:szCs w:val="24"/>
          <w:highlight w:val="none"/>
        </w:rPr>
        <w:t>进行治理。通过以上措施可以有效抑制和去除H</w:t>
      </w:r>
      <w:r>
        <w:rPr>
          <w:rFonts w:ascii="Times New Roman" w:hAnsi="Times New Roman"/>
          <w:color w:val="auto"/>
          <w:sz w:val="24"/>
          <w:szCs w:val="24"/>
          <w:highlight w:val="none"/>
          <w:vertAlign w:val="subscript"/>
        </w:rPr>
        <w:t>2</w:t>
      </w:r>
      <w:r>
        <w:rPr>
          <w:rFonts w:ascii="Times New Roman" w:hAnsi="Times New Roman"/>
          <w:color w:val="auto"/>
          <w:sz w:val="24"/>
          <w:szCs w:val="24"/>
          <w:highlight w:val="none"/>
        </w:rPr>
        <w:t>S和NH</w:t>
      </w:r>
      <w:r>
        <w:rPr>
          <w:rFonts w:ascii="Times New Roman" w:hAnsi="Times New Roman"/>
          <w:color w:val="auto"/>
          <w:sz w:val="24"/>
          <w:szCs w:val="24"/>
          <w:highlight w:val="none"/>
          <w:vertAlign w:val="subscript"/>
        </w:rPr>
        <w:t>3</w:t>
      </w:r>
      <w:r>
        <w:rPr>
          <w:rFonts w:ascii="Times New Roman" w:hAnsi="Times New Roman"/>
          <w:color w:val="auto"/>
          <w:sz w:val="24"/>
          <w:szCs w:val="24"/>
          <w:highlight w:val="none"/>
        </w:rPr>
        <w:t>的产生量，去除效率可达</w:t>
      </w:r>
      <w:r>
        <w:rPr>
          <w:rFonts w:hint="eastAsia"/>
          <w:color w:val="auto"/>
          <w:sz w:val="24"/>
          <w:szCs w:val="24"/>
          <w:highlight w:val="none"/>
          <w:lang w:val="en-US" w:eastAsia="zh-CN"/>
        </w:rPr>
        <w:t>8</w:t>
      </w:r>
      <w:r>
        <w:rPr>
          <w:rFonts w:ascii="Times New Roman" w:hAnsi="Times New Roman"/>
          <w:color w:val="auto"/>
          <w:sz w:val="24"/>
          <w:szCs w:val="24"/>
          <w:highlight w:val="none"/>
        </w:rPr>
        <w:t>0%</w:t>
      </w:r>
      <w:r>
        <w:rPr>
          <w:rFonts w:ascii="Times New Roman" w:hAnsi="Times New Roman"/>
          <w:b w:val="0"/>
          <w:bCs w:val="0"/>
          <w:color w:val="auto"/>
          <w:sz w:val="24"/>
          <w:szCs w:val="24"/>
          <w:highlight w:val="none"/>
          <w:u w:val="none"/>
        </w:rPr>
        <w:t>。根据以上参数及存栏情况计算恶臭气体产排情况，计算结果见表</w:t>
      </w:r>
      <w:r>
        <w:rPr>
          <w:rFonts w:hint="eastAsia"/>
          <w:b w:val="0"/>
          <w:bCs w:val="0"/>
          <w:color w:val="auto"/>
          <w:sz w:val="24"/>
          <w:szCs w:val="24"/>
          <w:highlight w:val="none"/>
          <w:u w:val="none"/>
          <w:lang w:val="en-US" w:eastAsia="zh-CN"/>
        </w:rPr>
        <w:t>2.12</w:t>
      </w:r>
      <w:r>
        <w:rPr>
          <w:rFonts w:ascii="Times New Roman" w:hAnsi="Times New Roman"/>
          <w:b w:val="0"/>
          <w:bCs w:val="0"/>
          <w:color w:val="auto"/>
          <w:sz w:val="24"/>
          <w:szCs w:val="24"/>
          <w:highlight w:val="none"/>
          <w:u w:val="none"/>
        </w:rPr>
        <w:t>-</w:t>
      </w:r>
      <w:r>
        <w:rPr>
          <w:rFonts w:hint="eastAsia" w:ascii="Times New Roman" w:hAnsi="Times New Roman"/>
          <w:b w:val="0"/>
          <w:bCs w:val="0"/>
          <w:color w:val="auto"/>
          <w:sz w:val="24"/>
          <w:szCs w:val="24"/>
          <w:highlight w:val="none"/>
          <w:u w:val="none"/>
          <w:lang w:val="en-US" w:eastAsia="zh-CN"/>
        </w:rPr>
        <w:t>1</w:t>
      </w:r>
      <w:r>
        <w:rPr>
          <w:rFonts w:ascii="Times New Roman" w:hAnsi="Times New Roman"/>
          <w:b w:val="0"/>
          <w:bCs w:val="0"/>
          <w:color w:val="auto"/>
          <w:sz w:val="24"/>
          <w:szCs w:val="24"/>
          <w:highlight w:val="none"/>
          <w:u w:val="none"/>
        </w:rPr>
        <w:t>。</w:t>
      </w:r>
    </w:p>
    <w:p>
      <w:pPr>
        <w:pStyle w:val="40"/>
        <w:rPr>
          <w:rFonts w:hint="eastAsia" w:cs="Times New Roman"/>
          <w:color w:val="auto"/>
          <w:highlight w:val="none"/>
          <w:lang w:val="en-US" w:eastAsia="zh-CN"/>
        </w:rPr>
      </w:pPr>
      <w:r>
        <w:rPr>
          <w:rFonts w:hint="eastAsia" w:cs="Times New Roman"/>
          <w:color w:val="auto"/>
          <w:highlight w:val="none"/>
          <w:lang w:val="en-US" w:eastAsia="zh-CN"/>
        </w:rPr>
        <w:t>表2.12-1 项目养殖过程猪舍恶臭气体产生及排放情况一览表单位：kg/d</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952"/>
        <w:gridCol w:w="973"/>
        <w:gridCol w:w="987"/>
        <w:gridCol w:w="845"/>
        <w:gridCol w:w="811"/>
        <w:gridCol w:w="1372"/>
        <w:gridCol w:w="916"/>
        <w:gridCol w:w="9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pct"/>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污染源</w:t>
            </w:r>
          </w:p>
        </w:tc>
        <w:tc>
          <w:tcPr>
            <w:tcW w:w="551" w:type="pct"/>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存栏量（头）</w:t>
            </w:r>
          </w:p>
        </w:tc>
        <w:tc>
          <w:tcPr>
            <w:tcW w:w="1134" w:type="pct"/>
            <w:gridSpan w:val="2"/>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场区系数（g/头·d）</w:t>
            </w:r>
          </w:p>
        </w:tc>
        <w:tc>
          <w:tcPr>
            <w:tcW w:w="958" w:type="pct"/>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eastAsia="zh-CN"/>
              </w:rPr>
            </w:pPr>
            <w:r>
              <w:rPr>
                <w:rFonts w:hint="eastAsia" w:cs="Times New Roman"/>
                <w:b w:val="0"/>
                <w:bCs/>
                <w:color w:val="auto"/>
                <w:sz w:val="21"/>
                <w:szCs w:val="21"/>
                <w:highlight w:val="none"/>
              </w:rPr>
              <w:t>产生量</w:t>
            </w:r>
            <w:r>
              <w:rPr>
                <w:rFonts w:hint="eastAsia" w:cs="Times New Roman"/>
                <w:b w:val="0"/>
                <w:bCs/>
                <w:color w:val="auto"/>
                <w:sz w:val="21"/>
                <w:szCs w:val="21"/>
                <w:highlight w:val="none"/>
                <w:lang w:eastAsia="zh-CN"/>
              </w:rPr>
              <w:t>（kg/d）</w:t>
            </w:r>
          </w:p>
        </w:tc>
        <w:tc>
          <w:tcPr>
            <w:tcW w:w="794" w:type="pct"/>
            <w:vMerge w:val="restar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拟处理措施</w:t>
            </w:r>
          </w:p>
        </w:tc>
        <w:tc>
          <w:tcPr>
            <w:tcW w:w="1051" w:type="pct"/>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排放量</w:t>
            </w:r>
            <w:r>
              <w:rPr>
                <w:rFonts w:hint="eastAsia" w:cs="Times New Roman"/>
                <w:b w:val="0"/>
                <w:bCs/>
                <w:color w:val="auto"/>
                <w:sz w:val="21"/>
                <w:szCs w:val="21"/>
                <w:highlight w:val="none"/>
                <w:lang w:eastAsia="zh-CN"/>
              </w:rPr>
              <w:t>（kg/d）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p>
        </w:tc>
        <w:tc>
          <w:tcPr>
            <w:tcW w:w="551"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p>
        </w:tc>
        <w:tc>
          <w:tcPr>
            <w:tcW w:w="563"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NH</w:t>
            </w:r>
            <w:r>
              <w:rPr>
                <w:rFonts w:hint="eastAsia" w:cs="Times New Roman"/>
                <w:b w:val="0"/>
                <w:bCs/>
                <w:color w:val="auto"/>
                <w:sz w:val="21"/>
                <w:szCs w:val="21"/>
                <w:highlight w:val="none"/>
                <w:vertAlign w:val="subscript"/>
              </w:rPr>
              <w:t>3</w:t>
            </w:r>
          </w:p>
        </w:tc>
        <w:tc>
          <w:tcPr>
            <w:tcW w:w="571"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H</w:t>
            </w:r>
            <w:r>
              <w:rPr>
                <w:rFonts w:hint="eastAsia" w:cs="Times New Roman"/>
                <w:b w:val="0"/>
                <w:bCs/>
                <w:color w:val="auto"/>
                <w:sz w:val="21"/>
                <w:szCs w:val="21"/>
                <w:highlight w:val="none"/>
                <w:vertAlign w:val="subscript"/>
              </w:rPr>
              <w:t>2</w:t>
            </w:r>
            <w:r>
              <w:rPr>
                <w:rFonts w:hint="eastAsia" w:cs="Times New Roman"/>
                <w:b w:val="0"/>
                <w:bCs/>
                <w:color w:val="auto"/>
                <w:sz w:val="21"/>
                <w:szCs w:val="21"/>
                <w:highlight w:val="none"/>
              </w:rPr>
              <w:t>S</w:t>
            </w:r>
          </w:p>
        </w:tc>
        <w:tc>
          <w:tcPr>
            <w:tcW w:w="489"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NH</w:t>
            </w:r>
            <w:r>
              <w:rPr>
                <w:rFonts w:hint="eastAsia" w:cs="Times New Roman"/>
                <w:b w:val="0"/>
                <w:bCs/>
                <w:color w:val="auto"/>
                <w:sz w:val="21"/>
                <w:szCs w:val="21"/>
                <w:highlight w:val="none"/>
                <w:vertAlign w:val="subscript"/>
              </w:rPr>
              <w:t>3</w:t>
            </w:r>
          </w:p>
        </w:tc>
        <w:tc>
          <w:tcPr>
            <w:tcW w:w="469"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H</w:t>
            </w:r>
            <w:r>
              <w:rPr>
                <w:rFonts w:hint="eastAsia" w:cs="Times New Roman"/>
                <w:b w:val="0"/>
                <w:bCs/>
                <w:color w:val="auto"/>
                <w:sz w:val="21"/>
                <w:szCs w:val="21"/>
                <w:highlight w:val="none"/>
                <w:vertAlign w:val="subscript"/>
              </w:rPr>
              <w:t>2</w:t>
            </w:r>
            <w:r>
              <w:rPr>
                <w:rFonts w:hint="eastAsia" w:cs="Times New Roman"/>
                <w:b w:val="0"/>
                <w:bCs/>
                <w:color w:val="auto"/>
                <w:sz w:val="21"/>
                <w:szCs w:val="21"/>
                <w:highlight w:val="none"/>
              </w:rPr>
              <w:t>S</w:t>
            </w:r>
          </w:p>
        </w:tc>
        <w:tc>
          <w:tcPr>
            <w:tcW w:w="794"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p>
        </w:tc>
        <w:tc>
          <w:tcPr>
            <w:tcW w:w="530"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NH</w:t>
            </w:r>
            <w:r>
              <w:rPr>
                <w:rFonts w:hint="eastAsia" w:cs="Times New Roman"/>
                <w:b w:val="0"/>
                <w:bCs/>
                <w:color w:val="auto"/>
                <w:sz w:val="21"/>
                <w:szCs w:val="21"/>
                <w:highlight w:val="none"/>
                <w:vertAlign w:val="subscript"/>
              </w:rPr>
              <w:t>3</w:t>
            </w:r>
          </w:p>
        </w:tc>
        <w:tc>
          <w:tcPr>
            <w:tcW w:w="521"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H</w:t>
            </w:r>
            <w:r>
              <w:rPr>
                <w:rFonts w:hint="eastAsia" w:cs="Times New Roman"/>
                <w:b w:val="0"/>
                <w:bCs/>
                <w:color w:val="auto"/>
                <w:sz w:val="21"/>
                <w:szCs w:val="21"/>
                <w:highlight w:val="none"/>
                <w:vertAlign w:val="subscript"/>
              </w:rPr>
              <w:t>2</w:t>
            </w:r>
            <w:r>
              <w:rPr>
                <w:rFonts w:hint="eastAsia" w:cs="Times New Roman"/>
                <w:b w:val="0"/>
                <w:bCs/>
                <w:color w:val="auto"/>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509"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lang w:val="en-US" w:eastAsia="zh-CN"/>
              </w:rPr>
              <w:t>保育猪</w:t>
            </w:r>
          </w:p>
        </w:tc>
        <w:tc>
          <w:tcPr>
            <w:tcW w:w="952" w:type="dxa"/>
            <w:tcBorders>
              <w:tl2br w:val="nil"/>
              <w:tr2bl w:val="nil"/>
            </w:tcBorders>
            <w:noWrap w:val="0"/>
            <w:vAlign w:val="center"/>
          </w:tcPr>
          <w:p>
            <w:pPr>
              <w:spacing w:line="240" w:lineRule="auto"/>
              <w:ind w:firstLine="0" w:firstLineChars="0"/>
              <w:jc w:val="center"/>
              <w:rPr>
                <w:rFonts w:hint="default" w:eastAsia="宋体" w:cs="Times New Roman"/>
                <w:b w:val="0"/>
                <w:bCs/>
                <w:color w:val="auto"/>
                <w:sz w:val="21"/>
                <w:szCs w:val="21"/>
                <w:highlight w:val="none"/>
                <w:lang w:val="en-US" w:eastAsia="zh-CN"/>
              </w:rPr>
            </w:pPr>
            <w:r>
              <w:rPr>
                <w:rFonts w:hint="eastAsia" w:ascii="Times New Roman" w:eastAsia="宋体"/>
                <w:color w:val="auto"/>
                <w:sz w:val="21"/>
                <w:szCs w:val="21"/>
                <w:highlight w:val="none"/>
                <w:lang w:val="en-US" w:eastAsia="zh-CN"/>
              </w:rPr>
              <w:t>2</w:t>
            </w:r>
            <w:r>
              <w:rPr>
                <w:rFonts w:hint="eastAsia"/>
                <w:color w:val="auto"/>
                <w:sz w:val="21"/>
                <w:szCs w:val="21"/>
                <w:highlight w:val="none"/>
                <w:lang w:val="en-US" w:eastAsia="zh-CN"/>
              </w:rPr>
              <w:t>0</w:t>
            </w:r>
            <w:r>
              <w:rPr>
                <w:rFonts w:hint="eastAsia" w:ascii="Times New Roman" w:eastAsia="宋体"/>
                <w:color w:val="auto"/>
                <w:sz w:val="21"/>
                <w:szCs w:val="21"/>
                <w:highlight w:val="none"/>
                <w:lang w:val="en-US" w:eastAsia="zh-CN"/>
              </w:rPr>
              <w:t>208</w:t>
            </w:r>
          </w:p>
        </w:tc>
        <w:tc>
          <w:tcPr>
            <w:tcW w:w="973"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default" w:cs="Times New Roman"/>
                <w:b w:val="0"/>
                <w:bCs/>
                <w:color w:val="auto"/>
                <w:sz w:val="21"/>
                <w:szCs w:val="21"/>
                <w:highlight w:val="none"/>
                <w:lang w:val="en-US" w:eastAsia="zh-CN"/>
              </w:rPr>
              <w:t>0.04</w:t>
            </w:r>
          </w:p>
        </w:tc>
        <w:tc>
          <w:tcPr>
            <w:tcW w:w="987"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default" w:cs="Times New Roman"/>
                <w:b w:val="0"/>
                <w:bCs/>
                <w:color w:val="auto"/>
                <w:sz w:val="21"/>
                <w:szCs w:val="21"/>
                <w:highlight w:val="none"/>
                <w:lang w:val="en-US" w:eastAsia="zh-CN"/>
              </w:rPr>
              <w:t>0.0034</w:t>
            </w:r>
          </w:p>
        </w:tc>
        <w:tc>
          <w:tcPr>
            <w:tcW w:w="489"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0.81</w:t>
            </w:r>
          </w:p>
        </w:tc>
        <w:tc>
          <w:tcPr>
            <w:tcW w:w="469"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default" w:cs="Times New Roman"/>
                <w:b w:val="0"/>
                <w:bCs/>
                <w:color w:val="auto"/>
                <w:sz w:val="21"/>
                <w:szCs w:val="21"/>
                <w:highlight w:val="none"/>
                <w:lang w:val="en-US" w:eastAsia="zh-CN"/>
              </w:rPr>
              <w:t>0.</w:t>
            </w:r>
            <w:r>
              <w:rPr>
                <w:rFonts w:hint="eastAsia" w:cs="Times New Roman"/>
                <w:b w:val="0"/>
                <w:bCs/>
                <w:color w:val="auto"/>
                <w:sz w:val="21"/>
                <w:szCs w:val="21"/>
                <w:highlight w:val="none"/>
                <w:lang w:val="en-US" w:eastAsia="zh-CN"/>
              </w:rPr>
              <w:t>07</w:t>
            </w:r>
          </w:p>
        </w:tc>
        <w:tc>
          <w:tcPr>
            <w:tcW w:w="794" w:type="pct"/>
            <w:vMerge w:val="restar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采用节水型饮水器、全漏缝地板并及时清粪，喷洒除臭剂，配备除臭墙除臭去除效率可达到</w:t>
            </w:r>
            <w:r>
              <w:rPr>
                <w:rFonts w:hint="eastAsia" w:cs="Times New Roman"/>
                <w:b w:val="0"/>
                <w:bCs/>
                <w:color w:val="auto"/>
                <w:sz w:val="21"/>
                <w:szCs w:val="21"/>
                <w:highlight w:val="none"/>
                <w:lang w:val="en-US" w:eastAsia="zh-CN"/>
              </w:rPr>
              <w:t>8</w:t>
            </w:r>
            <w:r>
              <w:rPr>
                <w:rFonts w:hint="eastAsia" w:cs="Times New Roman"/>
                <w:b w:val="0"/>
                <w:bCs/>
                <w:color w:val="auto"/>
                <w:sz w:val="21"/>
                <w:szCs w:val="21"/>
                <w:highlight w:val="none"/>
              </w:rPr>
              <w:t>0%</w:t>
            </w:r>
          </w:p>
        </w:tc>
        <w:tc>
          <w:tcPr>
            <w:tcW w:w="916"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0.162</w:t>
            </w:r>
          </w:p>
        </w:tc>
        <w:tc>
          <w:tcPr>
            <w:tcW w:w="900"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509"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育肥猪</w:t>
            </w:r>
          </w:p>
        </w:tc>
        <w:tc>
          <w:tcPr>
            <w:tcW w:w="952" w:type="dxa"/>
            <w:tcBorders>
              <w:tl2br w:val="nil"/>
              <w:tr2bl w:val="nil"/>
            </w:tcBorders>
            <w:noWrap w:val="0"/>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ascii="Times New Roman" w:eastAsia="宋体"/>
                <w:color w:val="auto"/>
                <w:sz w:val="21"/>
                <w:szCs w:val="21"/>
                <w:highlight w:val="none"/>
                <w:lang w:val="en-US" w:eastAsia="zh-CN"/>
              </w:rPr>
              <w:t>4</w:t>
            </w:r>
            <w:r>
              <w:rPr>
                <w:rFonts w:hint="eastAsia"/>
                <w:color w:val="auto"/>
                <w:sz w:val="21"/>
                <w:szCs w:val="21"/>
                <w:highlight w:val="none"/>
                <w:lang w:val="en-US" w:eastAsia="zh-CN"/>
              </w:rPr>
              <w:t>8</w:t>
            </w:r>
            <w:r>
              <w:rPr>
                <w:rFonts w:hint="eastAsia" w:ascii="Times New Roman" w:eastAsia="宋体"/>
                <w:color w:val="auto"/>
                <w:sz w:val="21"/>
                <w:szCs w:val="21"/>
                <w:highlight w:val="none"/>
                <w:lang w:val="en-US" w:eastAsia="zh-CN"/>
              </w:rPr>
              <w:t>592</w:t>
            </w:r>
          </w:p>
        </w:tc>
        <w:tc>
          <w:tcPr>
            <w:tcW w:w="973"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default" w:cs="Times New Roman"/>
                <w:b w:val="0"/>
                <w:bCs/>
                <w:color w:val="auto"/>
                <w:sz w:val="21"/>
                <w:szCs w:val="21"/>
                <w:highlight w:val="none"/>
                <w:lang w:val="en-US" w:eastAsia="zh-CN"/>
              </w:rPr>
              <w:t>0.2</w:t>
            </w:r>
          </w:p>
        </w:tc>
        <w:tc>
          <w:tcPr>
            <w:tcW w:w="987"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default" w:cs="Times New Roman"/>
                <w:b w:val="0"/>
                <w:bCs/>
                <w:color w:val="auto"/>
                <w:sz w:val="21"/>
                <w:szCs w:val="21"/>
                <w:highlight w:val="none"/>
                <w:lang w:val="en-US" w:eastAsia="zh-CN"/>
              </w:rPr>
              <w:t>0.017</w:t>
            </w:r>
          </w:p>
        </w:tc>
        <w:tc>
          <w:tcPr>
            <w:tcW w:w="489"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9.72</w:t>
            </w:r>
          </w:p>
        </w:tc>
        <w:tc>
          <w:tcPr>
            <w:tcW w:w="469"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0.83</w:t>
            </w:r>
          </w:p>
        </w:tc>
        <w:tc>
          <w:tcPr>
            <w:tcW w:w="794" w:type="pct"/>
            <w:vMerge w:val="continue"/>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p>
        </w:tc>
        <w:tc>
          <w:tcPr>
            <w:tcW w:w="916"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1.944</w:t>
            </w:r>
          </w:p>
        </w:tc>
        <w:tc>
          <w:tcPr>
            <w:tcW w:w="900"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0.166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1060" w:type="pct"/>
            <w:gridSpan w:val="2"/>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lang w:val="en-US" w:eastAsia="zh-CN"/>
              </w:rPr>
              <w:t>合</w:t>
            </w:r>
            <w:r>
              <w:rPr>
                <w:rFonts w:hint="eastAsia" w:cs="Times New Roman"/>
                <w:b w:val="0"/>
                <w:bCs/>
                <w:color w:val="auto"/>
                <w:sz w:val="21"/>
                <w:szCs w:val="21"/>
                <w:highlight w:val="none"/>
              </w:rPr>
              <w:t>计</w:t>
            </w:r>
          </w:p>
        </w:tc>
        <w:tc>
          <w:tcPr>
            <w:tcW w:w="973"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p>
        </w:tc>
        <w:tc>
          <w:tcPr>
            <w:tcW w:w="987"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p>
        </w:tc>
        <w:tc>
          <w:tcPr>
            <w:tcW w:w="489"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3.84t/a</w:t>
            </w:r>
          </w:p>
        </w:tc>
        <w:tc>
          <w:tcPr>
            <w:tcW w:w="469"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0.33t/a</w:t>
            </w:r>
          </w:p>
        </w:tc>
        <w:tc>
          <w:tcPr>
            <w:tcW w:w="794" w:type="pct"/>
            <w:vMerge w:val="continue"/>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p>
        </w:tc>
        <w:tc>
          <w:tcPr>
            <w:tcW w:w="530"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0.768t/a</w:t>
            </w:r>
          </w:p>
        </w:tc>
        <w:tc>
          <w:tcPr>
            <w:tcW w:w="521"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0.066t/a</w:t>
            </w:r>
          </w:p>
        </w:tc>
      </w:tr>
    </w:tbl>
    <w:p>
      <w:pPr>
        <w:spacing w:line="500" w:lineRule="exact"/>
        <w:ind w:firstLine="480" w:firstLineChars="200"/>
        <w:rPr>
          <w:rFonts w:ascii="Times New Roman" w:hAnsi="Times New Roman"/>
          <w:b w:val="0"/>
          <w:bCs w:val="0"/>
          <w:color w:val="auto"/>
          <w:sz w:val="24"/>
          <w:szCs w:val="24"/>
          <w:highlight w:val="none"/>
          <w:u w:val="none"/>
        </w:rPr>
      </w:pPr>
      <w:r>
        <w:rPr>
          <w:rFonts w:hint="eastAsia" w:ascii="Times New Roman" w:hAnsi="Times New Roman"/>
          <w:b w:val="0"/>
          <w:bCs w:val="0"/>
          <w:color w:val="auto"/>
          <w:sz w:val="24"/>
          <w:szCs w:val="24"/>
          <w:highlight w:val="none"/>
          <w:u w:val="none"/>
        </w:rPr>
        <w:t>2、污水处理及固粪处理区产生的恶臭气体</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 w:val="0"/>
          <w:bCs w:val="0"/>
          <w:color w:val="auto"/>
          <w:sz w:val="24"/>
          <w:szCs w:val="24"/>
          <w:highlight w:val="none"/>
          <w:u w:val="none"/>
        </w:rPr>
      </w:pPr>
      <w:r>
        <w:rPr>
          <w:rFonts w:ascii="Times New Roman" w:hAnsi="Times New Roman"/>
          <w:b w:val="0"/>
          <w:bCs w:val="0"/>
          <w:color w:val="auto"/>
          <w:sz w:val="24"/>
          <w:szCs w:val="24"/>
          <w:highlight w:val="none"/>
          <w:u w:val="none"/>
        </w:rPr>
        <w:t>（</w:t>
      </w:r>
      <w:r>
        <w:rPr>
          <w:rFonts w:hint="eastAsia"/>
          <w:b w:val="0"/>
          <w:bCs w:val="0"/>
          <w:color w:val="auto"/>
          <w:sz w:val="24"/>
          <w:szCs w:val="24"/>
          <w:highlight w:val="none"/>
          <w:u w:val="none"/>
          <w:lang w:val="en-US" w:eastAsia="zh-CN"/>
        </w:rPr>
        <w:t>1</w:t>
      </w:r>
      <w:r>
        <w:rPr>
          <w:rFonts w:ascii="Times New Roman" w:hAnsi="Times New Roman"/>
          <w:b w:val="0"/>
          <w:bCs w:val="0"/>
          <w:color w:val="auto"/>
          <w:sz w:val="24"/>
          <w:szCs w:val="24"/>
          <w:highlight w:val="none"/>
          <w:u w:val="none"/>
        </w:rPr>
        <w:t>）固粪处理区臭气</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 w:val="0"/>
          <w:bCs w:val="0"/>
          <w:color w:val="auto"/>
          <w:sz w:val="24"/>
          <w:szCs w:val="24"/>
          <w:highlight w:val="none"/>
          <w:u w:val="none"/>
        </w:rPr>
      </w:pPr>
      <w:r>
        <w:rPr>
          <w:rFonts w:ascii="Times New Roman" w:hAnsi="Times New Roman"/>
          <w:b w:val="0"/>
          <w:bCs w:val="0"/>
          <w:color w:val="auto"/>
          <w:sz w:val="24"/>
          <w:szCs w:val="24"/>
          <w:highlight w:val="none"/>
          <w:u w:val="none"/>
        </w:rPr>
        <w:t>项目猪粪和污水处理产生的沼渣收集后运至固粪处理区进行条垛堆肥处理，项目本项目设置</w:t>
      </w:r>
      <w:r>
        <w:rPr>
          <w:rFonts w:hint="eastAsia"/>
          <w:b w:val="0"/>
          <w:bCs w:val="0"/>
          <w:color w:val="auto"/>
          <w:sz w:val="24"/>
          <w:szCs w:val="24"/>
          <w:highlight w:val="none"/>
          <w:u w:val="none"/>
          <w:lang w:val="en-US" w:eastAsia="zh-CN"/>
        </w:rPr>
        <w:t>1</w:t>
      </w:r>
      <w:r>
        <w:rPr>
          <w:rFonts w:ascii="Times New Roman" w:hAnsi="Times New Roman"/>
          <w:b w:val="0"/>
          <w:bCs w:val="0"/>
          <w:color w:val="auto"/>
          <w:sz w:val="24"/>
          <w:szCs w:val="24"/>
          <w:highlight w:val="none"/>
          <w:u w:val="none"/>
        </w:rPr>
        <w:t>个固粪处理区，</w:t>
      </w:r>
      <w:r>
        <w:rPr>
          <w:rFonts w:hint="eastAsia"/>
          <w:b w:val="0"/>
          <w:bCs w:val="0"/>
          <w:color w:val="auto"/>
          <w:sz w:val="24"/>
          <w:szCs w:val="24"/>
          <w:highlight w:val="none"/>
          <w:u w:val="none"/>
          <w:lang w:eastAsia="zh-CN"/>
        </w:rPr>
        <w:t>总</w:t>
      </w:r>
      <w:r>
        <w:rPr>
          <w:rFonts w:ascii="Times New Roman" w:hAnsi="Times New Roman"/>
          <w:b w:val="0"/>
          <w:bCs w:val="0"/>
          <w:color w:val="auto"/>
          <w:sz w:val="24"/>
          <w:szCs w:val="24"/>
          <w:highlight w:val="none"/>
          <w:u w:val="none"/>
        </w:rPr>
        <w:t>占地面积</w:t>
      </w:r>
      <w:r>
        <w:rPr>
          <w:rFonts w:hint="eastAsia"/>
          <w:b w:val="0"/>
          <w:bCs w:val="0"/>
          <w:color w:val="auto"/>
          <w:sz w:val="24"/>
          <w:szCs w:val="24"/>
          <w:highlight w:val="none"/>
          <w:u w:val="none"/>
          <w:lang w:val="en-US" w:eastAsia="zh-CN"/>
        </w:rPr>
        <w:t>924</w:t>
      </w:r>
      <w:r>
        <w:rPr>
          <w:rFonts w:ascii="Times New Roman" w:hAnsi="Times New Roman"/>
          <w:b w:val="0"/>
          <w:bCs w:val="0"/>
          <w:color w:val="auto"/>
          <w:sz w:val="24"/>
          <w:szCs w:val="24"/>
          <w:highlight w:val="none"/>
          <w:u w:val="none"/>
        </w:rPr>
        <w:t>m</w:t>
      </w:r>
      <w:r>
        <w:rPr>
          <w:rFonts w:ascii="Times New Roman" w:hAnsi="Times New Roman"/>
          <w:b w:val="0"/>
          <w:bCs w:val="0"/>
          <w:color w:val="auto"/>
          <w:sz w:val="24"/>
          <w:szCs w:val="24"/>
          <w:highlight w:val="none"/>
          <w:u w:val="none"/>
          <w:vertAlign w:val="superscript"/>
        </w:rPr>
        <w:t>2</w:t>
      </w:r>
      <w:r>
        <w:rPr>
          <w:rFonts w:ascii="Times New Roman" w:hAnsi="Times New Roman"/>
          <w:b w:val="0"/>
          <w:bCs w:val="0"/>
          <w:color w:val="auto"/>
          <w:sz w:val="24"/>
          <w:szCs w:val="24"/>
          <w:highlight w:val="none"/>
          <w:u w:val="none"/>
        </w:rPr>
        <w:t>，根据类比内乡12场生猪养殖场项目估算参数，固粪处理区NH</w:t>
      </w:r>
      <w:r>
        <w:rPr>
          <w:rFonts w:ascii="Times New Roman" w:hAnsi="Times New Roman"/>
          <w:b w:val="0"/>
          <w:bCs w:val="0"/>
          <w:color w:val="auto"/>
          <w:sz w:val="24"/>
          <w:szCs w:val="24"/>
          <w:highlight w:val="none"/>
          <w:u w:val="none"/>
          <w:vertAlign w:val="subscript"/>
        </w:rPr>
        <w:t>3</w:t>
      </w:r>
      <w:r>
        <w:rPr>
          <w:rFonts w:ascii="Times New Roman" w:hAnsi="Times New Roman"/>
          <w:b w:val="0"/>
          <w:bCs w:val="0"/>
          <w:color w:val="auto"/>
          <w:sz w:val="24"/>
          <w:szCs w:val="24"/>
          <w:highlight w:val="none"/>
          <w:u w:val="none"/>
        </w:rPr>
        <w:t>的产生量为5g/m</w:t>
      </w:r>
      <w:r>
        <w:rPr>
          <w:rFonts w:ascii="Times New Roman" w:hAnsi="Times New Roman"/>
          <w:b w:val="0"/>
          <w:bCs w:val="0"/>
          <w:color w:val="auto"/>
          <w:sz w:val="24"/>
          <w:szCs w:val="24"/>
          <w:highlight w:val="none"/>
          <w:u w:val="none"/>
          <w:vertAlign w:val="superscript"/>
        </w:rPr>
        <w:t>2</w:t>
      </w:r>
      <w:r>
        <w:rPr>
          <w:rFonts w:ascii="Times New Roman" w:hAnsi="Times New Roman"/>
          <w:b w:val="0"/>
          <w:bCs w:val="0"/>
          <w:color w:val="auto"/>
          <w:sz w:val="24"/>
          <w:szCs w:val="24"/>
          <w:highlight w:val="none"/>
          <w:u w:val="none"/>
        </w:rPr>
        <w:t>·d，H</w:t>
      </w:r>
      <w:r>
        <w:rPr>
          <w:rFonts w:ascii="Times New Roman" w:hAnsi="Times New Roman"/>
          <w:b w:val="0"/>
          <w:bCs w:val="0"/>
          <w:color w:val="auto"/>
          <w:sz w:val="24"/>
          <w:szCs w:val="24"/>
          <w:highlight w:val="none"/>
          <w:u w:val="none"/>
          <w:vertAlign w:val="subscript"/>
        </w:rPr>
        <w:t>2</w:t>
      </w:r>
      <w:r>
        <w:rPr>
          <w:rFonts w:ascii="Times New Roman" w:hAnsi="Times New Roman"/>
          <w:b w:val="0"/>
          <w:bCs w:val="0"/>
          <w:color w:val="auto"/>
          <w:sz w:val="24"/>
          <w:szCs w:val="24"/>
          <w:highlight w:val="none"/>
          <w:u w:val="none"/>
        </w:rPr>
        <w:t>S的产生量为0.3g/m</w:t>
      </w:r>
      <w:r>
        <w:rPr>
          <w:rFonts w:ascii="Times New Roman" w:hAnsi="Times New Roman"/>
          <w:b w:val="0"/>
          <w:bCs w:val="0"/>
          <w:color w:val="auto"/>
          <w:sz w:val="24"/>
          <w:szCs w:val="24"/>
          <w:highlight w:val="none"/>
          <w:u w:val="none"/>
          <w:vertAlign w:val="superscript"/>
        </w:rPr>
        <w:t>2</w:t>
      </w:r>
      <w:r>
        <w:rPr>
          <w:rFonts w:hint="eastAsia" w:ascii="宋体" w:hAnsi="宋体" w:eastAsia="宋体" w:cs="宋体"/>
          <w:b w:val="0"/>
          <w:bCs w:val="0"/>
          <w:color w:val="auto"/>
          <w:sz w:val="24"/>
          <w:szCs w:val="24"/>
          <w:highlight w:val="none"/>
          <w:u w:val="none"/>
        </w:rPr>
        <w:t>·</w:t>
      </w:r>
      <w:r>
        <w:rPr>
          <w:rFonts w:ascii="Times New Roman" w:hAnsi="Times New Roman"/>
          <w:b w:val="0"/>
          <w:bCs w:val="0"/>
          <w:color w:val="auto"/>
          <w:sz w:val="24"/>
          <w:szCs w:val="24"/>
          <w:highlight w:val="none"/>
          <w:u w:val="none"/>
        </w:rPr>
        <w:t>d。据此进行计算，本项目粪污处理过程恶臭气体产生量为NH</w:t>
      </w:r>
      <w:r>
        <w:rPr>
          <w:rFonts w:ascii="Times New Roman" w:hAnsi="Times New Roman"/>
          <w:b w:val="0"/>
          <w:bCs w:val="0"/>
          <w:color w:val="auto"/>
          <w:sz w:val="24"/>
          <w:szCs w:val="24"/>
          <w:highlight w:val="none"/>
          <w:u w:val="none"/>
          <w:vertAlign w:val="subscript"/>
        </w:rPr>
        <w:t>3</w:t>
      </w:r>
      <w:r>
        <w:rPr>
          <w:rFonts w:hint="eastAsia"/>
          <w:b w:val="0"/>
          <w:bCs w:val="0"/>
          <w:color w:val="auto"/>
          <w:sz w:val="24"/>
          <w:szCs w:val="24"/>
          <w:highlight w:val="none"/>
          <w:u w:val="none"/>
          <w:lang w:val="en-US" w:eastAsia="zh-CN"/>
        </w:rPr>
        <w:t>：4.62</w:t>
      </w:r>
      <w:r>
        <w:rPr>
          <w:rFonts w:ascii="Times New Roman" w:hAnsi="Times New Roman"/>
          <w:b w:val="0"/>
          <w:bCs w:val="0"/>
          <w:color w:val="auto"/>
          <w:sz w:val="24"/>
          <w:szCs w:val="24"/>
          <w:highlight w:val="none"/>
          <w:u w:val="none"/>
        </w:rPr>
        <w:t>kg/d</w:t>
      </w:r>
      <w:r>
        <w:rPr>
          <w:rFonts w:hint="eastAsia"/>
          <w:b w:val="0"/>
          <w:bCs w:val="0"/>
          <w:color w:val="auto"/>
          <w:sz w:val="24"/>
          <w:szCs w:val="24"/>
          <w:highlight w:val="none"/>
          <w:u w:val="none"/>
          <w:lang w:eastAsia="zh-CN"/>
        </w:rPr>
        <w:t>；</w:t>
      </w:r>
      <w:r>
        <w:rPr>
          <w:rFonts w:ascii="Times New Roman" w:hAnsi="Times New Roman"/>
          <w:b w:val="0"/>
          <w:bCs w:val="0"/>
          <w:color w:val="auto"/>
          <w:sz w:val="24"/>
          <w:szCs w:val="24"/>
          <w:highlight w:val="none"/>
          <w:u w:val="none"/>
        </w:rPr>
        <w:t>H</w:t>
      </w:r>
      <w:r>
        <w:rPr>
          <w:rFonts w:ascii="Times New Roman" w:hAnsi="Times New Roman"/>
          <w:b w:val="0"/>
          <w:bCs w:val="0"/>
          <w:color w:val="auto"/>
          <w:sz w:val="24"/>
          <w:szCs w:val="24"/>
          <w:highlight w:val="none"/>
          <w:u w:val="none"/>
          <w:vertAlign w:val="subscript"/>
        </w:rPr>
        <w:t>2</w:t>
      </w:r>
      <w:r>
        <w:rPr>
          <w:rFonts w:ascii="Times New Roman" w:hAnsi="Times New Roman"/>
          <w:b w:val="0"/>
          <w:bCs w:val="0"/>
          <w:color w:val="auto"/>
          <w:sz w:val="24"/>
          <w:szCs w:val="24"/>
          <w:highlight w:val="none"/>
          <w:u w:val="none"/>
        </w:rPr>
        <w:t>S</w:t>
      </w:r>
      <w:r>
        <w:rPr>
          <w:rFonts w:hint="eastAsia"/>
          <w:b w:val="0"/>
          <w:bCs w:val="0"/>
          <w:color w:val="auto"/>
          <w:sz w:val="24"/>
          <w:szCs w:val="24"/>
          <w:highlight w:val="none"/>
          <w:u w:val="none"/>
          <w:lang w:eastAsia="zh-CN"/>
        </w:rPr>
        <w:t>：</w:t>
      </w:r>
      <w:r>
        <w:rPr>
          <w:rFonts w:hint="eastAsia" w:ascii="Times New Roman" w:hAnsi="Times New Roman"/>
          <w:b w:val="0"/>
          <w:bCs w:val="0"/>
          <w:color w:val="auto"/>
          <w:sz w:val="24"/>
          <w:szCs w:val="24"/>
          <w:highlight w:val="none"/>
          <w:u w:val="none"/>
          <w:lang w:val="en-US" w:eastAsia="zh-CN"/>
        </w:rPr>
        <w:t>0.</w:t>
      </w:r>
      <w:r>
        <w:rPr>
          <w:rFonts w:hint="eastAsia"/>
          <w:b w:val="0"/>
          <w:bCs w:val="0"/>
          <w:color w:val="auto"/>
          <w:sz w:val="24"/>
          <w:szCs w:val="24"/>
          <w:highlight w:val="none"/>
          <w:u w:val="none"/>
          <w:lang w:val="en-US" w:eastAsia="zh-CN"/>
        </w:rPr>
        <w:t>28</w:t>
      </w:r>
      <w:r>
        <w:rPr>
          <w:rFonts w:ascii="Times New Roman" w:hAnsi="Times New Roman"/>
          <w:b w:val="0"/>
          <w:bCs w:val="0"/>
          <w:color w:val="auto"/>
          <w:sz w:val="24"/>
          <w:szCs w:val="24"/>
          <w:highlight w:val="none"/>
          <w:u w:val="none"/>
        </w:rPr>
        <w:t>kg/d。</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 w:val="0"/>
          <w:bCs w:val="0"/>
          <w:color w:val="auto"/>
          <w:sz w:val="24"/>
          <w:szCs w:val="24"/>
          <w:highlight w:val="none"/>
          <w:u w:val="none"/>
        </w:rPr>
      </w:pPr>
      <w:r>
        <w:rPr>
          <w:rFonts w:ascii="Times New Roman" w:hAnsi="Times New Roman"/>
          <w:b w:val="0"/>
          <w:bCs w:val="0"/>
          <w:color w:val="auto"/>
          <w:sz w:val="24"/>
          <w:szCs w:val="24"/>
          <w:highlight w:val="none"/>
          <w:u w:val="none"/>
        </w:rPr>
        <w:t>项目拟采用喷洒除臭剂</w:t>
      </w:r>
      <w:r>
        <w:rPr>
          <w:rFonts w:hint="eastAsia"/>
          <w:b w:val="0"/>
          <w:bCs w:val="0"/>
          <w:color w:val="auto"/>
          <w:sz w:val="24"/>
          <w:szCs w:val="24"/>
          <w:highlight w:val="none"/>
          <w:u w:val="none"/>
          <w:lang w:eastAsia="zh-CN"/>
        </w:rPr>
        <w:t>、配备除臭墙除臭</w:t>
      </w:r>
      <w:r>
        <w:rPr>
          <w:rFonts w:ascii="Times New Roman" w:hAnsi="Times New Roman"/>
          <w:b w:val="0"/>
          <w:bCs w:val="0"/>
          <w:color w:val="auto"/>
          <w:sz w:val="24"/>
          <w:szCs w:val="24"/>
          <w:highlight w:val="none"/>
          <w:u w:val="none"/>
        </w:rPr>
        <w:t>的方式对堆肥过程恶臭气体进行处理。经处理后，项目粪污处理过程恶臭气体排放量为NH</w:t>
      </w:r>
      <w:r>
        <w:rPr>
          <w:rFonts w:ascii="Times New Roman" w:hAnsi="Times New Roman"/>
          <w:b w:val="0"/>
          <w:bCs w:val="0"/>
          <w:color w:val="auto"/>
          <w:sz w:val="24"/>
          <w:szCs w:val="24"/>
          <w:highlight w:val="none"/>
          <w:u w:val="none"/>
          <w:vertAlign w:val="subscript"/>
        </w:rPr>
        <w:t>3</w:t>
      </w:r>
      <w:r>
        <w:rPr>
          <w:rFonts w:hint="eastAsia"/>
          <w:b w:val="0"/>
          <w:bCs w:val="0"/>
          <w:color w:val="auto"/>
          <w:sz w:val="24"/>
          <w:szCs w:val="24"/>
          <w:highlight w:val="none"/>
          <w:u w:val="none"/>
          <w:vertAlign w:val="baseline"/>
          <w:lang w:eastAsia="zh-CN"/>
        </w:rPr>
        <w:t>：</w:t>
      </w:r>
      <w:r>
        <w:rPr>
          <w:rFonts w:hint="eastAsia"/>
          <w:b w:val="0"/>
          <w:bCs w:val="0"/>
          <w:color w:val="auto"/>
          <w:sz w:val="24"/>
          <w:szCs w:val="24"/>
          <w:highlight w:val="none"/>
          <w:u w:val="none"/>
          <w:vertAlign w:val="baseline"/>
          <w:lang w:val="en-US" w:eastAsia="zh-CN"/>
        </w:rPr>
        <w:t>1.39</w:t>
      </w:r>
      <w:r>
        <w:rPr>
          <w:rFonts w:ascii="Times New Roman" w:hAnsi="Times New Roman"/>
          <w:b w:val="0"/>
          <w:bCs w:val="0"/>
          <w:color w:val="auto"/>
          <w:sz w:val="24"/>
          <w:szCs w:val="24"/>
          <w:highlight w:val="none"/>
          <w:u w:val="none"/>
        </w:rPr>
        <w:t>kg/d</w:t>
      </w:r>
      <w:r>
        <w:rPr>
          <w:rFonts w:hint="eastAsia"/>
          <w:b w:val="0"/>
          <w:bCs w:val="0"/>
          <w:color w:val="auto"/>
          <w:sz w:val="24"/>
          <w:szCs w:val="24"/>
          <w:highlight w:val="none"/>
          <w:u w:val="none"/>
          <w:lang w:eastAsia="zh-CN"/>
        </w:rPr>
        <w:t>；</w:t>
      </w:r>
      <w:r>
        <w:rPr>
          <w:rFonts w:ascii="Times New Roman" w:hAnsi="Times New Roman"/>
          <w:b w:val="0"/>
          <w:bCs w:val="0"/>
          <w:color w:val="auto"/>
          <w:sz w:val="24"/>
          <w:szCs w:val="24"/>
          <w:highlight w:val="none"/>
          <w:u w:val="none"/>
        </w:rPr>
        <w:t>H</w:t>
      </w:r>
      <w:r>
        <w:rPr>
          <w:rFonts w:ascii="Times New Roman" w:hAnsi="Times New Roman"/>
          <w:b w:val="0"/>
          <w:bCs w:val="0"/>
          <w:color w:val="auto"/>
          <w:sz w:val="24"/>
          <w:szCs w:val="24"/>
          <w:highlight w:val="none"/>
          <w:u w:val="none"/>
          <w:vertAlign w:val="subscript"/>
        </w:rPr>
        <w:t>2</w:t>
      </w:r>
      <w:r>
        <w:rPr>
          <w:rFonts w:ascii="Times New Roman" w:hAnsi="Times New Roman"/>
          <w:b w:val="0"/>
          <w:bCs w:val="0"/>
          <w:color w:val="auto"/>
          <w:sz w:val="24"/>
          <w:szCs w:val="24"/>
          <w:highlight w:val="none"/>
          <w:u w:val="none"/>
        </w:rPr>
        <w:t>S</w:t>
      </w:r>
      <w:r>
        <w:rPr>
          <w:rFonts w:hint="eastAsia"/>
          <w:b w:val="0"/>
          <w:bCs w:val="0"/>
          <w:color w:val="auto"/>
          <w:sz w:val="24"/>
          <w:szCs w:val="24"/>
          <w:highlight w:val="none"/>
          <w:u w:val="none"/>
          <w:lang w:eastAsia="zh-CN"/>
        </w:rPr>
        <w:t>：</w:t>
      </w:r>
      <w:r>
        <w:rPr>
          <w:rFonts w:hint="eastAsia"/>
          <w:b w:val="0"/>
          <w:bCs w:val="0"/>
          <w:color w:val="auto"/>
          <w:sz w:val="24"/>
          <w:szCs w:val="24"/>
          <w:highlight w:val="none"/>
          <w:u w:val="none"/>
          <w:lang w:val="en-US" w:eastAsia="zh-CN"/>
        </w:rPr>
        <w:t>0.08</w:t>
      </w:r>
      <w:r>
        <w:rPr>
          <w:rFonts w:ascii="Times New Roman" w:hAnsi="Times New Roman"/>
          <w:b w:val="0"/>
          <w:bCs w:val="0"/>
          <w:color w:val="auto"/>
          <w:sz w:val="24"/>
          <w:szCs w:val="24"/>
          <w:highlight w:val="none"/>
          <w:u w:val="none"/>
        </w:rPr>
        <w:t>kg/d。</w:t>
      </w:r>
    </w:p>
    <w:p>
      <w:pPr>
        <w:pStyle w:val="40"/>
        <w:rPr>
          <w:rFonts w:hint="eastAsia" w:cs="Times New Roman"/>
          <w:color w:val="auto"/>
          <w:highlight w:val="none"/>
          <w:lang w:val="en-US" w:eastAsia="zh-CN"/>
        </w:rPr>
      </w:pPr>
      <w:r>
        <w:rPr>
          <w:rFonts w:hint="eastAsia" w:cs="Times New Roman"/>
          <w:color w:val="auto"/>
          <w:highlight w:val="none"/>
          <w:lang w:val="en-US" w:eastAsia="zh-CN"/>
        </w:rPr>
        <w:t>表2.12-3 项目固粪处理区恶臭气体产生及排放情况一览表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862"/>
        <w:gridCol w:w="981"/>
        <w:gridCol w:w="987"/>
        <w:gridCol w:w="855"/>
        <w:gridCol w:w="807"/>
        <w:gridCol w:w="1833"/>
        <w:gridCol w:w="657"/>
        <w:gridCol w:w="7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9" w:type="pct"/>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污染源</w:t>
            </w:r>
          </w:p>
        </w:tc>
        <w:tc>
          <w:tcPr>
            <w:tcW w:w="499" w:type="pct"/>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处置区面积m</w:t>
            </w:r>
            <w:r>
              <w:rPr>
                <w:rFonts w:hint="eastAsia" w:cs="Times New Roman"/>
                <w:b w:val="0"/>
                <w:bCs/>
                <w:color w:val="auto"/>
                <w:sz w:val="21"/>
                <w:szCs w:val="21"/>
                <w:highlight w:val="none"/>
                <w:vertAlign w:val="superscript"/>
              </w:rPr>
              <w:t>2</w:t>
            </w:r>
          </w:p>
        </w:tc>
        <w:tc>
          <w:tcPr>
            <w:tcW w:w="1138" w:type="pct"/>
            <w:gridSpan w:val="2"/>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系数（g/m</w:t>
            </w:r>
            <w:r>
              <w:rPr>
                <w:rFonts w:hint="eastAsia" w:cs="Times New Roman"/>
                <w:b w:val="0"/>
                <w:bCs/>
                <w:color w:val="auto"/>
                <w:sz w:val="21"/>
                <w:szCs w:val="21"/>
                <w:highlight w:val="none"/>
                <w:vertAlign w:val="superscript"/>
              </w:rPr>
              <w:t>2</w:t>
            </w:r>
            <w:r>
              <w:rPr>
                <w:rFonts w:hint="eastAsia" w:cs="Times New Roman"/>
                <w:b w:val="0"/>
                <w:bCs/>
                <w:color w:val="auto"/>
                <w:sz w:val="21"/>
                <w:szCs w:val="21"/>
                <w:highlight w:val="none"/>
              </w:rPr>
              <w:t>·d）</w:t>
            </w:r>
          </w:p>
        </w:tc>
        <w:tc>
          <w:tcPr>
            <w:tcW w:w="962" w:type="pct"/>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产生量（kg/d）</w:t>
            </w:r>
          </w:p>
        </w:tc>
        <w:tc>
          <w:tcPr>
            <w:tcW w:w="1061" w:type="pct"/>
            <w:vMerge w:val="restar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拟处理措施</w:t>
            </w:r>
          </w:p>
        </w:tc>
        <w:tc>
          <w:tcPr>
            <w:tcW w:w="788" w:type="pct"/>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排放量（kg/d）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9"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p>
        </w:tc>
        <w:tc>
          <w:tcPr>
            <w:tcW w:w="499"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p>
        </w:tc>
        <w:tc>
          <w:tcPr>
            <w:tcW w:w="568"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NH</w:t>
            </w:r>
            <w:r>
              <w:rPr>
                <w:rFonts w:hint="eastAsia" w:cs="Times New Roman"/>
                <w:b w:val="0"/>
                <w:bCs/>
                <w:color w:val="auto"/>
                <w:sz w:val="21"/>
                <w:szCs w:val="21"/>
                <w:highlight w:val="none"/>
                <w:vertAlign w:val="subscript"/>
              </w:rPr>
              <w:t>3</w:t>
            </w:r>
          </w:p>
        </w:tc>
        <w:tc>
          <w:tcPr>
            <w:tcW w:w="569"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H</w:t>
            </w:r>
            <w:r>
              <w:rPr>
                <w:rFonts w:hint="eastAsia" w:cs="Times New Roman"/>
                <w:b w:val="0"/>
                <w:bCs/>
                <w:color w:val="auto"/>
                <w:sz w:val="21"/>
                <w:szCs w:val="21"/>
                <w:highlight w:val="none"/>
                <w:vertAlign w:val="subscript"/>
              </w:rPr>
              <w:t>2</w:t>
            </w:r>
            <w:r>
              <w:rPr>
                <w:rFonts w:hint="eastAsia" w:cs="Times New Roman"/>
                <w:b w:val="0"/>
                <w:bCs/>
                <w:color w:val="auto"/>
                <w:sz w:val="21"/>
                <w:szCs w:val="21"/>
                <w:highlight w:val="none"/>
              </w:rPr>
              <w:t>S</w:t>
            </w:r>
          </w:p>
        </w:tc>
        <w:tc>
          <w:tcPr>
            <w:tcW w:w="495"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NH</w:t>
            </w:r>
            <w:r>
              <w:rPr>
                <w:rFonts w:hint="eastAsia" w:cs="Times New Roman"/>
                <w:b w:val="0"/>
                <w:bCs/>
                <w:color w:val="auto"/>
                <w:sz w:val="21"/>
                <w:szCs w:val="21"/>
                <w:highlight w:val="none"/>
                <w:vertAlign w:val="subscript"/>
              </w:rPr>
              <w:t>3</w:t>
            </w:r>
          </w:p>
        </w:tc>
        <w:tc>
          <w:tcPr>
            <w:tcW w:w="466"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H</w:t>
            </w:r>
            <w:r>
              <w:rPr>
                <w:rFonts w:hint="eastAsia" w:cs="Times New Roman"/>
                <w:b w:val="0"/>
                <w:bCs/>
                <w:color w:val="auto"/>
                <w:sz w:val="21"/>
                <w:szCs w:val="21"/>
                <w:highlight w:val="none"/>
                <w:vertAlign w:val="subscript"/>
              </w:rPr>
              <w:t>2</w:t>
            </w:r>
            <w:r>
              <w:rPr>
                <w:rFonts w:hint="eastAsia" w:cs="Times New Roman"/>
                <w:b w:val="0"/>
                <w:bCs/>
                <w:color w:val="auto"/>
                <w:sz w:val="21"/>
                <w:szCs w:val="21"/>
                <w:highlight w:val="none"/>
              </w:rPr>
              <w:t>S</w:t>
            </w:r>
          </w:p>
        </w:tc>
        <w:tc>
          <w:tcPr>
            <w:tcW w:w="1061"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p>
        </w:tc>
        <w:tc>
          <w:tcPr>
            <w:tcW w:w="380"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NH</w:t>
            </w:r>
            <w:r>
              <w:rPr>
                <w:rFonts w:hint="eastAsia" w:cs="Times New Roman"/>
                <w:b w:val="0"/>
                <w:bCs/>
                <w:color w:val="auto"/>
                <w:sz w:val="21"/>
                <w:szCs w:val="21"/>
                <w:highlight w:val="none"/>
                <w:vertAlign w:val="subscript"/>
              </w:rPr>
              <w:t>3</w:t>
            </w:r>
          </w:p>
        </w:tc>
        <w:tc>
          <w:tcPr>
            <w:tcW w:w="407"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H</w:t>
            </w:r>
            <w:r>
              <w:rPr>
                <w:rFonts w:hint="eastAsia" w:cs="Times New Roman"/>
                <w:b w:val="0"/>
                <w:bCs/>
                <w:color w:val="auto"/>
                <w:sz w:val="21"/>
                <w:szCs w:val="21"/>
                <w:highlight w:val="none"/>
                <w:vertAlign w:val="subscript"/>
              </w:rPr>
              <w:t>2</w:t>
            </w:r>
            <w:r>
              <w:rPr>
                <w:rFonts w:hint="eastAsia" w:cs="Times New Roman"/>
                <w:b w:val="0"/>
                <w:bCs/>
                <w:color w:val="auto"/>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49"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固粪处理区</w:t>
            </w:r>
          </w:p>
        </w:tc>
        <w:tc>
          <w:tcPr>
            <w:tcW w:w="499"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924</w:t>
            </w:r>
          </w:p>
        </w:tc>
        <w:tc>
          <w:tcPr>
            <w:tcW w:w="568"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w:t>
            </w:r>
          </w:p>
        </w:tc>
        <w:tc>
          <w:tcPr>
            <w:tcW w:w="569"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0.3</w:t>
            </w:r>
          </w:p>
        </w:tc>
        <w:tc>
          <w:tcPr>
            <w:tcW w:w="495" w:type="pct"/>
            <w:tcBorders>
              <w:tl2br w:val="nil"/>
              <w:tr2bl w:val="nil"/>
            </w:tcBorders>
            <w:noWrap w:val="0"/>
            <w:vAlign w:val="center"/>
          </w:tcPr>
          <w:p>
            <w:pPr>
              <w:adjustRightInd w:val="0"/>
              <w:snapToGrid w:val="0"/>
              <w:spacing w:line="240" w:lineRule="auto"/>
              <w:ind w:firstLine="0" w:firstLineChars="0"/>
              <w:jc w:val="center"/>
              <w:rPr>
                <w:rFonts w:hint="default"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4.62</w:t>
            </w:r>
          </w:p>
        </w:tc>
        <w:tc>
          <w:tcPr>
            <w:tcW w:w="466" w:type="pct"/>
            <w:tcBorders>
              <w:tl2br w:val="nil"/>
              <w:tr2bl w:val="nil"/>
            </w:tcBorders>
            <w:noWrap w:val="0"/>
            <w:vAlign w:val="center"/>
          </w:tcPr>
          <w:p>
            <w:pPr>
              <w:adjustRightInd w:val="0"/>
              <w:snapToGrid w:val="0"/>
              <w:spacing w:line="240" w:lineRule="auto"/>
              <w:ind w:firstLine="0" w:firstLineChars="0"/>
              <w:jc w:val="center"/>
              <w:rPr>
                <w:rFonts w:hint="default"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0.28</w:t>
            </w:r>
          </w:p>
        </w:tc>
        <w:tc>
          <w:tcPr>
            <w:tcW w:w="1061" w:type="pct"/>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喷洒除臭剂，配备除臭墙除臭</w:t>
            </w:r>
            <w:r>
              <w:rPr>
                <w:rFonts w:hint="eastAsia" w:cs="Times New Roman"/>
                <w:b w:val="0"/>
                <w:bCs/>
                <w:color w:val="auto"/>
                <w:sz w:val="21"/>
                <w:szCs w:val="21"/>
                <w:highlight w:val="none"/>
                <w:lang w:eastAsia="zh-CN"/>
              </w:rPr>
              <w:t>，</w:t>
            </w:r>
            <w:r>
              <w:rPr>
                <w:rFonts w:hint="eastAsia" w:cs="Times New Roman"/>
                <w:b w:val="0"/>
                <w:bCs/>
                <w:color w:val="auto"/>
                <w:sz w:val="21"/>
                <w:szCs w:val="21"/>
                <w:highlight w:val="none"/>
              </w:rPr>
              <w:t>并加强场区绿化，去除效率可达到</w:t>
            </w:r>
            <w:r>
              <w:rPr>
                <w:rFonts w:hint="eastAsia" w:cs="Times New Roman"/>
                <w:b w:val="0"/>
                <w:bCs/>
                <w:color w:val="auto"/>
                <w:sz w:val="21"/>
                <w:szCs w:val="21"/>
                <w:highlight w:val="none"/>
                <w:lang w:val="en-US" w:eastAsia="zh-CN"/>
              </w:rPr>
              <w:t>8</w:t>
            </w:r>
            <w:r>
              <w:rPr>
                <w:rFonts w:hint="eastAsia" w:cs="Times New Roman"/>
                <w:b w:val="0"/>
                <w:bCs/>
                <w:color w:val="auto"/>
                <w:sz w:val="21"/>
                <w:szCs w:val="21"/>
                <w:highlight w:val="none"/>
              </w:rPr>
              <w:t>0%</w:t>
            </w:r>
          </w:p>
        </w:tc>
        <w:tc>
          <w:tcPr>
            <w:tcW w:w="657"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default" w:cs="Times New Roman"/>
                <w:b w:val="0"/>
                <w:bCs/>
                <w:color w:val="auto"/>
                <w:sz w:val="21"/>
                <w:szCs w:val="21"/>
                <w:highlight w:val="none"/>
                <w:lang w:val="en-US" w:eastAsia="zh-CN"/>
              </w:rPr>
              <w:t>0.924</w:t>
            </w:r>
          </w:p>
        </w:tc>
        <w:tc>
          <w:tcPr>
            <w:tcW w:w="705"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187" w:type="pct"/>
            <w:gridSpan w:val="4"/>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年产排量（t/a）</w:t>
            </w:r>
          </w:p>
        </w:tc>
        <w:tc>
          <w:tcPr>
            <w:tcW w:w="495"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1.69</w:t>
            </w:r>
          </w:p>
        </w:tc>
        <w:tc>
          <w:tcPr>
            <w:tcW w:w="466"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 xml:space="preserve"> 0.10</w:t>
            </w:r>
          </w:p>
        </w:tc>
        <w:tc>
          <w:tcPr>
            <w:tcW w:w="1061"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eastAsia="zh-CN"/>
              </w:rPr>
            </w:pPr>
          </w:p>
        </w:tc>
        <w:tc>
          <w:tcPr>
            <w:tcW w:w="657"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0.338</w:t>
            </w:r>
          </w:p>
        </w:tc>
        <w:tc>
          <w:tcPr>
            <w:tcW w:w="705"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0.02</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 w:val="0"/>
          <w:bCs w:val="0"/>
          <w:color w:val="auto"/>
          <w:sz w:val="24"/>
          <w:szCs w:val="24"/>
          <w:highlight w:val="none"/>
          <w:u w:val="none"/>
        </w:rPr>
      </w:pPr>
      <w:r>
        <w:rPr>
          <w:rFonts w:ascii="Times New Roman" w:hAnsi="Times New Roman"/>
          <w:b w:val="0"/>
          <w:bCs w:val="0"/>
          <w:color w:val="auto"/>
          <w:sz w:val="24"/>
          <w:szCs w:val="24"/>
          <w:highlight w:val="none"/>
          <w:u w:val="none"/>
        </w:rPr>
        <w:t>（</w:t>
      </w:r>
      <w:r>
        <w:rPr>
          <w:rFonts w:hint="eastAsia"/>
          <w:b w:val="0"/>
          <w:bCs w:val="0"/>
          <w:color w:val="auto"/>
          <w:sz w:val="24"/>
          <w:szCs w:val="24"/>
          <w:highlight w:val="none"/>
          <w:u w:val="none"/>
          <w:lang w:val="en-US" w:eastAsia="zh-CN"/>
        </w:rPr>
        <w:t>2</w:t>
      </w:r>
      <w:r>
        <w:rPr>
          <w:rFonts w:ascii="Times New Roman" w:hAnsi="Times New Roman"/>
          <w:b w:val="0"/>
          <w:bCs w:val="0"/>
          <w:color w:val="auto"/>
          <w:sz w:val="24"/>
          <w:szCs w:val="24"/>
          <w:highlight w:val="none"/>
          <w:u w:val="none"/>
        </w:rPr>
        <w:t>）沼液储存池臭气</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 w:val="0"/>
          <w:bCs w:val="0"/>
          <w:color w:val="auto"/>
          <w:sz w:val="24"/>
          <w:szCs w:val="24"/>
          <w:highlight w:val="none"/>
          <w:u w:val="none"/>
        </w:rPr>
      </w:pPr>
      <w:r>
        <w:rPr>
          <w:rFonts w:ascii="Times New Roman" w:hAnsi="Times New Roman"/>
          <w:b w:val="0"/>
          <w:bCs w:val="0"/>
          <w:color w:val="auto"/>
          <w:sz w:val="24"/>
          <w:szCs w:val="24"/>
          <w:highlight w:val="none"/>
          <w:u w:val="none"/>
        </w:rPr>
        <w:t>污水处理站产生沼液在非耕作期于场内沼液储存池中暂存。项目场内设</w:t>
      </w:r>
      <w:r>
        <w:rPr>
          <w:rFonts w:hint="eastAsia" w:ascii="Times New Roman" w:hAnsi="Times New Roman"/>
          <w:b w:val="0"/>
          <w:bCs w:val="0"/>
          <w:color w:val="auto"/>
          <w:sz w:val="24"/>
          <w:szCs w:val="24"/>
          <w:highlight w:val="none"/>
          <w:u w:val="none"/>
          <w:lang w:val="en-US" w:eastAsia="zh-CN"/>
        </w:rPr>
        <w:t>1</w:t>
      </w:r>
      <w:r>
        <w:rPr>
          <w:rFonts w:ascii="Times New Roman" w:hAnsi="Times New Roman"/>
          <w:b w:val="0"/>
          <w:bCs w:val="0"/>
          <w:color w:val="auto"/>
          <w:sz w:val="24"/>
          <w:szCs w:val="24"/>
          <w:highlight w:val="none"/>
          <w:u w:val="none"/>
        </w:rPr>
        <w:t>座沼液储存池，容积为</w:t>
      </w:r>
      <w:r>
        <w:rPr>
          <w:rFonts w:hint="eastAsia" w:ascii="Times New Roman" w:hAnsi="Times New Roman"/>
          <w:b w:val="0"/>
          <w:bCs w:val="0"/>
          <w:color w:val="auto"/>
          <w:sz w:val="24"/>
          <w:szCs w:val="24"/>
          <w:highlight w:val="none"/>
          <w:u w:val="none"/>
        </w:rPr>
        <w:t>60480</w:t>
      </w:r>
      <w:r>
        <w:rPr>
          <w:rFonts w:ascii="Times New Roman" w:hAnsi="Times New Roman"/>
          <w:b w:val="0"/>
          <w:bCs w:val="0"/>
          <w:color w:val="auto"/>
          <w:sz w:val="24"/>
          <w:szCs w:val="24"/>
          <w:highlight w:val="none"/>
          <w:u w:val="none"/>
        </w:rPr>
        <w:t>m</w:t>
      </w:r>
      <w:r>
        <w:rPr>
          <w:rFonts w:ascii="Times New Roman" w:hAnsi="Times New Roman"/>
          <w:b w:val="0"/>
          <w:bCs w:val="0"/>
          <w:color w:val="auto"/>
          <w:sz w:val="24"/>
          <w:szCs w:val="24"/>
          <w:highlight w:val="none"/>
          <w:u w:val="none"/>
          <w:vertAlign w:val="superscript"/>
        </w:rPr>
        <w:t>3</w:t>
      </w:r>
      <w:r>
        <w:rPr>
          <w:rFonts w:ascii="Times New Roman" w:hAnsi="Times New Roman"/>
          <w:b w:val="0"/>
          <w:bCs w:val="0"/>
          <w:color w:val="auto"/>
          <w:sz w:val="24"/>
          <w:szCs w:val="24"/>
          <w:highlight w:val="none"/>
          <w:u w:val="none"/>
        </w:rPr>
        <w:t>，占地面积</w:t>
      </w:r>
      <w:r>
        <w:rPr>
          <w:rFonts w:hint="eastAsia"/>
          <w:b w:val="0"/>
          <w:bCs w:val="0"/>
          <w:color w:val="auto"/>
          <w:sz w:val="24"/>
          <w:szCs w:val="24"/>
          <w:highlight w:val="none"/>
          <w:u w:val="none"/>
          <w:lang w:val="en-US" w:eastAsia="zh-CN"/>
        </w:rPr>
        <w:t>12096</w:t>
      </w:r>
      <w:r>
        <w:rPr>
          <w:rFonts w:ascii="Times New Roman" w:hAnsi="Times New Roman"/>
          <w:b w:val="0"/>
          <w:bCs w:val="0"/>
          <w:color w:val="auto"/>
          <w:sz w:val="24"/>
          <w:szCs w:val="24"/>
          <w:highlight w:val="none"/>
          <w:u w:val="none"/>
        </w:rPr>
        <w:t>m</w:t>
      </w:r>
      <w:r>
        <w:rPr>
          <w:rFonts w:ascii="Times New Roman" w:hAnsi="Times New Roman"/>
          <w:b w:val="0"/>
          <w:bCs w:val="0"/>
          <w:color w:val="auto"/>
          <w:sz w:val="24"/>
          <w:szCs w:val="24"/>
          <w:highlight w:val="none"/>
          <w:u w:val="none"/>
          <w:vertAlign w:val="superscript"/>
        </w:rPr>
        <w:t>2</w:t>
      </w:r>
      <w:r>
        <w:rPr>
          <w:rFonts w:ascii="Times New Roman" w:hAnsi="Times New Roman"/>
          <w:b w:val="0"/>
          <w:bCs w:val="0"/>
          <w:color w:val="auto"/>
          <w:sz w:val="24"/>
          <w:szCs w:val="24"/>
          <w:highlight w:val="none"/>
          <w:u w:val="none"/>
        </w:rPr>
        <w:t>，根据类比牧原内乡12场（已验收）沼液储存池：占地面积13622m</w:t>
      </w:r>
      <w:r>
        <w:rPr>
          <w:rFonts w:ascii="Times New Roman" w:hAnsi="Times New Roman"/>
          <w:b w:val="0"/>
          <w:bCs w:val="0"/>
          <w:color w:val="auto"/>
          <w:sz w:val="24"/>
          <w:szCs w:val="24"/>
          <w:highlight w:val="none"/>
          <w:u w:val="none"/>
          <w:vertAlign w:val="superscript"/>
        </w:rPr>
        <w:t>2</w:t>
      </w:r>
      <w:r>
        <w:rPr>
          <w:rFonts w:ascii="Times New Roman" w:hAnsi="Times New Roman"/>
          <w:b w:val="0"/>
          <w:bCs w:val="0"/>
          <w:color w:val="auto"/>
          <w:sz w:val="24"/>
          <w:szCs w:val="24"/>
          <w:highlight w:val="none"/>
          <w:u w:val="none"/>
        </w:rPr>
        <w:t>，H</w:t>
      </w:r>
      <w:r>
        <w:rPr>
          <w:rFonts w:ascii="Times New Roman" w:hAnsi="Times New Roman"/>
          <w:b w:val="0"/>
          <w:bCs w:val="0"/>
          <w:color w:val="auto"/>
          <w:sz w:val="24"/>
          <w:szCs w:val="24"/>
          <w:highlight w:val="none"/>
          <w:u w:val="none"/>
          <w:vertAlign w:val="subscript"/>
        </w:rPr>
        <w:t>2</w:t>
      </w:r>
      <w:r>
        <w:rPr>
          <w:rFonts w:ascii="Times New Roman" w:hAnsi="Times New Roman"/>
          <w:b w:val="0"/>
          <w:bCs w:val="0"/>
          <w:color w:val="auto"/>
          <w:sz w:val="24"/>
          <w:szCs w:val="24"/>
          <w:highlight w:val="none"/>
          <w:u w:val="none"/>
        </w:rPr>
        <w:t>S的产生量为0.0316kg/d，NH</w:t>
      </w:r>
      <w:r>
        <w:rPr>
          <w:rFonts w:ascii="Times New Roman" w:hAnsi="Times New Roman"/>
          <w:b w:val="0"/>
          <w:bCs w:val="0"/>
          <w:color w:val="auto"/>
          <w:sz w:val="24"/>
          <w:szCs w:val="24"/>
          <w:highlight w:val="none"/>
          <w:u w:val="none"/>
          <w:vertAlign w:val="subscript"/>
        </w:rPr>
        <w:t>3</w:t>
      </w:r>
      <w:r>
        <w:rPr>
          <w:rFonts w:ascii="Times New Roman" w:hAnsi="Times New Roman"/>
          <w:b w:val="0"/>
          <w:bCs w:val="0"/>
          <w:color w:val="auto"/>
          <w:sz w:val="24"/>
          <w:szCs w:val="24"/>
          <w:highlight w:val="none"/>
          <w:u w:val="none"/>
        </w:rPr>
        <w:t>的产生量为0.3953kg/d，折合后产生量分别为H</w:t>
      </w:r>
      <w:r>
        <w:rPr>
          <w:rFonts w:ascii="Times New Roman" w:hAnsi="Times New Roman"/>
          <w:b w:val="0"/>
          <w:bCs w:val="0"/>
          <w:color w:val="auto"/>
          <w:sz w:val="24"/>
          <w:szCs w:val="24"/>
          <w:highlight w:val="none"/>
          <w:u w:val="none"/>
          <w:vertAlign w:val="subscript"/>
        </w:rPr>
        <w:t>2</w:t>
      </w:r>
      <w:r>
        <w:rPr>
          <w:rFonts w:ascii="Times New Roman" w:hAnsi="Times New Roman"/>
          <w:b w:val="0"/>
          <w:bCs w:val="0"/>
          <w:color w:val="auto"/>
          <w:sz w:val="24"/>
          <w:szCs w:val="24"/>
          <w:highlight w:val="none"/>
          <w:u w:val="none"/>
        </w:rPr>
        <w:t>S</w:t>
      </w:r>
      <w:r>
        <w:rPr>
          <w:rFonts w:hint="eastAsia"/>
          <w:b w:val="0"/>
          <w:bCs w:val="0"/>
          <w:color w:val="auto"/>
          <w:sz w:val="24"/>
          <w:szCs w:val="24"/>
          <w:highlight w:val="none"/>
          <w:u w:val="none"/>
          <w:lang w:eastAsia="zh-CN"/>
        </w:rPr>
        <w:t>：</w:t>
      </w:r>
      <w:r>
        <w:rPr>
          <w:rFonts w:ascii="Times New Roman" w:hAnsi="Times New Roman"/>
          <w:b w:val="0"/>
          <w:bCs w:val="0"/>
          <w:color w:val="auto"/>
          <w:sz w:val="24"/>
          <w:szCs w:val="24"/>
          <w:highlight w:val="none"/>
          <w:u w:val="none"/>
        </w:rPr>
        <w:t>0.0023g/m</w:t>
      </w:r>
      <w:r>
        <w:rPr>
          <w:rFonts w:ascii="Times New Roman" w:hAnsi="Times New Roman"/>
          <w:b w:val="0"/>
          <w:bCs w:val="0"/>
          <w:color w:val="auto"/>
          <w:sz w:val="24"/>
          <w:szCs w:val="24"/>
          <w:highlight w:val="none"/>
          <w:u w:val="none"/>
          <w:vertAlign w:val="superscript"/>
        </w:rPr>
        <w:t>2</w:t>
      </w:r>
      <w:r>
        <w:rPr>
          <w:rFonts w:hint="default" w:ascii="Times New Roman" w:hAnsi="Times New Roman" w:eastAsia="宋体" w:cs="Times New Roman"/>
          <w:b w:val="0"/>
          <w:bCs w:val="0"/>
          <w:color w:val="auto"/>
          <w:sz w:val="24"/>
          <w:szCs w:val="24"/>
          <w:highlight w:val="none"/>
          <w:u w:val="none"/>
        </w:rPr>
        <w:t>·</w:t>
      </w:r>
      <w:r>
        <w:rPr>
          <w:rFonts w:ascii="Times New Roman" w:hAnsi="Times New Roman"/>
          <w:b w:val="0"/>
          <w:bCs w:val="0"/>
          <w:color w:val="auto"/>
          <w:sz w:val="24"/>
          <w:szCs w:val="24"/>
          <w:highlight w:val="none"/>
          <w:u w:val="none"/>
        </w:rPr>
        <w:t>d，NH</w:t>
      </w:r>
      <w:r>
        <w:rPr>
          <w:rFonts w:ascii="Times New Roman" w:hAnsi="Times New Roman"/>
          <w:b w:val="0"/>
          <w:bCs w:val="0"/>
          <w:color w:val="auto"/>
          <w:sz w:val="24"/>
          <w:szCs w:val="24"/>
          <w:highlight w:val="none"/>
          <w:u w:val="none"/>
          <w:vertAlign w:val="subscript"/>
        </w:rPr>
        <w:t>3</w:t>
      </w:r>
      <w:r>
        <w:rPr>
          <w:rFonts w:hint="eastAsia"/>
          <w:b w:val="0"/>
          <w:bCs w:val="0"/>
          <w:color w:val="auto"/>
          <w:sz w:val="24"/>
          <w:szCs w:val="24"/>
          <w:highlight w:val="none"/>
          <w:u w:val="none"/>
          <w:vertAlign w:val="baseline"/>
          <w:lang w:eastAsia="zh-CN"/>
        </w:rPr>
        <w:t>：</w:t>
      </w:r>
      <w:r>
        <w:rPr>
          <w:rFonts w:ascii="Times New Roman" w:hAnsi="Times New Roman"/>
          <w:b w:val="0"/>
          <w:bCs w:val="0"/>
          <w:color w:val="auto"/>
          <w:sz w:val="24"/>
          <w:szCs w:val="24"/>
          <w:highlight w:val="none"/>
          <w:u w:val="none"/>
        </w:rPr>
        <w:t>0.03g/m</w:t>
      </w:r>
      <w:r>
        <w:rPr>
          <w:rFonts w:ascii="Times New Roman" w:hAnsi="Times New Roman"/>
          <w:b w:val="0"/>
          <w:bCs w:val="0"/>
          <w:color w:val="auto"/>
          <w:sz w:val="24"/>
          <w:szCs w:val="24"/>
          <w:highlight w:val="none"/>
          <w:u w:val="none"/>
          <w:vertAlign w:val="superscript"/>
        </w:rPr>
        <w:t>2</w:t>
      </w:r>
      <w:r>
        <w:rPr>
          <w:rFonts w:hint="default" w:ascii="Times New Roman" w:hAnsi="Times New Roman" w:eastAsia="宋体" w:cs="Times New Roman"/>
          <w:b w:val="0"/>
          <w:bCs w:val="0"/>
          <w:color w:val="auto"/>
          <w:sz w:val="24"/>
          <w:szCs w:val="24"/>
          <w:highlight w:val="none"/>
          <w:u w:val="none"/>
        </w:rPr>
        <w:t>·</w:t>
      </w:r>
      <w:r>
        <w:rPr>
          <w:rFonts w:ascii="Times New Roman" w:hAnsi="Times New Roman"/>
          <w:b w:val="0"/>
          <w:bCs w:val="0"/>
          <w:color w:val="auto"/>
          <w:sz w:val="24"/>
          <w:szCs w:val="24"/>
          <w:highlight w:val="none"/>
          <w:u w:val="none"/>
        </w:rPr>
        <w:t>d。本项目沼液储存池占地面积</w:t>
      </w:r>
      <w:r>
        <w:rPr>
          <w:rFonts w:hint="eastAsia"/>
          <w:b w:val="0"/>
          <w:bCs w:val="0"/>
          <w:color w:val="auto"/>
          <w:sz w:val="24"/>
          <w:szCs w:val="24"/>
          <w:highlight w:val="none"/>
          <w:u w:val="none"/>
          <w:lang w:val="en-US" w:eastAsia="zh-CN"/>
        </w:rPr>
        <w:t>12096</w:t>
      </w:r>
      <w:r>
        <w:rPr>
          <w:rFonts w:ascii="Times New Roman" w:hAnsi="Times New Roman"/>
          <w:b w:val="0"/>
          <w:bCs w:val="0"/>
          <w:color w:val="auto"/>
          <w:sz w:val="24"/>
          <w:szCs w:val="24"/>
          <w:highlight w:val="none"/>
          <w:u w:val="none"/>
        </w:rPr>
        <w:t>m</w:t>
      </w:r>
      <w:r>
        <w:rPr>
          <w:rFonts w:ascii="Times New Roman" w:hAnsi="Times New Roman"/>
          <w:b w:val="0"/>
          <w:bCs w:val="0"/>
          <w:color w:val="auto"/>
          <w:sz w:val="24"/>
          <w:szCs w:val="24"/>
          <w:highlight w:val="none"/>
          <w:u w:val="none"/>
          <w:vertAlign w:val="superscript"/>
        </w:rPr>
        <w:t>2</w:t>
      </w:r>
      <w:r>
        <w:rPr>
          <w:rFonts w:ascii="Times New Roman" w:hAnsi="Times New Roman"/>
          <w:b w:val="0"/>
          <w:bCs w:val="0"/>
          <w:color w:val="auto"/>
          <w:sz w:val="24"/>
          <w:szCs w:val="24"/>
          <w:highlight w:val="none"/>
          <w:u w:val="none"/>
        </w:rPr>
        <w:t>，则沼液储存池H</w:t>
      </w:r>
      <w:r>
        <w:rPr>
          <w:rFonts w:ascii="Times New Roman" w:hAnsi="Times New Roman"/>
          <w:b w:val="0"/>
          <w:bCs w:val="0"/>
          <w:color w:val="auto"/>
          <w:sz w:val="24"/>
          <w:szCs w:val="24"/>
          <w:highlight w:val="none"/>
          <w:u w:val="none"/>
          <w:vertAlign w:val="subscript"/>
        </w:rPr>
        <w:t>2</w:t>
      </w:r>
      <w:r>
        <w:rPr>
          <w:rFonts w:ascii="Times New Roman" w:hAnsi="Times New Roman"/>
          <w:b w:val="0"/>
          <w:bCs w:val="0"/>
          <w:color w:val="auto"/>
          <w:sz w:val="24"/>
          <w:szCs w:val="24"/>
          <w:highlight w:val="none"/>
          <w:u w:val="none"/>
        </w:rPr>
        <w:t>S的产生量为</w:t>
      </w:r>
      <w:r>
        <w:rPr>
          <w:rFonts w:hint="eastAsia" w:ascii="Times New Roman" w:hAnsi="Times New Roman"/>
          <w:b w:val="0"/>
          <w:bCs w:val="0"/>
          <w:color w:val="auto"/>
          <w:sz w:val="24"/>
          <w:szCs w:val="24"/>
          <w:highlight w:val="none"/>
          <w:u w:val="none"/>
          <w:lang w:val="en-US" w:eastAsia="zh-CN"/>
        </w:rPr>
        <w:t>0.0</w:t>
      </w:r>
      <w:r>
        <w:rPr>
          <w:rFonts w:hint="eastAsia"/>
          <w:b w:val="0"/>
          <w:bCs w:val="0"/>
          <w:color w:val="auto"/>
          <w:sz w:val="24"/>
          <w:szCs w:val="24"/>
          <w:highlight w:val="none"/>
          <w:u w:val="none"/>
          <w:lang w:val="en-US" w:eastAsia="zh-CN"/>
        </w:rPr>
        <w:t>28</w:t>
      </w:r>
      <w:r>
        <w:rPr>
          <w:rFonts w:ascii="Times New Roman" w:hAnsi="Times New Roman"/>
          <w:b w:val="0"/>
          <w:bCs w:val="0"/>
          <w:color w:val="auto"/>
          <w:sz w:val="24"/>
          <w:szCs w:val="24"/>
          <w:highlight w:val="none"/>
          <w:u w:val="none"/>
        </w:rPr>
        <w:t>kg/d，NH</w:t>
      </w:r>
      <w:r>
        <w:rPr>
          <w:rFonts w:ascii="Times New Roman" w:hAnsi="Times New Roman"/>
          <w:b w:val="0"/>
          <w:bCs w:val="0"/>
          <w:color w:val="auto"/>
          <w:sz w:val="24"/>
          <w:szCs w:val="24"/>
          <w:highlight w:val="none"/>
          <w:u w:val="none"/>
          <w:vertAlign w:val="subscript"/>
        </w:rPr>
        <w:t>3</w:t>
      </w:r>
      <w:r>
        <w:rPr>
          <w:rFonts w:ascii="Times New Roman" w:hAnsi="Times New Roman"/>
          <w:b w:val="0"/>
          <w:bCs w:val="0"/>
          <w:color w:val="auto"/>
          <w:sz w:val="24"/>
          <w:szCs w:val="24"/>
          <w:highlight w:val="none"/>
          <w:u w:val="none"/>
        </w:rPr>
        <w:t>的产生量为</w:t>
      </w:r>
      <w:r>
        <w:rPr>
          <w:rFonts w:hint="eastAsia" w:ascii="Times New Roman" w:hAnsi="Times New Roman"/>
          <w:b w:val="0"/>
          <w:bCs w:val="0"/>
          <w:color w:val="auto"/>
          <w:sz w:val="24"/>
          <w:szCs w:val="24"/>
          <w:highlight w:val="none"/>
          <w:u w:val="none"/>
          <w:lang w:val="en-US" w:eastAsia="zh-CN"/>
        </w:rPr>
        <w:t>0.</w:t>
      </w:r>
      <w:r>
        <w:rPr>
          <w:rFonts w:hint="eastAsia"/>
          <w:b w:val="0"/>
          <w:bCs w:val="0"/>
          <w:color w:val="auto"/>
          <w:sz w:val="24"/>
          <w:szCs w:val="24"/>
          <w:highlight w:val="none"/>
          <w:u w:val="none"/>
          <w:lang w:val="en-US" w:eastAsia="zh-CN"/>
        </w:rPr>
        <w:t>36</w:t>
      </w:r>
      <w:r>
        <w:rPr>
          <w:rFonts w:ascii="Times New Roman" w:hAnsi="Times New Roman"/>
          <w:b w:val="0"/>
          <w:bCs w:val="0"/>
          <w:color w:val="auto"/>
          <w:sz w:val="24"/>
          <w:szCs w:val="24"/>
          <w:highlight w:val="none"/>
          <w:u w:val="none"/>
        </w:rPr>
        <w:t>kg/d。由于沼液储存池占地面积较大，不便于喷洒除臭剂，且池上方不能加盖，因此产生的臭气全部逸散至空气中。本项目拟采取在沼液储存池周边加强绿化来吸收产生的恶臭气体。使其对周围环境的影响降至最低。</w:t>
      </w:r>
    </w:p>
    <w:p>
      <w:pPr>
        <w:pStyle w:val="40"/>
        <w:rPr>
          <w:rFonts w:hint="eastAsia" w:cs="Times New Roman"/>
          <w:color w:val="auto"/>
          <w:highlight w:val="none"/>
          <w:lang w:val="en-US" w:eastAsia="zh-CN"/>
        </w:rPr>
      </w:pPr>
      <w:r>
        <w:rPr>
          <w:rFonts w:hint="eastAsia" w:cs="Times New Roman"/>
          <w:color w:val="auto"/>
          <w:highlight w:val="none"/>
          <w:lang w:val="en-US" w:eastAsia="zh-CN"/>
        </w:rPr>
        <w:t>表2.12-4 项目沼液暂存池恶臭气体产生及排放情况一览表</w:t>
      </w: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8"/>
        <w:gridCol w:w="888"/>
        <w:gridCol w:w="1012"/>
        <w:gridCol w:w="1013"/>
        <w:gridCol w:w="881"/>
        <w:gridCol w:w="830"/>
        <w:gridCol w:w="1888"/>
        <w:gridCol w:w="678"/>
        <w:gridCol w:w="7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8" w:type="dxa"/>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污染源</w:t>
            </w:r>
          </w:p>
        </w:tc>
        <w:tc>
          <w:tcPr>
            <w:tcW w:w="888" w:type="dxa"/>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占地面积m</w:t>
            </w:r>
            <w:r>
              <w:rPr>
                <w:rFonts w:hint="eastAsia" w:cs="Times New Roman"/>
                <w:b w:val="0"/>
                <w:bCs/>
                <w:color w:val="auto"/>
                <w:sz w:val="21"/>
                <w:szCs w:val="21"/>
                <w:highlight w:val="none"/>
                <w:vertAlign w:val="superscript"/>
              </w:rPr>
              <w:t>2</w:t>
            </w:r>
          </w:p>
        </w:tc>
        <w:tc>
          <w:tcPr>
            <w:tcW w:w="2025" w:type="dxa"/>
            <w:gridSpan w:val="2"/>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系数（g/m</w:t>
            </w:r>
            <w:r>
              <w:rPr>
                <w:rFonts w:hint="eastAsia" w:cs="Times New Roman"/>
                <w:b w:val="0"/>
                <w:bCs/>
                <w:color w:val="auto"/>
                <w:sz w:val="21"/>
                <w:szCs w:val="21"/>
                <w:highlight w:val="none"/>
                <w:vertAlign w:val="superscript"/>
              </w:rPr>
              <w:t>2</w:t>
            </w:r>
            <w:r>
              <w:rPr>
                <w:rFonts w:hint="eastAsia" w:cs="Times New Roman"/>
                <w:b w:val="0"/>
                <w:bCs/>
                <w:color w:val="auto"/>
                <w:sz w:val="21"/>
                <w:szCs w:val="21"/>
                <w:highlight w:val="none"/>
              </w:rPr>
              <w:t>·d）</w:t>
            </w:r>
          </w:p>
        </w:tc>
        <w:tc>
          <w:tcPr>
            <w:tcW w:w="1711" w:type="dxa"/>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产生量（kg/d）</w:t>
            </w:r>
          </w:p>
        </w:tc>
        <w:tc>
          <w:tcPr>
            <w:tcW w:w="1888" w:type="dxa"/>
            <w:vMerge w:val="restar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拟处理措施</w:t>
            </w:r>
          </w:p>
        </w:tc>
        <w:tc>
          <w:tcPr>
            <w:tcW w:w="1402" w:type="dxa"/>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排放量（kg/d）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8" w:type="dxa"/>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p>
        </w:tc>
        <w:tc>
          <w:tcPr>
            <w:tcW w:w="888" w:type="dxa"/>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p>
        </w:tc>
        <w:tc>
          <w:tcPr>
            <w:tcW w:w="1012"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NH</w:t>
            </w:r>
            <w:r>
              <w:rPr>
                <w:rFonts w:hint="eastAsia" w:cs="Times New Roman"/>
                <w:b w:val="0"/>
                <w:bCs/>
                <w:color w:val="auto"/>
                <w:sz w:val="21"/>
                <w:szCs w:val="21"/>
                <w:highlight w:val="none"/>
                <w:vertAlign w:val="subscript"/>
              </w:rPr>
              <w:t>3</w:t>
            </w:r>
          </w:p>
        </w:tc>
        <w:tc>
          <w:tcPr>
            <w:tcW w:w="1013"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H</w:t>
            </w:r>
            <w:r>
              <w:rPr>
                <w:rFonts w:hint="eastAsia" w:cs="Times New Roman"/>
                <w:b w:val="0"/>
                <w:bCs/>
                <w:color w:val="auto"/>
                <w:sz w:val="21"/>
                <w:szCs w:val="21"/>
                <w:highlight w:val="none"/>
                <w:vertAlign w:val="subscript"/>
              </w:rPr>
              <w:t>2</w:t>
            </w:r>
            <w:r>
              <w:rPr>
                <w:rFonts w:hint="eastAsia" w:cs="Times New Roman"/>
                <w:b w:val="0"/>
                <w:bCs/>
                <w:color w:val="auto"/>
                <w:sz w:val="21"/>
                <w:szCs w:val="21"/>
                <w:highlight w:val="none"/>
              </w:rPr>
              <w:t>S</w:t>
            </w:r>
          </w:p>
        </w:tc>
        <w:tc>
          <w:tcPr>
            <w:tcW w:w="881"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NH</w:t>
            </w:r>
            <w:r>
              <w:rPr>
                <w:rFonts w:hint="eastAsia" w:cs="Times New Roman"/>
                <w:b w:val="0"/>
                <w:bCs/>
                <w:color w:val="auto"/>
                <w:sz w:val="21"/>
                <w:szCs w:val="21"/>
                <w:highlight w:val="none"/>
                <w:vertAlign w:val="subscript"/>
              </w:rPr>
              <w:t>3</w:t>
            </w:r>
          </w:p>
        </w:tc>
        <w:tc>
          <w:tcPr>
            <w:tcW w:w="830"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H</w:t>
            </w:r>
            <w:r>
              <w:rPr>
                <w:rFonts w:hint="eastAsia" w:cs="Times New Roman"/>
                <w:b w:val="0"/>
                <w:bCs/>
                <w:color w:val="auto"/>
                <w:sz w:val="21"/>
                <w:szCs w:val="21"/>
                <w:highlight w:val="none"/>
                <w:vertAlign w:val="subscript"/>
              </w:rPr>
              <w:t>2</w:t>
            </w:r>
            <w:r>
              <w:rPr>
                <w:rFonts w:hint="eastAsia" w:cs="Times New Roman"/>
                <w:b w:val="0"/>
                <w:bCs/>
                <w:color w:val="auto"/>
                <w:sz w:val="21"/>
                <w:szCs w:val="21"/>
                <w:highlight w:val="none"/>
              </w:rPr>
              <w:t>S</w:t>
            </w:r>
          </w:p>
        </w:tc>
        <w:tc>
          <w:tcPr>
            <w:tcW w:w="1888" w:type="dxa"/>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p>
        </w:tc>
        <w:tc>
          <w:tcPr>
            <w:tcW w:w="678"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NH</w:t>
            </w:r>
            <w:r>
              <w:rPr>
                <w:rFonts w:hint="eastAsia" w:cs="Times New Roman"/>
                <w:b w:val="0"/>
                <w:bCs/>
                <w:color w:val="auto"/>
                <w:sz w:val="21"/>
                <w:szCs w:val="21"/>
                <w:highlight w:val="none"/>
                <w:vertAlign w:val="subscript"/>
              </w:rPr>
              <w:t>3</w:t>
            </w:r>
          </w:p>
        </w:tc>
        <w:tc>
          <w:tcPr>
            <w:tcW w:w="724"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H</w:t>
            </w:r>
            <w:r>
              <w:rPr>
                <w:rFonts w:hint="eastAsia" w:cs="Times New Roman"/>
                <w:b w:val="0"/>
                <w:bCs/>
                <w:color w:val="auto"/>
                <w:sz w:val="21"/>
                <w:szCs w:val="21"/>
                <w:highlight w:val="none"/>
                <w:vertAlign w:val="subscript"/>
              </w:rPr>
              <w:t>2</w:t>
            </w:r>
            <w:r>
              <w:rPr>
                <w:rFonts w:hint="eastAsia" w:cs="Times New Roman"/>
                <w:b w:val="0"/>
                <w:bCs/>
                <w:color w:val="auto"/>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978"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default" w:cs="Times New Roman"/>
                <w:b w:val="0"/>
                <w:bCs/>
                <w:color w:val="auto"/>
                <w:sz w:val="21"/>
                <w:szCs w:val="21"/>
                <w:highlight w:val="none"/>
                <w:lang w:val="en-US" w:eastAsia="zh-CN"/>
              </w:rPr>
              <w:t>沼液储存池</w:t>
            </w:r>
          </w:p>
        </w:tc>
        <w:tc>
          <w:tcPr>
            <w:tcW w:w="888"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12096</w:t>
            </w:r>
          </w:p>
        </w:tc>
        <w:tc>
          <w:tcPr>
            <w:tcW w:w="1012"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0.03</w:t>
            </w:r>
          </w:p>
        </w:tc>
        <w:tc>
          <w:tcPr>
            <w:tcW w:w="1013"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0.0023</w:t>
            </w:r>
          </w:p>
        </w:tc>
        <w:tc>
          <w:tcPr>
            <w:tcW w:w="881"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rPr>
            </w:pPr>
            <w:r>
              <w:rPr>
                <w:rFonts w:hint="eastAsia" w:cs="Times New Roman"/>
                <w:b w:val="0"/>
                <w:bCs/>
                <w:color w:val="auto"/>
                <w:sz w:val="21"/>
                <w:szCs w:val="21"/>
                <w:highlight w:val="none"/>
                <w:lang w:val="en-US" w:eastAsia="zh-CN"/>
              </w:rPr>
              <w:t>0.36</w:t>
            </w:r>
          </w:p>
        </w:tc>
        <w:tc>
          <w:tcPr>
            <w:tcW w:w="830"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default" w:cs="Times New Roman"/>
                <w:b w:val="0"/>
                <w:bCs/>
                <w:color w:val="auto"/>
                <w:sz w:val="21"/>
                <w:szCs w:val="21"/>
                <w:highlight w:val="none"/>
                <w:lang w:val="en-US" w:eastAsia="zh-CN"/>
              </w:rPr>
              <w:t>0.</w:t>
            </w:r>
            <w:r>
              <w:rPr>
                <w:rFonts w:hint="eastAsia" w:cs="Times New Roman"/>
                <w:b w:val="0"/>
                <w:bCs/>
                <w:color w:val="auto"/>
                <w:sz w:val="21"/>
                <w:szCs w:val="21"/>
                <w:highlight w:val="none"/>
                <w:lang w:val="en-US" w:eastAsia="zh-CN"/>
              </w:rPr>
              <w:t>028</w:t>
            </w:r>
            <w:r>
              <w:rPr>
                <w:rFonts w:hint="default" w:cs="Times New Roman"/>
                <w:b w:val="0"/>
                <w:bCs/>
                <w:color w:val="auto"/>
                <w:sz w:val="21"/>
                <w:szCs w:val="21"/>
                <w:highlight w:val="none"/>
                <w:lang w:val="en-US" w:eastAsia="zh-CN"/>
              </w:rPr>
              <w:t xml:space="preserve"> </w:t>
            </w:r>
          </w:p>
        </w:tc>
        <w:tc>
          <w:tcPr>
            <w:tcW w:w="1888" w:type="dxa"/>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场区绿化，去除效率可达到70%</w:t>
            </w:r>
          </w:p>
        </w:tc>
        <w:tc>
          <w:tcPr>
            <w:tcW w:w="678"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default" w:cs="Times New Roman"/>
                <w:b w:val="0"/>
                <w:bCs/>
                <w:color w:val="auto"/>
                <w:sz w:val="21"/>
                <w:szCs w:val="21"/>
                <w:highlight w:val="none"/>
                <w:lang w:val="en-US" w:eastAsia="zh-CN"/>
              </w:rPr>
              <w:t>0.</w:t>
            </w:r>
            <w:r>
              <w:rPr>
                <w:rFonts w:hint="eastAsia" w:cs="Times New Roman"/>
                <w:b w:val="0"/>
                <w:bCs/>
                <w:color w:val="auto"/>
                <w:sz w:val="21"/>
                <w:szCs w:val="21"/>
                <w:highlight w:val="none"/>
                <w:lang w:val="en-US" w:eastAsia="zh-CN"/>
              </w:rPr>
              <w:t>108</w:t>
            </w:r>
            <w:r>
              <w:rPr>
                <w:rFonts w:hint="default" w:cs="Times New Roman"/>
                <w:b w:val="0"/>
                <w:bCs/>
                <w:color w:val="auto"/>
                <w:sz w:val="21"/>
                <w:szCs w:val="21"/>
                <w:highlight w:val="none"/>
                <w:lang w:val="en-US" w:eastAsia="zh-CN"/>
              </w:rPr>
              <w:t xml:space="preserve"> </w:t>
            </w:r>
          </w:p>
        </w:tc>
        <w:tc>
          <w:tcPr>
            <w:tcW w:w="724"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default" w:cs="Times New Roman"/>
                <w:b w:val="0"/>
                <w:bCs/>
                <w:color w:val="auto"/>
                <w:sz w:val="21"/>
                <w:szCs w:val="21"/>
                <w:highlight w:val="none"/>
                <w:lang w:val="en-US" w:eastAsia="zh-CN"/>
              </w:rPr>
              <w:t>0.</w:t>
            </w:r>
            <w:r>
              <w:rPr>
                <w:rFonts w:hint="eastAsia" w:cs="Times New Roman"/>
                <w:b w:val="0"/>
                <w:bCs/>
                <w:color w:val="auto"/>
                <w:sz w:val="21"/>
                <w:szCs w:val="21"/>
                <w:highlight w:val="none"/>
                <w:lang w:val="en-US" w:eastAsia="zh-CN"/>
              </w:rPr>
              <w:t>008</w:t>
            </w:r>
            <w:r>
              <w:rPr>
                <w:rFonts w:hint="default" w:cs="Times New Roman"/>
                <w:b w:val="0"/>
                <w:bCs/>
                <w:color w:val="auto"/>
                <w:sz w:val="21"/>
                <w:szCs w:val="21"/>
                <w:highlight w:val="non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3891" w:type="dxa"/>
            <w:gridSpan w:val="4"/>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lang w:val="en-US" w:eastAsia="zh-CN"/>
              </w:rPr>
              <w:t>年产排量（t/a）</w:t>
            </w:r>
          </w:p>
        </w:tc>
        <w:tc>
          <w:tcPr>
            <w:tcW w:w="881"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0.13</w:t>
            </w:r>
          </w:p>
        </w:tc>
        <w:tc>
          <w:tcPr>
            <w:tcW w:w="830"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 xml:space="preserve">0.01 </w:t>
            </w:r>
          </w:p>
        </w:tc>
        <w:tc>
          <w:tcPr>
            <w:tcW w:w="1888" w:type="dxa"/>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p>
        </w:tc>
        <w:tc>
          <w:tcPr>
            <w:tcW w:w="678"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 xml:space="preserve">0.04 </w:t>
            </w:r>
          </w:p>
        </w:tc>
        <w:tc>
          <w:tcPr>
            <w:tcW w:w="724" w:type="dxa"/>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 xml:space="preserve">0.003 </w:t>
            </w:r>
          </w:p>
        </w:tc>
      </w:tr>
    </w:tbl>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b w:val="0"/>
          <w:bCs w:val="0"/>
          <w:color w:val="auto"/>
          <w:sz w:val="24"/>
          <w:szCs w:val="24"/>
          <w:highlight w:val="none"/>
          <w:u w:val="none"/>
        </w:rPr>
      </w:pPr>
      <w:r>
        <w:rPr>
          <w:rFonts w:ascii="Times New Roman" w:hAnsi="Times New Roman"/>
          <w:b w:val="0"/>
          <w:bCs w:val="0"/>
          <w:color w:val="auto"/>
          <w:sz w:val="24"/>
          <w:szCs w:val="24"/>
          <w:highlight w:val="none"/>
          <w:u w:val="none"/>
        </w:rPr>
        <w:t>根据河南牧原食品股份有限公司12分场（该项目沼液储存池面积13622m</w:t>
      </w:r>
      <w:r>
        <w:rPr>
          <w:rFonts w:ascii="Times New Roman" w:hAnsi="Times New Roman"/>
          <w:b w:val="0"/>
          <w:bCs w:val="0"/>
          <w:color w:val="auto"/>
          <w:sz w:val="24"/>
          <w:szCs w:val="24"/>
          <w:highlight w:val="none"/>
          <w:u w:val="none"/>
          <w:vertAlign w:val="superscript"/>
        </w:rPr>
        <w:t>2</w:t>
      </w:r>
      <w:r>
        <w:rPr>
          <w:rFonts w:ascii="Times New Roman" w:hAnsi="Times New Roman"/>
          <w:b w:val="0"/>
          <w:bCs w:val="0"/>
          <w:color w:val="auto"/>
          <w:sz w:val="24"/>
          <w:szCs w:val="24"/>
          <w:highlight w:val="none"/>
          <w:u w:val="none"/>
        </w:rPr>
        <w:t>）的监测数据，沼液储存池下风向5m和50m硫化氢的浓度分别是0.03mg/m</w:t>
      </w:r>
      <w:r>
        <w:rPr>
          <w:rFonts w:ascii="Times New Roman" w:hAnsi="Times New Roman"/>
          <w:b w:val="0"/>
          <w:bCs w:val="0"/>
          <w:color w:val="auto"/>
          <w:sz w:val="24"/>
          <w:szCs w:val="24"/>
          <w:highlight w:val="none"/>
          <w:u w:val="none"/>
          <w:vertAlign w:val="superscript"/>
        </w:rPr>
        <w:t>3</w:t>
      </w:r>
      <w:r>
        <w:rPr>
          <w:rFonts w:ascii="Times New Roman" w:hAnsi="Times New Roman"/>
          <w:b w:val="0"/>
          <w:bCs w:val="0"/>
          <w:color w:val="auto"/>
          <w:sz w:val="24"/>
          <w:szCs w:val="24"/>
          <w:highlight w:val="none"/>
          <w:u w:val="none"/>
        </w:rPr>
        <w:t>、 0.001~0.002mg/m</w:t>
      </w:r>
      <w:r>
        <w:rPr>
          <w:rFonts w:ascii="Times New Roman" w:hAnsi="Times New Roman"/>
          <w:b w:val="0"/>
          <w:bCs w:val="0"/>
          <w:color w:val="auto"/>
          <w:sz w:val="24"/>
          <w:szCs w:val="24"/>
          <w:highlight w:val="none"/>
          <w:u w:val="none"/>
          <w:vertAlign w:val="superscript"/>
        </w:rPr>
        <w:t>3</w:t>
      </w:r>
      <w:r>
        <w:rPr>
          <w:rFonts w:ascii="Times New Roman" w:hAnsi="Times New Roman"/>
          <w:b w:val="0"/>
          <w:bCs w:val="0"/>
          <w:color w:val="auto"/>
          <w:sz w:val="24"/>
          <w:szCs w:val="24"/>
          <w:highlight w:val="none"/>
          <w:u w:val="none"/>
        </w:rPr>
        <w:t>；氨气的浓度分别是0.14~0.16mg/m</w:t>
      </w:r>
      <w:r>
        <w:rPr>
          <w:rFonts w:ascii="Times New Roman" w:hAnsi="Times New Roman"/>
          <w:b w:val="0"/>
          <w:bCs w:val="0"/>
          <w:color w:val="auto"/>
          <w:sz w:val="24"/>
          <w:szCs w:val="24"/>
          <w:highlight w:val="none"/>
          <w:u w:val="none"/>
          <w:vertAlign w:val="superscript"/>
        </w:rPr>
        <w:t>3</w:t>
      </w:r>
      <w:r>
        <w:rPr>
          <w:rFonts w:ascii="Times New Roman" w:hAnsi="Times New Roman"/>
          <w:b w:val="0"/>
          <w:bCs w:val="0"/>
          <w:color w:val="auto"/>
          <w:sz w:val="24"/>
          <w:szCs w:val="24"/>
          <w:highlight w:val="none"/>
          <w:u w:val="none"/>
        </w:rPr>
        <w:t>、 0.11~0.12mg/m</w:t>
      </w:r>
      <w:r>
        <w:rPr>
          <w:rFonts w:ascii="Times New Roman" w:hAnsi="Times New Roman"/>
          <w:b w:val="0"/>
          <w:bCs w:val="0"/>
          <w:color w:val="auto"/>
          <w:sz w:val="24"/>
          <w:szCs w:val="24"/>
          <w:highlight w:val="none"/>
          <w:u w:val="none"/>
          <w:vertAlign w:val="superscript"/>
        </w:rPr>
        <w:t>3</w:t>
      </w:r>
      <w:r>
        <w:rPr>
          <w:rFonts w:ascii="Times New Roman" w:hAnsi="Times New Roman"/>
          <w:b w:val="0"/>
          <w:bCs w:val="0"/>
          <w:color w:val="auto"/>
          <w:sz w:val="24"/>
          <w:szCs w:val="24"/>
          <w:highlight w:val="none"/>
          <w:u w:val="none"/>
        </w:rPr>
        <w:t>，满足《恶臭污染物排放标准（GB14554-93）》硫化氢和氨的标准值0.06mg/m</w:t>
      </w:r>
      <w:r>
        <w:rPr>
          <w:rFonts w:ascii="Times New Roman" w:hAnsi="Times New Roman"/>
          <w:b w:val="0"/>
          <w:bCs w:val="0"/>
          <w:color w:val="auto"/>
          <w:sz w:val="24"/>
          <w:szCs w:val="24"/>
          <w:highlight w:val="none"/>
          <w:u w:val="none"/>
          <w:vertAlign w:val="superscript"/>
        </w:rPr>
        <w:t>3</w:t>
      </w:r>
      <w:r>
        <w:rPr>
          <w:rFonts w:ascii="Times New Roman" w:hAnsi="Times New Roman"/>
          <w:b w:val="0"/>
          <w:bCs w:val="0"/>
          <w:color w:val="auto"/>
          <w:sz w:val="24"/>
          <w:szCs w:val="24"/>
          <w:highlight w:val="none"/>
          <w:u w:val="none"/>
        </w:rPr>
        <w:t>、1.5 mg/m</w:t>
      </w:r>
      <w:r>
        <w:rPr>
          <w:rFonts w:ascii="Times New Roman" w:hAnsi="Times New Roman"/>
          <w:b w:val="0"/>
          <w:bCs w:val="0"/>
          <w:color w:val="auto"/>
          <w:sz w:val="24"/>
          <w:szCs w:val="24"/>
          <w:highlight w:val="none"/>
          <w:u w:val="none"/>
          <w:vertAlign w:val="superscript"/>
        </w:rPr>
        <w:t>3</w:t>
      </w:r>
      <w:r>
        <w:rPr>
          <w:rFonts w:ascii="Times New Roman" w:hAnsi="Times New Roman"/>
          <w:b w:val="0"/>
          <w:bCs w:val="0"/>
          <w:color w:val="auto"/>
          <w:sz w:val="24"/>
          <w:szCs w:val="24"/>
          <w:highlight w:val="none"/>
          <w:u w:val="none"/>
        </w:rPr>
        <w:t>。故本项目沼液储存池对周边环境影响较小。</w:t>
      </w:r>
    </w:p>
    <w:p>
      <w:pPr>
        <w:pStyle w:val="105"/>
        <w:keepNext w:val="0"/>
        <w:keepLines w:val="0"/>
        <w:pageBreakBefore w:val="0"/>
        <w:widowControl/>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heme="minorBidi"/>
          <w:bCs/>
          <w:color w:val="auto"/>
          <w:kern w:val="2"/>
          <w:sz w:val="24"/>
          <w:szCs w:val="24"/>
          <w:highlight w:val="none"/>
          <w:lang w:val="en-US" w:eastAsia="zh-CN" w:bidi="ar-SA"/>
        </w:rPr>
      </w:pPr>
      <w:r>
        <w:rPr>
          <w:rFonts w:hint="eastAsia" w:ascii="Times New Roman" w:hAnsi="Times New Roman" w:eastAsia="宋体" w:cstheme="minorBidi"/>
          <w:bCs/>
          <w:color w:val="auto"/>
          <w:kern w:val="2"/>
          <w:sz w:val="24"/>
          <w:szCs w:val="24"/>
          <w:highlight w:val="none"/>
          <w:lang w:val="en-US" w:eastAsia="zh-CN" w:bidi="ar-SA"/>
        </w:rPr>
        <w:t>3、无害化处理车间废气</w:t>
      </w:r>
    </w:p>
    <w:p>
      <w:pPr>
        <w:pStyle w:val="105"/>
        <w:keepNext w:val="0"/>
        <w:keepLines w:val="0"/>
        <w:pageBreakBefore w:val="0"/>
        <w:widowControl/>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heme="minorBidi"/>
          <w:bCs/>
          <w:color w:val="auto"/>
          <w:kern w:val="2"/>
          <w:sz w:val="24"/>
          <w:szCs w:val="24"/>
          <w:highlight w:val="none"/>
          <w:lang w:val="en-US" w:eastAsia="zh-CN" w:bidi="ar-SA"/>
        </w:rPr>
      </w:pPr>
      <w:r>
        <w:rPr>
          <w:rFonts w:hint="eastAsia" w:ascii="Times New Roman" w:hAnsi="Times New Roman" w:eastAsia="宋体" w:cstheme="minorBidi"/>
          <w:bCs/>
          <w:color w:val="auto"/>
          <w:kern w:val="2"/>
          <w:sz w:val="24"/>
          <w:szCs w:val="24"/>
          <w:highlight w:val="none"/>
          <w:lang w:val="en-US" w:eastAsia="zh-CN" w:bidi="ar-SA"/>
        </w:rPr>
        <w:t>项目病死猪</w:t>
      </w:r>
      <w:r>
        <w:rPr>
          <w:rFonts w:hint="eastAsia" w:cstheme="minorBidi"/>
          <w:bCs/>
          <w:color w:val="auto"/>
          <w:kern w:val="2"/>
          <w:sz w:val="24"/>
          <w:szCs w:val="24"/>
          <w:highlight w:val="none"/>
          <w:lang w:val="en-US" w:eastAsia="zh-CN" w:bidi="ar-SA"/>
        </w:rPr>
        <w:t>送往</w:t>
      </w:r>
      <w:r>
        <w:rPr>
          <w:rFonts w:hint="eastAsia" w:ascii="Times New Roman" w:hAnsi="Times New Roman" w:eastAsia="宋体" w:cstheme="minorBidi"/>
          <w:bCs/>
          <w:color w:val="auto"/>
          <w:kern w:val="2"/>
          <w:sz w:val="24"/>
          <w:szCs w:val="24"/>
          <w:highlight w:val="none"/>
          <w:lang w:val="en-US" w:eastAsia="zh-CN" w:bidi="ar-SA"/>
        </w:rPr>
        <w:t>场区病死猪处理区处理。动物尸体在无害化降解处理过程中会产生一定量的臭气气体，高温化制机配套废气处理净化设施，配备除臭墙除臭，对恶臭污染物的处理净化效率可达</w:t>
      </w:r>
      <w:r>
        <w:rPr>
          <w:rFonts w:hint="eastAsia" w:cstheme="minorBidi"/>
          <w:bCs/>
          <w:color w:val="auto"/>
          <w:kern w:val="2"/>
          <w:sz w:val="24"/>
          <w:szCs w:val="24"/>
          <w:highlight w:val="none"/>
          <w:lang w:val="en-US" w:eastAsia="zh-CN" w:bidi="ar-SA"/>
        </w:rPr>
        <w:t>8</w:t>
      </w:r>
      <w:r>
        <w:rPr>
          <w:rFonts w:hint="eastAsia" w:ascii="Times New Roman" w:hAnsi="Times New Roman" w:eastAsia="宋体" w:cstheme="minorBidi"/>
          <w:bCs/>
          <w:color w:val="auto"/>
          <w:kern w:val="2"/>
          <w:sz w:val="24"/>
          <w:szCs w:val="24"/>
          <w:highlight w:val="none"/>
          <w:lang w:val="en-US" w:eastAsia="zh-CN" w:bidi="ar-SA"/>
        </w:rPr>
        <w:t>0%以上。本厂区病死猪产生量为</w:t>
      </w:r>
      <w:r>
        <w:rPr>
          <w:rFonts w:hint="eastAsia" w:cstheme="minorBidi"/>
          <w:bCs/>
          <w:color w:val="auto"/>
          <w:kern w:val="2"/>
          <w:sz w:val="24"/>
          <w:szCs w:val="24"/>
          <w:highlight w:val="none"/>
          <w:lang w:val="en-US" w:eastAsia="zh-CN" w:bidi="ar-SA"/>
        </w:rPr>
        <w:t>23.5</w:t>
      </w:r>
      <w:r>
        <w:rPr>
          <w:rFonts w:hint="eastAsia" w:ascii="Times New Roman" w:hAnsi="Times New Roman" w:eastAsia="宋体" w:cstheme="minorBidi"/>
          <w:bCs/>
          <w:color w:val="auto"/>
          <w:kern w:val="2"/>
          <w:sz w:val="24"/>
          <w:szCs w:val="24"/>
          <w:highlight w:val="none"/>
          <w:lang w:val="en-US" w:eastAsia="zh-CN" w:bidi="ar-SA"/>
        </w:rPr>
        <w:t>t/a。</w:t>
      </w:r>
    </w:p>
    <w:p>
      <w:pPr>
        <w:pStyle w:val="105"/>
        <w:keepNext w:val="0"/>
        <w:keepLines w:val="0"/>
        <w:pageBreakBefore w:val="0"/>
        <w:widowControl/>
        <w:kinsoku/>
        <w:wordWrap/>
        <w:overflowPunct/>
        <w:topLinePunct w:val="0"/>
        <w:autoSpaceDE/>
        <w:autoSpaceDN/>
        <w:bidi w:val="0"/>
        <w:adjustRightInd/>
        <w:snapToGrid/>
        <w:ind w:left="0" w:leftChars="0" w:firstLine="480" w:firstLineChars="200"/>
        <w:textAlignment w:val="auto"/>
        <w:rPr>
          <w:rFonts w:hint="eastAsia" w:ascii="宋体" w:hAnsi="宋体" w:cs="宋体"/>
          <w:color w:val="auto"/>
          <w:sz w:val="24"/>
          <w:szCs w:val="24"/>
          <w:highlight w:val="none"/>
        </w:rPr>
      </w:pPr>
      <w:r>
        <w:rPr>
          <w:rFonts w:hint="eastAsia" w:ascii="Times New Roman" w:hAnsi="Times New Roman" w:eastAsia="宋体" w:cstheme="minorBidi"/>
          <w:bCs/>
          <w:color w:val="auto"/>
          <w:kern w:val="2"/>
          <w:sz w:val="24"/>
          <w:szCs w:val="24"/>
          <w:highlight w:val="none"/>
          <w:lang w:val="en-US" w:eastAsia="zh-CN" w:bidi="ar-SA"/>
        </w:rPr>
        <w:t>本项目H</w:t>
      </w:r>
      <w:r>
        <w:rPr>
          <w:rFonts w:hint="eastAsia" w:ascii="Times New Roman" w:hAnsi="Times New Roman" w:eastAsia="宋体" w:cstheme="minorBidi"/>
          <w:bCs/>
          <w:color w:val="auto"/>
          <w:kern w:val="2"/>
          <w:sz w:val="24"/>
          <w:szCs w:val="24"/>
          <w:highlight w:val="none"/>
          <w:vertAlign w:val="subscript"/>
          <w:lang w:val="en-US" w:eastAsia="zh-CN" w:bidi="ar-SA"/>
        </w:rPr>
        <w:t>2</w:t>
      </w:r>
      <w:r>
        <w:rPr>
          <w:rFonts w:hint="eastAsia" w:ascii="Times New Roman" w:hAnsi="Times New Roman" w:eastAsia="宋体" w:cstheme="minorBidi"/>
          <w:bCs/>
          <w:color w:val="auto"/>
          <w:kern w:val="2"/>
          <w:sz w:val="24"/>
          <w:szCs w:val="24"/>
          <w:highlight w:val="none"/>
          <w:lang w:val="en-US" w:eastAsia="zh-CN" w:bidi="ar-SA"/>
        </w:rPr>
        <w:t>S、NH</w:t>
      </w:r>
      <w:r>
        <w:rPr>
          <w:rFonts w:hint="eastAsia" w:ascii="Times New Roman" w:hAnsi="Times New Roman" w:eastAsia="宋体" w:cstheme="minorBidi"/>
          <w:bCs/>
          <w:color w:val="auto"/>
          <w:kern w:val="2"/>
          <w:sz w:val="24"/>
          <w:szCs w:val="24"/>
          <w:highlight w:val="none"/>
          <w:vertAlign w:val="subscript"/>
          <w:lang w:val="en-US" w:eastAsia="zh-CN" w:bidi="ar-SA"/>
        </w:rPr>
        <w:t>3</w:t>
      </w:r>
      <w:r>
        <w:rPr>
          <w:rFonts w:hint="eastAsia" w:ascii="Times New Roman" w:hAnsi="Times New Roman" w:eastAsia="宋体" w:cstheme="minorBidi"/>
          <w:bCs/>
          <w:color w:val="auto"/>
          <w:kern w:val="2"/>
          <w:sz w:val="24"/>
          <w:szCs w:val="24"/>
          <w:highlight w:val="none"/>
          <w:lang w:val="en-US" w:eastAsia="zh-CN" w:bidi="ar-SA"/>
        </w:rPr>
        <w:t>排放源强类比已报批的《上蔡牧原农牧有限公司十四场生猪养殖项目环境影响报告书》（ 驻环审〔2020〕33号）中的源强，本项目病死猪无害化工艺与该场相同，其H</w:t>
      </w:r>
      <w:r>
        <w:rPr>
          <w:rFonts w:hint="eastAsia" w:ascii="Times New Roman" w:hAnsi="Times New Roman" w:eastAsia="宋体" w:cstheme="minorBidi"/>
          <w:bCs/>
          <w:color w:val="auto"/>
          <w:kern w:val="2"/>
          <w:sz w:val="24"/>
          <w:szCs w:val="24"/>
          <w:highlight w:val="none"/>
          <w:vertAlign w:val="subscript"/>
          <w:lang w:val="en-US" w:eastAsia="zh-CN" w:bidi="ar-SA"/>
        </w:rPr>
        <w:t>2</w:t>
      </w:r>
      <w:r>
        <w:rPr>
          <w:rFonts w:hint="eastAsia" w:ascii="Times New Roman" w:hAnsi="Times New Roman" w:eastAsia="宋体" w:cstheme="minorBidi"/>
          <w:bCs/>
          <w:color w:val="auto"/>
          <w:kern w:val="2"/>
          <w:sz w:val="24"/>
          <w:szCs w:val="24"/>
          <w:highlight w:val="none"/>
          <w:lang w:val="en-US" w:eastAsia="zh-CN" w:bidi="ar-SA"/>
        </w:rPr>
        <w:t>S、NH</w:t>
      </w:r>
      <w:r>
        <w:rPr>
          <w:rFonts w:hint="eastAsia" w:ascii="Times New Roman" w:hAnsi="Times New Roman" w:eastAsia="宋体" w:cstheme="minorBidi"/>
          <w:bCs/>
          <w:color w:val="auto"/>
          <w:kern w:val="2"/>
          <w:sz w:val="24"/>
          <w:szCs w:val="24"/>
          <w:highlight w:val="none"/>
          <w:vertAlign w:val="subscript"/>
          <w:lang w:val="en-US" w:eastAsia="zh-CN" w:bidi="ar-SA"/>
        </w:rPr>
        <w:t>3</w:t>
      </w:r>
      <w:r>
        <w:rPr>
          <w:rFonts w:hint="eastAsia" w:ascii="Times New Roman" w:hAnsi="Times New Roman" w:eastAsia="宋体" w:cstheme="minorBidi"/>
          <w:bCs/>
          <w:color w:val="auto"/>
          <w:kern w:val="2"/>
          <w:sz w:val="24"/>
          <w:szCs w:val="24"/>
          <w:highlight w:val="none"/>
          <w:lang w:val="en-US" w:eastAsia="zh-CN" w:bidi="ar-SA"/>
        </w:rPr>
        <w:t>排放源强具有可类比性，本项目病死动物无害化产生的恶臭源强见下表，恶臭气体经</w:t>
      </w:r>
      <w:r>
        <w:rPr>
          <w:rFonts w:hint="eastAsia" w:cstheme="minorBidi"/>
          <w:bCs/>
          <w:color w:val="auto"/>
          <w:kern w:val="2"/>
          <w:sz w:val="24"/>
          <w:szCs w:val="24"/>
          <w:highlight w:val="none"/>
          <w:lang w:val="en-US" w:eastAsia="zh-CN" w:bidi="ar-SA"/>
        </w:rPr>
        <w:t>除臭墙</w:t>
      </w:r>
      <w:r>
        <w:rPr>
          <w:rFonts w:hint="eastAsia" w:ascii="Times New Roman" w:hAnsi="Times New Roman" w:eastAsia="宋体" w:cstheme="minorBidi"/>
          <w:bCs/>
          <w:color w:val="auto"/>
          <w:kern w:val="2"/>
          <w:sz w:val="24"/>
          <w:szCs w:val="24"/>
          <w:highlight w:val="none"/>
          <w:lang w:val="en-US" w:eastAsia="zh-CN" w:bidi="ar-SA"/>
        </w:rPr>
        <w:t>除臭处理，处理效率</w:t>
      </w:r>
      <w:r>
        <w:rPr>
          <w:rFonts w:hint="eastAsia" w:cstheme="minorBidi"/>
          <w:bCs/>
          <w:color w:val="auto"/>
          <w:kern w:val="2"/>
          <w:sz w:val="24"/>
          <w:szCs w:val="24"/>
          <w:highlight w:val="none"/>
          <w:lang w:val="en-US" w:eastAsia="zh-CN" w:bidi="ar-SA"/>
        </w:rPr>
        <w:t>可达到8</w:t>
      </w:r>
      <w:r>
        <w:rPr>
          <w:rFonts w:hint="eastAsia" w:ascii="Times New Roman" w:hAnsi="Times New Roman" w:eastAsia="宋体" w:cstheme="minorBidi"/>
          <w:bCs/>
          <w:color w:val="auto"/>
          <w:kern w:val="2"/>
          <w:sz w:val="24"/>
          <w:szCs w:val="24"/>
          <w:highlight w:val="none"/>
          <w:lang w:val="en-US" w:eastAsia="zh-CN" w:bidi="ar-SA"/>
        </w:rPr>
        <w:t>0%。无害化处置中心恶臭气体产生及排放情况见下表。</w:t>
      </w:r>
    </w:p>
    <w:p>
      <w:pPr>
        <w:pStyle w:val="40"/>
        <w:rPr>
          <w:rFonts w:hint="eastAsia" w:cs="Times New Roman"/>
          <w:color w:val="auto"/>
          <w:highlight w:val="none"/>
          <w:lang w:val="en-US" w:eastAsia="zh-CN"/>
        </w:rPr>
      </w:pPr>
      <w:r>
        <w:rPr>
          <w:rFonts w:hint="eastAsia" w:cs="Times New Roman"/>
          <w:color w:val="auto"/>
          <w:highlight w:val="none"/>
          <w:lang w:val="en-US" w:eastAsia="zh-CN"/>
        </w:rPr>
        <w:t>表2.11-5 项目无害化处置中心恶臭气体产生及排放情况一览表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490"/>
        <w:gridCol w:w="865"/>
        <w:gridCol w:w="867"/>
        <w:gridCol w:w="865"/>
        <w:gridCol w:w="867"/>
        <w:gridCol w:w="866"/>
        <w:gridCol w:w="868"/>
        <w:gridCol w:w="866"/>
        <w:gridCol w:w="9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547" w:type="pct"/>
            <w:vMerge w:val="restart"/>
            <w:tcBorders>
              <w:tl2br w:val="nil"/>
              <w:tr2bl w:val="nil"/>
            </w:tcBorders>
            <w:noWrap/>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污染源</w:t>
            </w:r>
          </w:p>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区域</w:t>
            </w:r>
          </w:p>
        </w:tc>
        <w:tc>
          <w:tcPr>
            <w:tcW w:w="1095" w:type="pct"/>
            <w:gridSpan w:val="2"/>
            <w:tcBorders>
              <w:tl2br w:val="nil"/>
              <w:tr2bl w:val="nil"/>
            </w:tcBorders>
            <w:noWrap/>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日产生量（kg/d）</w:t>
            </w:r>
          </w:p>
        </w:tc>
        <w:tc>
          <w:tcPr>
            <w:tcW w:w="1095" w:type="pct"/>
            <w:gridSpan w:val="2"/>
            <w:tcBorders>
              <w:tl2br w:val="nil"/>
              <w:tr2bl w:val="nil"/>
            </w:tcBorders>
            <w:noWrap/>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日排放量（kg/d）</w:t>
            </w:r>
          </w:p>
        </w:tc>
        <w:tc>
          <w:tcPr>
            <w:tcW w:w="1095" w:type="pct"/>
            <w:gridSpan w:val="2"/>
            <w:tcBorders>
              <w:tl2br w:val="nil"/>
              <w:tr2bl w:val="nil"/>
            </w:tcBorders>
            <w:noWrap/>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年产生量（t/a）</w:t>
            </w:r>
          </w:p>
        </w:tc>
        <w:tc>
          <w:tcPr>
            <w:tcW w:w="1166" w:type="pct"/>
            <w:gridSpan w:val="2"/>
            <w:tcBorders>
              <w:tl2br w:val="nil"/>
              <w:tr2bl w:val="nil"/>
            </w:tcBorders>
            <w:noWrap/>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547" w:type="pct"/>
            <w:vMerge w:val="continue"/>
            <w:tcBorders>
              <w:tl2br w:val="nil"/>
              <w:tr2bl w:val="nil"/>
            </w:tcBorders>
            <w:noWrap/>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p>
        </w:tc>
        <w:tc>
          <w:tcPr>
            <w:tcW w:w="547" w:type="pct"/>
            <w:tcBorders>
              <w:tl2br w:val="nil"/>
              <w:tr2bl w:val="nil"/>
            </w:tcBorders>
            <w:noWrap/>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NH</w:t>
            </w:r>
            <w:r>
              <w:rPr>
                <w:rFonts w:hint="eastAsia" w:cs="Times New Roman"/>
                <w:b w:val="0"/>
                <w:bCs/>
                <w:color w:val="auto"/>
                <w:sz w:val="21"/>
                <w:szCs w:val="21"/>
                <w:highlight w:val="none"/>
                <w:vertAlign w:val="subscript"/>
                <w:lang w:val="en-US" w:eastAsia="zh-CN"/>
              </w:rPr>
              <w:t>3</w:t>
            </w:r>
          </w:p>
        </w:tc>
        <w:tc>
          <w:tcPr>
            <w:tcW w:w="547" w:type="pct"/>
            <w:tcBorders>
              <w:tl2br w:val="nil"/>
              <w:tr2bl w:val="nil"/>
            </w:tcBorders>
            <w:noWrap/>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H</w:t>
            </w:r>
            <w:r>
              <w:rPr>
                <w:rFonts w:hint="eastAsia" w:cs="Times New Roman"/>
                <w:b w:val="0"/>
                <w:bCs/>
                <w:color w:val="auto"/>
                <w:sz w:val="21"/>
                <w:szCs w:val="21"/>
                <w:highlight w:val="none"/>
                <w:vertAlign w:val="subscript"/>
                <w:lang w:val="en-US" w:eastAsia="zh-CN"/>
              </w:rPr>
              <w:t>2</w:t>
            </w:r>
            <w:r>
              <w:rPr>
                <w:rFonts w:hint="eastAsia" w:cs="Times New Roman"/>
                <w:b w:val="0"/>
                <w:bCs/>
                <w:color w:val="auto"/>
                <w:sz w:val="21"/>
                <w:szCs w:val="21"/>
                <w:highlight w:val="none"/>
                <w:lang w:val="en-US" w:eastAsia="zh-CN"/>
              </w:rPr>
              <w:t>S</w:t>
            </w:r>
          </w:p>
        </w:tc>
        <w:tc>
          <w:tcPr>
            <w:tcW w:w="547" w:type="pct"/>
            <w:tcBorders>
              <w:tl2br w:val="nil"/>
              <w:tr2bl w:val="nil"/>
            </w:tcBorders>
            <w:noWrap/>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NH</w:t>
            </w:r>
            <w:r>
              <w:rPr>
                <w:rFonts w:hint="eastAsia" w:cs="Times New Roman"/>
                <w:b w:val="0"/>
                <w:bCs/>
                <w:color w:val="auto"/>
                <w:sz w:val="21"/>
                <w:szCs w:val="21"/>
                <w:highlight w:val="none"/>
                <w:vertAlign w:val="subscript"/>
                <w:lang w:val="en-US" w:eastAsia="zh-CN"/>
              </w:rPr>
              <w:t>3</w:t>
            </w:r>
          </w:p>
        </w:tc>
        <w:tc>
          <w:tcPr>
            <w:tcW w:w="547" w:type="pct"/>
            <w:tcBorders>
              <w:tl2br w:val="nil"/>
              <w:tr2bl w:val="nil"/>
            </w:tcBorders>
            <w:noWrap/>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H</w:t>
            </w:r>
            <w:r>
              <w:rPr>
                <w:rFonts w:hint="eastAsia" w:cs="Times New Roman"/>
                <w:b w:val="0"/>
                <w:bCs/>
                <w:color w:val="auto"/>
                <w:sz w:val="21"/>
                <w:szCs w:val="21"/>
                <w:highlight w:val="none"/>
                <w:vertAlign w:val="subscript"/>
                <w:lang w:val="en-US" w:eastAsia="zh-CN"/>
              </w:rPr>
              <w:t>2</w:t>
            </w:r>
            <w:r>
              <w:rPr>
                <w:rFonts w:hint="eastAsia" w:cs="Times New Roman"/>
                <w:b w:val="0"/>
                <w:bCs/>
                <w:color w:val="auto"/>
                <w:sz w:val="21"/>
                <w:szCs w:val="21"/>
                <w:highlight w:val="none"/>
                <w:lang w:val="en-US" w:eastAsia="zh-CN"/>
              </w:rPr>
              <w:t>S</w:t>
            </w:r>
          </w:p>
        </w:tc>
        <w:tc>
          <w:tcPr>
            <w:tcW w:w="547" w:type="pct"/>
            <w:tcBorders>
              <w:tl2br w:val="nil"/>
              <w:tr2bl w:val="nil"/>
            </w:tcBorders>
            <w:noWrap/>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NH</w:t>
            </w:r>
            <w:r>
              <w:rPr>
                <w:rFonts w:hint="eastAsia" w:cs="Times New Roman"/>
                <w:b w:val="0"/>
                <w:bCs/>
                <w:color w:val="auto"/>
                <w:sz w:val="21"/>
                <w:szCs w:val="21"/>
                <w:highlight w:val="none"/>
                <w:vertAlign w:val="subscript"/>
                <w:lang w:val="en-US" w:eastAsia="zh-CN"/>
              </w:rPr>
              <w:t>3</w:t>
            </w:r>
          </w:p>
        </w:tc>
        <w:tc>
          <w:tcPr>
            <w:tcW w:w="547" w:type="pct"/>
            <w:tcBorders>
              <w:tl2br w:val="nil"/>
              <w:tr2bl w:val="nil"/>
            </w:tcBorders>
            <w:noWrap/>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H</w:t>
            </w:r>
            <w:r>
              <w:rPr>
                <w:rFonts w:hint="eastAsia" w:cs="Times New Roman"/>
                <w:b w:val="0"/>
                <w:bCs/>
                <w:color w:val="auto"/>
                <w:sz w:val="21"/>
                <w:szCs w:val="21"/>
                <w:highlight w:val="none"/>
                <w:vertAlign w:val="subscript"/>
                <w:lang w:val="en-US" w:eastAsia="zh-CN"/>
              </w:rPr>
              <w:t>2</w:t>
            </w:r>
            <w:r>
              <w:rPr>
                <w:rFonts w:hint="eastAsia" w:cs="Times New Roman"/>
                <w:b w:val="0"/>
                <w:bCs/>
                <w:color w:val="auto"/>
                <w:sz w:val="21"/>
                <w:szCs w:val="21"/>
                <w:highlight w:val="none"/>
                <w:lang w:val="en-US" w:eastAsia="zh-CN"/>
              </w:rPr>
              <w:t>S</w:t>
            </w:r>
          </w:p>
        </w:tc>
        <w:tc>
          <w:tcPr>
            <w:tcW w:w="547" w:type="pct"/>
            <w:tcBorders>
              <w:tl2br w:val="nil"/>
              <w:tr2bl w:val="nil"/>
            </w:tcBorders>
            <w:noWrap/>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NH</w:t>
            </w:r>
            <w:r>
              <w:rPr>
                <w:rFonts w:hint="eastAsia" w:cs="Times New Roman"/>
                <w:b w:val="0"/>
                <w:bCs/>
                <w:color w:val="auto"/>
                <w:sz w:val="21"/>
                <w:szCs w:val="21"/>
                <w:highlight w:val="none"/>
                <w:vertAlign w:val="subscript"/>
                <w:lang w:val="en-US" w:eastAsia="zh-CN"/>
              </w:rPr>
              <w:t>3</w:t>
            </w:r>
          </w:p>
        </w:tc>
        <w:tc>
          <w:tcPr>
            <w:tcW w:w="618" w:type="pct"/>
            <w:tcBorders>
              <w:tl2br w:val="nil"/>
              <w:tr2bl w:val="nil"/>
            </w:tcBorders>
            <w:noWrap/>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H</w:t>
            </w:r>
            <w:r>
              <w:rPr>
                <w:rFonts w:hint="eastAsia" w:cs="Times New Roman"/>
                <w:b w:val="0"/>
                <w:bCs/>
                <w:color w:val="auto"/>
                <w:sz w:val="21"/>
                <w:szCs w:val="21"/>
                <w:highlight w:val="none"/>
                <w:vertAlign w:val="subscript"/>
                <w:lang w:val="en-US" w:eastAsia="zh-CN"/>
              </w:rPr>
              <w:t>2</w:t>
            </w:r>
            <w:r>
              <w:rPr>
                <w:rFonts w:hint="eastAsia" w:cs="Times New Roman"/>
                <w:b w:val="0"/>
                <w:bCs/>
                <w:color w:val="auto"/>
                <w:sz w:val="21"/>
                <w:szCs w:val="21"/>
                <w:highlight w:val="none"/>
                <w:lang w:val="en-US" w:eastAsia="zh-CN"/>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547" w:type="pct"/>
            <w:tcBorders>
              <w:tl2br w:val="nil"/>
              <w:tr2bl w:val="nil"/>
            </w:tcBorders>
            <w:noWrap/>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无害化处理车间</w:t>
            </w:r>
          </w:p>
        </w:tc>
        <w:tc>
          <w:tcPr>
            <w:tcW w:w="547" w:type="pct"/>
            <w:tcBorders>
              <w:tl2br w:val="nil"/>
              <w:tr2bl w:val="nil"/>
            </w:tcBorders>
            <w:noWrap/>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0.011</w:t>
            </w:r>
          </w:p>
        </w:tc>
        <w:tc>
          <w:tcPr>
            <w:tcW w:w="547" w:type="pct"/>
            <w:tcBorders>
              <w:tl2br w:val="nil"/>
              <w:tr2bl w:val="nil"/>
            </w:tcBorders>
            <w:noWrap/>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0.0003</w:t>
            </w:r>
          </w:p>
        </w:tc>
        <w:tc>
          <w:tcPr>
            <w:tcW w:w="547" w:type="pct"/>
            <w:tcBorders>
              <w:tl2br w:val="nil"/>
              <w:tr2bl w:val="nil"/>
            </w:tcBorders>
            <w:noWrap/>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0.001</w:t>
            </w:r>
          </w:p>
        </w:tc>
        <w:tc>
          <w:tcPr>
            <w:tcW w:w="547" w:type="pct"/>
            <w:tcBorders>
              <w:tl2br w:val="nil"/>
              <w:tr2bl w:val="nil"/>
            </w:tcBorders>
            <w:noWrap/>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0.00003</w:t>
            </w:r>
          </w:p>
        </w:tc>
        <w:tc>
          <w:tcPr>
            <w:tcW w:w="547" w:type="pct"/>
            <w:tcBorders>
              <w:tl2br w:val="nil"/>
              <w:tr2bl w:val="nil"/>
            </w:tcBorders>
            <w:noWrap/>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0.004</w:t>
            </w:r>
          </w:p>
        </w:tc>
        <w:tc>
          <w:tcPr>
            <w:tcW w:w="547" w:type="pct"/>
            <w:tcBorders>
              <w:tl2br w:val="nil"/>
              <w:tr2bl w:val="nil"/>
            </w:tcBorders>
            <w:noWrap/>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0.0001</w:t>
            </w:r>
          </w:p>
        </w:tc>
        <w:tc>
          <w:tcPr>
            <w:tcW w:w="547" w:type="pct"/>
            <w:tcBorders>
              <w:tl2br w:val="nil"/>
              <w:tr2bl w:val="nil"/>
            </w:tcBorders>
            <w:noWrap/>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0.0008</w:t>
            </w:r>
          </w:p>
        </w:tc>
        <w:tc>
          <w:tcPr>
            <w:tcW w:w="618" w:type="pct"/>
            <w:tcBorders>
              <w:tl2br w:val="nil"/>
              <w:tr2bl w:val="nil"/>
            </w:tcBorders>
            <w:noWrap/>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0.00002</w:t>
            </w:r>
          </w:p>
        </w:tc>
      </w:tr>
    </w:tbl>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val="0"/>
          <w:bCs w:val="0"/>
          <w:color w:val="auto"/>
          <w:sz w:val="24"/>
          <w:szCs w:val="24"/>
          <w:highlight w:val="none"/>
          <w:u w:val="none"/>
        </w:rPr>
      </w:pPr>
      <w:r>
        <w:rPr>
          <w:b w:val="0"/>
          <w:bCs w:val="0"/>
          <w:color w:val="auto"/>
          <w:sz w:val="24"/>
          <w:szCs w:val="24"/>
          <w:highlight w:val="none"/>
          <w:u w:val="none"/>
        </w:rPr>
        <w:t>项目</w:t>
      </w:r>
      <w:r>
        <w:rPr>
          <w:rFonts w:hint="eastAsia"/>
          <w:b w:val="0"/>
          <w:bCs w:val="0"/>
          <w:color w:val="auto"/>
          <w:sz w:val="24"/>
          <w:szCs w:val="24"/>
          <w:highlight w:val="none"/>
          <w:u w:val="none"/>
          <w:lang w:eastAsia="zh-CN"/>
        </w:rPr>
        <w:t>整个</w:t>
      </w:r>
      <w:r>
        <w:rPr>
          <w:b w:val="0"/>
          <w:bCs w:val="0"/>
          <w:color w:val="auto"/>
          <w:sz w:val="24"/>
          <w:szCs w:val="24"/>
          <w:highlight w:val="none"/>
          <w:u w:val="none"/>
        </w:rPr>
        <w:t>养殖过程中恶臭气体产生及排放情况具体见表</w:t>
      </w:r>
      <w:r>
        <w:rPr>
          <w:rFonts w:hint="eastAsia"/>
          <w:b w:val="0"/>
          <w:bCs w:val="0"/>
          <w:color w:val="auto"/>
          <w:sz w:val="24"/>
          <w:szCs w:val="24"/>
          <w:highlight w:val="none"/>
          <w:u w:val="none"/>
          <w:lang w:val="en-US" w:eastAsia="zh-CN"/>
        </w:rPr>
        <w:t>2.11</w:t>
      </w:r>
      <w:r>
        <w:rPr>
          <w:b w:val="0"/>
          <w:bCs w:val="0"/>
          <w:color w:val="auto"/>
          <w:sz w:val="24"/>
          <w:szCs w:val="24"/>
          <w:highlight w:val="none"/>
          <w:u w:val="none"/>
        </w:rPr>
        <w:t>-</w:t>
      </w:r>
      <w:r>
        <w:rPr>
          <w:rFonts w:hint="eastAsia"/>
          <w:b w:val="0"/>
          <w:bCs w:val="0"/>
          <w:color w:val="auto"/>
          <w:sz w:val="24"/>
          <w:szCs w:val="24"/>
          <w:highlight w:val="none"/>
          <w:u w:val="none"/>
          <w:lang w:val="en-US" w:eastAsia="zh-CN"/>
        </w:rPr>
        <w:t>6</w:t>
      </w:r>
      <w:r>
        <w:rPr>
          <w:b w:val="0"/>
          <w:bCs w:val="0"/>
          <w:color w:val="auto"/>
          <w:sz w:val="24"/>
          <w:szCs w:val="24"/>
          <w:highlight w:val="none"/>
          <w:u w:val="none"/>
        </w:rPr>
        <w:t>。</w:t>
      </w:r>
    </w:p>
    <w:p>
      <w:pPr>
        <w:pStyle w:val="40"/>
        <w:rPr>
          <w:rFonts w:hint="eastAsia" w:cs="Times New Roman"/>
          <w:color w:val="auto"/>
          <w:highlight w:val="none"/>
          <w:lang w:val="en-US" w:eastAsia="zh-CN"/>
        </w:rPr>
      </w:pPr>
      <w:r>
        <w:rPr>
          <w:rFonts w:hint="eastAsia" w:cs="Times New Roman"/>
          <w:color w:val="auto"/>
          <w:highlight w:val="none"/>
          <w:lang w:val="en-US" w:eastAsia="zh-CN"/>
        </w:rPr>
        <w:t>表2.11-6 项目养殖过程猪舍恶臭气体产生及排放情况一览表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12"/>
        <w:gridCol w:w="1273"/>
        <w:gridCol w:w="1199"/>
        <w:gridCol w:w="2726"/>
        <w:gridCol w:w="976"/>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pct"/>
            <w:vMerge w:val="restar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污染源</w:t>
            </w:r>
          </w:p>
        </w:tc>
        <w:tc>
          <w:tcPr>
            <w:tcW w:w="1431" w:type="pct"/>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产生量（t/a）</w:t>
            </w:r>
          </w:p>
        </w:tc>
        <w:tc>
          <w:tcPr>
            <w:tcW w:w="1578" w:type="pct"/>
            <w:vMerge w:val="restar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拟处理措施</w:t>
            </w:r>
          </w:p>
        </w:tc>
        <w:tc>
          <w:tcPr>
            <w:tcW w:w="1172" w:type="pct"/>
            <w:gridSpan w:val="2"/>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p>
        </w:tc>
        <w:tc>
          <w:tcPr>
            <w:tcW w:w="737"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NH</w:t>
            </w:r>
            <w:r>
              <w:rPr>
                <w:rFonts w:hint="eastAsia" w:cs="Times New Roman"/>
                <w:b w:val="0"/>
                <w:bCs/>
                <w:color w:val="auto"/>
                <w:sz w:val="21"/>
                <w:szCs w:val="21"/>
                <w:highlight w:val="none"/>
                <w:vertAlign w:val="subscript"/>
              </w:rPr>
              <w:t>3</w:t>
            </w:r>
          </w:p>
        </w:tc>
        <w:tc>
          <w:tcPr>
            <w:tcW w:w="694"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H</w:t>
            </w:r>
            <w:r>
              <w:rPr>
                <w:rFonts w:hint="eastAsia" w:cs="Times New Roman"/>
                <w:b w:val="0"/>
                <w:bCs/>
                <w:color w:val="auto"/>
                <w:sz w:val="21"/>
                <w:szCs w:val="21"/>
                <w:highlight w:val="none"/>
                <w:vertAlign w:val="subscript"/>
              </w:rPr>
              <w:t>2</w:t>
            </w:r>
            <w:r>
              <w:rPr>
                <w:rFonts w:hint="eastAsia" w:cs="Times New Roman"/>
                <w:b w:val="0"/>
                <w:bCs/>
                <w:color w:val="auto"/>
                <w:sz w:val="21"/>
                <w:szCs w:val="21"/>
                <w:highlight w:val="none"/>
              </w:rPr>
              <w:t>S</w:t>
            </w:r>
          </w:p>
        </w:tc>
        <w:tc>
          <w:tcPr>
            <w:tcW w:w="1578" w:type="pct"/>
            <w:vMerge w:val="continue"/>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p>
        </w:tc>
        <w:tc>
          <w:tcPr>
            <w:tcW w:w="565"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NH</w:t>
            </w:r>
            <w:r>
              <w:rPr>
                <w:rFonts w:hint="eastAsia" w:cs="Times New Roman"/>
                <w:b w:val="0"/>
                <w:bCs/>
                <w:color w:val="auto"/>
                <w:sz w:val="21"/>
                <w:szCs w:val="21"/>
                <w:highlight w:val="none"/>
                <w:vertAlign w:val="subscript"/>
              </w:rPr>
              <w:t>3</w:t>
            </w:r>
          </w:p>
        </w:tc>
        <w:tc>
          <w:tcPr>
            <w:tcW w:w="607"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H</w:t>
            </w:r>
            <w:r>
              <w:rPr>
                <w:rFonts w:hint="eastAsia" w:cs="Times New Roman"/>
                <w:b w:val="0"/>
                <w:bCs/>
                <w:color w:val="auto"/>
                <w:sz w:val="21"/>
                <w:szCs w:val="21"/>
                <w:highlight w:val="none"/>
                <w:vertAlign w:val="subscript"/>
              </w:rPr>
              <w:t>2</w:t>
            </w:r>
            <w:r>
              <w:rPr>
                <w:rFonts w:hint="eastAsia" w:cs="Times New Roman"/>
                <w:b w:val="0"/>
                <w:bCs/>
                <w:color w:val="auto"/>
                <w:sz w:val="21"/>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17"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default" w:cs="Times New Roman"/>
                <w:b w:val="0"/>
                <w:bCs/>
                <w:color w:val="auto"/>
                <w:sz w:val="21"/>
                <w:szCs w:val="21"/>
                <w:highlight w:val="none"/>
                <w:lang w:val="en-US" w:eastAsia="zh-CN"/>
              </w:rPr>
              <w:t>养殖区</w:t>
            </w:r>
          </w:p>
        </w:tc>
        <w:tc>
          <w:tcPr>
            <w:tcW w:w="737" w:type="pct"/>
            <w:tcBorders>
              <w:tl2br w:val="nil"/>
              <w:tr2bl w:val="nil"/>
            </w:tcBorders>
            <w:noWrap w:val="0"/>
            <w:vAlign w:val="center"/>
          </w:tcPr>
          <w:p>
            <w:pPr>
              <w:adjustRightInd w:val="0"/>
              <w:snapToGrid w:val="0"/>
              <w:spacing w:line="240" w:lineRule="auto"/>
              <w:ind w:firstLine="0" w:firstLine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rPr>
              <w:t>3.</w:t>
            </w:r>
            <w:r>
              <w:rPr>
                <w:rFonts w:hint="eastAsia" w:cs="Times New Roman"/>
                <w:bCs/>
                <w:color w:val="auto"/>
                <w:sz w:val="21"/>
                <w:szCs w:val="21"/>
                <w:highlight w:val="none"/>
                <w:lang w:val="en-US" w:eastAsia="zh-CN"/>
              </w:rPr>
              <w:t>84</w:t>
            </w:r>
          </w:p>
        </w:tc>
        <w:tc>
          <w:tcPr>
            <w:tcW w:w="694" w:type="pct"/>
            <w:tcBorders>
              <w:tl2br w:val="nil"/>
              <w:tr2bl w:val="nil"/>
            </w:tcBorders>
            <w:noWrap w:val="0"/>
            <w:vAlign w:val="center"/>
          </w:tcPr>
          <w:p>
            <w:pPr>
              <w:adjustRightInd w:val="0"/>
              <w:snapToGrid w:val="0"/>
              <w:spacing w:line="240" w:lineRule="auto"/>
              <w:ind w:firstLine="0" w:firstLine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0.33</w:t>
            </w:r>
          </w:p>
        </w:tc>
        <w:tc>
          <w:tcPr>
            <w:tcW w:w="1578" w:type="pct"/>
            <w:vMerge w:val="restart"/>
            <w:tcBorders>
              <w:tl2br w:val="nil"/>
              <w:tr2bl w:val="nil"/>
            </w:tcBorders>
            <w:noWrap w:val="0"/>
            <w:vAlign w:val="center"/>
          </w:tcPr>
          <w:p>
            <w:pPr>
              <w:adjustRightInd w:val="0"/>
              <w:snapToGrid w:val="0"/>
              <w:spacing w:line="240" w:lineRule="auto"/>
              <w:ind w:firstLine="0" w:firstLine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养殖区采用节水型饮水器、全漏缝地板并及时清粪、喷洒除臭剂，配备除臭墙；</w:t>
            </w:r>
            <w:r>
              <w:rPr>
                <w:rFonts w:hint="default" w:cs="Times New Roman"/>
                <w:bCs/>
                <w:color w:val="auto"/>
                <w:sz w:val="21"/>
                <w:szCs w:val="21"/>
                <w:highlight w:val="none"/>
                <w:lang w:val="en-US" w:eastAsia="zh-CN"/>
              </w:rPr>
              <w:t>污</w:t>
            </w:r>
            <w:r>
              <w:rPr>
                <w:rFonts w:hint="eastAsia" w:cs="Times New Roman"/>
                <w:bCs/>
                <w:color w:val="auto"/>
                <w:sz w:val="21"/>
                <w:szCs w:val="21"/>
                <w:highlight w:val="none"/>
                <w:lang w:val="en-US" w:eastAsia="zh-CN"/>
              </w:rPr>
              <w:t>水</w:t>
            </w:r>
            <w:r>
              <w:rPr>
                <w:rFonts w:hint="default" w:cs="Times New Roman"/>
                <w:bCs/>
                <w:color w:val="auto"/>
                <w:sz w:val="21"/>
                <w:szCs w:val="21"/>
                <w:highlight w:val="none"/>
                <w:lang w:val="en-US" w:eastAsia="zh-CN"/>
              </w:rPr>
              <w:t>处理系统喷洒除臭剂，</w:t>
            </w:r>
            <w:r>
              <w:rPr>
                <w:rFonts w:hint="eastAsia" w:cs="Times New Roman"/>
                <w:bCs/>
                <w:color w:val="auto"/>
                <w:sz w:val="21"/>
                <w:szCs w:val="21"/>
                <w:highlight w:val="none"/>
                <w:lang w:val="en-US" w:eastAsia="zh-CN"/>
              </w:rPr>
              <w:t>固粪处理区喷洒除臭剂，配备除臭墙，</w:t>
            </w:r>
            <w:r>
              <w:rPr>
                <w:rFonts w:hint="default" w:cs="Times New Roman"/>
                <w:bCs/>
                <w:color w:val="auto"/>
                <w:sz w:val="21"/>
                <w:szCs w:val="21"/>
                <w:highlight w:val="none"/>
                <w:lang w:val="en-US" w:eastAsia="zh-CN"/>
              </w:rPr>
              <w:t>并加强场区绿化</w:t>
            </w:r>
          </w:p>
        </w:tc>
        <w:tc>
          <w:tcPr>
            <w:tcW w:w="565"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rPr>
              <w:t>0.</w:t>
            </w:r>
            <w:r>
              <w:rPr>
                <w:rFonts w:hint="eastAsia" w:cs="Times New Roman"/>
                <w:bCs/>
                <w:color w:val="auto"/>
                <w:sz w:val="21"/>
                <w:szCs w:val="21"/>
                <w:highlight w:val="none"/>
                <w:lang w:val="en-US" w:eastAsia="zh-CN"/>
              </w:rPr>
              <w:t>768</w:t>
            </w:r>
          </w:p>
        </w:tc>
        <w:tc>
          <w:tcPr>
            <w:tcW w:w="607"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rPr>
              <w:t>0.0</w:t>
            </w:r>
            <w:r>
              <w:rPr>
                <w:rFonts w:hint="eastAsia" w:cs="Times New Roman"/>
                <w:bCs/>
                <w:color w:val="auto"/>
                <w:sz w:val="21"/>
                <w:szCs w:val="21"/>
                <w:highlight w:val="none"/>
                <w:lang w:val="en-US" w:eastAsia="zh-CN"/>
              </w:rPr>
              <w:t>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17"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default" w:cs="Times New Roman"/>
                <w:b w:val="0"/>
                <w:bCs/>
                <w:color w:val="auto"/>
                <w:sz w:val="21"/>
                <w:szCs w:val="21"/>
                <w:highlight w:val="none"/>
                <w:lang w:val="en-US" w:eastAsia="zh-CN"/>
              </w:rPr>
              <w:t>固粪处理区</w:t>
            </w:r>
          </w:p>
        </w:tc>
        <w:tc>
          <w:tcPr>
            <w:tcW w:w="737" w:type="pct"/>
            <w:tcBorders>
              <w:tl2br w:val="nil"/>
              <w:tr2bl w:val="nil"/>
            </w:tcBorders>
            <w:noWrap w:val="0"/>
            <w:vAlign w:val="center"/>
          </w:tcPr>
          <w:p>
            <w:pPr>
              <w:adjustRightInd w:val="0"/>
              <w:snapToGrid w:val="0"/>
              <w:spacing w:line="240" w:lineRule="auto"/>
              <w:ind w:firstLine="0" w:firstLine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rPr>
              <w:t>1.69</w:t>
            </w:r>
          </w:p>
        </w:tc>
        <w:tc>
          <w:tcPr>
            <w:tcW w:w="694" w:type="pct"/>
            <w:tcBorders>
              <w:tl2br w:val="nil"/>
              <w:tr2bl w:val="nil"/>
            </w:tcBorders>
            <w:noWrap w:val="0"/>
            <w:vAlign w:val="center"/>
          </w:tcPr>
          <w:p>
            <w:pPr>
              <w:adjustRightInd w:val="0"/>
              <w:snapToGrid w:val="0"/>
              <w:spacing w:line="240" w:lineRule="auto"/>
              <w:ind w:firstLine="0" w:firstLine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0.10</w:t>
            </w:r>
          </w:p>
        </w:tc>
        <w:tc>
          <w:tcPr>
            <w:tcW w:w="1578" w:type="pct"/>
            <w:vMerge w:val="continue"/>
            <w:tcBorders>
              <w:tl2br w:val="nil"/>
              <w:tr2bl w:val="nil"/>
            </w:tcBorders>
            <w:noWrap w:val="0"/>
            <w:vAlign w:val="center"/>
          </w:tcPr>
          <w:p>
            <w:pPr>
              <w:adjustRightInd w:val="0"/>
              <w:snapToGrid w:val="0"/>
              <w:spacing w:line="240" w:lineRule="auto"/>
              <w:ind w:firstLine="0" w:firstLineChars="0"/>
              <w:jc w:val="center"/>
              <w:rPr>
                <w:rFonts w:hint="default" w:cs="Times New Roman"/>
                <w:bCs/>
                <w:color w:val="auto"/>
                <w:sz w:val="21"/>
                <w:szCs w:val="21"/>
                <w:highlight w:val="none"/>
                <w:lang w:val="en-US" w:eastAsia="zh-CN"/>
              </w:rPr>
            </w:pPr>
          </w:p>
        </w:tc>
        <w:tc>
          <w:tcPr>
            <w:tcW w:w="565"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rPr>
              <w:t>0.</w:t>
            </w:r>
            <w:r>
              <w:rPr>
                <w:rFonts w:hint="eastAsia" w:cs="Times New Roman"/>
                <w:bCs/>
                <w:color w:val="auto"/>
                <w:sz w:val="21"/>
                <w:szCs w:val="21"/>
                <w:highlight w:val="none"/>
                <w:lang w:val="en-US" w:eastAsia="zh-CN"/>
              </w:rPr>
              <w:t>338</w:t>
            </w:r>
          </w:p>
        </w:tc>
        <w:tc>
          <w:tcPr>
            <w:tcW w:w="607"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rPr>
              <w:t>0.0</w:t>
            </w:r>
            <w:r>
              <w:rPr>
                <w:rFonts w:hint="eastAsia" w:cs="Times New Roman"/>
                <w:bCs/>
                <w:color w:val="auto"/>
                <w:sz w:val="21"/>
                <w:szCs w:val="21"/>
                <w:highlight w:val="no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17"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沼液储存池</w:t>
            </w:r>
          </w:p>
        </w:tc>
        <w:tc>
          <w:tcPr>
            <w:tcW w:w="737" w:type="pct"/>
            <w:tcBorders>
              <w:tl2br w:val="nil"/>
              <w:tr2bl w:val="nil"/>
            </w:tcBorders>
            <w:noWrap w:val="0"/>
            <w:vAlign w:val="center"/>
          </w:tcPr>
          <w:p>
            <w:pPr>
              <w:adjustRightInd w:val="0"/>
              <w:snapToGrid w:val="0"/>
              <w:spacing w:line="240" w:lineRule="auto"/>
              <w:ind w:firstLine="0" w:firstLineChars="0"/>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rPr>
              <w:t>0.13</w:t>
            </w:r>
          </w:p>
        </w:tc>
        <w:tc>
          <w:tcPr>
            <w:tcW w:w="694" w:type="pct"/>
            <w:tcBorders>
              <w:tl2br w:val="nil"/>
              <w:tr2bl w:val="nil"/>
            </w:tcBorders>
            <w:noWrap w:val="0"/>
            <w:vAlign w:val="center"/>
          </w:tcPr>
          <w:p>
            <w:pPr>
              <w:adjustRightInd w:val="0"/>
              <w:snapToGrid w:val="0"/>
              <w:spacing w:line="240" w:lineRule="auto"/>
              <w:ind w:firstLine="0" w:firstLineChars="0"/>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 xml:space="preserve">0.01 </w:t>
            </w:r>
          </w:p>
        </w:tc>
        <w:tc>
          <w:tcPr>
            <w:tcW w:w="1578" w:type="pct"/>
            <w:vMerge w:val="continue"/>
            <w:tcBorders>
              <w:tl2br w:val="nil"/>
              <w:tr2bl w:val="nil"/>
            </w:tcBorders>
            <w:noWrap w:val="0"/>
            <w:vAlign w:val="center"/>
          </w:tcPr>
          <w:p>
            <w:pPr>
              <w:adjustRightInd w:val="0"/>
              <w:snapToGrid w:val="0"/>
              <w:spacing w:line="240" w:lineRule="auto"/>
              <w:ind w:firstLine="0" w:firstLineChars="0"/>
              <w:jc w:val="center"/>
              <w:rPr>
                <w:rFonts w:hint="default" w:cs="Times New Roman"/>
                <w:bCs/>
                <w:color w:val="auto"/>
                <w:sz w:val="21"/>
                <w:szCs w:val="21"/>
                <w:highlight w:val="none"/>
                <w:lang w:val="en-US" w:eastAsia="zh-CN"/>
              </w:rPr>
            </w:pPr>
          </w:p>
        </w:tc>
        <w:tc>
          <w:tcPr>
            <w:tcW w:w="565"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rPr>
              <w:t xml:space="preserve">0.04 </w:t>
            </w:r>
          </w:p>
        </w:tc>
        <w:tc>
          <w:tcPr>
            <w:tcW w:w="607"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rPr>
              <w:t xml:space="preserve">0.003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17" w:type="pct"/>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无害化处理车间</w:t>
            </w:r>
          </w:p>
        </w:tc>
        <w:tc>
          <w:tcPr>
            <w:tcW w:w="737" w:type="pct"/>
            <w:tcBorders>
              <w:tl2br w:val="nil"/>
              <w:tr2bl w:val="nil"/>
            </w:tcBorders>
            <w:noWrap w:val="0"/>
            <w:vAlign w:val="center"/>
          </w:tcPr>
          <w:p>
            <w:pPr>
              <w:adjustRightInd w:val="0"/>
              <w:snapToGrid w:val="0"/>
              <w:spacing w:line="240" w:lineRule="auto"/>
              <w:ind w:firstLine="0" w:firstLineChars="0"/>
              <w:jc w:val="center"/>
              <w:rPr>
                <w:rFonts w:hint="eastAsia" w:cs="Times New Roman"/>
                <w:bCs/>
                <w:color w:val="auto"/>
                <w:sz w:val="21"/>
                <w:szCs w:val="21"/>
                <w:highlight w:val="none"/>
              </w:rPr>
            </w:pPr>
            <w:r>
              <w:rPr>
                <w:rFonts w:hint="eastAsia" w:cs="Times New Roman"/>
                <w:b w:val="0"/>
                <w:bCs/>
                <w:color w:val="auto"/>
                <w:sz w:val="21"/>
                <w:szCs w:val="21"/>
                <w:highlight w:val="none"/>
                <w:lang w:val="en-US" w:eastAsia="zh-CN"/>
              </w:rPr>
              <w:t>0.004</w:t>
            </w:r>
          </w:p>
        </w:tc>
        <w:tc>
          <w:tcPr>
            <w:tcW w:w="694" w:type="pct"/>
            <w:tcBorders>
              <w:tl2br w:val="nil"/>
              <w:tr2bl w:val="nil"/>
            </w:tcBorders>
            <w:noWrap w:val="0"/>
            <w:vAlign w:val="center"/>
          </w:tcPr>
          <w:p>
            <w:pPr>
              <w:adjustRightInd w:val="0"/>
              <w:snapToGrid w:val="0"/>
              <w:spacing w:line="240" w:lineRule="auto"/>
              <w:ind w:firstLine="0" w:firstLineChars="0"/>
              <w:jc w:val="center"/>
              <w:rPr>
                <w:rFonts w:hint="eastAsia" w:cs="Times New Roman"/>
                <w:bCs/>
                <w:color w:val="auto"/>
                <w:sz w:val="21"/>
                <w:szCs w:val="21"/>
                <w:highlight w:val="none"/>
                <w:lang w:val="en-US" w:eastAsia="zh-CN"/>
              </w:rPr>
            </w:pPr>
            <w:r>
              <w:rPr>
                <w:rFonts w:hint="eastAsia" w:cs="Times New Roman"/>
                <w:b w:val="0"/>
                <w:bCs/>
                <w:color w:val="auto"/>
                <w:sz w:val="21"/>
                <w:szCs w:val="21"/>
                <w:highlight w:val="none"/>
                <w:lang w:val="en-US" w:eastAsia="zh-CN"/>
              </w:rPr>
              <w:t>0.0001</w:t>
            </w:r>
          </w:p>
        </w:tc>
        <w:tc>
          <w:tcPr>
            <w:tcW w:w="1578" w:type="pct"/>
            <w:vMerge w:val="continue"/>
            <w:tcBorders>
              <w:tl2br w:val="nil"/>
              <w:tr2bl w:val="nil"/>
            </w:tcBorders>
            <w:noWrap w:val="0"/>
            <w:vAlign w:val="center"/>
          </w:tcPr>
          <w:p>
            <w:pPr>
              <w:adjustRightInd w:val="0"/>
              <w:snapToGrid w:val="0"/>
              <w:spacing w:line="240" w:lineRule="auto"/>
              <w:ind w:firstLine="0" w:firstLineChars="0"/>
              <w:jc w:val="center"/>
              <w:rPr>
                <w:rFonts w:hint="default" w:cs="Times New Roman"/>
                <w:bCs/>
                <w:color w:val="auto"/>
                <w:sz w:val="21"/>
                <w:szCs w:val="21"/>
                <w:highlight w:val="none"/>
                <w:lang w:val="en-US" w:eastAsia="zh-CN"/>
              </w:rPr>
            </w:pPr>
          </w:p>
        </w:tc>
        <w:tc>
          <w:tcPr>
            <w:tcW w:w="565"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Cs/>
                <w:color w:val="auto"/>
                <w:sz w:val="21"/>
                <w:szCs w:val="21"/>
                <w:highlight w:val="none"/>
              </w:rPr>
            </w:pPr>
            <w:r>
              <w:rPr>
                <w:rFonts w:hint="eastAsia" w:cs="Times New Roman"/>
                <w:b w:val="0"/>
                <w:bCs/>
                <w:color w:val="auto"/>
                <w:sz w:val="21"/>
                <w:szCs w:val="21"/>
                <w:highlight w:val="none"/>
                <w:lang w:val="en-US" w:eastAsia="zh-CN"/>
              </w:rPr>
              <w:t>0.0008</w:t>
            </w:r>
          </w:p>
        </w:tc>
        <w:tc>
          <w:tcPr>
            <w:tcW w:w="607"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eastAsia" w:cs="Times New Roman"/>
                <w:bCs/>
                <w:color w:val="auto"/>
                <w:sz w:val="21"/>
                <w:szCs w:val="21"/>
                <w:highlight w:val="none"/>
              </w:rPr>
            </w:pPr>
            <w:r>
              <w:rPr>
                <w:rFonts w:hint="eastAsia" w:cs="Times New Roman"/>
                <w:b w:val="0"/>
                <w:bCs/>
                <w:color w:val="auto"/>
                <w:sz w:val="21"/>
                <w:szCs w:val="21"/>
                <w:highlight w:val="none"/>
                <w:lang w:val="en-US" w:eastAsia="zh-CN"/>
              </w:rPr>
              <w:t>0.00002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pct"/>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合计</w:t>
            </w:r>
          </w:p>
        </w:tc>
        <w:tc>
          <w:tcPr>
            <w:tcW w:w="737" w:type="pct"/>
            <w:tcBorders>
              <w:tl2br w:val="nil"/>
              <w:tr2bl w:val="nil"/>
            </w:tcBorders>
            <w:noWrap w:val="0"/>
            <w:vAlign w:val="center"/>
          </w:tcPr>
          <w:p>
            <w:pPr>
              <w:adjustRightInd w:val="0"/>
              <w:snapToGrid w:val="0"/>
              <w:spacing w:line="240" w:lineRule="auto"/>
              <w:ind w:firstLine="0" w:firstLine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5.664</w:t>
            </w:r>
          </w:p>
        </w:tc>
        <w:tc>
          <w:tcPr>
            <w:tcW w:w="694" w:type="pct"/>
            <w:tcBorders>
              <w:tl2br w:val="nil"/>
              <w:tr2bl w:val="nil"/>
            </w:tcBorders>
            <w:noWrap w:val="0"/>
            <w:vAlign w:val="center"/>
          </w:tcPr>
          <w:p>
            <w:pPr>
              <w:adjustRightInd w:val="0"/>
              <w:snapToGrid w:val="0"/>
              <w:spacing w:line="240" w:lineRule="auto"/>
              <w:ind w:firstLine="0" w:firstLine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0.4401</w:t>
            </w:r>
          </w:p>
        </w:tc>
        <w:tc>
          <w:tcPr>
            <w:tcW w:w="1578" w:type="pct"/>
            <w:vMerge w:val="continue"/>
            <w:tcBorders>
              <w:tl2br w:val="nil"/>
              <w:tr2bl w:val="nil"/>
            </w:tcBorders>
            <w:noWrap w:val="0"/>
            <w:vAlign w:val="center"/>
          </w:tcPr>
          <w:p>
            <w:pPr>
              <w:adjustRightInd w:val="0"/>
              <w:snapToGrid w:val="0"/>
              <w:spacing w:line="240" w:lineRule="auto"/>
              <w:ind w:firstLine="0" w:firstLineChars="0"/>
              <w:jc w:val="center"/>
              <w:rPr>
                <w:rFonts w:hint="default" w:cs="Times New Roman"/>
                <w:bCs/>
                <w:color w:val="auto"/>
                <w:sz w:val="21"/>
                <w:szCs w:val="21"/>
                <w:highlight w:val="none"/>
                <w:lang w:val="en-US" w:eastAsia="zh-CN"/>
              </w:rPr>
            </w:pPr>
          </w:p>
        </w:tc>
        <w:tc>
          <w:tcPr>
            <w:tcW w:w="565"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1.1468</w:t>
            </w:r>
          </w:p>
        </w:tc>
        <w:tc>
          <w:tcPr>
            <w:tcW w:w="607" w:type="pct"/>
            <w:tcBorders>
              <w:tl2br w:val="nil"/>
              <w:tr2bl w:val="nil"/>
            </w:tcBorders>
            <w:noWrap w:val="0"/>
            <w:tcMar>
              <w:top w:w="0" w:type="dxa"/>
              <w:left w:w="0" w:type="dxa"/>
              <w:bottom w:w="0" w:type="dxa"/>
              <w:right w:w="0" w:type="dxa"/>
            </w:tcMar>
            <w:vAlign w:val="center"/>
          </w:tcPr>
          <w:p>
            <w:pPr>
              <w:adjustRightInd w:val="0"/>
              <w:snapToGrid w:val="0"/>
              <w:spacing w:line="240" w:lineRule="auto"/>
              <w:ind w:firstLine="0" w:firstLine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0.08902</w:t>
            </w:r>
          </w:p>
        </w:tc>
      </w:tr>
    </w:tbl>
    <w:p>
      <w:pPr>
        <w:pStyle w:val="105"/>
        <w:keepNext w:val="0"/>
        <w:keepLines w:val="0"/>
        <w:pageBreakBefore w:val="0"/>
        <w:widowControl/>
        <w:numPr>
          <w:ilvl w:val="0"/>
          <w:numId w:val="9"/>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heme="minorBidi"/>
          <w:bCs/>
          <w:color w:val="auto"/>
          <w:kern w:val="2"/>
          <w:sz w:val="24"/>
          <w:szCs w:val="24"/>
          <w:highlight w:val="none"/>
          <w:lang w:val="en-US" w:eastAsia="zh-CN" w:bidi="ar-SA"/>
        </w:rPr>
      </w:pPr>
      <w:r>
        <w:rPr>
          <w:rFonts w:hint="eastAsia" w:ascii="Times New Roman" w:hAnsi="Times New Roman" w:eastAsia="宋体" w:cstheme="minorBidi"/>
          <w:bCs/>
          <w:color w:val="auto"/>
          <w:kern w:val="2"/>
          <w:sz w:val="24"/>
          <w:szCs w:val="24"/>
          <w:highlight w:val="none"/>
          <w:lang w:val="en-US" w:eastAsia="zh-CN" w:bidi="ar-SA"/>
        </w:rPr>
        <w:t>沼气</w:t>
      </w:r>
      <w:r>
        <w:rPr>
          <w:rFonts w:hint="eastAsia" w:cstheme="minorBidi"/>
          <w:bCs/>
          <w:color w:val="auto"/>
          <w:kern w:val="2"/>
          <w:sz w:val="24"/>
          <w:szCs w:val="24"/>
          <w:highlight w:val="none"/>
          <w:lang w:val="en-US" w:eastAsia="zh-CN" w:bidi="ar-SA"/>
        </w:rPr>
        <w:t>锅炉</w:t>
      </w:r>
      <w:r>
        <w:rPr>
          <w:rFonts w:hint="eastAsia" w:ascii="Times New Roman" w:hAnsi="Times New Roman" w:eastAsia="宋体" w:cstheme="minorBidi"/>
          <w:bCs/>
          <w:color w:val="auto"/>
          <w:kern w:val="2"/>
          <w:sz w:val="24"/>
          <w:szCs w:val="24"/>
          <w:highlight w:val="none"/>
          <w:lang w:val="en-US" w:eastAsia="zh-CN" w:bidi="ar-SA"/>
        </w:rPr>
        <w:t>燃烧废气</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heme="minorBidi"/>
          <w:bCs/>
          <w:color w:val="auto"/>
          <w:kern w:val="2"/>
          <w:sz w:val="24"/>
          <w:szCs w:val="24"/>
          <w:highlight w:val="none"/>
          <w:lang w:val="en-US" w:eastAsia="zh-CN" w:bidi="ar-SA"/>
        </w:rPr>
      </w:pPr>
      <w:r>
        <w:rPr>
          <w:rFonts w:hint="eastAsia" w:ascii="Times New Roman" w:hAnsi="Times New Roman" w:eastAsia="宋体" w:cstheme="minorBidi"/>
          <w:bCs/>
          <w:color w:val="auto"/>
          <w:kern w:val="2"/>
          <w:sz w:val="24"/>
          <w:szCs w:val="24"/>
          <w:highlight w:val="none"/>
          <w:lang w:val="en-US" w:eastAsia="zh-CN" w:bidi="ar-SA"/>
        </w:rPr>
        <w:t>项目产生的沼气通过气水分离、脱硫后H</w:t>
      </w:r>
      <w:r>
        <w:rPr>
          <w:rFonts w:hint="eastAsia" w:ascii="Times New Roman" w:hAnsi="Times New Roman" w:eastAsia="宋体" w:cstheme="minorBidi"/>
          <w:bCs/>
          <w:color w:val="auto"/>
          <w:kern w:val="2"/>
          <w:sz w:val="24"/>
          <w:szCs w:val="24"/>
          <w:highlight w:val="none"/>
          <w:vertAlign w:val="subscript"/>
          <w:lang w:val="en-US" w:eastAsia="zh-CN" w:bidi="ar-SA"/>
        </w:rPr>
        <w:t>2</w:t>
      </w:r>
      <w:r>
        <w:rPr>
          <w:rFonts w:hint="eastAsia" w:ascii="Times New Roman" w:hAnsi="Times New Roman" w:eastAsia="宋体" w:cstheme="minorBidi"/>
          <w:bCs/>
          <w:color w:val="auto"/>
          <w:kern w:val="2"/>
          <w:sz w:val="24"/>
          <w:szCs w:val="24"/>
          <w:highlight w:val="none"/>
          <w:lang w:val="en-US" w:eastAsia="zh-CN" w:bidi="ar-SA"/>
        </w:rPr>
        <w:t>S含量≤20mg/m</w:t>
      </w:r>
      <w:r>
        <w:rPr>
          <w:rFonts w:hint="eastAsia" w:ascii="Times New Roman" w:hAnsi="Times New Roman" w:eastAsia="宋体" w:cstheme="minorBidi"/>
          <w:bCs/>
          <w:color w:val="auto"/>
          <w:kern w:val="2"/>
          <w:sz w:val="24"/>
          <w:szCs w:val="24"/>
          <w:highlight w:val="none"/>
          <w:vertAlign w:val="superscript"/>
          <w:lang w:val="en-US" w:eastAsia="zh-CN" w:bidi="ar-SA"/>
        </w:rPr>
        <w:t>3</w:t>
      </w:r>
      <w:r>
        <w:rPr>
          <w:rFonts w:hint="eastAsia" w:ascii="Times New Roman" w:hAnsi="Times New Roman" w:eastAsia="宋体" w:cstheme="minorBidi"/>
          <w:bCs/>
          <w:color w:val="auto"/>
          <w:kern w:val="2"/>
          <w:sz w:val="24"/>
          <w:szCs w:val="24"/>
          <w:highlight w:val="none"/>
          <w:lang w:val="en-US" w:eastAsia="zh-CN" w:bidi="ar-SA"/>
        </w:rPr>
        <w:t>。</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heme="minorBidi"/>
          <w:bCs/>
          <w:color w:val="auto"/>
          <w:kern w:val="2"/>
          <w:sz w:val="24"/>
          <w:szCs w:val="24"/>
          <w:highlight w:val="none"/>
          <w:lang w:val="en-US" w:eastAsia="zh-CN" w:bidi="ar-SA"/>
        </w:rPr>
      </w:pPr>
      <w:r>
        <w:rPr>
          <w:rFonts w:hint="eastAsia" w:ascii="Times New Roman" w:hAnsi="Times New Roman" w:eastAsia="宋体" w:cstheme="minorBidi"/>
          <w:bCs/>
          <w:color w:val="auto"/>
          <w:kern w:val="2"/>
          <w:sz w:val="24"/>
          <w:szCs w:val="24"/>
          <w:highlight w:val="none"/>
          <w:lang w:val="en-US" w:eastAsia="zh-CN" w:bidi="ar-SA"/>
        </w:rPr>
        <w:t>沼气是清洁能源，燃烧后主要为CO</w:t>
      </w:r>
      <w:r>
        <w:rPr>
          <w:rFonts w:hint="eastAsia" w:ascii="Times New Roman" w:hAnsi="Times New Roman" w:eastAsia="宋体" w:cstheme="minorBidi"/>
          <w:bCs/>
          <w:color w:val="auto"/>
          <w:kern w:val="2"/>
          <w:sz w:val="24"/>
          <w:szCs w:val="24"/>
          <w:highlight w:val="none"/>
          <w:vertAlign w:val="subscript"/>
          <w:lang w:val="en-US" w:eastAsia="zh-CN" w:bidi="ar-SA"/>
        </w:rPr>
        <w:t>2</w:t>
      </w:r>
      <w:r>
        <w:rPr>
          <w:rFonts w:hint="eastAsia" w:ascii="Times New Roman" w:hAnsi="Times New Roman" w:eastAsia="宋体" w:cstheme="minorBidi"/>
          <w:bCs/>
          <w:color w:val="auto"/>
          <w:kern w:val="2"/>
          <w:sz w:val="24"/>
          <w:szCs w:val="24"/>
          <w:highlight w:val="none"/>
          <w:lang w:val="en-US" w:eastAsia="zh-CN" w:bidi="ar-SA"/>
        </w:rPr>
        <w:t>和H</w:t>
      </w:r>
      <w:r>
        <w:rPr>
          <w:rFonts w:hint="eastAsia" w:ascii="Times New Roman" w:hAnsi="Times New Roman" w:eastAsia="宋体" w:cstheme="minorBidi"/>
          <w:bCs/>
          <w:color w:val="auto"/>
          <w:kern w:val="2"/>
          <w:sz w:val="24"/>
          <w:szCs w:val="24"/>
          <w:highlight w:val="none"/>
          <w:vertAlign w:val="subscript"/>
          <w:lang w:val="en-US" w:eastAsia="zh-CN" w:bidi="ar-SA"/>
        </w:rPr>
        <w:t>2</w:t>
      </w:r>
      <w:r>
        <w:rPr>
          <w:rFonts w:hint="eastAsia" w:ascii="Times New Roman" w:hAnsi="Times New Roman" w:eastAsia="宋体" w:cstheme="minorBidi"/>
          <w:bCs/>
          <w:color w:val="auto"/>
          <w:kern w:val="2"/>
          <w:sz w:val="24"/>
          <w:szCs w:val="24"/>
          <w:highlight w:val="none"/>
          <w:lang w:val="en-US" w:eastAsia="zh-CN" w:bidi="ar-SA"/>
        </w:rPr>
        <w:t>O，但沼气中含有少量的H</w:t>
      </w:r>
      <w:r>
        <w:rPr>
          <w:rFonts w:hint="eastAsia" w:ascii="Times New Roman" w:hAnsi="Times New Roman" w:eastAsia="宋体" w:cstheme="minorBidi"/>
          <w:bCs/>
          <w:color w:val="auto"/>
          <w:kern w:val="2"/>
          <w:sz w:val="24"/>
          <w:szCs w:val="24"/>
          <w:highlight w:val="none"/>
          <w:vertAlign w:val="subscript"/>
          <w:lang w:val="en-US" w:eastAsia="zh-CN" w:bidi="ar-SA"/>
        </w:rPr>
        <w:t>2</w:t>
      </w:r>
      <w:r>
        <w:rPr>
          <w:rFonts w:hint="eastAsia" w:ascii="Times New Roman" w:hAnsi="Times New Roman" w:eastAsia="宋体" w:cstheme="minorBidi"/>
          <w:bCs/>
          <w:color w:val="auto"/>
          <w:kern w:val="2"/>
          <w:sz w:val="24"/>
          <w:szCs w:val="24"/>
          <w:highlight w:val="none"/>
          <w:lang w:val="en-US" w:eastAsia="zh-CN" w:bidi="ar-SA"/>
        </w:rPr>
        <w:t>S成分，H</w:t>
      </w:r>
      <w:r>
        <w:rPr>
          <w:rFonts w:hint="eastAsia" w:ascii="Times New Roman" w:hAnsi="Times New Roman" w:eastAsia="宋体" w:cstheme="minorBidi"/>
          <w:bCs/>
          <w:color w:val="auto"/>
          <w:kern w:val="2"/>
          <w:sz w:val="24"/>
          <w:szCs w:val="24"/>
          <w:highlight w:val="none"/>
          <w:vertAlign w:val="subscript"/>
          <w:lang w:val="en-US" w:eastAsia="zh-CN" w:bidi="ar-SA"/>
        </w:rPr>
        <w:t>2</w:t>
      </w:r>
      <w:r>
        <w:rPr>
          <w:rFonts w:hint="eastAsia" w:ascii="Times New Roman" w:hAnsi="Times New Roman" w:eastAsia="宋体" w:cstheme="minorBidi"/>
          <w:bCs/>
          <w:color w:val="auto"/>
          <w:kern w:val="2"/>
          <w:sz w:val="24"/>
          <w:szCs w:val="24"/>
          <w:highlight w:val="none"/>
          <w:lang w:val="en-US" w:eastAsia="zh-CN" w:bidi="ar-SA"/>
        </w:rPr>
        <w:t>S燃烧会产生一定量的SO</w:t>
      </w:r>
      <w:r>
        <w:rPr>
          <w:rFonts w:hint="eastAsia" w:ascii="Times New Roman" w:hAnsi="Times New Roman" w:eastAsia="宋体" w:cstheme="minorBidi"/>
          <w:bCs/>
          <w:color w:val="auto"/>
          <w:kern w:val="2"/>
          <w:sz w:val="24"/>
          <w:szCs w:val="24"/>
          <w:highlight w:val="none"/>
          <w:vertAlign w:val="subscript"/>
          <w:lang w:val="en-US" w:eastAsia="zh-CN" w:bidi="ar-SA"/>
        </w:rPr>
        <w:t>2</w:t>
      </w:r>
      <w:r>
        <w:rPr>
          <w:rFonts w:hint="eastAsia" w:ascii="Times New Roman" w:hAnsi="Times New Roman" w:eastAsia="宋体" w:cstheme="minorBidi"/>
          <w:bCs/>
          <w:color w:val="auto"/>
          <w:kern w:val="2"/>
          <w:sz w:val="24"/>
          <w:szCs w:val="24"/>
          <w:highlight w:val="none"/>
          <w:lang w:val="en-US" w:eastAsia="zh-CN" w:bidi="ar-SA"/>
        </w:rPr>
        <w:t>，同时沼气燃烧还会产生少量NO</w:t>
      </w:r>
      <w:r>
        <w:rPr>
          <w:rFonts w:hint="eastAsia" w:ascii="Times New Roman" w:hAnsi="Times New Roman" w:eastAsia="宋体" w:cstheme="minorBidi"/>
          <w:bCs/>
          <w:color w:val="auto"/>
          <w:kern w:val="2"/>
          <w:sz w:val="24"/>
          <w:szCs w:val="24"/>
          <w:highlight w:val="none"/>
          <w:vertAlign w:val="subscript"/>
          <w:lang w:val="en-US" w:eastAsia="zh-CN" w:bidi="ar-SA"/>
        </w:rPr>
        <w:t>X</w:t>
      </w:r>
      <w:r>
        <w:rPr>
          <w:rFonts w:hint="eastAsia" w:ascii="Times New Roman" w:hAnsi="Times New Roman" w:eastAsia="宋体" w:cstheme="minorBidi"/>
          <w:bCs/>
          <w:color w:val="auto"/>
          <w:kern w:val="2"/>
          <w:sz w:val="24"/>
          <w:szCs w:val="24"/>
          <w:highlight w:val="none"/>
          <w:lang w:val="en-US" w:eastAsia="zh-CN" w:bidi="ar-SA"/>
        </w:rPr>
        <w:t>。根据王钢主编的《沼气脱硫技术研究》文章（来自《化学工程师》杂志，文章编号：1002-1124（2008）01-0032-03），类比确定项目沼气中H</w:t>
      </w:r>
      <w:r>
        <w:rPr>
          <w:rFonts w:hint="eastAsia" w:ascii="Times New Roman" w:hAnsi="Times New Roman" w:eastAsia="宋体" w:cstheme="minorBidi"/>
          <w:bCs/>
          <w:color w:val="auto"/>
          <w:kern w:val="2"/>
          <w:sz w:val="24"/>
          <w:szCs w:val="24"/>
          <w:highlight w:val="none"/>
          <w:vertAlign w:val="subscript"/>
          <w:lang w:val="en-US" w:eastAsia="zh-CN" w:bidi="ar-SA"/>
        </w:rPr>
        <w:t>2</w:t>
      </w:r>
      <w:r>
        <w:rPr>
          <w:rFonts w:hint="eastAsia" w:ascii="Times New Roman" w:hAnsi="Times New Roman" w:eastAsia="宋体" w:cstheme="minorBidi"/>
          <w:bCs/>
          <w:color w:val="auto"/>
          <w:kern w:val="2"/>
          <w:sz w:val="24"/>
          <w:szCs w:val="24"/>
          <w:highlight w:val="none"/>
          <w:lang w:val="en-US" w:eastAsia="zh-CN" w:bidi="ar-SA"/>
        </w:rPr>
        <w:t>S质量浓度为2g/m</w:t>
      </w:r>
      <w:r>
        <w:rPr>
          <w:rFonts w:hint="eastAsia" w:ascii="Times New Roman" w:hAnsi="Times New Roman" w:eastAsia="宋体" w:cstheme="minorBidi"/>
          <w:bCs/>
          <w:color w:val="auto"/>
          <w:kern w:val="2"/>
          <w:sz w:val="24"/>
          <w:szCs w:val="24"/>
          <w:highlight w:val="none"/>
          <w:vertAlign w:val="superscript"/>
          <w:lang w:val="en-US" w:eastAsia="zh-CN" w:bidi="ar-SA"/>
        </w:rPr>
        <w:t>3</w:t>
      </w:r>
      <w:r>
        <w:rPr>
          <w:rFonts w:hint="eastAsia" w:ascii="Times New Roman" w:hAnsi="Times New Roman" w:eastAsia="宋体" w:cstheme="minorBidi"/>
          <w:bCs/>
          <w:color w:val="auto"/>
          <w:kern w:val="2"/>
          <w:sz w:val="24"/>
          <w:szCs w:val="24"/>
          <w:highlight w:val="none"/>
          <w:lang w:val="en-US" w:eastAsia="zh-CN" w:bidi="ar-SA"/>
        </w:rPr>
        <w:t>，经脱硫设备处理后（脱硫效率为99.2%），沼气中H</w:t>
      </w:r>
      <w:r>
        <w:rPr>
          <w:rFonts w:hint="eastAsia" w:ascii="Times New Roman" w:hAnsi="Times New Roman" w:eastAsia="宋体" w:cstheme="minorBidi"/>
          <w:bCs/>
          <w:color w:val="auto"/>
          <w:kern w:val="2"/>
          <w:sz w:val="24"/>
          <w:szCs w:val="24"/>
          <w:highlight w:val="none"/>
          <w:vertAlign w:val="subscript"/>
          <w:lang w:val="en-US" w:eastAsia="zh-CN" w:bidi="ar-SA"/>
        </w:rPr>
        <w:t>2</w:t>
      </w:r>
      <w:r>
        <w:rPr>
          <w:rFonts w:hint="eastAsia" w:ascii="Times New Roman" w:hAnsi="Times New Roman" w:eastAsia="宋体" w:cstheme="minorBidi"/>
          <w:bCs/>
          <w:color w:val="auto"/>
          <w:kern w:val="2"/>
          <w:sz w:val="24"/>
          <w:szCs w:val="24"/>
          <w:highlight w:val="none"/>
          <w:lang w:val="en-US" w:eastAsia="zh-CN" w:bidi="ar-SA"/>
        </w:rPr>
        <w:t>S含量为16mg/m</w:t>
      </w:r>
      <w:r>
        <w:rPr>
          <w:rFonts w:hint="eastAsia" w:ascii="Times New Roman" w:hAnsi="Times New Roman" w:eastAsia="宋体" w:cstheme="minorBidi"/>
          <w:bCs/>
          <w:color w:val="auto"/>
          <w:kern w:val="2"/>
          <w:sz w:val="24"/>
          <w:szCs w:val="24"/>
          <w:highlight w:val="none"/>
          <w:vertAlign w:val="superscript"/>
          <w:lang w:val="en-US" w:eastAsia="zh-CN" w:bidi="ar-SA"/>
        </w:rPr>
        <w:t>3</w:t>
      </w:r>
      <w:r>
        <w:rPr>
          <w:rFonts w:hint="eastAsia" w:ascii="Times New Roman" w:hAnsi="Times New Roman" w:eastAsia="宋体" w:cstheme="minorBidi"/>
          <w:bCs/>
          <w:color w:val="auto"/>
          <w:kern w:val="2"/>
          <w:sz w:val="24"/>
          <w:szCs w:val="24"/>
          <w:highlight w:val="none"/>
          <w:lang w:val="en-US" w:eastAsia="zh-CN" w:bidi="ar-SA"/>
        </w:rPr>
        <w:t>，能够满足《规模化畜禽养殖场沼气工程设计规范》（NYT1222-2006）中关于沼气净化系统处理后的硫化氢小于20mg/m</w:t>
      </w:r>
      <w:r>
        <w:rPr>
          <w:rFonts w:hint="eastAsia" w:ascii="Times New Roman" w:hAnsi="Times New Roman" w:eastAsia="宋体" w:cstheme="minorBidi"/>
          <w:bCs/>
          <w:color w:val="auto"/>
          <w:kern w:val="2"/>
          <w:sz w:val="24"/>
          <w:szCs w:val="24"/>
          <w:highlight w:val="none"/>
          <w:vertAlign w:val="superscript"/>
          <w:lang w:val="en-US" w:eastAsia="zh-CN" w:bidi="ar-SA"/>
        </w:rPr>
        <w:t>3</w:t>
      </w:r>
      <w:r>
        <w:rPr>
          <w:rFonts w:hint="eastAsia" w:ascii="Times New Roman" w:hAnsi="Times New Roman" w:eastAsia="宋体" w:cstheme="minorBidi"/>
          <w:bCs/>
          <w:color w:val="auto"/>
          <w:kern w:val="2"/>
          <w:sz w:val="24"/>
          <w:szCs w:val="24"/>
          <w:highlight w:val="none"/>
          <w:lang w:val="en-US" w:eastAsia="zh-CN" w:bidi="ar-SA"/>
        </w:rPr>
        <w:t>的要求。</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heme="minorBidi"/>
          <w:bCs/>
          <w:color w:val="auto"/>
          <w:kern w:val="2"/>
          <w:sz w:val="24"/>
          <w:szCs w:val="24"/>
          <w:highlight w:val="none"/>
          <w:lang w:val="en-US" w:eastAsia="zh-CN" w:bidi="ar-SA"/>
        </w:rPr>
      </w:pPr>
      <w:r>
        <w:rPr>
          <w:rFonts w:hint="eastAsia" w:ascii="Times New Roman" w:hAnsi="Times New Roman" w:eastAsia="宋体" w:cstheme="minorBidi"/>
          <w:bCs/>
          <w:color w:val="auto"/>
          <w:kern w:val="2"/>
          <w:sz w:val="24"/>
          <w:szCs w:val="24"/>
          <w:highlight w:val="none"/>
          <w:lang w:val="en-US" w:eastAsia="zh-CN" w:bidi="ar-SA"/>
        </w:rPr>
        <w:t>项目沼气产生量为404770m</w:t>
      </w:r>
      <w:r>
        <w:rPr>
          <w:rFonts w:hint="eastAsia" w:ascii="Times New Roman" w:hAnsi="Times New Roman" w:eastAsia="宋体" w:cstheme="minorBidi"/>
          <w:bCs/>
          <w:color w:val="auto"/>
          <w:kern w:val="2"/>
          <w:sz w:val="24"/>
          <w:szCs w:val="24"/>
          <w:highlight w:val="none"/>
          <w:vertAlign w:val="superscript"/>
          <w:lang w:val="en-US" w:eastAsia="zh-CN" w:bidi="ar-SA"/>
        </w:rPr>
        <w:t>3</w:t>
      </w:r>
      <w:r>
        <w:rPr>
          <w:rFonts w:hint="eastAsia" w:ascii="Times New Roman" w:hAnsi="Times New Roman" w:eastAsia="宋体" w:cstheme="minorBidi"/>
          <w:bCs/>
          <w:color w:val="auto"/>
          <w:kern w:val="2"/>
          <w:sz w:val="24"/>
          <w:szCs w:val="24"/>
          <w:highlight w:val="none"/>
          <w:lang w:val="en-US" w:eastAsia="zh-CN" w:bidi="ar-SA"/>
        </w:rPr>
        <w:t>/a，沼气主要用于场区食堂</w:t>
      </w:r>
      <w:r>
        <w:rPr>
          <w:rFonts w:hint="eastAsia" w:cstheme="minorBidi"/>
          <w:bCs/>
          <w:color w:val="auto"/>
          <w:kern w:val="2"/>
          <w:sz w:val="24"/>
          <w:szCs w:val="24"/>
          <w:highlight w:val="none"/>
          <w:lang w:val="en-US" w:eastAsia="zh-CN" w:bidi="ar-SA"/>
        </w:rPr>
        <w:t>和无害化处理车间</w:t>
      </w:r>
      <w:r>
        <w:rPr>
          <w:rFonts w:hint="eastAsia" w:ascii="Times New Roman" w:hAnsi="Times New Roman" w:eastAsia="宋体" w:cstheme="minorBidi"/>
          <w:bCs/>
          <w:color w:val="auto"/>
          <w:kern w:val="2"/>
          <w:sz w:val="24"/>
          <w:szCs w:val="24"/>
          <w:highlight w:val="none"/>
          <w:lang w:val="en-US" w:eastAsia="zh-CN" w:bidi="ar-SA"/>
        </w:rPr>
        <w:t>，其中用于食堂的沼气量为44851.2m</w:t>
      </w:r>
      <w:r>
        <w:rPr>
          <w:rFonts w:hint="eastAsia" w:ascii="Times New Roman" w:hAnsi="Times New Roman" w:eastAsia="宋体" w:cstheme="minorBidi"/>
          <w:bCs/>
          <w:color w:val="auto"/>
          <w:kern w:val="2"/>
          <w:sz w:val="24"/>
          <w:szCs w:val="24"/>
          <w:highlight w:val="none"/>
          <w:vertAlign w:val="superscript"/>
          <w:lang w:val="en-US" w:eastAsia="zh-CN" w:bidi="ar-SA"/>
        </w:rPr>
        <w:t>3</w:t>
      </w:r>
      <w:r>
        <w:rPr>
          <w:rFonts w:hint="eastAsia" w:ascii="Times New Roman" w:hAnsi="Times New Roman" w:eastAsia="宋体" w:cstheme="minorBidi"/>
          <w:bCs/>
          <w:color w:val="auto"/>
          <w:kern w:val="2"/>
          <w:sz w:val="24"/>
          <w:szCs w:val="24"/>
          <w:highlight w:val="none"/>
          <w:lang w:val="en-US" w:eastAsia="zh-CN" w:bidi="ar-SA"/>
        </w:rPr>
        <w:t>/a，</w:t>
      </w:r>
      <w:r>
        <w:rPr>
          <w:rFonts w:hint="eastAsia" w:ascii="Times New Roman" w:hAnsi="Times New Roman" w:cstheme="minorBidi"/>
          <w:bCs/>
          <w:color w:val="auto"/>
          <w:kern w:val="2"/>
          <w:sz w:val="24"/>
          <w:szCs w:val="24"/>
          <w:highlight w:val="none"/>
          <w:lang w:val="en-US" w:eastAsia="zh-CN" w:bidi="ar-SA"/>
        </w:rPr>
        <w:t>无害化处理车间</w:t>
      </w:r>
      <w:r>
        <w:rPr>
          <w:rFonts w:hint="eastAsia" w:ascii="Times New Roman" w:hAnsi="Times New Roman" w:eastAsia="宋体" w:cstheme="minorBidi"/>
          <w:bCs/>
          <w:color w:val="auto"/>
          <w:kern w:val="2"/>
          <w:sz w:val="24"/>
          <w:szCs w:val="24"/>
          <w:highlight w:val="none"/>
          <w:lang w:val="en-US" w:eastAsia="zh-CN" w:bidi="ar-SA"/>
        </w:rPr>
        <w:t>的沼气量为576m</w:t>
      </w:r>
      <w:r>
        <w:rPr>
          <w:rFonts w:hint="eastAsia" w:ascii="Times New Roman" w:hAnsi="Times New Roman" w:eastAsia="宋体" w:cstheme="minorBidi"/>
          <w:bCs/>
          <w:color w:val="auto"/>
          <w:kern w:val="2"/>
          <w:sz w:val="24"/>
          <w:szCs w:val="24"/>
          <w:highlight w:val="none"/>
          <w:vertAlign w:val="superscript"/>
          <w:lang w:val="en-US" w:eastAsia="zh-CN" w:bidi="ar-SA"/>
        </w:rPr>
        <w:t>3</w:t>
      </w:r>
      <w:r>
        <w:rPr>
          <w:rFonts w:hint="eastAsia" w:ascii="Times New Roman" w:hAnsi="Times New Roman" w:eastAsia="宋体" w:cstheme="minorBidi"/>
          <w:bCs/>
          <w:color w:val="auto"/>
          <w:kern w:val="2"/>
          <w:sz w:val="24"/>
          <w:szCs w:val="24"/>
          <w:highlight w:val="none"/>
          <w:lang w:val="en-US" w:eastAsia="zh-CN" w:bidi="ar-SA"/>
        </w:rPr>
        <w:t>/a。</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heme="minorBidi"/>
          <w:bCs/>
          <w:color w:val="auto"/>
          <w:kern w:val="2"/>
          <w:sz w:val="24"/>
          <w:szCs w:val="24"/>
          <w:highlight w:val="none"/>
          <w:lang w:val="en-US" w:eastAsia="zh-CN" w:bidi="ar-SA"/>
        </w:rPr>
      </w:pPr>
      <w:r>
        <w:rPr>
          <w:rFonts w:hint="eastAsia" w:ascii="Times New Roman" w:hAnsi="Times New Roman" w:eastAsia="宋体" w:cstheme="minorBidi"/>
          <w:bCs/>
          <w:color w:val="auto"/>
          <w:kern w:val="2"/>
          <w:sz w:val="24"/>
          <w:szCs w:val="24"/>
          <w:highlight w:val="none"/>
          <w:lang w:val="en-US" w:eastAsia="zh-CN" w:bidi="ar-SA"/>
        </w:rPr>
        <w:t>项目</w:t>
      </w:r>
      <w:r>
        <w:rPr>
          <w:rFonts w:hint="eastAsia" w:ascii="Times New Roman" w:hAnsi="Times New Roman" w:cstheme="minorBidi"/>
          <w:bCs/>
          <w:color w:val="auto"/>
          <w:kern w:val="2"/>
          <w:sz w:val="24"/>
          <w:szCs w:val="24"/>
          <w:highlight w:val="none"/>
          <w:lang w:val="en-US" w:eastAsia="zh-CN" w:bidi="ar-SA"/>
        </w:rPr>
        <w:t>无害化处理车间</w:t>
      </w:r>
      <w:r>
        <w:rPr>
          <w:rFonts w:hint="eastAsia" w:ascii="Times New Roman" w:hAnsi="Times New Roman" w:eastAsia="宋体" w:cstheme="minorBidi"/>
          <w:bCs/>
          <w:color w:val="auto"/>
          <w:kern w:val="2"/>
          <w:sz w:val="24"/>
          <w:szCs w:val="24"/>
          <w:highlight w:val="none"/>
          <w:lang w:val="en-US" w:eastAsia="zh-CN" w:bidi="ar-SA"/>
        </w:rPr>
        <w:t>燃烧的沼气量为</w:t>
      </w:r>
      <w:r>
        <w:rPr>
          <w:rFonts w:hint="eastAsia" w:cstheme="minorBidi"/>
          <w:bCs/>
          <w:color w:val="auto"/>
          <w:kern w:val="2"/>
          <w:sz w:val="24"/>
          <w:szCs w:val="24"/>
          <w:highlight w:val="none"/>
          <w:lang w:val="en-US" w:eastAsia="zh-CN" w:bidi="ar-SA"/>
        </w:rPr>
        <w:t>576</w:t>
      </w:r>
      <w:r>
        <w:rPr>
          <w:rFonts w:hint="eastAsia" w:ascii="Times New Roman" w:hAnsi="Times New Roman" w:eastAsia="宋体" w:cstheme="minorBidi"/>
          <w:bCs/>
          <w:color w:val="auto"/>
          <w:kern w:val="2"/>
          <w:sz w:val="24"/>
          <w:szCs w:val="24"/>
          <w:highlight w:val="none"/>
          <w:lang w:val="en-US" w:eastAsia="zh-CN" w:bidi="ar-SA"/>
        </w:rPr>
        <w:t>m</w:t>
      </w:r>
      <w:r>
        <w:rPr>
          <w:rFonts w:hint="eastAsia" w:ascii="Times New Roman" w:hAnsi="Times New Roman" w:eastAsia="宋体" w:cstheme="minorBidi"/>
          <w:bCs/>
          <w:color w:val="auto"/>
          <w:kern w:val="2"/>
          <w:sz w:val="24"/>
          <w:szCs w:val="24"/>
          <w:highlight w:val="none"/>
          <w:vertAlign w:val="superscript"/>
          <w:lang w:val="en-US" w:eastAsia="zh-CN" w:bidi="ar-SA"/>
        </w:rPr>
        <w:t>3</w:t>
      </w:r>
      <w:r>
        <w:rPr>
          <w:rFonts w:hint="eastAsia" w:ascii="Times New Roman" w:hAnsi="Times New Roman" w:eastAsia="宋体" w:cstheme="minorBidi"/>
          <w:bCs/>
          <w:color w:val="auto"/>
          <w:kern w:val="2"/>
          <w:sz w:val="24"/>
          <w:szCs w:val="24"/>
          <w:highlight w:val="none"/>
          <w:lang w:val="en-US" w:eastAsia="zh-CN" w:bidi="ar-SA"/>
        </w:rPr>
        <w:t>/a，烟气量根据《第一次全国污染源普查工业产排污系数手册》中的产生系数核算（即136259.17m</w:t>
      </w:r>
      <w:r>
        <w:rPr>
          <w:rFonts w:hint="eastAsia" w:ascii="Times New Roman" w:hAnsi="Times New Roman" w:eastAsia="宋体" w:cstheme="minorBidi"/>
          <w:bCs/>
          <w:color w:val="auto"/>
          <w:kern w:val="2"/>
          <w:sz w:val="24"/>
          <w:szCs w:val="24"/>
          <w:highlight w:val="none"/>
          <w:vertAlign w:val="superscript"/>
          <w:lang w:val="en-US" w:eastAsia="zh-CN" w:bidi="ar-SA"/>
        </w:rPr>
        <w:t>3</w:t>
      </w:r>
      <w:r>
        <w:rPr>
          <w:rFonts w:hint="eastAsia" w:ascii="Times New Roman" w:hAnsi="Times New Roman" w:eastAsia="宋体" w:cstheme="minorBidi"/>
          <w:bCs/>
          <w:color w:val="auto"/>
          <w:kern w:val="2"/>
          <w:sz w:val="24"/>
          <w:szCs w:val="24"/>
          <w:highlight w:val="none"/>
          <w:lang w:val="en-US" w:eastAsia="zh-CN" w:bidi="ar-SA"/>
        </w:rPr>
        <w:t>/万m</w:t>
      </w:r>
      <w:r>
        <w:rPr>
          <w:rFonts w:hint="eastAsia" w:ascii="Times New Roman" w:hAnsi="Times New Roman" w:eastAsia="宋体" w:cstheme="minorBidi"/>
          <w:bCs/>
          <w:color w:val="auto"/>
          <w:kern w:val="2"/>
          <w:sz w:val="24"/>
          <w:szCs w:val="24"/>
          <w:highlight w:val="none"/>
          <w:vertAlign w:val="superscript"/>
          <w:lang w:val="en-US" w:eastAsia="zh-CN" w:bidi="ar-SA"/>
        </w:rPr>
        <w:t>3</w:t>
      </w:r>
      <w:r>
        <w:rPr>
          <w:rFonts w:hint="eastAsia" w:ascii="Times New Roman" w:hAnsi="Times New Roman" w:eastAsia="宋体" w:cstheme="minorBidi"/>
          <w:bCs/>
          <w:color w:val="auto"/>
          <w:kern w:val="2"/>
          <w:sz w:val="24"/>
          <w:szCs w:val="24"/>
          <w:highlight w:val="none"/>
          <w:lang w:val="en-US" w:eastAsia="zh-CN" w:bidi="ar-SA"/>
        </w:rPr>
        <w:t>-原料），烟气量为7848.528192m</w:t>
      </w:r>
      <w:r>
        <w:rPr>
          <w:rFonts w:hint="eastAsia" w:ascii="Times New Roman" w:hAnsi="Times New Roman" w:eastAsia="宋体" w:cstheme="minorBidi"/>
          <w:bCs/>
          <w:color w:val="auto"/>
          <w:kern w:val="2"/>
          <w:sz w:val="24"/>
          <w:szCs w:val="24"/>
          <w:highlight w:val="none"/>
          <w:vertAlign w:val="superscript"/>
          <w:lang w:val="en-US" w:eastAsia="zh-CN" w:bidi="ar-SA"/>
        </w:rPr>
        <w:t>3</w:t>
      </w:r>
      <w:r>
        <w:rPr>
          <w:rFonts w:hint="eastAsia" w:ascii="Times New Roman" w:hAnsi="Times New Roman" w:eastAsia="宋体" w:cstheme="minorBidi"/>
          <w:bCs/>
          <w:color w:val="auto"/>
          <w:kern w:val="2"/>
          <w:sz w:val="24"/>
          <w:szCs w:val="24"/>
          <w:highlight w:val="none"/>
          <w:lang w:val="en-US" w:eastAsia="zh-CN" w:bidi="ar-SA"/>
        </w:rPr>
        <w:t>/a。</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heme="minorBidi"/>
          <w:bCs/>
          <w:color w:val="auto"/>
          <w:kern w:val="2"/>
          <w:sz w:val="24"/>
          <w:szCs w:val="24"/>
          <w:highlight w:val="none"/>
          <w:lang w:val="en-US" w:eastAsia="zh-CN" w:bidi="ar-SA"/>
        </w:rPr>
      </w:pPr>
      <w:r>
        <w:rPr>
          <w:rFonts w:hint="eastAsia" w:ascii="Times New Roman" w:hAnsi="Times New Roman" w:eastAsia="宋体" w:cstheme="minorBidi"/>
          <w:bCs/>
          <w:color w:val="auto"/>
          <w:kern w:val="2"/>
          <w:sz w:val="24"/>
          <w:szCs w:val="24"/>
          <w:highlight w:val="none"/>
          <w:lang w:val="en-US" w:eastAsia="zh-CN" w:bidi="ar-SA"/>
        </w:rPr>
        <w:t>根据质量平衡定律计算出SO</w:t>
      </w:r>
      <w:r>
        <w:rPr>
          <w:rFonts w:hint="eastAsia" w:ascii="Times New Roman" w:hAnsi="Times New Roman" w:eastAsia="宋体" w:cstheme="minorBidi"/>
          <w:bCs/>
          <w:color w:val="auto"/>
          <w:kern w:val="2"/>
          <w:sz w:val="24"/>
          <w:szCs w:val="24"/>
          <w:highlight w:val="none"/>
          <w:vertAlign w:val="subscript"/>
          <w:lang w:val="en-US" w:eastAsia="zh-CN" w:bidi="ar-SA"/>
        </w:rPr>
        <w:t>2</w:t>
      </w:r>
      <w:r>
        <w:rPr>
          <w:rFonts w:hint="eastAsia" w:ascii="Times New Roman" w:hAnsi="Times New Roman" w:eastAsia="宋体" w:cstheme="minorBidi"/>
          <w:bCs/>
          <w:color w:val="auto"/>
          <w:kern w:val="2"/>
          <w:sz w:val="24"/>
          <w:szCs w:val="24"/>
          <w:highlight w:val="none"/>
          <w:lang w:val="en-US" w:eastAsia="zh-CN" w:bidi="ar-SA"/>
        </w:rPr>
        <w:t>产生量=H</w:t>
      </w:r>
      <w:r>
        <w:rPr>
          <w:rFonts w:hint="eastAsia" w:ascii="Times New Roman" w:hAnsi="Times New Roman" w:eastAsia="宋体" w:cstheme="minorBidi"/>
          <w:bCs/>
          <w:color w:val="auto"/>
          <w:kern w:val="2"/>
          <w:sz w:val="24"/>
          <w:szCs w:val="24"/>
          <w:highlight w:val="none"/>
          <w:vertAlign w:val="subscript"/>
          <w:lang w:val="en-US" w:eastAsia="zh-CN" w:bidi="ar-SA"/>
        </w:rPr>
        <w:t>2</w:t>
      </w:r>
      <w:r>
        <w:rPr>
          <w:rFonts w:hint="eastAsia" w:ascii="Times New Roman" w:hAnsi="Times New Roman" w:eastAsia="宋体" w:cstheme="minorBidi"/>
          <w:bCs/>
          <w:color w:val="auto"/>
          <w:kern w:val="2"/>
          <w:sz w:val="24"/>
          <w:szCs w:val="24"/>
          <w:highlight w:val="none"/>
          <w:lang w:val="en-US" w:eastAsia="zh-CN" w:bidi="ar-SA"/>
        </w:rPr>
        <w:t>S产生量/34*64，沼气产生SO</w:t>
      </w:r>
      <w:r>
        <w:rPr>
          <w:rFonts w:hint="eastAsia" w:ascii="Times New Roman" w:hAnsi="Times New Roman" w:eastAsia="宋体" w:cstheme="minorBidi"/>
          <w:bCs/>
          <w:color w:val="auto"/>
          <w:kern w:val="2"/>
          <w:sz w:val="24"/>
          <w:szCs w:val="24"/>
          <w:highlight w:val="none"/>
          <w:vertAlign w:val="subscript"/>
          <w:lang w:val="en-US" w:eastAsia="zh-CN" w:bidi="ar-SA"/>
        </w:rPr>
        <w:t>2</w:t>
      </w:r>
      <w:r>
        <w:rPr>
          <w:rFonts w:hint="eastAsia" w:ascii="Times New Roman" w:hAnsi="Times New Roman" w:eastAsia="宋体" w:cstheme="minorBidi"/>
          <w:bCs/>
          <w:color w:val="auto"/>
          <w:kern w:val="2"/>
          <w:sz w:val="24"/>
          <w:szCs w:val="24"/>
          <w:highlight w:val="none"/>
          <w:lang w:val="en-US" w:eastAsia="zh-CN" w:bidi="ar-SA"/>
        </w:rPr>
        <w:t>量为</w:t>
      </w:r>
      <w:r>
        <w:rPr>
          <w:rFonts w:hint="eastAsia" w:cstheme="minorBidi"/>
          <w:bCs/>
          <w:color w:val="auto"/>
          <w:kern w:val="2"/>
          <w:sz w:val="24"/>
          <w:szCs w:val="24"/>
          <w:highlight w:val="none"/>
          <w:lang w:val="en-US" w:eastAsia="zh-CN" w:bidi="ar-SA"/>
        </w:rPr>
        <w:t>576</w:t>
      </w:r>
      <w:r>
        <w:rPr>
          <w:rFonts w:hint="eastAsia" w:ascii="Times New Roman" w:hAnsi="Times New Roman" w:eastAsia="宋体" w:cstheme="minorBidi"/>
          <w:bCs/>
          <w:color w:val="auto"/>
          <w:kern w:val="2"/>
          <w:sz w:val="24"/>
          <w:szCs w:val="24"/>
          <w:highlight w:val="none"/>
          <w:lang w:val="en-US" w:eastAsia="zh-CN" w:bidi="ar-SA"/>
        </w:rPr>
        <w:t>×20×10</w:t>
      </w:r>
      <w:r>
        <w:rPr>
          <w:rFonts w:hint="eastAsia" w:ascii="Times New Roman" w:hAnsi="Times New Roman" w:eastAsia="宋体" w:cstheme="minorBidi"/>
          <w:bCs/>
          <w:color w:val="auto"/>
          <w:kern w:val="2"/>
          <w:sz w:val="24"/>
          <w:szCs w:val="24"/>
          <w:highlight w:val="none"/>
          <w:vertAlign w:val="superscript"/>
          <w:lang w:val="en-US" w:eastAsia="zh-CN" w:bidi="ar-SA"/>
        </w:rPr>
        <w:t>-6</w:t>
      </w:r>
      <w:r>
        <w:rPr>
          <w:rFonts w:hint="eastAsia" w:ascii="Times New Roman" w:hAnsi="Times New Roman" w:eastAsia="宋体" w:cstheme="minorBidi"/>
          <w:bCs/>
          <w:color w:val="auto"/>
          <w:kern w:val="2"/>
          <w:sz w:val="24"/>
          <w:szCs w:val="24"/>
          <w:highlight w:val="none"/>
          <w:lang w:val="en-US" w:eastAsia="zh-CN" w:bidi="ar-SA"/>
        </w:rPr>
        <w:t>×64÷34=</w:t>
      </w:r>
      <w:r>
        <w:rPr>
          <w:rFonts w:hint="eastAsia" w:cstheme="minorBidi"/>
          <w:bCs/>
          <w:color w:val="auto"/>
          <w:kern w:val="2"/>
          <w:sz w:val="24"/>
          <w:szCs w:val="24"/>
          <w:highlight w:val="none"/>
          <w:lang w:val="en-US" w:eastAsia="zh-CN" w:bidi="ar-SA"/>
        </w:rPr>
        <w:t>0.022</w:t>
      </w:r>
      <w:r>
        <w:rPr>
          <w:rFonts w:hint="eastAsia" w:ascii="Times New Roman" w:hAnsi="Times New Roman" w:eastAsia="宋体" w:cstheme="minorBidi"/>
          <w:bCs/>
          <w:color w:val="auto"/>
          <w:kern w:val="2"/>
          <w:sz w:val="24"/>
          <w:szCs w:val="24"/>
          <w:highlight w:val="none"/>
          <w:lang w:val="en-US" w:eastAsia="zh-CN" w:bidi="ar-SA"/>
        </w:rPr>
        <w:t>kg/a，即0.</w:t>
      </w:r>
      <w:r>
        <w:rPr>
          <w:rFonts w:hint="eastAsia" w:cstheme="minorBidi"/>
          <w:bCs/>
          <w:color w:val="auto"/>
          <w:kern w:val="2"/>
          <w:sz w:val="24"/>
          <w:szCs w:val="24"/>
          <w:highlight w:val="none"/>
          <w:lang w:val="en-US" w:eastAsia="zh-CN" w:bidi="ar-SA"/>
        </w:rPr>
        <w:t>00002</w:t>
      </w:r>
      <w:r>
        <w:rPr>
          <w:rFonts w:hint="eastAsia" w:ascii="Times New Roman" w:hAnsi="Times New Roman" w:eastAsia="宋体" w:cstheme="minorBidi"/>
          <w:bCs/>
          <w:color w:val="auto"/>
          <w:kern w:val="2"/>
          <w:sz w:val="24"/>
          <w:szCs w:val="24"/>
          <w:highlight w:val="none"/>
          <w:lang w:val="en-US" w:eastAsia="zh-CN" w:bidi="ar-SA"/>
        </w:rPr>
        <w:t>t/a。</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eastAsia="宋体" w:cstheme="minorBidi"/>
          <w:bCs/>
          <w:color w:val="auto"/>
          <w:kern w:val="2"/>
          <w:sz w:val="24"/>
          <w:szCs w:val="24"/>
          <w:highlight w:val="none"/>
          <w:lang w:val="en-US" w:eastAsia="zh-CN" w:bidi="ar-SA"/>
        </w:rPr>
      </w:pPr>
      <w:r>
        <w:rPr>
          <w:rFonts w:hint="eastAsia" w:ascii="Times New Roman" w:hAnsi="Times New Roman" w:eastAsia="宋体" w:cstheme="minorBidi"/>
          <w:bCs/>
          <w:color w:val="auto"/>
          <w:kern w:val="2"/>
          <w:sz w:val="24"/>
          <w:szCs w:val="24"/>
          <w:highlight w:val="none"/>
          <w:lang w:val="en-US" w:eastAsia="zh-CN" w:bidi="ar-SA"/>
        </w:rPr>
        <w:t>根据《2006年全国氮氧化物排放统计技术要求》，沼气燃烧过程NO</w:t>
      </w:r>
      <w:r>
        <w:rPr>
          <w:rFonts w:hint="eastAsia" w:ascii="Times New Roman" w:hAnsi="Times New Roman" w:eastAsia="宋体" w:cstheme="minorBidi"/>
          <w:bCs/>
          <w:color w:val="auto"/>
          <w:kern w:val="2"/>
          <w:sz w:val="24"/>
          <w:szCs w:val="24"/>
          <w:highlight w:val="none"/>
          <w:vertAlign w:val="subscript"/>
          <w:lang w:val="en-US" w:eastAsia="zh-CN" w:bidi="ar-SA"/>
        </w:rPr>
        <w:t>X</w:t>
      </w:r>
      <w:r>
        <w:rPr>
          <w:rFonts w:hint="eastAsia" w:ascii="Times New Roman" w:hAnsi="Times New Roman" w:eastAsia="宋体" w:cstheme="minorBidi"/>
          <w:bCs/>
          <w:color w:val="auto"/>
          <w:kern w:val="2"/>
          <w:sz w:val="24"/>
          <w:szCs w:val="24"/>
          <w:highlight w:val="none"/>
          <w:lang w:val="en-US" w:eastAsia="zh-CN" w:bidi="ar-SA"/>
        </w:rPr>
        <w:t>排放系数为5.0kg/10</w:t>
      </w:r>
      <w:r>
        <w:rPr>
          <w:rFonts w:hint="eastAsia" w:ascii="Times New Roman" w:hAnsi="Times New Roman" w:eastAsia="宋体" w:cstheme="minorBidi"/>
          <w:bCs/>
          <w:color w:val="auto"/>
          <w:kern w:val="2"/>
          <w:sz w:val="24"/>
          <w:szCs w:val="24"/>
          <w:highlight w:val="none"/>
          <w:vertAlign w:val="superscript"/>
          <w:lang w:val="en-US" w:eastAsia="zh-CN" w:bidi="ar-SA"/>
        </w:rPr>
        <w:t>8</w:t>
      </w:r>
      <w:r>
        <w:rPr>
          <w:rFonts w:hint="eastAsia" w:ascii="Times New Roman" w:hAnsi="Times New Roman" w:eastAsia="宋体" w:cstheme="minorBidi"/>
          <w:bCs/>
          <w:color w:val="auto"/>
          <w:kern w:val="2"/>
          <w:sz w:val="24"/>
          <w:szCs w:val="24"/>
          <w:highlight w:val="none"/>
          <w:lang w:val="en-US" w:eastAsia="zh-CN" w:bidi="ar-SA"/>
        </w:rPr>
        <w:t>kJ，沼气的发热值为21524kJ/m</w:t>
      </w:r>
      <w:r>
        <w:rPr>
          <w:rFonts w:hint="eastAsia" w:ascii="Times New Roman" w:hAnsi="Times New Roman" w:eastAsia="宋体" w:cstheme="minorBidi"/>
          <w:bCs/>
          <w:color w:val="auto"/>
          <w:kern w:val="2"/>
          <w:sz w:val="24"/>
          <w:szCs w:val="24"/>
          <w:highlight w:val="none"/>
          <w:vertAlign w:val="superscript"/>
          <w:lang w:val="en-US" w:eastAsia="zh-CN" w:bidi="ar-SA"/>
        </w:rPr>
        <w:t>3</w:t>
      </w:r>
      <w:r>
        <w:rPr>
          <w:rFonts w:hint="eastAsia" w:ascii="Times New Roman" w:hAnsi="Times New Roman" w:eastAsia="宋体" w:cstheme="minorBidi"/>
          <w:bCs/>
          <w:color w:val="auto"/>
          <w:kern w:val="2"/>
          <w:sz w:val="24"/>
          <w:szCs w:val="24"/>
          <w:highlight w:val="none"/>
          <w:lang w:val="en-US" w:eastAsia="zh-CN" w:bidi="ar-SA"/>
        </w:rPr>
        <w:t>，则本项目NO</w:t>
      </w:r>
      <w:r>
        <w:rPr>
          <w:rFonts w:hint="eastAsia" w:ascii="Times New Roman" w:hAnsi="Times New Roman" w:eastAsia="宋体" w:cstheme="minorBidi"/>
          <w:bCs/>
          <w:color w:val="auto"/>
          <w:kern w:val="2"/>
          <w:sz w:val="24"/>
          <w:szCs w:val="24"/>
          <w:highlight w:val="none"/>
          <w:vertAlign w:val="subscript"/>
          <w:lang w:val="en-US" w:eastAsia="zh-CN" w:bidi="ar-SA"/>
        </w:rPr>
        <w:t>X</w:t>
      </w:r>
      <w:r>
        <w:rPr>
          <w:rFonts w:hint="eastAsia" w:ascii="Times New Roman" w:hAnsi="Times New Roman" w:eastAsia="宋体" w:cstheme="minorBidi"/>
          <w:bCs/>
          <w:color w:val="auto"/>
          <w:kern w:val="2"/>
          <w:sz w:val="24"/>
          <w:szCs w:val="24"/>
          <w:highlight w:val="none"/>
          <w:lang w:val="en-US" w:eastAsia="zh-CN" w:bidi="ar-SA"/>
        </w:rPr>
        <w:t>产生量为</w:t>
      </w:r>
      <w:r>
        <w:rPr>
          <w:rFonts w:hint="eastAsia" w:cstheme="minorBidi"/>
          <w:bCs/>
          <w:color w:val="auto"/>
          <w:kern w:val="2"/>
          <w:sz w:val="24"/>
          <w:szCs w:val="24"/>
          <w:highlight w:val="none"/>
          <w:lang w:val="en-US" w:eastAsia="zh-CN" w:bidi="ar-SA"/>
        </w:rPr>
        <w:t>0.0006</w:t>
      </w:r>
      <w:r>
        <w:rPr>
          <w:rFonts w:hint="eastAsia" w:ascii="Times New Roman" w:hAnsi="Times New Roman" w:eastAsia="宋体" w:cstheme="minorBidi"/>
          <w:bCs/>
          <w:color w:val="auto"/>
          <w:kern w:val="2"/>
          <w:sz w:val="24"/>
          <w:szCs w:val="24"/>
          <w:highlight w:val="none"/>
          <w:lang w:val="en-US" w:eastAsia="zh-CN" w:bidi="ar-SA"/>
        </w:rPr>
        <w:t>t/a。采用高效低氮燃烧器+烟气二次燃烧技术</w:t>
      </w:r>
      <w:r>
        <w:rPr>
          <w:rFonts w:hint="eastAsia" w:ascii="Times New Roman" w:hAnsi="Times New Roman" w:cstheme="minorBidi"/>
          <w:bCs/>
          <w:color w:val="auto"/>
          <w:kern w:val="2"/>
          <w:sz w:val="24"/>
          <w:szCs w:val="24"/>
          <w:highlight w:val="none"/>
          <w:lang w:val="en-US" w:eastAsia="zh-CN" w:bidi="ar-SA"/>
        </w:rPr>
        <w:t>处理后经1根8米高排气筒排放</w:t>
      </w:r>
      <w:r>
        <w:rPr>
          <w:rFonts w:hint="eastAsia" w:ascii="Times New Roman" w:hAnsi="Times New Roman" w:eastAsia="宋体" w:cstheme="minorBidi"/>
          <w:bCs/>
          <w:color w:val="auto"/>
          <w:kern w:val="2"/>
          <w:sz w:val="24"/>
          <w:szCs w:val="24"/>
          <w:highlight w:val="none"/>
          <w:lang w:val="en-US" w:eastAsia="zh-CN" w:bidi="ar-SA"/>
        </w:rPr>
        <w:t>。NO</w:t>
      </w:r>
      <w:r>
        <w:rPr>
          <w:rFonts w:hint="eastAsia" w:ascii="Times New Roman" w:hAnsi="Times New Roman" w:cstheme="minorBidi"/>
          <w:bCs/>
          <w:color w:val="auto"/>
          <w:kern w:val="2"/>
          <w:sz w:val="24"/>
          <w:szCs w:val="24"/>
          <w:highlight w:val="none"/>
          <w:vertAlign w:val="subscript"/>
          <w:lang w:val="en-US" w:eastAsia="zh-CN" w:bidi="ar-SA"/>
        </w:rPr>
        <w:t>X</w:t>
      </w:r>
      <w:r>
        <w:rPr>
          <w:rFonts w:hint="eastAsia" w:ascii="Times New Roman" w:hAnsi="Times New Roman" w:eastAsia="宋体" w:cstheme="minorBidi"/>
          <w:bCs/>
          <w:color w:val="auto"/>
          <w:kern w:val="2"/>
          <w:sz w:val="24"/>
          <w:szCs w:val="24"/>
          <w:highlight w:val="none"/>
          <w:lang w:val="en-US" w:eastAsia="zh-CN" w:bidi="ar-SA"/>
        </w:rPr>
        <w:t>去除效率按80%</w:t>
      </w:r>
      <w:r>
        <w:rPr>
          <w:rFonts w:hint="eastAsia" w:ascii="Times New Roman" w:hAnsi="Times New Roman" w:cstheme="minorBidi"/>
          <w:bCs/>
          <w:color w:val="auto"/>
          <w:kern w:val="2"/>
          <w:sz w:val="24"/>
          <w:szCs w:val="24"/>
          <w:highlight w:val="none"/>
          <w:lang w:val="en-US" w:eastAsia="zh-CN" w:bidi="ar-SA"/>
        </w:rPr>
        <w:t>计，则</w:t>
      </w:r>
      <w:r>
        <w:rPr>
          <w:rFonts w:hint="eastAsia" w:ascii="Times New Roman" w:hAnsi="Times New Roman" w:eastAsia="宋体" w:cstheme="minorBidi"/>
          <w:bCs/>
          <w:color w:val="auto"/>
          <w:kern w:val="2"/>
          <w:sz w:val="24"/>
          <w:szCs w:val="24"/>
          <w:highlight w:val="none"/>
          <w:lang w:val="en-US" w:eastAsia="zh-CN" w:bidi="ar-SA"/>
        </w:rPr>
        <w:t>NO</w:t>
      </w:r>
      <w:r>
        <w:rPr>
          <w:rFonts w:hint="eastAsia" w:ascii="Times New Roman" w:hAnsi="Times New Roman" w:eastAsia="宋体" w:cstheme="minorBidi"/>
          <w:bCs/>
          <w:color w:val="auto"/>
          <w:kern w:val="2"/>
          <w:sz w:val="24"/>
          <w:szCs w:val="24"/>
          <w:highlight w:val="none"/>
          <w:vertAlign w:val="subscript"/>
          <w:lang w:val="en-US" w:eastAsia="zh-CN" w:bidi="ar-SA"/>
        </w:rPr>
        <w:t>X</w:t>
      </w:r>
      <w:r>
        <w:rPr>
          <w:rFonts w:hint="eastAsia" w:ascii="Times New Roman" w:hAnsi="Times New Roman" w:cstheme="minorBidi"/>
          <w:bCs/>
          <w:color w:val="auto"/>
          <w:kern w:val="2"/>
          <w:sz w:val="24"/>
          <w:szCs w:val="24"/>
          <w:highlight w:val="none"/>
          <w:lang w:val="en-US" w:eastAsia="zh-CN" w:bidi="ar-SA"/>
        </w:rPr>
        <w:t>排放</w:t>
      </w:r>
      <w:r>
        <w:rPr>
          <w:rFonts w:hint="eastAsia" w:ascii="Times New Roman" w:hAnsi="Times New Roman" w:eastAsia="宋体" w:cstheme="minorBidi"/>
          <w:bCs/>
          <w:color w:val="auto"/>
          <w:kern w:val="2"/>
          <w:sz w:val="24"/>
          <w:szCs w:val="24"/>
          <w:highlight w:val="none"/>
          <w:lang w:val="en-US" w:eastAsia="zh-CN" w:bidi="ar-SA"/>
        </w:rPr>
        <w:t>量为0.</w:t>
      </w:r>
      <w:r>
        <w:rPr>
          <w:rFonts w:hint="eastAsia" w:cstheme="minorBidi"/>
          <w:bCs/>
          <w:color w:val="auto"/>
          <w:kern w:val="2"/>
          <w:sz w:val="24"/>
          <w:szCs w:val="24"/>
          <w:highlight w:val="none"/>
          <w:lang w:val="en-US" w:eastAsia="zh-CN" w:bidi="ar-SA"/>
        </w:rPr>
        <w:t>0001</w:t>
      </w:r>
      <w:r>
        <w:rPr>
          <w:rFonts w:hint="eastAsia" w:ascii="Times New Roman" w:hAnsi="Times New Roman" w:eastAsia="宋体" w:cstheme="minorBidi"/>
          <w:bCs/>
          <w:color w:val="auto"/>
          <w:kern w:val="2"/>
          <w:sz w:val="24"/>
          <w:szCs w:val="24"/>
          <w:highlight w:val="none"/>
          <w:lang w:val="en-US" w:eastAsia="zh-CN" w:bidi="ar-SA"/>
        </w:rPr>
        <w:t>t/a</w:t>
      </w:r>
      <w:r>
        <w:rPr>
          <w:rFonts w:hint="eastAsia" w:ascii="Times New Roman" w:hAnsi="Times New Roman" w:cstheme="minorBidi"/>
          <w:bCs/>
          <w:color w:val="auto"/>
          <w:kern w:val="2"/>
          <w:sz w:val="24"/>
          <w:szCs w:val="24"/>
          <w:highlight w:val="none"/>
          <w:lang w:val="en-US" w:eastAsia="zh-CN" w:bidi="ar-SA"/>
        </w:rPr>
        <w:t>。</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heme="minorBidi"/>
          <w:bCs/>
          <w:color w:val="auto"/>
          <w:kern w:val="2"/>
          <w:sz w:val="24"/>
          <w:szCs w:val="24"/>
          <w:highlight w:val="none"/>
          <w:lang w:val="en-US" w:eastAsia="zh-CN" w:bidi="ar-SA"/>
        </w:rPr>
      </w:pPr>
      <w:r>
        <w:rPr>
          <w:rFonts w:hint="eastAsia" w:ascii="Times New Roman" w:hAnsi="Times New Roman" w:eastAsia="宋体" w:cstheme="minorBidi"/>
          <w:bCs/>
          <w:color w:val="auto"/>
          <w:kern w:val="2"/>
          <w:sz w:val="24"/>
          <w:szCs w:val="24"/>
          <w:highlight w:val="none"/>
          <w:lang w:val="en-US" w:eastAsia="zh-CN" w:bidi="ar-SA"/>
        </w:rPr>
        <w:t>沼气</w:t>
      </w:r>
      <w:r>
        <w:rPr>
          <w:rFonts w:hint="eastAsia" w:cstheme="minorBidi"/>
          <w:bCs/>
          <w:color w:val="auto"/>
          <w:kern w:val="2"/>
          <w:sz w:val="24"/>
          <w:szCs w:val="24"/>
          <w:highlight w:val="none"/>
          <w:lang w:val="en-US" w:eastAsia="zh-CN" w:bidi="ar-SA"/>
        </w:rPr>
        <w:t>锅炉</w:t>
      </w:r>
      <w:r>
        <w:rPr>
          <w:rFonts w:hint="eastAsia" w:ascii="Times New Roman" w:hAnsi="Times New Roman" w:eastAsia="宋体" w:cstheme="minorBidi"/>
          <w:bCs/>
          <w:color w:val="auto"/>
          <w:kern w:val="2"/>
          <w:sz w:val="24"/>
          <w:szCs w:val="24"/>
          <w:highlight w:val="none"/>
          <w:lang w:val="en-US" w:eastAsia="zh-CN" w:bidi="ar-SA"/>
        </w:rPr>
        <w:t>燃烧废气中颗粒物产生系数参照《乐源牧业</w:t>
      </w:r>
      <w:r>
        <w:rPr>
          <w:rFonts w:hint="eastAsia" w:ascii="Times New Roman" w:hAnsi="Times New Roman" w:cstheme="minorBidi"/>
          <w:bCs/>
          <w:color w:val="auto"/>
          <w:kern w:val="2"/>
          <w:sz w:val="24"/>
          <w:szCs w:val="24"/>
          <w:highlight w:val="none"/>
          <w:lang w:val="en-US" w:eastAsia="zh-CN" w:bidi="ar-SA"/>
        </w:rPr>
        <w:t>平舆</w:t>
      </w:r>
      <w:r>
        <w:rPr>
          <w:rFonts w:hint="eastAsia" w:ascii="Times New Roman" w:hAnsi="Times New Roman" w:eastAsia="宋体" w:cstheme="minorBidi"/>
          <w:bCs/>
          <w:color w:val="auto"/>
          <w:kern w:val="2"/>
          <w:sz w:val="24"/>
          <w:szCs w:val="24"/>
          <w:highlight w:val="none"/>
          <w:lang w:val="en-US" w:eastAsia="zh-CN" w:bidi="ar-SA"/>
        </w:rPr>
        <w:t>万头牧场粪污处理—沼气利用项目竣工环境保护验收监测报告》中沼气燃烧废气监测结果“颗粒物排放浓度为4.8mg/m</w:t>
      </w:r>
      <w:r>
        <w:rPr>
          <w:rFonts w:hint="eastAsia" w:ascii="Times New Roman" w:hAnsi="Times New Roman" w:cstheme="minorBidi"/>
          <w:bCs/>
          <w:color w:val="auto"/>
          <w:kern w:val="2"/>
          <w:sz w:val="24"/>
          <w:szCs w:val="24"/>
          <w:highlight w:val="none"/>
          <w:vertAlign w:val="superscript"/>
          <w:lang w:val="en-US" w:eastAsia="zh-CN" w:bidi="ar-SA"/>
        </w:rPr>
        <w:t>3</w:t>
      </w:r>
      <w:r>
        <w:rPr>
          <w:rFonts w:hint="eastAsia" w:ascii="Times New Roman" w:hAnsi="Times New Roman" w:eastAsia="宋体" w:cstheme="minorBidi"/>
          <w:bCs/>
          <w:color w:val="auto"/>
          <w:kern w:val="2"/>
          <w:sz w:val="24"/>
          <w:szCs w:val="24"/>
          <w:highlight w:val="none"/>
          <w:lang w:val="en-US" w:eastAsia="zh-CN" w:bidi="ar-SA"/>
        </w:rPr>
        <w:t>”，则项目沼气燃烧废气的颗粒物排放浓度为4.8mg/m</w:t>
      </w:r>
      <w:r>
        <w:rPr>
          <w:rFonts w:hint="eastAsia" w:ascii="Times New Roman" w:hAnsi="Times New Roman" w:cstheme="minorBidi"/>
          <w:bCs/>
          <w:color w:val="auto"/>
          <w:kern w:val="2"/>
          <w:sz w:val="24"/>
          <w:szCs w:val="24"/>
          <w:highlight w:val="none"/>
          <w:vertAlign w:val="superscript"/>
          <w:lang w:val="en-US" w:eastAsia="zh-CN" w:bidi="ar-SA"/>
        </w:rPr>
        <w:t>3</w:t>
      </w:r>
      <w:r>
        <w:rPr>
          <w:rFonts w:hint="eastAsia" w:ascii="Times New Roman" w:hAnsi="Times New Roman" w:eastAsia="宋体" w:cstheme="minorBidi"/>
          <w:bCs/>
          <w:color w:val="auto"/>
          <w:kern w:val="2"/>
          <w:sz w:val="24"/>
          <w:szCs w:val="24"/>
          <w:highlight w:val="none"/>
          <w:lang w:val="en-US" w:eastAsia="zh-CN" w:bidi="ar-SA"/>
        </w:rPr>
        <w:t>，排放量为0.0</w:t>
      </w:r>
      <w:r>
        <w:rPr>
          <w:rFonts w:hint="eastAsia" w:cstheme="minorBidi"/>
          <w:bCs/>
          <w:color w:val="auto"/>
          <w:kern w:val="2"/>
          <w:sz w:val="24"/>
          <w:szCs w:val="24"/>
          <w:highlight w:val="none"/>
          <w:lang w:val="en-US" w:eastAsia="zh-CN" w:bidi="ar-SA"/>
        </w:rPr>
        <w:t>0004</w:t>
      </w:r>
      <w:r>
        <w:rPr>
          <w:rFonts w:hint="eastAsia" w:ascii="Times New Roman" w:hAnsi="Times New Roman" w:eastAsia="宋体" w:cstheme="minorBidi"/>
          <w:bCs/>
          <w:color w:val="auto"/>
          <w:kern w:val="2"/>
          <w:sz w:val="24"/>
          <w:szCs w:val="24"/>
          <w:highlight w:val="none"/>
          <w:lang w:val="en-US" w:eastAsia="zh-CN" w:bidi="ar-SA"/>
        </w:rPr>
        <w:t>t/a。</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bCs/>
          <w:color w:val="auto"/>
          <w:sz w:val="24"/>
          <w:highlight w:val="none"/>
        </w:rPr>
      </w:pPr>
      <w:r>
        <w:rPr>
          <w:rFonts w:hint="eastAsia"/>
          <w:bCs/>
          <w:color w:val="auto"/>
          <w:sz w:val="24"/>
          <w:highlight w:val="none"/>
          <w:lang w:eastAsia="zh-CN"/>
        </w:rPr>
        <w:t>沼气锅炉废气</w:t>
      </w:r>
      <w:r>
        <w:rPr>
          <w:bCs/>
          <w:color w:val="auto"/>
          <w:sz w:val="24"/>
          <w:highlight w:val="none"/>
        </w:rPr>
        <w:t>产排污情况见表</w:t>
      </w:r>
      <w:r>
        <w:rPr>
          <w:rFonts w:hint="eastAsia"/>
          <w:bCs/>
          <w:color w:val="auto"/>
          <w:sz w:val="24"/>
          <w:highlight w:val="none"/>
          <w:lang w:val="en-US" w:eastAsia="zh-CN"/>
        </w:rPr>
        <w:t>2.11-6</w:t>
      </w:r>
      <w:r>
        <w:rPr>
          <w:bCs/>
          <w:color w:val="auto"/>
          <w:sz w:val="24"/>
          <w:highlight w:val="none"/>
        </w:rPr>
        <w:t>。</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color w:val="auto"/>
          <w:kern w:val="2"/>
          <w:sz w:val="21"/>
          <w:szCs w:val="24"/>
          <w:highlight w:val="none"/>
          <w:lang w:val="en-US" w:eastAsia="zh-CN" w:bidi="ar-SA"/>
        </w:rPr>
      </w:pPr>
      <w:r>
        <w:rPr>
          <w:rFonts w:hint="eastAsia" w:ascii="Times New Roman" w:hAnsi="Times New Roman" w:eastAsia="宋体" w:cs="Times New Roman"/>
          <w:b/>
          <w:color w:val="auto"/>
          <w:kern w:val="2"/>
          <w:sz w:val="21"/>
          <w:szCs w:val="24"/>
          <w:highlight w:val="none"/>
          <w:lang w:val="en-US" w:eastAsia="zh-CN" w:bidi="ar-SA"/>
        </w:rPr>
        <w:t>表2.1</w:t>
      </w:r>
      <w:r>
        <w:rPr>
          <w:rFonts w:hint="eastAsia" w:cs="Times New Roman"/>
          <w:b/>
          <w:color w:val="auto"/>
          <w:kern w:val="2"/>
          <w:sz w:val="21"/>
          <w:szCs w:val="24"/>
          <w:highlight w:val="none"/>
          <w:lang w:val="en-US" w:eastAsia="zh-CN" w:bidi="ar-SA"/>
        </w:rPr>
        <w:t>1</w:t>
      </w:r>
      <w:r>
        <w:rPr>
          <w:rFonts w:hint="eastAsia" w:ascii="Times New Roman" w:hAnsi="Times New Roman" w:eastAsia="宋体" w:cs="Times New Roman"/>
          <w:b/>
          <w:color w:val="auto"/>
          <w:kern w:val="2"/>
          <w:sz w:val="21"/>
          <w:szCs w:val="24"/>
          <w:highlight w:val="none"/>
          <w:lang w:val="en-US" w:eastAsia="zh-CN" w:bidi="ar-SA"/>
        </w:rPr>
        <w:t>-</w:t>
      </w:r>
      <w:r>
        <w:rPr>
          <w:rFonts w:hint="eastAsia" w:cs="Times New Roman"/>
          <w:b/>
          <w:color w:val="auto"/>
          <w:kern w:val="2"/>
          <w:sz w:val="21"/>
          <w:szCs w:val="24"/>
          <w:highlight w:val="none"/>
          <w:lang w:val="en-US" w:eastAsia="zh-CN" w:bidi="ar-SA"/>
        </w:rPr>
        <w:t>6</w:t>
      </w:r>
      <w:r>
        <w:rPr>
          <w:rFonts w:hint="eastAsia" w:ascii="Times New Roman" w:hAnsi="Times New Roman" w:eastAsia="宋体" w:cs="Times New Roman"/>
          <w:b/>
          <w:color w:val="auto"/>
          <w:kern w:val="2"/>
          <w:sz w:val="21"/>
          <w:szCs w:val="24"/>
          <w:highlight w:val="none"/>
          <w:lang w:val="en-US" w:eastAsia="zh-CN" w:bidi="ar-SA"/>
        </w:rPr>
        <w:t xml:space="preserve"> </w:t>
      </w:r>
      <w:r>
        <w:rPr>
          <w:rFonts w:hint="eastAsia" w:cs="Times New Roman"/>
          <w:b/>
          <w:color w:val="auto"/>
          <w:kern w:val="2"/>
          <w:sz w:val="21"/>
          <w:szCs w:val="24"/>
          <w:highlight w:val="none"/>
          <w:lang w:val="en-US" w:eastAsia="zh-CN" w:bidi="ar-SA"/>
        </w:rPr>
        <w:t>沼气锅炉燃烧</w:t>
      </w:r>
      <w:r>
        <w:rPr>
          <w:rFonts w:hint="eastAsia" w:ascii="Times New Roman" w:hAnsi="Times New Roman" w:eastAsia="宋体" w:cs="Times New Roman"/>
          <w:b/>
          <w:color w:val="auto"/>
          <w:kern w:val="2"/>
          <w:sz w:val="21"/>
          <w:szCs w:val="24"/>
          <w:highlight w:val="none"/>
          <w:lang w:val="en-US" w:eastAsia="zh-CN" w:bidi="ar-SA"/>
        </w:rPr>
        <w:t xml:space="preserve">产排污情况一览表 </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1360"/>
        <w:gridCol w:w="2378"/>
        <w:gridCol w:w="1606"/>
        <w:gridCol w:w="20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2" w:type="pct"/>
            <w:tcBorders>
              <w:tl2br w:val="nil"/>
              <w:tr2bl w:val="nil"/>
            </w:tcBorders>
            <w:noWrap w:val="0"/>
            <w:tcMar>
              <w:left w:w="28" w:type="dxa"/>
              <w:right w:w="28"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耗气量</w:t>
            </w:r>
          </w:p>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w:t>
            </w:r>
            <w:r>
              <w:rPr>
                <w:rFonts w:hint="eastAsia" w:cs="Times New Roman"/>
                <w:b w:val="0"/>
                <w:bCs/>
                <w:color w:val="auto"/>
                <w:sz w:val="21"/>
                <w:szCs w:val="21"/>
                <w:highlight w:val="none"/>
                <w:lang w:val="en-GB" w:eastAsia="en-GB"/>
              </w:rPr>
              <w:t>Nm</w:t>
            </w:r>
            <w:r>
              <w:rPr>
                <w:rFonts w:hint="eastAsia" w:cs="Times New Roman"/>
                <w:b w:val="0"/>
                <w:bCs/>
                <w:color w:val="auto"/>
                <w:sz w:val="21"/>
                <w:szCs w:val="21"/>
                <w:highlight w:val="none"/>
                <w:vertAlign w:val="superscript"/>
                <w:lang w:val="en-GB" w:eastAsia="en-GB"/>
              </w:rPr>
              <w:t>3</w:t>
            </w:r>
            <w:r>
              <w:rPr>
                <w:rFonts w:hint="eastAsia" w:cs="Times New Roman"/>
                <w:b w:val="0"/>
                <w:bCs/>
                <w:color w:val="auto"/>
                <w:sz w:val="21"/>
                <w:szCs w:val="21"/>
                <w:highlight w:val="none"/>
                <w:lang w:val="en-GB" w:eastAsia="en-GB"/>
              </w:rPr>
              <w:t>/a</w:t>
            </w:r>
            <w:r>
              <w:rPr>
                <w:rFonts w:hint="eastAsia" w:cs="Times New Roman"/>
                <w:b w:val="0"/>
                <w:bCs/>
                <w:color w:val="auto"/>
                <w:sz w:val="21"/>
                <w:szCs w:val="21"/>
                <w:highlight w:val="none"/>
              </w:rPr>
              <w:t>）</w:t>
            </w:r>
          </w:p>
        </w:tc>
        <w:tc>
          <w:tcPr>
            <w:tcW w:w="793" w:type="pct"/>
            <w:tcBorders>
              <w:tl2br w:val="nil"/>
              <w:tr2bl w:val="nil"/>
            </w:tcBorders>
            <w:noWrap w:val="0"/>
            <w:tcMar>
              <w:left w:w="28" w:type="dxa"/>
              <w:right w:w="28"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GB"/>
              </w:rPr>
            </w:pPr>
            <w:r>
              <w:rPr>
                <w:rFonts w:hint="eastAsia" w:cs="Times New Roman"/>
                <w:b w:val="0"/>
                <w:bCs/>
                <w:color w:val="auto"/>
                <w:sz w:val="21"/>
                <w:szCs w:val="21"/>
                <w:highlight w:val="none"/>
                <w:lang w:val="en-GB"/>
              </w:rPr>
              <w:t>废气排放量</w:t>
            </w:r>
          </w:p>
          <w:p>
            <w:pPr>
              <w:adjustRightInd w:val="0"/>
              <w:snapToGrid w:val="0"/>
              <w:spacing w:line="240" w:lineRule="auto"/>
              <w:ind w:firstLine="0" w:firstLineChars="0"/>
              <w:jc w:val="center"/>
              <w:rPr>
                <w:rFonts w:hint="eastAsia" w:cs="Times New Roman"/>
                <w:b w:val="0"/>
                <w:bCs/>
                <w:color w:val="auto"/>
                <w:sz w:val="21"/>
                <w:szCs w:val="21"/>
                <w:highlight w:val="none"/>
                <w:lang w:val="en-GB"/>
              </w:rPr>
            </w:pPr>
            <w:r>
              <w:rPr>
                <w:rFonts w:hint="eastAsia" w:cs="Times New Roman"/>
                <w:b w:val="0"/>
                <w:bCs/>
                <w:color w:val="auto"/>
                <w:sz w:val="21"/>
                <w:szCs w:val="21"/>
                <w:highlight w:val="none"/>
                <w:lang w:val="en-GB"/>
              </w:rPr>
              <w:t>（Nm</w:t>
            </w:r>
            <w:r>
              <w:rPr>
                <w:rFonts w:hint="eastAsia" w:cs="Times New Roman"/>
                <w:b w:val="0"/>
                <w:bCs/>
                <w:color w:val="auto"/>
                <w:sz w:val="21"/>
                <w:szCs w:val="21"/>
                <w:highlight w:val="none"/>
                <w:vertAlign w:val="superscript"/>
                <w:lang w:val="en-GB"/>
              </w:rPr>
              <w:t>3</w:t>
            </w:r>
            <w:r>
              <w:rPr>
                <w:rFonts w:hint="eastAsia" w:cs="Times New Roman"/>
                <w:b w:val="0"/>
                <w:bCs/>
                <w:color w:val="auto"/>
                <w:sz w:val="21"/>
                <w:szCs w:val="21"/>
                <w:highlight w:val="none"/>
                <w:lang w:val="en-GB"/>
              </w:rPr>
              <w:t>/a）</w:t>
            </w:r>
          </w:p>
        </w:tc>
        <w:tc>
          <w:tcPr>
            <w:tcW w:w="1387" w:type="pct"/>
            <w:tcBorders>
              <w:tl2br w:val="nil"/>
              <w:tr2bl w:val="nil"/>
            </w:tcBorders>
            <w:noWrap w:val="0"/>
            <w:tcMar>
              <w:left w:w="28" w:type="dxa"/>
              <w:right w:w="28"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GB"/>
              </w:rPr>
            </w:pPr>
            <w:r>
              <w:rPr>
                <w:rFonts w:hint="eastAsia" w:cs="Times New Roman"/>
                <w:b w:val="0"/>
                <w:bCs/>
                <w:color w:val="auto"/>
                <w:sz w:val="21"/>
                <w:szCs w:val="21"/>
                <w:highlight w:val="none"/>
                <w:lang w:val="en-GB"/>
              </w:rPr>
              <w:t>排放浓度（mg/Nm</w:t>
            </w:r>
            <w:r>
              <w:rPr>
                <w:rFonts w:hint="eastAsia" w:cs="Times New Roman"/>
                <w:b w:val="0"/>
                <w:bCs/>
                <w:color w:val="auto"/>
                <w:sz w:val="21"/>
                <w:szCs w:val="21"/>
                <w:highlight w:val="none"/>
                <w:vertAlign w:val="superscript"/>
                <w:lang w:val="en-GB"/>
              </w:rPr>
              <w:t>3</w:t>
            </w:r>
            <w:r>
              <w:rPr>
                <w:rFonts w:hint="eastAsia" w:cs="Times New Roman"/>
                <w:b w:val="0"/>
                <w:bCs/>
                <w:color w:val="auto"/>
                <w:sz w:val="21"/>
                <w:szCs w:val="21"/>
                <w:highlight w:val="none"/>
                <w:lang w:val="en-GB"/>
              </w:rPr>
              <w:t>）</w:t>
            </w:r>
          </w:p>
        </w:tc>
        <w:tc>
          <w:tcPr>
            <w:tcW w:w="937" w:type="pct"/>
            <w:tcBorders>
              <w:tl2br w:val="nil"/>
              <w:tr2bl w:val="nil"/>
            </w:tcBorders>
            <w:noWrap w:val="0"/>
            <w:tcMar>
              <w:left w:w="28" w:type="dxa"/>
              <w:right w:w="28"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排放量</w:t>
            </w:r>
          </w:p>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lang w:val="en-GB" w:eastAsia="en-GB"/>
              </w:rPr>
              <w:t>（</w:t>
            </w:r>
            <w:r>
              <w:rPr>
                <w:rFonts w:hint="eastAsia" w:cs="Times New Roman"/>
                <w:b w:val="0"/>
                <w:bCs/>
                <w:color w:val="auto"/>
                <w:sz w:val="21"/>
                <w:szCs w:val="21"/>
                <w:highlight w:val="none"/>
                <w:lang w:val="en-GB"/>
              </w:rPr>
              <w:t>t</w:t>
            </w:r>
            <w:r>
              <w:rPr>
                <w:rFonts w:hint="eastAsia" w:cs="Times New Roman"/>
                <w:b w:val="0"/>
                <w:bCs/>
                <w:color w:val="auto"/>
                <w:sz w:val="21"/>
                <w:szCs w:val="21"/>
                <w:highlight w:val="none"/>
                <w:lang w:val="en-GB" w:eastAsia="en-GB"/>
              </w:rPr>
              <w:t>/a）</w:t>
            </w:r>
          </w:p>
        </w:tc>
        <w:tc>
          <w:tcPr>
            <w:tcW w:w="1189" w:type="pct"/>
            <w:tcBorders>
              <w:tl2br w:val="nil"/>
              <w:tr2bl w:val="nil"/>
            </w:tcBorders>
            <w:noWrap w:val="0"/>
            <w:tcMar>
              <w:left w:w="28" w:type="dxa"/>
              <w:right w:w="28"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林格曼黑度（级）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2" w:type="pct"/>
            <w:tcBorders>
              <w:tl2br w:val="nil"/>
              <w:tr2bl w:val="nil"/>
            </w:tcBorders>
            <w:noWrap w:val="0"/>
            <w:tcMar>
              <w:left w:w="28" w:type="dxa"/>
              <w:right w:w="28" w:type="dxa"/>
            </w:tcMar>
            <w:vAlign w:val="center"/>
          </w:tcPr>
          <w:p>
            <w:pPr>
              <w:adjustRightInd w:val="0"/>
              <w:snapToGrid w:val="0"/>
              <w:spacing w:line="240" w:lineRule="auto"/>
              <w:ind w:firstLine="0" w:firstLineChars="0"/>
              <w:jc w:val="center"/>
              <w:rPr>
                <w:rFonts w:hint="default"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576</w:t>
            </w:r>
          </w:p>
        </w:tc>
        <w:tc>
          <w:tcPr>
            <w:tcW w:w="793" w:type="pct"/>
            <w:tcBorders>
              <w:tl2br w:val="nil"/>
              <w:tr2bl w:val="nil"/>
            </w:tcBorders>
            <w:noWrap w:val="0"/>
            <w:tcMar>
              <w:left w:w="28" w:type="dxa"/>
              <w:right w:w="28"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ascii="Times New Roman" w:hAnsi="Times New Roman" w:eastAsia="宋体" w:cstheme="minorBidi"/>
                <w:bCs/>
                <w:color w:val="auto"/>
                <w:kern w:val="2"/>
                <w:sz w:val="21"/>
                <w:szCs w:val="21"/>
                <w:highlight w:val="none"/>
                <w:lang w:val="en-US" w:eastAsia="zh-CN" w:bidi="ar-SA"/>
              </w:rPr>
              <w:t>7848.528192</w:t>
            </w:r>
          </w:p>
        </w:tc>
        <w:tc>
          <w:tcPr>
            <w:tcW w:w="1387" w:type="pct"/>
            <w:tcBorders>
              <w:tl2br w:val="nil"/>
              <w:tr2bl w:val="nil"/>
            </w:tcBorders>
            <w:noWrap w:val="0"/>
            <w:tcMar>
              <w:left w:w="28" w:type="dxa"/>
              <w:right w:w="28" w:type="dxa"/>
            </w:tcMar>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rPr>
            </w:pPr>
            <w:r>
              <w:rPr>
                <w:rFonts w:hint="eastAsia" w:cs="Times New Roman"/>
                <w:b w:val="0"/>
                <w:bCs/>
                <w:color w:val="auto"/>
                <w:sz w:val="21"/>
                <w:szCs w:val="21"/>
                <w:highlight w:val="none"/>
              </w:rPr>
              <w:t>SO</w:t>
            </w:r>
            <w:r>
              <w:rPr>
                <w:rFonts w:hint="eastAsia" w:cs="Times New Roman"/>
                <w:b w:val="0"/>
                <w:bCs/>
                <w:color w:val="auto"/>
                <w:sz w:val="21"/>
                <w:szCs w:val="21"/>
                <w:highlight w:val="none"/>
                <w:vertAlign w:val="subscript"/>
              </w:rPr>
              <w:t>2</w:t>
            </w:r>
            <w:r>
              <w:rPr>
                <w:rFonts w:hint="eastAsia" w:cs="Times New Roman"/>
                <w:b w:val="0"/>
                <w:bCs/>
                <w:color w:val="auto"/>
                <w:sz w:val="21"/>
                <w:szCs w:val="21"/>
                <w:highlight w:val="none"/>
                <w:lang w:eastAsia="zh-CN"/>
              </w:rPr>
              <w:t>：</w:t>
            </w:r>
            <w:r>
              <w:rPr>
                <w:rFonts w:hint="eastAsia" w:cs="Times New Roman"/>
                <w:b w:val="0"/>
                <w:bCs/>
                <w:color w:val="auto"/>
                <w:sz w:val="21"/>
                <w:szCs w:val="21"/>
                <w:highlight w:val="none"/>
                <w:lang w:val="en-US" w:eastAsia="zh-CN"/>
              </w:rPr>
              <w:t>2.54</w:t>
            </w:r>
          </w:p>
          <w:p>
            <w:pPr>
              <w:adjustRightInd w:val="0"/>
              <w:snapToGrid w:val="0"/>
              <w:spacing w:line="240" w:lineRule="auto"/>
              <w:ind w:firstLine="0" w:firstLineChars="0"/>
              <w:jc w:val="center"/>
              <w:rPr>
                <w:rFonts w:hint="default" w:cs="Times New Roman"/>
                <w:b w:val="0"/>
                <w:bCs/>
                <w:color w:val="auto"/>
                <w:sz w:val="21"/>
                <w:szCs w:val="21"/>
                <w:highlight w:val="none"/>
                <w:lang w:val="en-US"/>
              </w:rPr>
            </w:pPr>
            <w:r>
              <w:rPr>
                <w:rFonts w:hint="eastAsia" w:cs="Times New Roman"/>
                <w:b w:val="0"/>
                <w:bCs/>
                <w:color w:val="auto"/>
                <w:sz w:val="21"/>
                <w:szCs w:val="21"/>
                <w:highlight w:val="none"/>
              </w:rPr>
              <w:t>NO</w:t>
            </w:r>
            <w:r>
              <w:rPr>
                <w:rFonts w:hint="eastAsia" w:cs="Times New Roman"/>
                <w:b w:val="0"/>
                <w:bCs/>
                <w:color w:val="auto"/>
                <w:sz w:val="21"/>
                <w:szCs w:val="21"/>
                <w:highlight w:val="none"/>
                <w:vertAlign w:val="subscript"/>
                <w:lang w:val="en-US" w:eastAsia="zh-CN"/>
              </w:rPr>
              <w:t>X</w:t>
            </w:r>
            <w:r>
              <w:rPr>
                <w:rFonts w:hint="eastAsia" w:cs="Times New Roman"/>
                <w:b w:val="0"/>
                <w:bCs/>
                <w:color w:val="auto"/>
                <w:sz w:val="21"/>
                <w:szCs w:val="21"/>
                <w:highlight w:val="none"/>
                <w:lang w:eastAsia="zh-CN"/>
              </w:rPr>
              <w:t>：</w:t>
            </w:r>
            <w:r>
              <w:rPr>
                <w:rFonts w:hint="eastAsia" w:cs="Times New Roman"/>
                <w:b w:val="0"/>
                <w:bCs/>
                <w:color w:val="auto"/>
                <w:sz w:val="21"/>
                <w:szCs w:val="21"/>
                <w:highlight w:val="none"/>
                <w:lang w:val="en-US" w:eastAsia="zh-CN"/>
              </w:rPr>
              <w:t>12.74</w:t>
            </w:r>
          </w:p>
          <w:p>
            <w:pPr>
              <w:adjustRightInd w:val="0"/>
              <w:snapToGrid w:val="0"/>
              <w:spacing w:line="240" w:lineRule="auto"/>
              <w:ind w:firstLine="0" w:firstLineChars="0"/>
              <w:jc w:val="center"/>
              <w:rPr>
                <w:rFonts w:hint="default" w:cs="Times New Roman"/>
                <w:b w:val="0"/>
                <w:bCs/>
                <w:color w:val="auto"/>
                <w:sz w:val="21"/>
                <w:szCs w:val="21"/>
                <w:highlight w:val="none"/>
                <w:lang w:val="en-US"/>
              </w:rPr>
            </w:pPr>
            <w:r>
              <w:rPr>
                <w:rFonts w:hint="eastAsia" w:cs="Times New Roman"/>
                <w:b w:val="0"/>
                <w:bCs/>
                <w:color w:val="auto"/>
                <w:sz w:val="21"/>
                <w:szCs w:val="21"/>
                <w:highlight w:val="none"/>
              </w:rPr>
              <w:t>颗粒物</w:t>
            </w:r>
            <w:r>
              <w:rPr>
                <w:rFonts w:hint="eastAsia" w:cs="Times New Roman"/>
                <w:b w:val="0"/>
                <w:bCs/>
                <w:color w:val="auto"/>
                <w:sz w:val="21"/>
                <w:szCs w:val="21"/>
                <w:highlight w:val="none"/>
                <w:lang w:eastAsia="zh-CN"/>
              </w:rPr>
              <w:t>：</w:t>
            </w:r>
            <w:r>
              <w:rPr>
                <w:rFonts w:hint="eastAsia" w:cs="Times New Roman"/>
                <w:b w:val="0"/>
                <w:bCs/>
                <w:color w:val="auto"/>
                <w:sz w:val="21"/>
                <w:szCs w:val="21"/>
                <w:highlight w:val="none"/>
                <w:lang w:val="en-US" w:eastAsia="zh-CN"/>
              </w:rPr>
              <w:t>4.8</w:t>
            </w:r>
          </w:p>
        </w:tc>
        <w:tc>
          <w:tcPr>
            <w:tcW w:w="937" w:type="pct"/>
            <w:tcBorders>
              <w:tl2br w:val="nil"/>
              <w:tr2bl w:val="nil"/>
            </w:tcBorders>
            <w:noWrap w:val="0"/>
            <w:tcMar>
              <w:left w:w="28" w:type="dxa"/>
              <w:right w:w="28"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rPr>
              <w:t>SO</w:t>
            </w:r>
            <w:r>
              <w:rPr>
                <w:rFonts w:hint="eastAsia" w:cs="Times New Roman"/>
                <w:b w:val="0"/>
                <w:bCs/>
                <w:color w:val="auto"/>
                <w:sz w:val="21"/>
                <w:szCs w:val="21"/>
                <w:highlight w:val="none"/>
                <w:vertAlign w:val="subscript"/>
              </w:rPr>
              <w:t>2</w:t>
            </w:r>
            <w:r>
              <w:rPr>
                <w:rFonts w:hint="eastAsia" w:cs="Times New Roman"/>
                <w:b w:val="0"/>
                <w:bCs/>
                <w:color w:val="auto"/>
                <w:sz w:val="21"/>
                <w:szCs w:val="21"/>
                <w:highlight w:val="none"/>
                <w:lang w:eastAsia="zh-CN"/>
              </w:rPr>
              <w:t>：</w:t>
            </w:r>
            <w:r>
              <w:rPr>
                <w:rFonts w:hint="eastAsia" w:cs="Times New Roman"/>
                <w:b w:val="0"/>
                <w:bCs/>
                <w:color w:val="auto"/>
                <w:sz w:val="21"/>
                <w:szCs w:val="21"/>
                <w:highlight w:val="none"/>
                <w:lang w:val="en-US" w:eastAsia="zh-CN"/>
              </w:rPr>
              <w:t>0.00002</w:t>
            </w:r>
          </w:p>
          <w:p>
            <w:pPr>
              <w:adjustRightInd w:val="0"/>
              <w:snapToGrid w:val="0"/>
              <w:spacing w:line="240" w:lineRule="auto"/>
              <w:ind w:firstLine="0" w:firstLineChars="0"/>
              <w:jc w:val="center"/>
              <w:rPr>
                <w:rFonts w:hint="default" w:eastAsia="宋体" w:cs="Times New Roman"/>
                <w:b w:val="0"/>
                <w:bCs/>
                <w:color w:val="auto"/>
                <w:sz w:val="21"/>
                <w:szCs w:val="21"/>
                <w:highlight w:val="none"/>
                <w:lang w:val="en-US" w:eastAsia="zh-CN"/>
              </w:rPr>
            </w:pPr>
            <w:r>
              <w:rPr>
                <w:rFonts w:hint="eastAsia" w:cs="Times New Roman"/>
                <w:b w:val="0"/>
                <w:bCs/>
                <w:color w:val="auto"/>
                <w:sz w:val="21"/>
                <w:szCs w:val="21"/>
                <w:highlight w:val="none"/>
              </w:rPr>
              <w:t>NO</w:t>
            </w:r>
            <w:r>
              <w:rPr>
                <w:rFonts w:hint="eastAsia" w:cs="Times New Roman"/>
                <w:b w:val="0"/>
                <w:bCs/>
                <w:color w:val="auto"/>
                <w:sz w:val="21"/>
                <w:szCs w:val="21"/>
                <w:highlight w:val="none"/>
                <w:vertAlign w:val="subscript"/>
                <w:lang w:val="en-US" w:eastAsia="zh-CN"/>
              </w:rPr>
              <w:t>X</w:t>
            </w:r>
            <w:r>
              <w:rPr>
                <w:rFonts w:hint="eastAsia" w:cs="Times New Roman"/>
                <w:b w:val="0"/>
                <w:bCs/>
                <w:color w:val="auto"/>
                <w:sz w:val="21"/>
                <w:szCs w:val="21"/>
                <w:highlight w:val="none"/>
                <w:lang w:eastAsia="zh-CN"/>
              </w:rPr>
              <w:t>：</w:t>
            </w:r>
            <w:r>
              <w:rPr>
                <w:rFonts w:hint="eastAsia" w:cs="Times New Roman"/>
                <w:b w:val="0"/>
                <w:bCs/>
                <w:color w:val="auto"/>
                <w:sz w:val="21"/>
                <w:szCs w:val="21"/>
                <w:highlight w:val="none"/>
                <w:lang w:val="en-US" w:eastAsia="zh-CN"/>
              </w:rPr>
              <w:t>0.0001</w:t>
            </w:r>
          </w:p>
          <w:p>
            <w:pPr>
              <w:adjustRightInd w:val="0"/>
              <w:snapToGrid w:val="0"/>
              <w:spacing w:line="240" w:lineRule="auto"/>
              <w:ind w:firstLine="0" w:firstLineChars="0"/>
              <w:jc w:val="center"/>
              <w:rPr>
                <w:rFonts w:hint="default" w:eastAsia="宋体" w:cs="Times New Roman"/>
                <w:b w:val="0"/>
                <w:bCs/>
                <w:color w:val="auto"/>
                <w:sz w:val="21"/>
                <w:szCs w:val="21"/>
                <w:highlight w:val="none"/>
                <w:lang w:val="en-US" w:eastAsia="zh-CN"/>
              </w:rPr>
            </w:pPr>
            <w:r>
              <w:rPr>
                <w:rFonts w:hint="eastAsia" w:cs="Times New Roman"/>
                <w:b w:val="0"/>
                <w:bCs/>
                <w:color w:val="auto"/>
                <w:sz w:val="21"/>
                <w:szCs w:val="21"/>
                <w:highlight w:val="none"/>
              </w:rPr>
              <w:t>颗粒物</w:t>
            </w:r>
            <w:r>
              <w:rPr>
                <w:rFonts w:hint="eastAsia" w:cs="Times New Roman"/>
                <w:b w:val="0"/>
                <w:bCs/>
                <w:color w:val="auto"/>
                <w:sz w:val="21"/>
                <w:szCs w:val="21"/>
                <w:highlight w:val="none"/>
                <w:lang w:eastAsia="zh-CN"/>
              </w:rPr>
              <w:t>：</w:t>
            </w:r>
            <w:r>
              <w:rPr>
                <w:rFonts w:hint="eastAsia" w:cs="Times New Roman"/>
                <w:b w:val="0"/>
                <w:bCs/>
                <w:color w:val="auto"/>
                <w:sz w:val="21"/>
                <w:szCs w:val="21"/>
                <w:highlight w:val="none"/>
                <w:lang w:val="en-US" w:eastAsia="zh-CN"/>
              </w:rPr>
              <w:t>0.00004</w:t>
            </w:r>
          </w:p>
        </w:tc>
        <w:tc>
          <w:tcPr>
            <w:tcW w:w="1189" w:type="pct"/>
            <w:tcBorders>
              <w:tl2br w:val="nil"/>
              <w:tr2bl w:val="nil"/>
            </w:tcBorders>
            <w:noWrap w:val="0"/>
            <w:tcMar>
              <w:left w:w="28" w:type="dxa"/>
              <w:right w:w="28" w:type="dxa"/>
            </w:tcMar>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GB"/>
              </w:rPr>
            </w:pPr>
            <w:r>
              <w:rPr>
                <w:rFonts w:hint="default" w:ascii="Times New Roman" w:hAnsi="Times New Roman" w:cs="Times New Roman"/>
                <w:b w:val="0"/>
                <w:bCs/>
                <w:color w:val="auto"/>
                <w:sz w:val="21"/>
                <w:szCs w:val="21"/>
                <w:highlight w:val="none"/>
                <w:lang w:val="en-GB" w:eastAsia="en-GB"/>
              </w:rPr>
              <w:t>Ⅰ</w:t>
            </w:r>
          </w:p>
        </w:tc>
      </w:tr>
    </w:tbl>
    <w:p>
      <w:pPr>
        <w:keepNext w:val="0"/>
        <w:keepLines w:val="0"/>
        <w:pageBreakBefore w:val="0"/>
        <w:kinsoku/>
        <w:wordWrap/>
        <w:overflowPunct/>
        <w:topLinePunct w:val="0"/>
        <w:autoSpaceDE/>
        <w:autoSpaceDN/>
        <w:bidi w:val="0"/>
        <w:adjustRightInd/>
        <w:snapToGrid/>
        <w:spacing w:line="360" w:lineRule="auto"/>
        <w:ind w:firstLine="480"/>
        <w:textAlignment w:val="auto"/>
        <w:rPr>
          <w:color w:val="auto"/>
          <w:kern w:val="0"/>
          <w:highlight w:val="none"/>
        </w:rPr>
      </w:pPr>
      <w:r>
        <w:rPr>
          <w:rFonts w:hint="eastAsia"/>
          <w:color w:val="auto"/>
          <w:kern w:val="0"/>
          <w:highlight w:val="none"/>
          <w:lang w:val="en-US" w:eastAsia="zh-CN"/>
        </w:rPr>
        <w:t>5、</w:t>
      </w:r>
      <w:r>
        <w:rPr>
          <w:rFonts w:hint="eastAsia"/>
          <w:color w:val="auto"/>
          <w:kern w:val="0"/>
          <w:highlight w:val="none"/>
        </w:rPr>
        <w:t>食堂油烟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 w:val="0"/>
          <w:bCs w:val="0"/>
          <w:color w:val="auto"/>
          <w:sz w:val="24"/>
          <w:szCs w:val="22"/>
          <w:highlight w:val="none"/>
          <w:u w:val="none"/>
        </w:rPr>
      </w:pPr>
      <w:r>
        <w:rPr>
          <w:rFonts w:hint="eastAsia"/>
          <w:color w:val="auto"/>
          <w:kern w:val="0"/>
          <w:highlight w:val="none"/>
        </w:rPr>
        <w:t>项目设置食堂，使用沼气作为日常餐饮烹饪的能源，厨房在烹饪炒作时将产生厨房油烟废气污染。</w:t>
      </w:r>
      <w:r>
        <w:rPr>
          <w:color w:val="auto"/>
          <w:kern w:val="0"/>
          <w:highlight w:val="none"/>
        </w:rPr>
        <w:t>项目</w:t>
      </w:r>
      <w:r>
        <w:rPr>
          <w:rFonts w:hint="eastAsia"/>
          <w:color w:val="auto"/>
          <w:kern w:val="0"/>
          <w:highlight w:val="none"/>
          <w:lang w:eastAsia="zh-CN"/>
        </w:rPr>
        <w:t>劳动定员</w:t>
      </w:r>
      <w:r>
        <w:rPr>
          <w:rFonts w:hint="eastAsia"/>
          <w:color w:val="auto"/>
          <w:kern w:val="0"/>
          <w:highlight w:val="none"/>
          <w:lang w:val="en-US" w:eastAsia="zh-CN"/>
        </w:rPr>
        <w:t>96</w:t>
      </w:r>
      <w:r>
        <w:rPr>
          <w:color w:val="auto"/>
          <w:kern w:val="0"/>
          <w:highlight w:val="none"/>
        </w:rPr>
        <w:t>人，</w:t>
      </w:r>
      <w:r>
        <w:rPr>
          <w:rFonts w:hint="eastAsia"/>
          <w:color w:val="auto"/>
          <w:kern w:val="0"/>
          <w:highlight w:val="none"/>
        </w:rPr>
        <w:t>食堂每天供应三餐，类比牧原食品股份有限公司其它猪场食堂食用油用量的一般情况</w:t>
      </w:r>
      <w:r>
        <w:rPr>
          <w:color w:val="auto"/>
          <w:kern w:val="0"/>
          <w:highlight w:val="none"/>
        </w:rPr>
        <w:t>，</w:t>
      </w:r>
      <w:r>
        <w:rPr>
          <w:rFonts w:hint="eastAsia"/>
          <w:color w:val="auto"/>
          <w:kern w:val="0"/>
          <w:highlight w:val="none"/>
        </w:rPr>
        <w:t>人均食用油日用量</w:t>
      </w:r>
      <w:r>
        <w:rPr>
          <w:rFonts w:hint="eastAsia"/>
          <w:color w:val="auto"/>
          <w:kern w:val="0"/>
          <w:highlight w:val="none"/>
          <w:lang w:eastAsia="zh-CN"/>
        </w:rPr>
        <w:t>以</w:t>
      </w:r>
      <w:r>
        <w:rPr>
          <w:rFonts w:ascii="Times New Roman" w:hAnsi="Times New Roman" w:cs="Times New Roman"/>
          <w:b w:val="0"/>
          <w:bCs w:val="0"/>
          <w:color w:val="auto"/>
          <w:sz w:val="24"/>
          <w:szCs w:val="22"/>
          <w:highlight w:val="none"/>
          <w:u w:val="none"/>
        </w:rPr>
        <w:t>25g/d计，年消耗食用油</w:t>
      </w:r>
      <w:r>
        <w:rPr>
          <w:rFonts w:hint="eastAsia" w:cs="Times New Roman"/>
          <w:b w:val="0"/>
          <w:bCs w:val="0"/>
          <w:color w:val="auto"/>
          <w:sz w:val="24"/>
          <w:szCs w:val="22"/>
          <w:highlight w:val="none"/>
          <w:u w:val="none"/>
          <w:lang w:val="en-US" w:eastAsia="zh-CN"/>
        </w:rPr>
        <w:t>2.4</w:t>
      </w:r>
      <w:r>
        <w:rPr>
          <w:rFonts w:ascii="Times New Roman" w:hAnsi="Times New Roman" w:cs="Times New Roman"/>
          <w:b w:val="0"/>
          <w:bCs w:val="0"/>
          <w:color w:val="auto"/>
          <w:sz w:val="24"/>
          <w:szCs w:val="22"/>
          <w:highlight w:val="none"/>
          <w:u w:val="none"/>
        </w:rPr>
        <w:t>kg/d、0.</w:t>
      </w:r>
      <w:r>
        <w:rPr>
          <w:rFonts w:hint="eastAsia" w:cs="Times New Roman"/>
          <w:b w:val="0"/>
          <w:bCs w:val="0"/>
          <w:color w:val="auto"/>
          <w:sz w:val="24"/>
          <w:szCs w:val="22"/>
          <w:highlight w:val="none"/>
          <w:u w:val="none"/>
          <w:lang w:val="en-US" w:eastAsia="zh-CN"/>
        </w:rPr>
        <w:t>876</w:t>
      </w:r>
      <w:r>
        <w:rPr>
          <w:rFonts w:ascii="Times New Roman" w:hAnsi="Times New Roman" w:cs="Times New Roman"/>
          <w:b w:val="0"/>
          <w:bCs w:val="0"/>
          <w:color w:val="auto"/>
          <w:sz w:val="24"/>
          <w:szCs w:val="22"/>
          <w:highlight w:val="none"/>
          <w:u w:val="none"/>
        </w:rPr>
        <w:t>t/a，做饭时挥发损失约3%，则厨房油烟产生量约0.0</w:t>
      </w:r>
      <w:r>
        <w:rPr>
          <w:rFonts w:hint="eastAsia" w:cs="Times New Roman"/>
          <w:b w:val="0"/>
          <w:bCs w:val="0"/>
          <w:color w:val="auto"/>
          <w:sz w:val="24"/>
          <w:szCs w:val="22"/>
          <w:highlight w:val="none"/>
          <w:u w:val="none"/>
          <w:lang w:val="en-US" w:eastAsia="zh-CN"/>
        </w:rPr>
        <w:t>72</w:t>
      </w:r>
      <w:r>
        <w:rPr>
          <w:rFonts w:ascii="Times New Roman" w:hAnsi="Times New Roman" w:cs="Times New Roman"/>
          <w:b w:val="0"/>
          <w:bCs w:val="0"/>
          <w:color w:val="auto"/>
          <w:sz w:val="24"/>
          <w:szCs w:val="22"/>
          <w:highlight w:val="none"/>
          <w:u w:val="none"/>
        </w:rPr>
        <w:t>kg/d、0.</w:t>
      </w:r>
      <w:r>
        <w:rPr>
          <w:rFonts w:hint="eastAsia" w:cs="Times New Roman"/>
          <w:b w:val="0"/>
          <w:bCs w:val="0"/>
          <w:color w:val="auto"/>
          <w:sz w:val="24"/>
          <w:szCs w:val="22"/>
          <w:highlight w:val="none"/>
          <w:u w:val="none"/>
          <w:lang w:val="en-US" w:eastAsia="zh-CN"/>
        </w:rPr>
        <w:t>026</w:t>
      </w:r>
      <w:r>
        <w:rPr>
          <w:rFonts w:ascii="Times New Roman" w:hAnsi="Times New Roman" w:cs="Times New Roman"/>
          <w:b w:val="0"/>
          <w:bCs w:val="0"/>
          <w:color w:val="auto"/>
          <w:sz w:val="24"/>
          <w:szCs w:val="22"/>
          <w:highlight w:val="none"/>
          <w:u w:val="none"/>
        </w:rPr>
        <w:t>t/a。项目废气量为</w:t>
      </w:r>
      <w:r>
        <w:rPr>
          <w:rFonts w:hint="eastAsia" w:cs="Times New Roman"/>
          <w:b w:val="0"/>
          <w:bCs w:val="0"/>
          <w:color w:val="auto"/>
          <w:sz w:val="24"/>
          <w:szCs w:val="22"/>
          <w:highlight w:val="none"/>
          <w:u w:val="none"/>
          <w:lang w:val="en-US" w:eastAsia="zh-CN"/>
        </w:rPr>
        <w:t>3</w:t>
      </w:r>
      <w:r>
        <w:rPr>
          <w:rFonts w:ascii="Times New Roman" w:hAnsi="Times New Roman" w:cs="Times New Roman"/>
          <w:b w:val="0"/>
          <w:bCs w:val="0"/>
          <w:color w:val="auto"/>
          <w:sz w:val="24"/>
          <w:szCs w:val="22"/>
          <w:highlight w:val="none"/>
          <w:u w:val="none"/>
        </w:rPr>
        <w:t>000m</w:t>
      </w:r>
      <w:r>
        <w:rPr>
          <w:rFonts w:ascii="Times New Roman" w:hAnsi="Times New Roman" w:cs="Times New Roman"/>
          <w:b w:val="0"/>
          <w:bCs w:val="0"/>
          <w:color w:val="auto"/>
          <w:sz w:val="24"/>
          <w:szCs w:val="22"/>
          <w:highlight w:val="none"/>
          <w:u w:val="none"/>
          <w:vertAlign w:val="superscript"/>
        </w:rPr>
        <w:t>3</w:t>
      </w:r>
      <w:r>
        <w:rPr>
          <w:rFonts w:ascii="Times New Roman" w:hAnsi="Times New Roman" w:cs="Times New Roman"/>
          <w:b w:val="0"/>
          <w:bCs w:val="0"/>
          <w:color w:val="auto"/>
          <w:sz w:val="24"/>
          <w:szCs w:val="22"/>
          <w:highlight w:val="none"/>
          <w:u w:val="none"/>
        </w:rPr>
        <w:t>/h，每天运行4h，则油烟产生浓度为</w:t>
      </w:r>
      <w:r>
        <w:rPr>
          <w:rFonts w:hint="eastAsia" w:cs="Times New Roman"/>
          <w:b w:val="0"/>
          <w:bCs w:val="0"/>
          <w:color w:val="auto"/>
          <w:sz w:val="24"/>
          <w:szCs w:val="22"/>
          <w:highlight w:val="none"/>
          <w:u w:val="none"/>
          <w:lang w:val="en-US" w:eastAsia="zh-CN"/>
        </w:rPr>
        <w:t>5.9</w:t>
      </w:r>
      <w:r>
        <w:rPr>
          <w:rFonts w:ascii="Times New Roman" w:hAnsi="Times New Roman" w:cs="Times New Roman"/>
          <w:b w:val="0"/>
          <w:bCs w:val="0"/>
          <w:color w:val="auto"/>
          <w:sz w:val="24"/>
          <w:szCs w:val="22"/>
          <w:highlight w:val="none"/>
          <w:u w:val="none"/>
        </w:rPr>
        <w:t>mg/m</w:t>
      </w:r>
      <w:r>
        <w:rPr>
          <w:rFonts w:ascii="Times New Roman" w:hAnsi="Times New Roman" w:cs="Times New Roman"/>
          <w:b w:val="0"/>
          <w:bCs w:val="0"/>
          <w:color w:val="auto"/>
          <w:sz w:val="24"/>
          <w:szCs w:val="22"/>
          <w:highlight w:val="none"/>
          <w:u w:val="none"/>
          <w:vertAlign w:val="superscript"/>
        </w:rPr>
        <w:t>3</w:t>
      </w:r>
      <w:r>
        <w:rPr>
          <w:rFonts w:ascii="Times New Roman" w:hAnsi="Times New Roman" w:cs="Times New Roman"/>
          <w:b w:val="0"/>
          <w:bCs w:val="0"/>
          <w:color w:val="auto"/>
          <w:sz w:val="24"/>
          <w:szCs w:val="22"/>
          <w:highlight w:val="none"/>
          <w:u w:val="none"/>
        </w:rPr>
        <w:t>，建设单位安装净化效率不低于90%的油烟净化装置，经处理后排放。经计算，处理后餐厅油烟年排放量为0</w:t>
      </w:r>
      <w:r>
        <w:rPr>
          <w:rFonts w:hint="eastAsia" w:cs="Times New Roman"/>
          <w:b w:val="0"/>
          <w:bCs w:val="0"/>
          <w:color w:val="auto"/>
          <w:sz w:val="24"/>
          <w:szCs w:val="22"/>
          <w:highlight w:val="none"/>
          <w:u w:val="none"/>
          <w:lang w:val="en-US" w:eastAsia="zh-CN"/>
        </w:rPr>
        <w:t>.0026</w:t>
      </w:r>
      <w:r>
        <w:rPr>
          <w:rFonts w:ascii="Times New Roman" w:hAnsi="Times New Roman" w:cs="Times New Roman"/>
          <w:b w:val="0"/>
          <w:bCs w:val="0"/>
          <w:color w:val="auto"/>
          <w:sz w:val="24"/>
          <w:szCs w:val="22"/>
          <w:highlight w:val="none"/>
          <w:u w:val="none"/>
        </w:rPr>
        <w:t>t/a，排放浓度为</w:t>
      </w:r>
      <w:r>
        <w:rPr>
          <w:rFonts w:hint="eastAsia" w:cs="Times New Roman"/>
          <w:b w:val="0"/>
          <w:bCs w:val="0"/>
          <w:color w:val="auto"/>
          <w:sz w:val="24"/>
          <w:szCs w:val="22"/>
          <w:highlight w:val="none"/>
          <w:u w:val="none"/>
          <w:lang w:val="en-US" w:eastAsia="zh-CN"/>
        </w:rPr>
        <w:t>0.59</w:t>
      </w:r>
      <w:r>
        <w:rPr>
          <w:rFonts w:ascii="Times New Roman" w:hAnsi="Times New Roman" w:cs="Times New Roman"/>
          <w:b w:val="0"/>
          <w:bCs w:val="0"/>
          <w:color w:val="auto"/>
          <w:sz w:val="24"/>
          <w:szCs w:val="22"/>
          <w:highlight w:val="none"/>
          <w:u w:val="none"/>
        </w:rPr>
        <w:t>mg/m</w:t>
      </w:r>
      <w:r>
        <w:rPr>
          <w:rFonts w:ascii="Times New Roman" w:hAnsi="Times New Roman" w:cs="Times New Roman"/>
          <w:b w:val="0"/>
          <w:bCs w:val="0"/>
          <w:color w:val="auto"/>
          <w:sz w:val="24"/>
          <w:szCs w:val="22"/>
          <w:highlight w:val="none"/>
          <w:u w:val="none"/>
          <w:vertAlign w:val="superscript"/>
        </w:rPr>
        <w:t>3</w:t>
      </w:r>
      <w:r>
        <w:rPr>
          <w:rFonts w:ascii="Times New Roman" w:hAnsi="Times New Roman" w:cs="Times New Roman"/>
          <w:b w:val="0"/>
          <w:bCs w:val="0"/>
          <w:color w:val="auto"/>
          <w:sz w:val="24"/>
          <w:szCs w:val="22"/>
          <w:highlight w:val="none"/>
          <w:u w:val="none"/>
        </w:rPr>
        <w:t>，能够满足《餐饮业油烟污染物排放标准》(DB41/1604</w:t>
      </w:r>
      <w:r>
        <w:rPr>
          <w:rFonts w:hint="eastAsia" w:ascii="Times New Roman" w:hAnsi="Times New Roman" w:cs="Times New Roman"/>
          <w:b w:val="0"/>
          <w:bCs w:val="0"/>
          <w:color w:val="auto"/>
          <w:sz w:val="24"/>
          <w:szCs w:val="22"/>
          <w:highlight w:val="none"/>
          <w:u w:val="none"/>
          <w:lang w:val="en-US" w:eastAsia="zh-CN"/>
        </w:rPr>
        <w:t>-</w:t>
      </w:r>
      <w:r>
        <w:rPr>
          <w:rFonts w:ascii="Times New Roman" w:hAnsi="Times New Roman" w:cs="Times New Roman"/>
          <w:b w:val="0"/>
          <w:bCs w:val="0"/>
          <w:color w:val="auto"/>
          <w:sz w:val="24"/>
          <w:szCs w:val="22"/>
          <w:highlight w:val="none"/>
          <w:u w:val="none"/>
        </w:rPr>
        <w:t>2018)规定限值油烟1.5mg/m</w:t>
      </w:r>
      <w:r>
        <w:rPr>
          <w:rFonts w:ascii="Times New Roman" w:hAnsi="Times New Roman" w:cs="Times New Roman"/>
          <w:b w:val="0"/>
          <w:bCs w:val="0"/>
          <w:color w:val="auto"/>
          <w:sz w:val="24"/>
          <w:szCs w:val="22"/>
          <w:highlight w:val="none"/>
          <w:u w:val="none"/>
          <w:vertAlign w:val="superscript"/>
        </w:rPr>
        <w:t>3</w:t>
      </w:r>
      <w:r>
        <w:rPr>
          <w:rFonts w:ascii="Times New Roman" w:hAnsi="Times New Roman" w:cs="Times New Roman"/>
          <w:b w:val="0"/>
          <w:bCs w:val="0"/>
          <w:color w:val="auto"/>
          <w:sz w:val="24"/>
          <w:szCs w:val="22"/>
          <w:highlight w:val="none"/>
          <w:u w:val="none"/>
        </w:rPr>
        <w:t>要求，实现达标排放。</w:t>
      </w:r>
    </w:p>
    <w:p>
      <w:pPr>
        <w:outlineLvl w:val="9"/>
        <w:rPr>
          <w:rFonts w:hint="eastAsia"/>
          <w:color w:val="auto"/>
          <w:highlight w:val="none"/>
          <w:lang w:val="en-US" w:eastAsia="zh-CN"/>
        </w:rPr>
      </w:pPr>
      <w:r>
        <w:rPr>
          <w:rFonts w:hint="eastAsia"/>
          <w:color w:val="auto"/>
          <w:highlight w:val="none"/>
          <w:lang w:val="en-US" w:eastAsia="zh-CN"/>
        </w:rPr>
        <w:t>6、火炬燃烧废气</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heme="minorBidi"/>
          <w:bCs/>
          <w:color w:val="auto"/>
          <w:kern w:val="2"/>
          <w:sz w:val="24"/>
          <w:szCs w:val="24"/>
          <w:highlight w:val="none"/>
          <w:lang w:val="en-US" w:eastAsia="zh-CN" w:bidi="ar-SA"/>
        </w:rPr>
      </w:pPr>
      <w:r>
        <w:rPr>
          <w:rFonts w:hint="eastAsia" w:ascii="Times New Roman" w:hAnsi="Times New Roman" w:eastAsia="宋体" w:cstheme="minorBidi"/>
          <w:bCs/>
          <w:color w:val="auto"/>
          <w:kern w:val="2"/>
          <w:sz w:val="24"/>
          <w:szCs w:val="24"/>
          <w:highlight w:val="none"/>
          <w:lang w:val="en-US" w:eastAsia="zh-CN" w:bidi="ar-SA"/>
        </w:rPr>
        <w:t>项目产生的沼气通过气水分离、脱硫后H</w:t>
      </w:r>
      <w:r>
        <w:rPr>
          <w:rFonts w:hint="eastAsia" w:ascii="Times New Roman" w:hAnsi="Times New Roman" w:eastAsia="宋体" w:cstheme="minorBidi"/>
          <w:bCs/>
          <w:color w:val="auto"/>
          <w:kern w:val="2"/>
          <w:sz w:val="24"/>
          <w:szCs w:val="24"/>
          <w:highlight w:val="none"/>
          <w:vertAlign w:val="subscript"/>
          <w:lang w:val="en-US" w:eastAsia="zh-CN" w:bidi="ar-SA"/>
        </w:rPr>
        <w:t>2</w:t>
      </w:r>
      <w:r>
        <w:rPr>
          <w:rFonts w:hint="eastAsia" w:ascii="Times New Roman" w:hAnsi="Times New Roman" w:eastAsia="宋体" w:cstheme="minorBidi"/>
          <w:bCs/>
          <w:color w:val="auto"/>
          <w:kern w:val="2"/>
          <w:sz w:val="24"/>
          <w:szCs w:val="24"/>
          <w:highlight w:val="none"/>
          <w:lang w:val="en-US" w:eastAsia="zh-CN" w:bidi="ar-SA"/>
        </w:rPr>
        <w:t>S含量≤20mg/m</w:t>
      </w:r>
      <w:r>
        <w:rPr>
          <w:rFonts w:hint="eastAsia" w:ascii="Times New Roman" w:hAnsi="Times New Roman" w:eastAsia="宋体" w:cstheme="minorBidi"/>
          <w:bCs/>
          <w:color w:val="auto"/>
          <w:kern w:val="2"/>
          <w:sz w:val="24"/>
          <w:szCs w:val="24"/>
          <w:highlight w:val="none"/>
          <w:vertAlign w:val="superscript"/>
          <w:lang w:val="en-US" w:eastAsia="zh-CN" w:bidi="ar-SA"/>
        </w:rPr>
        <w:t>3</w:t>
      </w:r>
      <w:r>
        <w:rPr>
          <w:rFonts w:hint="eastAsia" w:ascii="Times New Roman" w:hAnsi="Times New Roman" w:eastAsia="宋体" w:cstheme="minorBidi"/>
          <w:bCs/>
          <w:color w:val="auto"/>
          <w:kern w:val="2"/>
          <w:sz w:val="24"/>
          <w:szCs w:val="24"/>
          <w:highlight w:val="none"/>
          <w:lang w:val="en-US" w:eastAsia="zh-CN" w:bidi="ar-SA"/>
        </w:rPr>
        <w:t>，用于食堂灶台燃料</w:t>
      </w:r>
      <w:r>
        <w:rPr>
          <w:rFonts w:hint="eastAsia" w:cstheme="minorBidi"/>
          <w:bCs/>
          <w:color w:val="auto"/>
          <w:kern w:val="2"/>
          <w:sz w:val="24"/>
          <w:szCs w:val="24"/>
          <w:highlight w:val="none"/>
          <w:lang w:val="en-US" w:eastAsia="zh-CN" w:bidi="ar-SA"/>
        </w:rPr>
        <w:t>和</w:t>
      </w:r>
      <w:r>
        <w:rPr>
          <w:rFonts w:hint="eastAsia" w:ascii="Times New Roman" w:hAnsi="Times New Roman" w:cstheme="minorBidi"/>
          <w:bCs/>
          <w:color w:val="auto"/>
          <w:kern w:val="2"/>
          <w:sz w:val="24"/>
          <w:szCs w:val="24"/>
          <w:highlight w:val="none"/>
          <w:lang w:val="en-US" w:eastAsia="zh-CN" w:bidi="ar-SA"/>
        </w:rPr>
        <w:t>无害化处理车间</w:t>
      </w:r>
      <w:r>
        <w:rPr>
          <w:rFonts w:hint="eastAsia" w:ascii="Times New Roman" w:hAnsi="Times New Roman" w:eastAsia="宋体" w:cstheme="minorBidi"/>
          <w:bCs/>
          <w:color w:val="auto"/>
          <w:kern w:val="2"/>
          <w:sz w:val="24"/>
          <w:szCs w:val="24"/>
          <w:highlight w:val="none"/>
          <w:lang w:val="en-US" w:eastAsia="zh-CN" w:bidi="ar-SA"/>
        </w:rPr>
        <w:t>，多余部分</w:t>
      </w:r>
      <w:r>
        <w:rPr>
          <w:rFonts w:hint="eastAsia" w:ascii="Times New Roman" w:hAnsi="Times New Roman" w:cstheme="minorBidi"/>
          <w:bCs/>
          <w:color w:val="auto"/>
          <w:kern w:val="2"/>
          <w:sz w:val="24"/>
          <w:szCs w:val="24"/>
          <w:highlight w:val="none"/>
          <w:lang w:val="en-US" w:eastAsia="zh-CN" w:bidi="ar-SA"/>
        </w:rPr>
        <w:t>用于</w:t>
      </w:r>
      <w:r>
        <w:rPr>
          <w:rFonts w:hint="eastAsia" w:cstheme="minorBidi"/>
          <w:bCs/>
          <w:color w:val="auto"/>
          <w:kern w:val="2"/>
          <w:sz w:val="24"/>
          <w:szCs w:val="24"/>
          <w:highlight w:val="none"/>
          <w:lang w:val="en-US" w:eastAsia="zh-CN" w:bidi="ar-SA"/>
        </w:rPr>
        <w:t>火炬燃烧</w:t>
      </w:r>
      <w:r>
        <w:rPr>
          <w:rFonts w:hint="eastAsia" w:ascii="Times New Roman" w:hAnsi="Times New Roman" w:eastAsia="宋体" w:cstheme="minorBidi"/>
          <w:bCs/>
          <w:color w:val="auto"/>
          <w:kern w:val="2"/>
          <w:sz w:val="24"/>
          <w:szCs w:val="24"/>
          <w:highlight w:val="none"/>
          <w:lang w:val="en-US" w:eastAsia="zh-CN" w:bidi="ar-SA"/>
        </w:rPr>
        <w:t>。</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heme="minorBidi"/>
          <w:bCs/>
          <w:color w:val="auto"/>
          <w:kern w:val="2"/>
          <w:sz w:val="24"/>
          <w:szCs w:val="24"/>
          <w:highlight w:val="none"/>
          <w:lang w:val="en-US" w:eastAsia="zh-CN" w:bidi="ar-SA"/>
        </w:rPr>
      </w:pPr>
      <w:r>
        <w:rPr>
          <w:rFonts w:hint="eastAsia" w:ascii="Times New Roman" w:hAnsi="Times New Roman" w:eastAsia="宋体" w:cstheme="minorBidi"/>
          <w:bCs/>
          <w:color w:val="auto"/>
          <w:kern w:val="2"/>
          <w:sz w:val="24"/>
          <w:szCs w:val="24"/>
          <w:highlight w:val="none"/>
          <w:lang w:val="en-US" w:eastAsia="zh-CN" w:bidi="ar-SA"/>
        </w:rPr>
        <w:t>沼气是清洁能源，燃烧后主要为CO</w:t>
      </w:r>
      <w:r>
        <w:rPr>
          <w:rFonts w:hint="eastAsia" w:ascii="Times New Roman" w:hAnsi="Times New Roman" w:eastAsia="宋体" w:cstheme="minorBidi"/>
          <w:bCs/>
          <w:color w:val="auto"/>
          <w:kern w:val="2"/>
          <w:sz w:val="24"/>
          <w:szCs w:val="24"/>
          <w:highlight w:val="none"/>
          <w:vertAlign w:val="subscript"/>
          <w:lang w:val="en-US" w:eastAsia="zh-CN" w:bidi="ar-SA"/>
        </w:rPr>
        <w:t>2</w:t>
      </w:r>
      <w:r>
        <w:rPr>
          <w:rFonts w:hint="eastAsia" w:ascii="Times New Roman" w:hAnsi="Times New Roman" w:eastAsia="宋体" w:cstheme="minorBidi"/>
          <w:bCs/>
          <w:color w:val="auto"/>
          <w:kern w:val="2"/>
          <w:sz w:val="24"/>
          <w:szCs w:val="24"/>
          <w:highlight w:val="none"/>
          <w:lang w:val="en-US" w:eastAsia="zh-CN" w:bidi="ar-SA"/>
        </w:rPr>
        <w:t>和H</w:t>
      </w:r>
      <w:r>
        <w:rPr>
          <w:rFonts w:hint="eastAsia" w:ascii="Times New Roman" w:hAnsi="Times New Roman" w:eastAsia="宋体" w:cstheme="minorBidi"/>
          <w:bCs/>
          <w:color w:val="auto"/>
          <w:kern w:val="2"/>
          <w:sz w:val="24"/>
          <w:szCs w:val="24"/>
          <w:highlight w:val="none"/>
          <w:vertAlign w:val="subscript"/>
          <w:lang w:val="en-US" w:eastAsia="zh-CN" w:bidi="ar-SA"/>
        </w:rPr>
        <w:t>2</w:t>
      </w:r>
      <w:r>
        <w:rPr>
          <w:rFonts w:hint="eastAsia" w:ascii="Times New Roman" w:hAnsi="Times New Roman" w:eastAsia="宋体" w:cstheme="minorBidi"/>
          <w:bCs/>
          <w:color w:val="auto"/>
          <w:kern w:val="2"/>
          <w:sz w:val="24"/>
          <w:szCs w:val="24"/>
          <w:highlight w:val="none"/>
          <w:lang w:val="en-US" w:eastAsia="zh-CN" w:bidi="ar-SA"/>
        </w:rPr>
        <w:t>O，但沼气中含有少量的H</w:t>
      </w:r>
      <w:r>
        <w:rPr>
          <w:rFonts w:hint="eastAsia" w:ascii="Times New Roman" w:hAnsi="Times New Roman" w:eastAsia="宋体" w:cstheme="minorBidi"/>
          <w:bCs/>
          <w:color w:val="auto"/>
          <w:kern w:val="2"/>
          <w:sz w:val="24"/>
          <w:szCs w:val="24"/>
          <w:highlight w:val="none"/>
          <w:vertAlign w:val="subscript"/>
          <w:lang w:val="en-US" w:eastAsia="zh-CN" w:bidi="ar-SA"/>
        </w:rPr>
        <w:t>2</w:t>
      </w:r>
      <w:r>
        <w:rPr>
          <w:rFonts w:hint="eastAsia" w:ascii="Times New Roman" w:hAnsi="Times New Roman" w:eastAsia="宋体" w:cstheme="minorBidi"/>
          <w:bCs/>
          <w:color w:val="auto"/>
          <w:kern w:val="2"/>
          <w:sz w:val="24"/>
          <w:szCs w:val="24"/>
          <w:highlight w:val="none"/>
          <w:lang w:val="en-US" w:eastAsia="zh-CN" w:bidi="ar-SA"/>
        </w:rPr>
        <w:t>S成分，H</w:t>
      </w:r>
      <w:r>
        <w:rPr>
          <w:rFonts w:hint="eastAsia" w:ascii="Times New Roman" w:hAnsi="Times New Roman" w:eastAsia="宋体" w:cstheme="minorBidi"/>
          <w:bCs/>
          <w:color w:val="auto"/>
          <w:kern w:val="2"/>
          <w:sz w:val="24"/>
          <w:szCs w:val="24"/>
          <w:highlight w:val="none"/>
          <w:vertAlign w:val="subscript"/>
          <w:lang w:val="en-US" w:eastAsia="zh-CN" w:bidi="ar-SA"/>
        </w:rPr>
        <w:t>2</w:t>
      </w:r>
      <w:r>
        <w:rPr>
          <w:rFonts w:hint="eastAsia" w:ascii="Times New Roman" w:hAnsi="Times New Roman" w:eastAsia="宋体" w:cstheme="minorBidi"/>
          <w:bCs/>
          <w:color w:val="auto"/>
          <w:kern w:val="2"/>
          <w:sz w:val="24"/>
          <w:szCs w:val="24"/>
          <w:highlight w:val="none"/>
          <w:lang w:val="en-US" w:eastAsia="zh-CN" w:bidi="ar-SA"/>
        </w:rPr>
        <w:t>S燃烧会产生一定量的SO</w:t>
      </w:r>
      <w:r>
        <w:rPr>
          <w:rFonts w:hint="eastAsia" w:ascii="Times New Roman" w:hAnsi="Times New Roman" w:eastAsia="宋体" w:cstheme="minorBidi"/>
          <w:bCs/>
          <w:color w:val="auto"/>
          <w:kern w:val="2"/>
          <w:sz w:val="24"/>
          <w:szCs w:val="24"/>
          <w:highlight w:val="none"/>
          <w:vertAlign w:val="subscript"/>
          <w:lang w:val="en-US" w:eastAsia="zh-CN" w:bidi="ar-SA"/>
        </w:rPr>
        <w:t>2</w:t>
      </w:r>
      <w:r>
        <w:rPr>
          <w:rFonts w:hint="eastAsia" w:ascii="Times New Roman" w:hAnsi="Times New Roman" w:eastAsia="宋体" w:cstheme="minorBidi"/>
          <w:bCs/>
          <w:color w:val="auto"/>
          <w:kern w:val="2"/>
          <w:sz w:val="24"/>
          <w:szCs w:val="24"/>
          <w:highlight w:val="none"/>
          <w:lang w:val="en-US" w:eastAsia="zh-CN" w:bidi="ar-SA"/>
        </w:rPr>
        <w:t>，同时沼气燃烧还会产生少量NO</w:t>
      </w:r>
      <w:r>
        <w:rPr>
          <w:rFonts w:hint="eastAsia" w:ascii="Times New Roman" w:hAnsi="Times New Roman" w:eastAsia="宋体" w:cstheme="minorBidi"/>
          <w:bCs/>
          <w:color w:val="auto"/>
          <w:kern w:val="2"/>
          <w:sz w:val="24"/>
          <w:szCs w:val="24"/>
          <w:highlight w:val="none"/>
          <w:vertAlign w:val="subscript"/>
          <w:lang w:val="en-US" w:eastAsia="zh-CN" w:bidi="ar-SA"/>
        </w:rPr>
        <w:t>X</w:t>
      </w:r>
      <w:r>
        <w:rPr>
          <w:rFonts w:hint="eastAsia" w:ascii="Times New Roman" w:hAnsi="Times New Roman" w:eastAsia="宋体" w:cstheme="minorBidi"/>
          <w:bCs/>
          <w:color w:val="auto"/>
          <w:kern w:val="2"/>
          <w:sz w:val="24"/>
          <w:szCs w:val="24"/>
          <w:highlight w:val="none"/>
          <w:lang w:val="en-US" w:eastAsia="zh-CN" w:bidi="ar-SA"/>
        </w:rPr>
        <w:t>。根据王钢主编的《沼气脱硫技术研究》文章（来自《化学工程师》杂志，文章编号：1002-1124（2008）01-0032-03），类比确定项目沼气中H</w:t>
      </w:r>
      <w:r>
        <w:rPr>
          <w:rFonts w:hint="eastAsia" w:ascii="Times New Roman" w:hAnsi="Times New Roman" w:eastAsia="宋体" w:cstheme="minorBidi"/>
          <w:bCs/>
          <w:color w:val="auto"/>
          <w:kern w:val="2"/>
          <w:sz w:val="24"/>
          <w:szCs w:val="24"/>
          <w:highlight w:val="none"/>
          <w:vertAlign w:val="subscript"/>
          <w:lang w:val="en-US" w:eastAsia="zh-CN" w:bidi="ar-SA"/>
        </w:rPr>
        <w:t>2</w:t>
      </w:r>
      <w:r>
        <w:rPr>
          <w:rFonts w:hint="eastAsia" w:ascii="Times New Roman" w:hAnsi="Times New Roman" w:eastAsia="宋体" w:cstheme="minorBidi"/>
          <w:bCs/>
          <w:color w:val="auto"/>
          <w:kern w:val="2"/>
          <w:sz w:val="24"/>
          <w:szCs w:val="24"/>
          <w:highlight w:val="none"/>
          <w:lang w:val="en-US" w:eastAsia="zh-CN" w:bidi="ar-SA"/>
        </w:rPr>
        <w:t>S质量浓度为2g/m</w:t>
      </w:r>
      <w:r>
        <w:rPr>
          <w:rFonts w:hint="eastAsia" w:ascii="Times New Roman" w:hAnsi="Times New Roman" w:eastAsia="宋体" w:cstheme="minorBidi"/>
          <w:bCs/>
          <w:color w:val="auto"/>
          <w:kern w:val="2"/>
          <w:sz w:val="24"/>
          <w:szCs w:val="24"/>
          <w:highlight w:val="none"/>
          <w:vertAlign w:val="superscript"/>
          <w:lang w:val="en-US" w:eastAsia="zh-CN" w:bidi="ar-SA"/>
        </w:rPr>
        <w:t>3</w:t>
      </w:r>
      <w:r>
        <w:rPr>
          <w:rFonts w:hint="eastAsia" w:ascii="Times New Roman" w:hAnsi="Times New Roman" w:eastAsia="宋体" w:cstheme="minorBidi"/>
          <w:bCs/>
          <w:color w:val="auto"/>
          <w:kern w:val="2"/>
          <w:sz w:val="24"/>
          <w:szCs w:val="24"/>
          <w:highlight w:val="none"/>
          <w:lang w:val="en-US" w:eastAsia="zh-CN" w:bidi="ar-SA"/>
        </w:rPr>
        <w:t>，经脱硫设备处理后（脱硫效率为99.2%），沼气中H</w:t>
      </w:r>
      <w:r>
        <w:rPr>
          <w:rFonts w:hint="eastAsia" w:ascii="Times New Roman" w:hAnsi="Times New Roman" w:eastAsia="宋体" w:cstheme="minorBidi"/>
          <w:bCs/>
          <w:color w:val="auto"/>
          <w:kern w:val="2"/>
          <w:sz w:val="24"/>
          <w:szCs w:val="24"/>
          <w:highlight w:val="none"/>
          <w:vertAlign w:val="subscript"/>
          <w:lang w:val="en-US" w:eastAsia="zh-CN" w:bidi="ar-SA"/>
        </w:rPr>
        <w:t>2</w:t>
      </w:r>
      <w:r>
        <w:rPr>
          <w:rFonts w:hint="eastAsia" w:ascii="Times New Roman" w:hAnsi="Times New Roman" w:eastAsia="宋体" w:cstheme="minorBidi"/>
          <w:bCs/>
          <w:color w:val="auto"/>
          <w:kern w:val="2"/>
          <w:sz w:val="24"/>
          <w:szCs w:val="24"/>
          <w:highlight w:val="none"/>
          <w:lang w:val="en-US" w:eastAsia="zh-CN" w:bidi="ar-SA"/>
        </w:rPr>
        <w:t>S含量为16mg/m</w:t>
      </w:r>
      <w:r>
        <w:rPr>
          <w:rFonts w:hint="eastAsia" w:ascii="Times New Roman" w:hAnsi="Times New Roman" w:eastAsia="宋体" w:cstheme="minorBidi"/>
          <w:bCs/>
          <w:color w:val="auto"/>
          <w:kern w:val="2"/>
          <w:sz w:val="24"/>
          <w:szCs w:val="24"/>
          <w:highlight w:val="none"/>
          <w:vertAlign w:val="superscript"/>
          <w:lang w:val="en-US" w:eastAsia="zh-CN" w:bidi="ar-SA"/>
        </w:rPr>
        <w:t>3</w:t>
      </w:r>
      <w:r>
        <w:rPr>
          <w:rFonts w:hint="eastAsia" w:ascii="Times New Roman" w:hAnsi="Times New Roman" w:eastAsia="宋体" w:cstheme="minorBidi"/>
          <w:bCs/>
          <w:color w:val="auto"/>
          <w:kern w:val="2"/>
          <w:sz w:val="24"/>
          <w:szCs w:val="24"/>
          <w:highlight w:val="none"/>
          <w:lang w:val="en-US" w:eastAsia="zh-CN" w:bidi="ar-SA"/>
        </w:rPr>
        <w:t>，能够满足《规模化畜禽养殖场沼气工程设计规范》（NYT1222-2006）中关于沼气净化系统处理后的硫化氢小于20mg/m</w:t>
      </w:r>
      <w:r>
        <w:rPr>
          <w:rFonts w:hint="eastAsia" w:ascii="Times New Roman" w:hAnsi="Times New Roman" w:eastAsia="宋体" w:cstheme="minorBidi"/>
          <w:bCs/>
          <w:color w:val="auto"/>
          <w:kern w:val="2"/>
          <w:sz w:val="24"/>
          <w:szCs w:val="24"/>
          <w:highlight w:val="none"/>
          <w:vertAlign w:val="superscript"/>
          <w:lang w:val="en-US" w:eastAsia="zh-CN" w:bidi="ar-SA"/>
        </w:rPr>
        <w:t>3</w:t>
      </w:r>
      <w:r>
        <w:rPr>
          <w:rFonts w:hint="eastAsia" w:ascii="Times New Roman" w:hAnsi="Times New Roman" w:eastAsia="宋体" w:cstheme="minorBidi"/>
          <w:bCs/>
          <w:color w:val="auto"/>
          <w:kern w:val="2"/>
          <w:sz w:val="24"/>
          <w:szCs w:val="24"/>
          <w:highlight w:val="none"/>
          <w:lang w:val="en-US" w:eastAsia="zh-CN" w:bidi="ar-SA"/>
        </w:rPr>
        <w:t>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val="0"/>
          <w:bCs/>
          <w:color w:val="auto"/>
          <w:sz w:val="24"/>
          <w:szCs w:val="22"/>
          <w:highlight w:val="none"/>
          <w:u w:val="none"/>
          <w:lang w:val="en-US" w:eastAsia="zh-CN"/>
        </w:rPr>
      </w:pPr>
      <w:r>
        <w:rPr>
          <w:rFonts w:hint="eastAsia" w:ascii="Times New Roman" w:hAnsi="Times New Roman" w:eastAsia="宋体" w:cstheme="minorBidi"/>
          <w:bCs/>
          <w:color w:val="auto"/>
          <w:kern w:val="2"/>
          <w:sz w:val="24"/>
          <w:szCs w:val="24"/>
          <w:highlight w:val="none"/>
          <w:lang w:val="en-US" w:eastAsia="zh-CN" w:bidi="ar-SA"/>
        </w:rPr>
        <w:t>项目沼气产生量为404770m</w:t>
      </w:r>
      <w:r>
        <w:rPr>
          <w:rFonts w:hint="eastAsia" w:ascii="Times New Roman" w:hAnsi="Times New Roman" w:eastAsia="宋体" w:cstheme="minorBidi"/>
          <w:bCs/>
          <w:color w:val="auto"/>
          <w:kern w:val="2"/>
          <w:sz w:val="24"/>
          <w:szCs w:val="24"/>
          <w:highlight w:val="none"/>
          <w:vertAlign w:val="superscript"/>
          <w:lang w:val="en-US" w:eastAsia="zh-CN" w:bidi="ar-SA"/>
        </w:rPr>
        <w:t>3</w:t>
      </w:r>
      <w:r>
        <w:rPr>
          <w:rFonts w:hint="eastAsia" w:ascii="Times New Roman" w:hAnsi="Times New Roman" w:eastAsia="宋体" w:cstheme="minorBidi"/>
          <w:bCs/>
          <w:color w:val="auto"/>
          <w:kern w:val="2"/>
          <w:sz w:val="24"/>
          <w:szCs w:val="24"/>
          <w:highlight w:val="none"/>
          <w:lang w:val="en-US" w:eastAsia="zh-CN" w:bidi="ar-SA"/>
        </w:rPr>
        <w:t>/a，沼气主要用于场区食堂</w:t>
      </w:r>
      <w:r>
        <w:rPr>
          <w:rFonts w:hint="eastAsia" w:cstheme="minorBidi"/>
          <w:bCs/>
          <w:color w:val="auto"/>
          <w:kern w:val="2"/>
          <w:sz w:val="24"/>
          <w:szCs w:val="24"/>
          <w:highlight w:val="none"/>
          <w:lang w:val="en-US" w:eastAsia="zh-CN" w:bidi="ar-SA"/>
        </w:rPr>
        <w:t>和无害化处理车间</w:t>
      </w:r>
      <w:r>
        <w:rPr>
          <w:rFonts w:hint="eastAsia" w:ascii="Times New Roman" w:hAnsi="Times New Roman" w:eastAsia="宋体" w:cstheme="minorBidi"/>
          <w:bCs/>
          <w:color w:val="auto"/>
          <w:kern w:val="2"/>
          <w:sz w:val="24"/>
          <w:szCs w:val="24"/>
          <w:highlight w:val="none"/>
          <w:lang w:val="en-US" w:eastAsia="zh-CN" w:bidi="ar-SA"/>
        </w:rPr>
        <w:t>，其中用于食堂的沼气量为44851.2m</w:t>
      </w:r>
      <w:r>
        <w:rPr>
          <w:rFonts w:hint="eastAsia" w:ascii="Times New Roman" w:hAnsi="Times New Roman" w:eastAsia="宋体" w:cstheme="minorBidi"/>
          <w:bCs/>
          <w:color w:val="auto"/>
          <w:kern w:val="2"/>
          <w:sz w:val="24"/>
          <w:szCs w:val="24"/>
          <w:highlight w:val="none"/>
          <w:vertAlign w:val="superscript"/>
          <w:lang w:val="en-US" w:eastAsia="zh-CN" w:bidi="ar-SA"/>
        </w:rPr>
        <w:t>3</w:t>
      </w:r>
      <w:r>
        <w:rPr>
          <w:rFonts w:hint="eastAsia" w:ascii="Times New Roman" w:hAnsi="Times New Roman" w:eastAsia="宋体" w:cstheme="minorBidi"/>
          <w:bCs/>
          <w:color w:val="auto"/>
          <w:kern w:val="2"/>
          <w:sz w:val="24"/>
          <w:szCs w:val="24"/>
          <w:highlight w:val="none"/>
          <w:lang w:val="en-US" w:eastAsia="zh-CN" w:bidi="ar-SA"/>
        </w:rPr>
        <w:t>/a，</w:t>
      </w:r>
      <w:r>
        <w:rPr>
          <w:rFonts w:hint="eastAsia" w:ascii="Times New Roman" w:hAnsi="Times New Roman" w:cstheme="minorBidi"/>
          <w:bCs/>
          <w:color w:val="auto"/>
          <w:kern w:val="2"/>
          <w:sz w:val="24"/>
          <w:szCs w:val="24"/>
          <w:highlight w:val="none"/>
          <w:lang w:val="en-US" w:eastAsia="zh-CN" w:bidi="ar-SA"/>
        </w:rPr>
        <w:t>无害化处理车间</w:t>
      </w:r>
      <w:r>
        <w:rPr>
          <w:rFonts w:hint="eastAsia" w:ascii="Times New Roman" w:hAnsi="Times New Roman" w:eastAsia="宋体" w:cstheme="minorBidi"/>
          <w:bCs/>
          <w:color w:val="auto"/>
          <w:kern w:val="2"/>
          <w:sz w:val="24"/>
          <w:szCs w:val="24"/>
          <w:highlight w:val="none"/>
          <w:lang w:val="en-US" w:eastAsia="zh-CN" w:bidi="ar-SA"/>
        </w:rPr>
        <w:t>的沼气量为576m</w:t>
      </w:r>
      <w:r>
        <w:rPr>
          <w:rFonts w:hint="eastAsia" w:ascii="Times New Roman" w:hAnsi="Times New Roman" w:eastAsia="宋体" w:cstheme="minorBidi"/>
          <w:bCs/>
          <w:color w:val="auto"/>
          <w:kern w:val="2"/>
          <w:sz w:val="24"/>
          <w:szCs w:val="24"/>
          <w:highlight w:val="none"/>
          <w:vertAlign w:val="superscript"/>
          <w:lang w:val="en-US" w:eastAsia="zh-CN" w:bidi="ar-SA"/>
        </w:rPr>
        <w:t>3</w:t>
      </w:r>
      <w:r>
        <w:rPr>
          <w:rFonts w:hint="eastAsia" w:ascii="Times New Roman" w:hAnsi="Times New Roman" w:eastAsia="宋体" w:cstheme="minorBidi"/>
          <w:bCs/>
          <w:color w:val="auto"/>
          <w:kern w:val="2"/>
          <w:sz w:val="24"/>
          <w:szCs w:val="24"/>
          <w:highlight w:val="none"/>
          <w:lang w:val="en-US" w:eastAsia="zh-CN" w:bidi="ar-SA"/>
        </w:rPr>
        <w:t>/a</w:t>
      </w:r>
      <w:r>
        <w:rPr>
          <w:rFonts w:hint="eastAsia" w:cstheme="minorBidi"/>
          <w:bCs/>
          <w:color w:val="auto"/>
          <w:kern w:val="2"/>
          <w:sz w:val="24"/>
          <w:szCs w:val="24"/>
          <w:highlight w:val="none"/>
          <w:lang w:val="en-US" w:eastAsia="zh-CN" w:bidi="ar-SA"/>
        </w:rPr>
        <w:t>，</w:t>
      </w:r>
      <w:r>
        <w:rPr>
          <w:rFonts w:hint="eastAsia" w:cs="Times New Roman"/>
          <w:b w:val="0"/>
          <w:bCs/>
          <w:color w:val="auto"/>
          <w:sz w:val="24"/>
          <w:szCs w:val="22"/>
          <w:highlight w:val="none"/>
          <w:u w:val="none"/>
          <w:lang w:eastAsia="zh-CN"/>
        </w:rPr>
        <w:t>剩余359342.8m</w:t>
      </w:r>
      <w:r>
        <w:rPr>
          <w:rFonts w:hint="eastAsia" w:cs="Times New Roman"/>
          <w:b w:val="0"/>
          <w:bCs/>
          <w:color w:val="auto"/>
          <w:sz w:val="24"/>
          <w:szCs w:val="22"/>
          <w:highlight w:val="none"/>
          <w:u w:val="none"/>
          <w:vertAlign w:val="superscript"/>
          <w:lang w:eastAsia="zh-CN"/>
        </w:rPr>
        <w:t>3</w:t>
      </w:r>
      <w:r>
        <w:rPr>
          <w:rFonts w:hint="eastAsia" w:cs="Times New Roman"/>
          <w:b w:val="0"/>
          <w:bCs/>
          <w:color w:val="auto"/>
          <w:sz w:val="24"/>
          <w:szCs w:val="22"/>
          <w:highlight w:val="none"/>
          <w:u w:val="none"/>
          <w:lang w:eastAsia="zh-CN"/>
        </w:rPr>
        <w:t>/a，全部用于火炬燃烧。</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heme="minorBidi"/>
          <w:bCs/>
          <w:color w:val="auto"/>
          <w:kern w:val="2"/>
          <w:sz w:val="24"/>
          <w:szCs w:val="24"/>
          <w:highlight w:val="none"/>
          <w:lang w:val="en-US" w:eastAsia="zh-CN" w:bidi="ar-SA"/>
        </w:rPr>
      </w:pPr>
      <w:r>
        <w:rPr>
          <w:rFonts w:hint="eastAsia" w:ascii="Times New Roman" w:hAnsi="Times New Roman" w:eastAsia="宋体" w:cstheme="minorBidi"/>
          <w:bCs/>
          <w:color w:val="auto"/>
          <w:kern w:val="2"/>
          <w:sz w:val="24"/>
          <w:szCs w:val="24"/>
          <w:highlight w:val="none"/>
          <w:lang w:val="en-US" w:eastAsia="zh-CN" w:bidi="ar-SA"/>
        </w:rPr>
        <w:t>项目</w:t>
      </w:r>
      <w:r>
        <w:rPr>
          <w:rFonts w:hint="eastAsia" w:cstheme="minorBidi"/>
          <w:bCs/>
          <w:color w:val="auto"/>
          <w:kern w:val="2"/>
          <w:sz w:val="24"/>
          <w:szCs w:val="24"/>
          <w:highlight w:val="none"/>
          <w:lang w:val="en-US" w:eastAsia="zh-CN" w:bidi="ar-SA"/>
        </w:rPr>
        <w:t>火炬</w:t>
      </w:r>
      <w:r>
        <w:rPr>
          <w:rFonts w:hint="eastAsia" w:ascii="Times New Roman" w:hAnsi="Times New Roman" w:eastAsia="宋体" w:cstheme="minorBidi"/>
          <w:bCs/>
          <w:color w:val="auto"/>
          <w:kern w:val="2"/>
          <w:sz w:val="24"/>
          <w:szCs w:val="24"/>
          <w:highlight w:val="none"/>
          <w:lang w:val="en-US" w:eastAsia="zh-CN" w:bidi="ar-SA"/>
        </w:rPr>
        <w:t>燃烧的沼气量为</w:t>
      </w:r>
      <w:r>
        <w:rPr>
          <w:rFonts w:hint="eastAsia" w:cs="Times New Roman"/>
          <w:b w:val="0"/>
          <w:bCs/>
          <w:color w:val="auto"/>
          <w:sz w:val="24"/>
          <w:szCs w:val="22"/>
          <w:highlight w:val="none"/>
          <w:u w:val="none"/>
          <w:lang w:eastAsia="zh-CN"/>
        </w:rPr>
        <w:t>359342.8</w:t>
      </w:r>
      <w:r>
        <w:rPr>
          <w:rFonts w:hint="eastAsia" w:ascii="Times New Roman" w:hAnsi="Times New Roman" w:eastAsia="宋体" w:cstheme="minorBidi"/>
          <w:bCs/>
          <w:color w:val="auto"/>
          <w:kern w:val="2"/>
          <w:sz w:val="24"/>
          <w:szCs w:val="24"/>
          <w:highlight w:val="none"/>
          <w:lang w:val="en-US" w:eastAsia="zh-CN" w:bidi="ar-SA"/>
        </w:rPr>
        <w:t>m</w:t>
      </w:r>
      <w:r>
        <w:rPr>
          <w:rFonts w:hint="eastAsia" w:ascii="Times New Roman" w:hAnsi="Times New Roman" w:eastAsia="宋体" w:cstheme="minorBidi"/>
          <w:bCs/>
          <w:color w:val="auto"/>
          <w:kern w:val="2"/>
          <w:sz w:val="24"/>
          <w:szCs w:val="24"/>
          <w:highlight w:val="none"/>
          <w:vertAlign w:val="superscript"/>
          <w:lang w:val="en-US" w:eastAsia="zh-CN" w:bidi="ar-SA"/>
        </w:rPr>
        <w:t>3</w:t>
      </w:r>
      <w:r>
        <w:rPr>
          <w:rFonts w:hint="eastAsia" w:ascii="Times New Roman" w:hAnsi="Times New Roman" w:eastAsia="宋体" w:cstheme="minorBidi"/>
          <w:bCs/>
          <w:color w:val="auto"/>
          <w:kern w:val="2"/>
          <w:sz w:val="24"/>
          <w:szCs w:val="24"/>
          <w:highlight w:val="none"/>
          <w:lang w:val="en-US" w:eastAsia="zh-CN" w:bidi="ar-SA"/>
        </w:rPr>
        <w:t>/a，烟气量根据《第一次全国污染源普查工业产排污系数手册》中的产生系数核算（即136259.17m</w:t>
      </w:r>
      <w:r>
        <w:rPr>
          <w:rFonts w:hint="eastAsia" w:ascii="Times New Roman" w:hAnsi="Times New Roman" w:eastAsia="宋体" w:cstheme="minorBidi"/>
          <w:bCs/>
          <w:color w:val="auto"/>
          <w:kern w:val="2"/>
          <w:sz w:val="24"/>
          <w:szCs w:val="24"/>
          <w:highlight w:val="none"/>
          <w:vertAlign w:val="superscript"/>
          <w:lang w:val="en-US" w:eastAsia="zh-CN" w:bidi="ar-SA"/>
        </w:rPr>
        <w:t>3</w:t>
      </w:r>
      <w:r>
        <w:rPr>
          <w:rFonts w:hint="eastAsia" w:ascii="Times New Roman" w:hAnsi="Times New Roman" w:eastAsia="宋体" w:cstheme="minorBidi"/>
          <w:bCs/>
          <w:color w:val="auto"/>
          <w:kern w:val="2"/>
          <w:sz w:val="24"/>
          <w:szCs w:val="24"/>
          <w:highlight w:val="none"/>
          <w:lang w:val="en-US" w:eastAsia="zh-CN" w:bidi="ar-SA"/>
        </w:rPr>
        <w:t>/万m</w:t>
      </w:r>
      <w:r>
        <w:rPr>
          <w:rFonts w:hint="eastAsia" w:ascii="Times New Roman" w:hAnsi="Times New Roman" w:eastAsia="宋体" w:cstheme="minorBidi"/>
          <w:bCs/>
          <w:color w:val="auto"/>
          <w:kern w:val="2"/>
          <w:sz w:val="24"/>
          <w:szCs w:val="24"/>
          <w:highlight w:val="none"/>
          <w:vertAlign w:val="superscript"/>
          <w:lang w:val="en-US" w:eastAsia="zh-CN" w:bidi="ar-SA"/>
        </w:rPr>
        <w:t>3</w:t>
      </w:r>
      <w:r>
        <w:rPr>
          <w:rFonts w:hint="eastAsia" w:ascii="Times New Roman" w:hAnsi="Times New Roman" w:eastAsia="宋体" w:cstheme="minorBidi"/>
          <w:bCs/>
          <w:color w:val="auto"/>
          <w:kern w:val="2"/>
          <w:sz w:val="24"/>
          <w:szCs w:val="24"/>
          <w:highlight w:val="none"/>
          <w:lang w:val="en-US" w:eastAsia="zh-CN" w:bidi="ar-SA"/>
        </w:rPr>
        <w:t>-原料），烟气量为4896375.167m</w:t>
      </w:r>
      <w:r>
        <w:rPr>
          <w:rFonts w:hint="eastAsia" w:ascii="Times New Roman" w:hAnsi="Times New Roman" w:eastAsia="宋体" w:cstheme="minorBidi"/>
          <w:bCs/>
          <w:color w:val="auto"/>
          <w:kern w:val="2"/>
          <w:sz w:val="24"/>
          <w:szCs w:val="24"/>
          <w:highlight w:val="none"/>
          <w:vertAlign w:val="superscript"/>
          <w:lang w:val="en-US" w:eastAsia="zh-CN" w:bidi="ar-SA"/>
        </w:rPr>
        <w:t>3</w:t>
      </w:r>
      <w:r>
        <w:rPr>
          <w:rFonts w:hint="eastAsia" w:ascii="Times New Roman" w:hAnsi="Times New Roman" w:eastAsia="宋体" w:cstheme="minorBidi"/>
          <w:bCs/>
          <w:color w:val="auto"/>
          <w:kern w:val="2"/>
          <w:sz w:val="24"/>
          <w:szCs w:val="24"/>
          <w:highlight w:val="none"/>
          <w:lang w:val="en-US" w:eastAsia="zh-CN" w:bidi="ar-SA"/>
        </w:rPr>
        <w:t>/a。</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heme="minorBidi"/>
          <w:bCs/>
          <w:color w:val="auto"/>
          <w:kern w:val="2"/>
          <w:sz w:val="24"/>
          <w:szCs w:val="24"/>
          <w:highlight w:val="none"/>
          <w:lang w:val="en-US" w:eastAsia="zh-CN" w:bidi="ar-SA"/>
        </w:rPr>
      </w:pPr>
      <w:r>
        <w:rPr>
          <w:rFonts w:hint="eastAsia" w:ascii="Times New Roman" w:hAnsi="Times New Roman" w:eastAsia="宋体" w:cstheme="minorBidi"/>
          <w:bCs/>
          <w:color w:val="auto"/>
          <w:kern w:val="2"/>
          <w:sz w:val="24"/>
          <w:szCs w:val="24"/>
          <w:highlight w:val="none"/>
          <w:lang w:val="en-US" w:eastAsia="zh-CN" w:bidi="ar-SA"/>
        </w:rPr>
        <w:t>根据质量平衡定律计算出SO</w:t>
      </w:r>
      <w:r>
        <w:rPr>
          <w:rFonts w:hint="eastAsia" w:ascii="Times New Roman" w:hAnsi="Times New Roman" w:eastAsia="宋体" w:cstheme="minorBidi"/>
          <w:bCs/>
          <w:color w:val="auto"/>
          <w:kern w:val="2"/>
          <w:sz w:val="24"/>
          <w:szCs w:val="24"/>
          <w:highlight w:val="none"/>
          <w:vertAlign w:val="subscript"/>
          <w:lang w:val="en-US" w:eastAsia="zh-CN" w:bidi="ar-SA"/>
        </w:rPr>
        <w:t>2</w:t>
      </w:r>
      <w:r>
        <w:rPr>
          <w:rFonts w:hint="eastAsia" w:ascii="Times New Roman" w:hAnsi="Times New Roman" w:eastAsia="宋体" w:cstheme="minorBidi"/>
          <w:bCs/>
          <w:color w:val="auto"/>
          <w:kern w:val="2"/>
          <w:sz w:val="24"/>
          <w:szCs w:val="24"/>
          <w:highlight w:val="none"/>
          <w:lang w:val="en-US" w:eastAsia="zh-CN" w:bidi="ar-SA"/>
        </w:rPr>
        <w:t>产生量=H</w:t>
      </w:r>
      <w:r>
        <w:rPr>
          <w:rFonts w:hint="eastAsia" w:ascii="Times New Roman" w:hAnsi="Times New Roman" w:eastAsia="宋体" w:cstheme="minorBidi"/>
          <w:bCs/>
          <w:color w:val="auto"/>
          <w:kern w:val="2"/>
          <w:sz w:val="24"/>
          <w:szCs w:val="24"/>
          <w:highlight w:val="none"/>
          <w:vertAlign w:val="subscript"/>
          <w:lang w:val="en-US" w:eastAsia="zh-CN" w:bidi="ar-SA"/>
        </w:rPr>
        <w:t>2</w:t>
      </w:r>
      <w:r>
        <w:rPr>
          <w:rFonts w:hint="eastAsia" w:ascii="Times New Roman" w:hAnsi="Times New Roman" w:eastAsia="宋体" w:cstheme="minorBidi"/>
          <w:bCs/>
          <w:color w:val="auto"/>
          <w:kern w:val="2"/>
          <w:sz w:val="24"/>
          <w:szCs w:val="24"/>
          <w:highlight w:val="none"/>
          <w:lang w:val="en-US" w:eastAsia="zh-CN" w:bidi="ar-SA"/>
        </w:rPr>
        <w:t>S产生量/34*64，沼气产生SO</w:t>
      </w:r>
      <w:r>
        <w:rPr>
          <w:rFonts w:hint="eastAsia" w:ascii="Times New Roman" w:hAnsi="Times New Roman" w:eastAsia="宋体" w:cstheme="minorBidi"/>
          <w:bCs/>
          <w:color w:val="auto"/>
          <w:kern w:val="2"/>
          <w:sz w:val="24"/>
          <w:szCs w:val="24"/>
          <w:highlight w:val="none"/>
          <w:vertAlign w:val="subscript"/>
          <w:lang w:val="en-US" w:eastAsia="zh-CN" w:bidi="ar-SA"/>
        </w:rPr>
        <w:t>2</w:t>
      </w:r>
      <w:r>
        <w:rPr>
          <w:rFonts w:hint="eastAsia" w:ascii="Times New Roman" w:hAnsi="Times New Roman" w:eastAsia="宋体" w:cstheme="minorBidi"/>
          <w:bCs/>
          <w:color w:val="auto"/>
          <w:kern w:val="2"/>
          <w:sz w:val="24"/>
          <w:szCs w:val="24"/>
          <w:highlight w:val="none"/>
          <w:lang w:val="en-US" w:eastAsia="zh-CN" w:bidi="ar-SA"/>
        </w:rPr>
        <w:t>量为</w:t>
      </w:r>
      <w:r>
        <w:rPr>
          <w:rFonts w:hint="eastAsia" w:cstheme="minorBidi"/>
          <w:bCs/>
          <w:color w:val="auto"/>
          <w:kern w:val="2"/>
          <w:sz w:val="24"/>
          <w:szCs w:val="24"/>
          <w:highlight w:val="none"/>
          <w:lang w:val="en-US" w:eastAsia="zh-CN" w:bidi="ar-SA"/>
        </w:rPr>
        <w:t>359342.8</w:t>
      </w:r>
      <w:r>
        <w:rPr>
          <w:rFonts w:hint="eastAsia" w:ascii="Times New Roman" w:hAnsi="Times New Roman" w:eastAsia="宋体" w:cstheme="minorBidi"/>
          <w:bCs/>
          <w:color w:val="auto"/>
          <w:kern w:val="2"/>
          <w:sz w:val="24"/>
          <w:szCs w:val="24"/>
          <w:highlight w:val="none"/>
          <w:lang w:val="en-US" w:eastAsia="zh-CN" w:bidi="ar-SA"/>
        </w:rPr>
        <w:t>×20×10</w:t>
      </w:r>
      <w:r>
        <w:rPr>
          <w:rFonts w:hint="eastAsia" w:ascii="Times New Roman" w:hAnsi="Times New Roman" w:eastAsia="宋体" w:cstheme="minorBidi"/>
          <w:bCs/>
          <w:color w:val="auto"/>
          <w:kern w:val="2"/>
          <w:sz w:val="24"/>
          <w:szCs w:val="24"/>
          <w:highlight w:val="none"/>
          <w:vertAlign w:val="superscript"/>
          <w:lang w:val="en-US" w:eastAsia="zh-CN" w:bidi="ar-SA"/>
        </w:rPr>
        <w:t>-6</w:t>
      </w:r>
      <w:r>
        <w:rPr>
          <w:rFonts w:hint="eastAsia" w:ascii="Times New Roman" w:hAnsi="Times New Roman" w:eastAsia="宋体" w:cstheme="minorBidi"/>
          <w:bCs/>
          <w:color w:val="auto"/>
          <w:kern w:val="2"/>
          <w:sz w:val="24"/>
          <w:szCs w:val="24"/>
          <w:highlight w:val="none"/>
          <w:lang w:val="en-US" w:eastAsia="zh-CN" w:bidi="ar-SA"/>
        </w:rPr>
        <w:t>×64÷34=</w:t>
      </w:r>
      <w:r>
        <w:rPr>
          <w:rFonts w:hint="eastAsia" w:cstheme="minorBidi"/>
          <w:bCs/>
          <w:color w:val="auto"/>
          <w:kern w:val="2"/>
          <w:sz w:val="24"/>
          <w:szCs w:val="24"/>
          <w:highlight w:val="none"/>
          <w:lang w:val="en-US" w:eastAsia="zh-CN" w:bidi="ar-SA"/>
        </w:rPr>
        <w:t>13.53</w:t>
      </w:r>
      <w:r>
        <w:rPr>
          <w:rFonts w:hint="eastAsia" w:ascii="Times New Roman" w:hAnsi="Times New Roman" w:eastAsia="宋体" w:cstheme="minorBidi"/>
          <w:bCs/>
          <w:color w:val="auto"/>
          <w:kern w:val="2"/>
          <w:sz w:val="24"/>
          <w:szCs w:val="24"/>
          <w:highlight w:val="none"/>
          <w:lang w:val="en-US" w:eastAsia="zh-CN" w:bidi="ar-SA"/>
        </w:rPr>
        <w:t>kg/a，即0.</w:t>
      </w:r>
      <w:r>
        <w:rPr>
          <w:rFonts w:hint="eastAsia" w:cstheme="minorBidi"/>
          <w:bCs/>
          <w:color w:val="auto"/>
          <w:kern w:val="2"/>
          <w:sz w:val="24"/>
          <w:szCs w:val="24"/>
          <w:highlight w:val="none"/>
          <w:lang w:val="en-US" w:eastAsia="zh-CN" w:bidi="ar-SA"/>
        </w:rPr>
        <w:t>014</w:t>
      </w:r>
      <w:r>
        <w:rPr>
          <w:rFonts w:hint="eastAsia" w:ascii="Times New Roman" w:hAnsi="Times New Roman" w:eastAsia="宋体" w:cstheme="minorBidi"/>
          <w:bCs/>
          <w:color w:val="auto"/>
          <w:kern w:val="2"/>
          <w:sz w:val="24"/>
          <w:szCs w:val="24"/>
          <w:highlight w:val="none"/>
          <w:lang w:val="en-US" w:eastAsia="zh-CN" w:bidi="ar-SA"/>
        </w:rPr>
        <w:t>t/a。</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eastAsia="宋体" w:cstheme="minorBidi"/>
          <w:bCs/>
          <w:color w:val="auto"/>
          <w:kern w:val="2"/>
          <w:sz w:val="24"/>
          <w:szCs w:val="24"/>
          <w:highlight w:val="none"/>
          <w:lang w:val="en-US" w:eastAsia="zh-CN" w:bidi="ar-SA"/>
        </w:rPr>
      </w:pPr>
      <w:r>
        <w:rPr>
          <w:rFonts w:hint="eastAsia" w:ascii="Times New Roman" w:hAnsi="Times New Roman" w:eastAsia="宋体" w:cstheme="minorBidi"/>
          <w:bCs/>
          <w:color w:val="auto"/>
          <w:kern w:val="2"/>
          <w:sz w:val="24"/>
          <w:szCs w:val="24"/>
          <w:highlight w:val="none"/>
          <w:lang w:val="en-US" w:eastAsia="zh-CN" w:bidi="ar-SA"/>
        </w:rPr>
        <w:t>根据《2006年全国氮氧化物排放统计技术要求》，沼气燃烧过程NO</w:t>
      </w:r>
      <w:r>
        <w:rPr>
          <w:rFonts w:hint="eastAsia" w:ascii="Times New Roman" w:hAnsi="Times New Roman" w:eastAsia="宋体" w:cstheme="minorBidi"/>
          <w:bCs/>
          <w:color w:val="auto"/>
          <w:kern w:val="2"/>
          <w:sz w:val="24"/>
          <w:szCs w:val="24"/>
          <w:highlight w:val="none"/>
          <w:vertAlign w:val="subscript"/>
          <w:lang w:val="en-US" w:eastAsia="zh-CN" w:bidi="ar-SA"/>
        </w:rPr>
        <w:t>X</w:t>
      </w:r>
      <w:r>
        <w:rPr>
          <w:rFonts w:hint="eastAsia" w:ascii="Times New Roman" w:hAnsi="Times New Roman" w:eastAsia="宋体" w:cstheme="minorBidi"/>
          <w:bCs/>
          <w:color w:val="auto"/>
          <w:kern w:val="2"/>
          <w:sz w:val="24"/>
          <w:szCs w:val="24"/>
          <w:highlight w:val="none"/>
          <w:lang w:val="en-US" w:eastAsia="zh-CN" w:bidi="ar-SA"/>
        </w:rPr>
        <w:t>排放系数为5.0kg/10</w:t>
      </w:r>
      <w:r>
        <w:rPr>
          <w:rFonts w:hint="eastAsia" w:ascii="Times New Roman" w:hAnsi="Times New Roman" w:eastAsia="宋体" w:cstheme="minorBidi"/>
          <w:bCs/>
          <w:color w:val="auto"/>
          <w:kern w:val="2"/>
          <w:sz w:val="24"/>
          <w:szCs w:val="24"/>
          <w:highlight w:val="none"/>
          <w:vertAlign w:val="superscript"/>
          <w:lang w:val="en-US" w:eastAsia="zh-CN" w:bidi="ar-SA"/>
        </w:rPr>
        <w:t>8</w:t>
      </w:r>
      <w:r>
        <w:rPr>
          <w:rFonts w:hint="eastAsia" w:ascii="Times New Roman" w:hAnsi="Times New Roman" w:eastAsia="宋体" w:cstheme="minorBidi"/>
          <w:bCs/>
          <w:color w:val="auto"/>
          <w:kern w:val="2"/>
          <w:sz w:val="24"/>
          <w:szCs w:val="24"/>
          <w:highlight w:val="none"/>
          <w:lang w:val="en-US" w:eastAsia="zh-CN" w:bidi="ar-SA"/>
        </w:rPr>
        <w:t>kJ，沼气的发热值为21524kJ/m</w:t>
      </w:r>
      <w:r>
        <w:rPr>
          <w:rFonts w:hint="eastAsia" w:ascii="Times New Roman" w:hAnsi="Times New Roman" w:eastAsia="宋体" w:cstheme="minorBidi"/>
          <w:bCs/>
          <w:color w:val="auto"/>
          <w:kern w:val="2"/>
          <w:sz w:val="24"/>
          <w:szCs w:val="24"/>
          <w:highlight w:val="none"/>
          <w:vertAlign w:val="superscript"/>
          <w:lang w:val="en-US" w:eastAsia="zh-CN" w:bidi="ar-SA"/>
        </w:rPr>
        <w:t>3</w:t>
      </w:r>
      <w:r>
        <w:rPr>
          <w:rFonts w:hint="eastAsia" w:ascii="Times New Roman" w:hAnsi="Times New Roman" w:eastAsia="宋体" w:cstheme="minorBidi"/>
          <w:bCs/>
          <w:color w:val="auto"/>
          <w:kern w:val="2"/>
          <w:sz w:val="24"/>
          <w:szCs w:val="24"/>
          <w:highlight w:val="none"/>
          <w:lang w:val="en-US" w:eastAsia="zh-CN" w:bidi="ar-SA"/>
        </w:rPr>
        <w:t>，则本项目NO</w:t>
      </w:r>
      <w:r>
        <w:rPr>
          <w:rFonts w:hint="eastAsia" w:ascii="Times New Roman" w:hAnsi="Times New Roman" w:eastAsia="宋体" w:cstheme="minorBidi"/>
          <w:bCs/>
          <w:color w:val="auto"/>
          <w:kern w:val="2"/>
          <w:sz w:val="24"/>
          <w:szCs w:val="24"/>
          <w:highlight w:val="none"/>
          <w:vertAlign w:val="subscript"/>
          <w:lang w:val="en-US" w:eastAsia="zh-CN" w:bidi="ar-SA"/>
        </w:rPr>
        <w:t>X</w:t>
      </w:r>
      <w:r>
        <w:rPr>
          <w:rFonts w:hint="eastAsia" w:ascii="Times New Roman" w:hAnsi="Times New Roman" w:eastAsia="宋体" w:cstheme="minorBidi"/>
          <w:bCs/>
          <w:color w:val="auto"/>
          <w:kern w:val="2"/>
          <w:sz w:val="24"/>
          <w:szCs w:val="24"/>
          <w:highlight w:val="none"/>
          <w:lang w:val="en-US" w:eastAsia="zh-CN" w:bidi="ar-SA"/>
        </w:rPr>
        <w:t>产生量为</w:t>
      </w:r>
      <w:r>
        <w:rPr>
          <w:rFonts w:hint="eastAsia" w:cstheme="minorBidi"/>
          <w:bCs/>
          <w:color w:val="auto"/>
          <w:kern w:val="2"/>
          <w:sz w:val="24"/>
          <w:szCs w:val="24"/>
          <w:highlight w:val="none"/>
          <w:lang w:val="en-US" w:eastAsia="zh-CN" w:bidi="ar-SA"/>
        </w:rPr>
        <w:t>0.387</w:t>
      </w:r>
      <w:r>
        <w:rPr>
          <w:rFonts w:hint="eastAsia" w:ascii="Times New Roman" w:hAnsi="Times New Roman" w:eastAsia="宋体" w:cstheme="minorBidi"/>
          <w:bCs/>
          <w:color w:val="auto"/>
          <w:kern w:val="2"/>
          <w:sz w:val="24"/>
          <w:szCs w:val="24"/>
          <w:highlight w:val="none"/>
          <w:lang w:val="en-US" w:eastAsia="zh-CN" w:bidi="ar-SA"/>
        </w:rPr>
        <w:t>t/a。采用高效低氮燃烧器+烟气二次燃烧技术</w:t>
      </w:r>
      <w:r>
        <w:rPr>
          <w:rFonts w:hint="eastAsia" w:ascii="Times New Roman" w:hAnsi="Times New Roman" w:cstheme="minorBidi"/>
          <w:bCs/>
          <w:color w:val="auto"/>
          <w:kern w:val="2"/>
          <w:sz w:val="24"/>
          <w:szCs w:val="24"/>
          <w:highlight w:val="none"/>
          <w:lang w:val="en-US" w:eastAsia="zh-CN" w:bidi="ar-SA"/>
        </w:rPr>
        <w:t>处理后经1根8米高排气筒排放</w:t>
      </w:r>
      <w:r>
        <w:rPr>
          <w:rFonts w:hint="eastAsia" w:ascii="Times New Roman" w:hAnsi="Times New Roman" w:eastAsia="宋体" w:cstheme="minorBidi"/>
          <w:bCs/>
          <w:color w:val="auto"/>
          <w:kern w:val="2"/>
          <w:sz w:val="24"/>
          <w:szCs w:val="24"/>
          <w:highlight w:val="none"/>
          <w:lang w:val="en-US" w:eastAsia="zh-CN" w:bidi="ar-SA"/>
        </w:rPr>
        <w:t>。NO</w:t>
      </w:r>
      <w:r>
        <w:rPr>
          <w:rFonts w:hint="eastAsia" w:ascii="Times New Roman" w:hAnsi="Times New Roman" w:cstheme="minorBidi"/>
          <w:bCs/>
          <w:color w:val="auto"/>
          <w:kern w:val="2"/>
          <w:sz w:val="24"/>
          <w:szCs w:val="24"/>
          <w:highlight w:val="none"/>
          <w:vertAlign w:val="subscript"/>
          <w:lang w:val="en-US" w:eastAsia="zh-CN" w:bidi="ar-SA"/>
        </w:rPr>
        <w:t>X</w:t>
      </w:r>
      <w:r>
        <w:rPr>
          <w:rFonts w:hint="eastAsia" w:ascii="Times New Roman" w:hAnsi="Times New Roman" w:eastAsia="宋体" w:cstheme="minorBidi"/>
          <w:bCs/>
          <w:color w:val="auto"/>
          <w:kern w:val="2"/>
          <w:sz w:val="24"/>
          <w:szCs w:val="24"/>
          <w:highlight w:val="none"/>
          <w:lang w:val="en-US" w:eastAsia="zh-CN" w:bidi="ar-SA"/>
        </w:rPr>
        <w:t>去除效率按80%</w:t>
      </w:r>
      <w:r>
        <w:rPr>
          <w:rFonts w:hint="eastAsia" w:ascii="Times New Roman" w:hAnsi="Times New Roman" w:cstheme="minorBidi"/>
          <w:bCs/>
          <w:color w:val="auto"/>
          <w:kern w:val="2"/>
          <w:sz w:val="24"/>
          <w:szCs w:val="24"/>
          <w:highlight w:val="none"/>
          <w:lang w:val="en-US" w:eastAsia="zh-CN" w:bidi="ar-SA"/>
        </w:rPr>
        <w:t>计，则</w:t>
      </w:r>
      <w:r>
        <w:rPr>
          <w:rFonts w:hint="eastAsia" w:ascii="Times New Roman" w:hAnsi="Times New Roman" w:eastAsia="宋体" w:cstheme="minorBidi"/>
          <w:bCs/>
          <w:color w:val="auto"/>
          <w:kern w:val="2"/>
          <w:sz w:val="24"/>
          <w:szCs w:val="24"/>
          <w:highlight w:val="none"/>
          <w:lang w:val="en-US" w:eastAsia="zh-CN" w:bidi="ar-SA"/>
        </w:rPr>
        <w:t>NO</w:t>
      </w:r>
      <w:r>
        <w:rPr>
          <w:rFonts w:hint="eastAsia" w:ascii="Times New Roman" w:hAnsi="Times New Roman" w:eastAsia="宋体" w:cstheme="minorBidi"/>
          <w:bCs/>
          <w:color w:val="auto"/>
          <w:kern w:val="2"/>
          <w:sz w:val="24"/>
          <w:szCs w:val="24"/>
          <w:highlight w:val="none"/>
          <w:vertAlign w:val="subscript"/>
          <w:lang w:val="en-US" w:eastAsia="zh-CN" w:bidi="ar-SA"/>
        </w:rPr>
        <w:t>X</w:t>
      </w:r>
      <w:r>
        <w:rPr>
          <w:rFonts w:hint="eastAsia" w:ascii="Times New Roman" w:hAnsi="Times New Roman" w:cstheme="minorBidi"/>
          <w:bCs/>
          <w:color w:val="auto"/>
          <w:kern w:val="2"/>
          <w:sz w:val="24"/>
          <w:szCs w:val="24"/>
          <w:highlight w:val="none"/>
          <w:lang w:val="en-US" w:eastAsia="zh-CN" w:bidi="ar-SA"/>
        </w:rPr>
        <w:t>排放</w:t>
      </w:r>
      <w:r>
        <w:rPr>
          <w:rFonts w:hint="eastAsia" w:ascii="Times New Roman" w:hAnsi="Times New Roman" w:eastAsia="宋体" w:cstheme="minorBidi"/>
          <w:bCs/>
          <w:color w:val="auto"/>
          <w:kern w:val="2"/>
          <w:sz w:val="24"/>
          <w:szCs w:val="24"/>
          <w:highlight w:val="none"/>
          <w:lang w:val="en-US" w:eastAsia="zh-CN" w:bidi="ar-SA"/>
        </w:rPr>
        <w:t>量为0.</w:t>
      </w:r>
      <w:r>
        <w:rPr>
          <w:rFonts w:hint="eastAsia" w:cstheme="minorBidi"/>
          <w:bCs/>
          <w:color w:val="auto"/>
          <w:kern w:val="2"/>
          <w:sz w:val="24"/>
          <w:szCs w:val="24"/>
          <w:highlight w:val="none"/>
          <w:lang w:val="en-US" w:eastAsia="zh-CN" w:bidi="ar-SA"/>
        </w:rPr>
        <w:t>077</w:t>
      </w:r>
      <w:r>
        <w:rPr>
          <w:rFonts w:hint="eastAsia" w:ascii="Times New Roman" w:hAnsi="Times New Roman" w:eastAsia="宋体" w:cstheme="minorBidi"/>
          <w:bCs/>
          <w:color w:val="auto"/>
          <w:kern w:val="2"/>
          <w:sz w:val="24"/>
          <w:szCs w:val="24"/>
          <w:highlight w:val="none"/>
          <w:lang w:val="en-US" w:eastAsia="zh-CN" w:bidi="ar-SA"/>
        </w:rPr>
        <w:t>t/a</w:t>
      </w:r>
      <w:r>
        <w:rPr>
          <w:rFonts w:hint="eastAsia" w:ascii="Times New Roman" w:hAnsi="Times New Roman" w:cstheme="minorBidi"/>
          <w:bCs/>
          <w:color w:val="auto"/>
          <w:kern w:val="2"/>
          <w:sz w:val="24"/>
          <w:szCs w:val="24"/>
          <w:highlight w:val="none"/>
          <w:lang w:val="en-US" w:eastAsia="zh-CN" w:bidi="ar-SA"/>
        </w:rPr>
        <w:t>。</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heme="minorBidi"/>
          <w:bCs/>
          <w:color w:val="auto"/>
          <w:kern w:val="2"/>
          <w:sz w:val="24"/>
          <w:szCs w:val="24"/>
          <w:highlight w:val="none"/>
          <w:lang w:val="en-US" w:eastAsia="zh-CN" w:bidi="ar-SA"/>
        </w:rPr>
      </w:pPr>
      <w:r>
        <w:rPr>
          <w:rFonts w:hint="eastAsia" w:ascii="Times New Roman" w:hAnsi="Times New Roman" w:eastAsia="宋体" w:cstheme="minorBidi"/>
          <w:bCs/>
          <w:color w:val="auto"/>
          <w:kern w:val="2"/>
          <w:sz w:val="24"/>
          <w:szCs w:val="24"/>
          <w:highlight w:val="none"/>
          <w:lang w:val="en-US" w:eastAsia="zh-CN" w:bidi="ar-SA"/>
        </w:rPr>
        <w:t>沼气燃烧废气中颗粒物产生系数参照《乐源牧业</w:t>
      </w:r>
      <w:r>
        <w:rPr>
          <w:rFonts w:hint="eastAsia" w:ascii="Times New Roman" w:hAnsi="Times New Roman" w:cstheme="minorBidi"/>
          <w:bCs/>
          <w:color w:val="auto"/>
          <w:kern w:val="2"/>
          <w:sz w:val="24"/>
          <w:szCs w:val="24"/>
          <w:highlight w:val="none"/>
          <w:lang w:val="en-US" w:eastAsia="zh-CN" w:bidi="ar-SA"/>
        </w:rPr>
        <w:t>平舆</w:t>
      </w:r>
      <w:r>
        <w:rPr>
          <w:rFonts w:hint="eastAsia" w:ascii="Times New Roman" w:hAnsi="Times New Roman" w:eastAsia="宋体" w:cstheme="minorBidi"/>
          <w:bCs/>
          <w:color w:val="auto"/>
          <w:kern w:val="2"/>
          <w:sz w:val="24"/>
          <w:szCs w:val="24"/>
          <w:highlight w:val="none"/>
          <w:lang w:val="en-US" w:eastAsia="zh-CN" w:bidi="ar-SA"/>
        </w:rPr>
        <w:t>万头牧场粪污处理—沼气利用项目竣工环境保护验收监测报告》中沼气燃烧废气监测结果“颗粒物排放浓度为4.8mg/m</w:t>
      </w:r>
      <w:r>
        <w:rPr>
          <w:rFonts w:hint="eastAsia" w:ascii="Times New Roman" w:hAnsi="Times New Roman" w:cstheme="minorBidi"/>
          <w:bCs/>
          <w:color w:val="auto"/>
          <w:kern w:val="2"/>
          <w:sz w:val="24"/>
          <w:szCs w:val="24"/>
          <w:highlight w:val="none"/>
          <w:vertAlign w:val="superscript"/>
          <w:lang w:val="en-US" w:eastAsia="zh-CN" w:bidi="ar-SA"/>
        </w:rPr>
        <w:t>3</w:t>
      </w:r>
      <w:r>
        <w:rPr>
          <w:rFonts w:hint="eastAsia" w:ascii="Times New Roman" w:hAnsi="Times New Roman" w:eastAsia="宋体" w:cstheme="minorBidi"/>
          <w:bCs/>
          <w:color w:val="auto"/>
          <w:kern w:val="2"/>
          <w:sz w:val="24"/>
          <w:szCs w:val="24"/>
          <w:highlight w:val="none"/>
          <w:lang w:val="en-US" w:eastAsia="zh-CN" w:bidi="ar-SA"/>
        </w:rPr>
        <w:t>”，则项目沼气燃烧废气的颗粒物排放浓度为4.8mg/m</w:t>
      </w:r>
      <w:r>
        <w:rPr>
          <w:rFonts w:hint="eastAsia" w:ascii="Times New Roman" w:hAnsi="Times New Roman" w:cstheme="minorBidi"/>
          <w:bCs/>
          <w:color w:val="auto"/>
          <w:kern w:val="2"/>
          <w:sz w:val="24"/>
          <w:szCs w:val="24"/>
          <w:highlight w:val="none"/>
          <w:vertAlign w:val="superscript"/>
          <w:lang w:val="en-US" w:eastAsia="zh-CN" w:bidi="ar-SA"/>
        </w:rPr>
        <w:t>3</w:t>
      </w:r>
      <w:r>
        <w:rPr>
          <w:rFonts w:hint="eastAsia" w:ascii="Times New Roman" w:hAnsi="Times New Roman" w:eastAsia="宋体" w:cstheme="minorBidi"/>
          <w:bCs/>
          <w:color w:val="auto"/>
          <w:kern w:val="2"/>
          <w:sz w:val="24"/>
          <w:szCs w:val="24"/>
          <w:highlight w:val="none"/>
          <w:lang w:val="en-US" w:eastAsia="zh-CN" w:bidi="ar-SA"/>
        </w:rPr>
        <w:t>，排放量为0.0</w:t>
      </w:r>
      <w:r>
        <w:rPr>
          <w:rFonts w:hint="eastAsia" w:cstheme="minorBidi"/>
          <w:bCs/>
          <w:color w:val="auto"/>
          <w:kern w:val="2"/>
          <w:sz w:val="24"/>
          <w:szCs w:val="24"/>
          <w:highlight w:val="none"/>
          <w:lang w:val="en-US" w:eastAsia="zh-CN" w:bidi="ar-SA"/>
        </w:rPr>
        <w:t>24</w:t>
      </w:r>
      <w:r>
        <w:rPr>
          <w:rFonts w:hint="eastAsia" w:ascii="Times New Roman" w:hAnsi="Times New Roman" w:eastAsia="宋体" w:cstheme="minorBidi"/>
          <w:bCs/>
          <w:color w:val="auto"/>
          <w:kern w:val="2"/>
          <w:sz w:val="24"/>
          <w:szCs w:val="24"/>
          <w:highlight w:val="none"/>
          <w:lang w:val="en-US" w:eastAsia="zh-CN" w:bidi="ar-SA"/>
        </w:rPr>
        <w:t>t/a。</w:t>
      </w:r>
    </w:p>
    <w:p>
      <w:pPr>
        <w:numPr>
          <w:ilvl w:val="0"/>
          <w:numId w:val="11"/>
        </w:numPr>
        <w:rPr>
          <w:rFonts w:hint="eastAsia" w:cstheme="minorBidi"/>
          <w:bCs/>
          <w:color w:val="auto"/>
          <w:kern w:val="2"/>
          <w:sz w:val="24"/>
          <w:szCs w:val="24"/>
          <w:highlight w:val="none"/>
          <w:lang w:val="en-US" w:eastAsia="zh-CN" w:bidi="ar-SA"/>
        </w:rPr>
      </w:pPr>
      <w:r>
        <w:rPr>
          <w:rFonts w:hint="eastAsia" w:cstheme="minorBidi"/>
          <w:bCs/>
          <w:color w:val="auto"/>
          <w:kern w:val="2"/>
          <w:sz w:val="24"/>
          <w:szCs w:val="24"/>
          <w:highlight w:val="none"/>
          <w:lang w:val="en-US" w:eastAsia="zh-CN" w:bidi="ar-SA"/>
        </w:rPr>
        <w:t>臭气浓度</w:t>
      </w:r>
    </w:p>
    <w:p>
      <w:pPr>
        <w:pStyle w:val="2"/>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lang w:val="en-US" w:eastAsia="zh-CN"/>
        </w:rPr>
      </w:pPr>
      <w:r>
        <w:rPr>
          <w:rFonts w:hint="default"/>
          <w:color w:val="auto"/>
          <w:highlight w:val="none"/>
          <w:lang w:val="en-US" w:eastAsia="zh-CN"/>
        </w:rPr>
        <w:t>项目厂界臭气浓度采用类比《范县牧原农牧有限公司范县二场生猪养殖项目验收监测报告》中监测数据。范县牧原农牧有限公司范县二场生猪养殖项目，占地面积271亩，年出栏生猪10万头。配套建设有固粪处理区、污水处理系统、无害化处理车间等，其养殖工艺和污染物治理措施同本项目</w:t>
      </w:r>
      <w:r>
        <w:rPr>
          <w:rFonts w:hint="eastAsia"/>
          <w:color w:val="auto"/>
          <w:highlight w:val="none"/>
          <w:lang w:val="en-US" w:eastAsia="zh-CN"/>
        </w:rPr>
        <w:t>基本</w:t>
      </w:r>
      <w:r>
        <w:rPr>
          <w:rFonts w:hint="default"/>
          <w:color w:val="auto"/>
          <w:highlight w:val="none"/>
          <w:lang w:val="en-US" w:eastAsia="zh-CN"/>
        </w:rPr>
        <w:t>一致，因此本项目与范县牧原农牧有限公司范县二场生猪养殖项目具有可类比性。经类比《范县牧</w:t>
      </w:r>
      <w:r>
        <w:rPr>
          <w:rFonts w:hint="default" w:ascii="Times New Roman" w:hAnsi="Times New Roman" w:cs="Times New Roman"/>
          <w:color w:val="auto"/>
          <w:highlight w:val="none"/>
          <w:lang w:val="en-US" w:eastAsia="zh-CN"/>
        </w:rPr>
        <w:t>原农牧有限公司范县二场生猪养殖项目验收监测报告》，其厂界下风向臭气浓度范围为12~19。本项目取19，可满足《畜禽养殖业污染物排放标准》》（GB18596-2001）臭气浓度70的要求。</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Ansi="宋体"/>
          <w:color w:val="auto"/>
          <w:highlight w:val="none"/>
        </w:rPr>
      </w:pPr>
      <w:r>
        <w:rPr>
          <w:rFonts w:hint="eastAsia"/>
          <w:color w:val="auto"/>
          <w:highlight w:val="none"/>
        </w:rPr>
        <w:t>本项目营运期废气</w:t>
      </w:r>
      <w:r>
        <w:rPr>
          <w:rFonts w:hint="eastAsia" w:hAnsi="宋体"/>
          <w:color w:val="auto"/>
          <w:highlight w:val="none"/>
        </w:rPr>
        <w:t>污染源强统计见表</w:t>
      </w:r>
      <w:r>
        <w:rPr>
          <w:rFonts w:hint="eastAsia" w:hAnsi="宋体"/>
          <w:color w:val="auto"/>
          <w:highlight w:val="none"/>
          <w:lang w:val="en-US" w:eastAsia="zh-CN"/>
        </w:rPr>
        <w:t>2</w:t>
      </w:r>
      <w:r>
        <w:rPr>
          <w:rFonts w:hint="eastAsia" w:hAnsi="宋体"/>
          <w:color w:val="auto"/>
          <w:highlight w:val="none"/>
        </w:rPr>
        <w:t>.</w:t>
      </w:r>
      <w:r>
        <w:rPr>
          <w:rFonts w:hint="eastAsia" w:hAnsi="宋体"/>
          <w:color w:val="auto"/>
          <w:highlight w:val="none"/>
          <w:lang w:val="en-US" w:eastAsia="zh-CN"/>
        </w:rPr>
        <w:t>12</w:t>
      </w:r>
      <w:r>
        <w:rPr>
          <w:rFonts w:hint="eastAsia" w:hAnsi="宋体"/>
          <w:color w:val="auto"/>
          <w:highlight w:val="none"/>
        </w:rPr>
        <w:t>-</w:t>
      </w:r>
      <w:r>
        <w:rPr>
          <w:rFonts w:hint="eastAsia" w:hAnsi="宋体"/>
          <w:color w:val="auto"/>
          <w:highlight w:val="none"/>
          <w:lang w:val="en-US" w:eastAsia="zh-CN"/>
        </w:rPr>
        <w:t>7</w:t>
      </w:r>
      <w:r>
        <w:rPr>
          <w:rFonts w:hint="eastAsia" w:hAnsi="宋体"/>
          <w:color w:val="auto"/>
          <w:highlight w:val="none"/>
        </w:rPr>
        <w:t>。</w:t>
      </w:r>
    </w:p>
    <w:p>
      <w:pPr>
        <w:ind w:firstLine="480"/>
        <w:rPr>
          <w:rFonts w:hAnsi="宋体"/>
          <w:color w:val="auto"/>
          <w:highlight w:val="none"/>
        </w:rPr>
      </w:pPr>
    </w:p>
    <w:p>
      <w:pPr>
        <w:pStyle w:val="23"/>
        <w:rPr>
          <w:color w:val="auto"/>
          <w:highlight w:val="none"/>
        </w:rPr>
        <w:sectPr>
          <w:pgSz w:w="11906" w:h="16838"/>
          <w:pgMar w:top="1701" w:right="1803" w:bottom="1984" w:left="1587" w:header="851" w:footer="992" w:gutter="0"/>
          <w:pgBorders>
            <w:top w:val="none" w:sz="0" w:space="0"/>
            <w:left w:val="none" w:sz="0" w:space="0"/>
            <w:bottom w:val="none" w:sz="0" w:space="0"/>
            <w:right w:val="none" w:sz="0" w:space="0"/>
          </w:pgBorders>
          <w:cols w:space="0" w:num="1"/>
          <w:docGrid w:type="lines" w:linePitch="332" w:charSpace="0"/>
        </w:sectPr>
      </w:pPr>
    </w:p>
    <w:p>
      <w:pPr>
        <w:pStyle w:val="40"/>
        <w:rPr>
          <w:rFonts w:hint="eastAsia" w:cs="Times New Roman"/>
          <w:color w:val="auto"/>
          <w:highlight w:val="none"/>
          <w:lang w:val="en-US" w:eastAsia="zh-CN"/>
        </w:rPr>
      </w:pPr>
      <w:r>
        <w:rPr>
          <w:rFonts w:hint="eastAsia" w:cs="Times New Roman"/>
          <w:color w:val="auto"/>
          <w:highlight w:val="none"/>
          <w:lang w:val="en-US" w:eastAsia="zh-CN"/>
        </w:rPr>
        <w:t>表2.12-7 项目营运期废气产生及排放情况</w:t>
      </w:r>
    </w:p>
    <w:tbl>
      <w:tblPr>
        <w:tblStyle w:val="24"/>
        <w:tblW w:w="4996"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1371"/>
        <w:gridCol w:w="968"/>
        <w:gridCol w:w="1148"/>
        <w:gridCol w:w="1454"/>
        <w:gridCol w:w="1454"/>
        <w:gridCol w:w="1451"/>
        <w:gridCol w:w="1502"/>
        <w:gridCol w:w="4815"/>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31" w:type="pct"/>
            <w:gridSpan w:val="3"/>
            <w:vMerge w:val="restart"/>
            <w:tcBorders>
              <w:top w:val="single" w:color="auto" w:sz="12" w:space="0"/>
              <w:left w:val="single" w:color="auto" w:sz="12" w:space="0"/>
            </w:tcBorders>
            <w:vAlign w:val="center"/>
          </w:tcPr>
          <w:p>
            <w:pPr>
              <w:adjustRightInd w:val="0"/>
              <w:snapToGrid w:val="0"/>
              <w:spacing w:line="240" w:lineRule="auto"/>
              <w:ind w:firstLine="0" w:firstLineChars="0"/>
              <w:jc w:val="center"/>
              <w:rPr>
                <w:b w:val="0"/>
                <w:bCs/>
                <w:color w:val="auto"/>
                <w:kern w:val="0"/>
                <w:sz w:val="21"/>
                <w:highlight w:val="none"/>
              </w:rPr>
            </w:pPr>
            <w:r>
              <w:rPr>
                <w:rFonts w:hint="eastAsia" w:ascii="宋体" w:hAnsi="宋体"/>
                <w:b w:val="0"/>
                <w:bCs/>
                <w:color w:val="auto"/>
                <w:kern w:val="0"/>
                <w:sz w:val="21"/>
                <w:highlight w:val="none"/>
              </w:rPr>
              <w:t>污染物</w:t>
            </w:r>
          </w:p>
        </w:tc>
        <w:tc>
          <w:tcPr>
            <w:tcW w:w="1026" w:type="pct"/>
            <w:gridSpan w:val="2"/>
            <w:tcBorders>
              <w:top w:val="single" w:color="auto" w:sz="12" w:space="0"/>
            </w:tcBorders>
            <w:vAlign w:val="center"/>
          </w:tcPr>
          <w:p>
            <w:pPr>
              <w:adjustRightInd w:val="0"/>
              <w:snapToGrid w:val="0"/>
              <w:spacing w:line="240" w:lineRule="auto"/>
              <w:ind w:firstLine="0" w:firstLineChars="0"/>
              <w:jc w:val="center"/>
              <w:rPr>
                <w:rFonts w:hint="eastAsia" w:ascii="宋体" w:hAnsi="宋体"/>
                <w:b w:val="0"/>
                <w:bCs/>
                <w:color w:val="auto"/>
                <w:kern w:val="0"/>
                <w:sz w:val="21"/>
                <w:highlight w:val="none"/>
              </w:rPr>
            </w:pPr>
            <w:r>
              <w:rPr>
                <w:rFonts w:hint="eastAsia" w:ascii="宋体" w:hAnsi="宋体"/>
                <w:b w:val="0"/>
                <w:bCs/>
                <w:color w:val="auto"/>
                <w:kern w:val="0"/>
                <w:sz w:val="21"/>
                <w:highlight w:val="none"/>
              </w:rPr>
              <w:t>产生情况</w:t>
            </w:r>
          </w:p>
        </w:tc>
        <w:tc>
          <w:tcPr>
            <w:tcW w:w="512" w:type="pct"/>
            <w:tcBorders>
              <w:top w:val="single" w:color="auto" w:sz="12" w:space="0"/>
            </w:tcBorders>
            <w:vAlign w:val="center"/>
          </w:tcPr>
          <w:p>
            <w:pPr>
              <w:adjustRightInd w:val="0"/>
              <w:snapToGrid w:val="0"/>
              <w:spacing w:line="240" w:lineRule="auto"/>
              <w:ind w:firstLine="0" w:firstLineChars="0"/>
              <w:jc w:val="center"/>
              <w:rPr>
                <w:b w:val="0"/>
                <w:bCs/>
                <w:color w:val="auto"/>
                <w:spacing w:val="4"/>
                <w:kern w:val="18"/>
                <w:sz w:val="21"/>
                <w:highlight w:val="none"/>
              </w:rPr>
            </w:pPr>
            <w:r>
              <w:rPr>
                <w:rFonts w:hint="eastAsia" w:ascii="宋体" w:hAnsi="宋体"/>
                <w:b w:val="0"/>
                <w:bCs/>
                <w:color w:val="auto"/>
                <w:kern w:val="0"/>
                <w:sz w:val="21"/>
                <w:highlight w:val="none"/>
              </w:rPr>
              <w:t>排放情况</w:t>
            </w:r>
          </w:p>
        </w:tc>
        <w:tc>
          <w:tcPr>
            <w:tcW w:w="530" w:type="pct"/>
            <w:tcBorders>
              <w:top w:val="single" w:color="auto" w:sz="12" w:space="0"/>
            </w:tcBorders>
            <w:vAlign w:val="center"/>
          </w:tcPr>
          <w:p>
            <w:pPr>
              <w:adjustRightInd w:val="0"/>
              <w:snapToGrid w:val="0"/>
              <w:spacing w:line="240" w:lineRule="auto"/>
              <w:ind w:firstLine="0" w:firstLineChars="0"/>
              <w:jc w:val="center"/>
              <w:rPr>
                <w:rFonts w:hint="eastAsia" w:ascii="宋体" w:hAnsi="宋体"/>
                <w:b w:val="0"/>
                <w:bCs/>
                <w:color w:val="auto"/>
                <w:kern w:val="0"/>
                <w:sz w:val="21"/>
                <w:highlight w:val="none"/>
              </w:rPr>
            </w:pPr>
          </w:p>
        </w:tc>
        <w:tc>
          <w:tcPr>
            <w:tcW w:w="1699" w:type="pct"/>
            <w:vMerge w:val="restart"/>
            <w:tcBorders>
              <w:top w:val="single" w:color="auto" w:sz="12" w:space="0"/>
              <w:right w:val="single" w:color="auto" w:sz="12" w:space="0"/>
            </w:tcBorders>
            <w:vAlign w:val="center"/>
          </w:tcPr>
          <w:p>
            <w:pPr>
              <w:adjustRightInd w:val="0"/>
              <w:snapToGrid w:val="0"/>
              <w:spacing w:line="240" w:lineRule="auto"/>
              <w:ind w:firstLine="0" w:firstLineChars="0"/>
              <w:jc w:val="center"/>
              <w:rPr>
                <w:b w:val="0"/>
                <w:bCs/>
                <w:color w:val="auto"/>
                <w:spacing w:val="4"/>
                <w:kern w:val="18"/>
                <w:sz w:val="21"/>
                <w:highlight w:val="none"/>
              </w:rPr>
            </w:pPr>
            <w:r>
              <w:rPr>
                <w:rFonts w:hint="eastAsia" w:ascii="宋体" w:hAnsi="宋体"/>
                <w:b w:val="0"/>
                <w:bCs/>
                <w:color w:val="auto"/>
                <w:spacing w:val="4"/>
                <w:kern w:val="18"/>
                <w:sz w:val="21"/>
                <w:highlight w:val="none"/>
              </w:rPr>
              <w:t>污染防治措施</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31" w:type="pct"/>
            <w:gridSpan w:val="3"/>
            <w:vMerge w:val="continue"/>
            <w:tcBorders>
              <w:left w:val="single" w:color="auto" w:sz="12" w:space="0"/>
            </w:tcBorders>
            <w:vAlign w:val="center"/>
          </w:tcPr>
          <w:p>
            <w:pPr>
              <w:adjustRightInd w:val="0"/>
              <w:snapToGrid w:val="0"/>
              <w:spacing w:line="240" w:lineRule="auto"/>
              <w:ind w:firstLine="420"/>
              <w:jc w:val="center"/>
              <w:rPr>
                <w:color w:val="auto"/>
                <w:kern w:val="0"/>
                <w:sz w:val="21"/>
                <w:highlight w:val="none"/>
              </w:rPr>
            </w:pPr>
          </w:p>
        </w:tc>
        <w:tc>
          <w:tcPr>
            <w:tcW w:w="513" w:type="pct"/>
            <w:vAlign w:val="center"/>
          </w:tcPr>
          <w:p>
            <w:pPr>
              <w:adjustRightInd w:val="0"/>
              <w:snapToGrid w:val="0"/>
              <w:spacing w:line="240" w:lineRule="auto"/>
              <w:ind w:firstLine="0" w:firstLineChars="0"/>
              <w:jc w:val="center"/>
              <w:rPr>
                <w:rFonts w:hint="eastAsia" w:eastAsia="宋体"/>
                <w:color w:val="auto"/>
                <w:spacing w:val="4"/>
                <w:kern w:val="18"/>
                <w:sz w:val="21"/>
                <w:highlight w:val="none"/>
                <w:lang w:eastAsia="zh-CN"/>
              </w:rPr>
            </w:pPr>
            <w:r>
              <w:rPr>
                <w:rFonts w:hint="eastAsia" w:ascii="宋体" w:hAnsi="宋体"/>
                <w:color w:val="auto"/>
                <w:kern w:val="0"/>
                <w:sz w:val="21"/>
                <w:highlight w:val="none"/>
              </w:rPr>
              <w:t>产生量</w:t>
            </w:r>
            <w:r>
              <w:rPr>
                <w:rFonts w:hint="eastAsia" w:ascii="宋体" w:hAnsi="宋体"/>
                <w:color w:val="auto"/>
                <w:kern w:val="0"/>
                <w:sz w:val="21"/>
                <w:highlight w:val="none"/>
                <w:lang w:eastAsia="zh-CN"/>
              </w:rPr>
              <w:t>（</w:t>
            </w:r>
            <w:r>
              <w:rPr>
                <w:color w:val="auto"/>
                <w:kern w:val="0"/>
                <w:sz w:val="21"/>
                <w:highlight w:val="none"/>
              </w:rPr>
              <w:t>t/a</w:t>
            </w:r>
            <w:r>
              <w:rPr>
                <w:rFonts w:hint="eastAsia" w:ascii="宋体" w:hAnsi="宋体"/>
                <w:color w:val="auto"/>
                <w:kern w:val="0"/>
                <w:sz w:val="21"/>
                <w:highlight w:val="none"/>
                <w:lang w:eastAsia="zh-CN"/>
              </w:rPr>
              <w:t>）</w:t>
            </w:r>
          </w:p>
        </w:tc>
        <w:tc>
          <w:tcPr>
            <w:tcW w:w="513" w:type="pct"/>
            <w:vAlign w:val="center"/>
          </w:tcPr>
          <w:p>
            <w:pPr>
              <w:adjustRightInd w:val="0"/>
              <w:snapToGrid w:val="0"/>
              <w:spacing w:line="240" w:lineRule="auto"/>
              <w:ind w:firstLine="0" w:firstLineChars="0"/>
              <w:jc w:val="center"/>
              <w:rPr>
                <w:rFonts w:hint="eastAsia" w:eastAsia="宋体"/>
                <w:color w:val="auto"/>
                <w:spacing w:val="4"/>
                <w:kern w:val="18"/>
                <w:sz w:val="21"/>
                <w:highlight w:val="none"/>
                <w:lang w:eastAsia="zh-CN"/>
              </w:rPr>
            </w:pPr>
            <w:r>
              <w:rPr>
                <w:rFonts w:hint="eastAsia" w:ascii="宋体" w:hAnsi="宋体"/>
                <w:color w:val="auto"/>
                <w:kern w:val="0"/>
                <w:sz w:val="21"/>
                <w:highlight w:val="none"/>
              </w:rPr>
              <w:t>产生浓度</w:t>
            </w:r>
            <w:r>
              <w:rPr>
                <w:rFonts w:hint="eastAsia" w:ascii="宋体" w:hAnsi="宋体"/>
                <w:color w:val="auto"/>
                <w:kern w:val="0"/>
                <w:sz w:val="21"/>
                <w:highlight w:val="none"/>
                <w:lang w:eastAsia="zh-CN"/>
              </w:rPr>
              <w:t>（</w:t>
            </w:r>
            <w:r>
              <w:rPr>
                <w:color w:val="auto"/>
                <w:sz w:val="21"/>
                <w:highlight w:val="none"/>
              </w:rPr>
              <w:t>mg/m³</w:t>
            </w:r>
            <w:r>
              <w:rPr>
                <w:rFonts w:hint="eastAsia" w:ascii="宋体" w:hAnsi="宋体"/>
                <w:color w:val="auto"/>
                <w:kern w:val="0"/>
                <w:sz w:val="21"/>
                <w:highlight w:val="none"/>
                <w:lang w:eastAsia="zh-CN"/>
              </w:rPr>
              <w:t>）</w:t>
            </w:r>
          </w:p>
        </w:tc>
        <w:tc>
          <w:tcPr>
            <w:tcW w:w="512" w:type="pct"/>
            <w:vAlign w:val="center"/>
          </w:tcPr>
          <w:p>
            <w:pPr>
              <w:adjustRightInd w:val="0"/>
              <w:snapToGrid w:val="0"/>
              <w:spacing w:line="240" w:lineRule="auto"/>
              <w:ind w:firstLine="0" w:firstLineChars="0"/>
              <w:jc w:val="center"/>
              <w:rPr>
                <w:color w:val="auto"/>
                <w:spacing w:val="4"/>
                <w:kern w:val="18"/>
                <w:sz w:val="21"/>
                <w:highlight w:val="none"/>
              </w:rPr>
            </w:pPr>
            <w:r>
              <w:rPr>
                <w:rFonts w:hint="eastAsia" w:ascii="宋体" w:hAnsi="宋体"/>
                <w:color w:val="auto"/>
                <w:kern w:val="0"/>
                <w:sz w:val="21"/>
                <w:highlight w:val="none"/>
              </w:rPr>
              <w:t>排放量</w:t>
            </w:r>
            <w:r>
              <w:rPr>
                <w:rFonts w:hint="eastAsia" w:ascii="宋体" w:hAnsi="宋体"/>
                <w:color w:val="auto"/>
                <w:kern w:val="0"/>
                <w:sz w:val="21"/>
                <w:highlight w:val="none"/>
                <w:lang w:eastAsia="zh-CN"/>
              </w:rPr>
              <w:t>（</w:t>
            </w:r>
            <w:r>
              <w:rPr>
                <w:color w:val="auto"/>
                <w:kern w:val="0"/>
                <w:sz w:val="21"/>
                <w:highlight w:val="none"/>
              </w:rPr>
              <w:t>t/a</w:t>
            </w:r>
            <w:r>
              <w:rPr>
                <w:rFonts w:hint="eastAsia" w:ascii="宋体" w:hAnsi="宋体"/>
                <w:color w:val="auto"/>
                <w:kern w:val="0"/>
                <w:sz w:val="21"/>
                <w:highlight w:val="none"/>
                <w:lang w:eastAsia="zh-CN"/>
              </w:rPr>
              <w:t>）</w:t>
            </w:r>
          </w:p>
        </w:tc>
        <w:tc>
          <w:tcPr>
            <w:tcW w:w="530" w:type="pct"/>
            <w:vAlign w:val="center"/>
          </w:tcPr>
          <w:p>
            <w:pPr>
              <w:adjustRightInd w:val="0"/>
              <w:snapToGrid w:val="0"/>
              <w:spacing w:line="240" w:lineRule="auto"/>
              <w:ind w:firstLine="0" w:firstLineChars="0"/>
              <w:jc w:val="center"/>
              <w:rPr>
                <w:rFonts w:hint="eastAsia" w:eastAsia="宋体"/>
                <w:color w:val="auto"/>
                <w:spacing w:val="4"/>
                <w:kern w:val="18"/>
                <w:sz w:val="21"/>
                <w:highlight w:val="none"/>
                <w:lang w:eastAsia="zh-CN"/>
              </w:rPr>
            </w:pPr>
            <w:r>
              <w:rPr>
                <w:rFonts w:hint="eastAsia" w:ascii="宋体" w:hAnsi="宋体"/>
                <w:color w:val="auto"/>
                <w:spacing w:val="4"/>
                <w:kern w:val="18"/>
                <w:sz w:val="21"/>
                <w:highlight w:val="none"/>
              </w:rPr>
              <w:t>排放浓度</w:t>
            </w:r>
            <w:r>
              <w:rPr>
                <w:rFonts w:hint="eastAsia" w:ascii="宋体" w:hAnsi="宋体"/>
                <w:color w:val="auto"/>
                <w:spacing w:val="4"/>
                <w:kern w:val="18"/>
                <w:sz w:val="21"/>
                <w:highlight w:val="none"/>
                <w:lang w:eastAsia="zh-CN"/>
              </w:rPr>
              <w:t>（</w:t>
            </w:r>
            <w:r>
              <w:rPr>
                <w:color w:val="auto"/>
                <w:sz w:val="21"/>
                <w:highlight w:val="none"/>
              </w:rPr>
              <w:t>mg/m³</w:t>
            </w:r>
            <w:r>
              <w:rPr>
                <w:rFonts w:hint="eastAsia" w:ascii="宋体" w:hAnsi="宋体"/>
                <w:color w:val="auto"/>
                <w:spacing w:val="4"/>
                <w:kern w:val="18"/>
                <w:sz w:val="21"/>
                <w:highlight w:val="none"/>
                <w:lang w:eastAsia="zh-CN"/>
              </w:rPr>
              <w:t>）</w:t>
            </w:r>
          </w:p>
        </w:tc>
        <w:tc>
          <w:tcPr>
            <w:tcW w:w="1699" w:type="pct"/>
            <w:vMerge w:val="continue"/>
            <w:tcBorders>
              <w:right w:val="single" w:color="auto" w:sz="12" w:space="0"/>
            </w:tcBorders>
            <w:vAlign w:val="center"/>
          </w:tcPr>
          <w:p>
            <w:pPr>
              <w:adjustRightInd w:val="0"/>
              <w:snapToGrid w:val="0"/>
              <w:spacing w:line="240" w:lineRule="auto"/>
              <w:ind w:firstLine="436"/>
              <w:jc w:val="center"/>
              <w:rPr>
                <w:color w:val="auto"/>
                <w:spacing w:val="4"/>
                <w:kern w:val="18"/>
                <w:sz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519" w:hRule="atLeast"/>
          <w:jc w:val="center"/>
        </w:trPr>
        <w:tc>
          <w:tcPr>
            <w:tcW w:w="484" w:type="pct"/>
            <w:vMerge w:val="restart"/>
            <w:tcBorders>
              <w:left w:val="single" w:color="auto" w:sz="12" w:space="0"/>
            </w:tcBorders>
            <w:vAlign w:val="center"/>
          </w:tcPr>
          <w:p>
            <w:pPr>
              <w:adjustRightInd w:val="0"/>
              <w:snapToGrid w:val="0"/>
              <w:spacing w:line="240" w:lineRule="auto"/>
              <w:ind w:firstLine="0" w:firstLineChars="0"/>
              <w:jc w:val="center"/>
              <w:rPr>
                <w:color w:val="auto"/>
                <w:kern w:val="0"/>
                <w:sz w:val="21"/>
                <w:highlight w:val="none"/>
              </w:rPr>
            </w:pPr>
            <w:r>
              <w:rPr>
                <w:rFonts w:hint="eastAsia" w:eastAsia="宋体"/>
                <w:color w:val="auto"/>
                <w:kern w:val="0"/>
                <w:sz w:val="21"/>
                <w:highlight w:val="none"/>
                <w:lang w:eastAsia="zh-CN"/>
              </w:rPr>
              <w:t>养殖</w:t>
            </w:r>
            <w:r>
              <w:rPr>
                <w:rFonts w:hint="eastAsia"/>
                <w:color w:val="auto"/>
                <w:kern w:val="0"/>
                <w:sz w:val="21"/>
                <w:highlight w:val="none"/>
              </w:rPr>
              <w:t>废气</w:t>
            </w:r>
          </w:p>
        </w:tc>
        <w:tc>
          <w:tcPr>
            <w:tcW w:w="342" w:type="pct"/>
            <w:vAlign w:val="center"/>
          </w:tcPr>
          <w:p>
            <w:pPr>
              <w:spacing w:line="240" w:lineRule="auto"/>
              <w:ind w:firstLine="0" w:firstLineChars="0"/>
              <w:jc w:val="center"/>
              <w:rPr>
                <w:rFonts w:hint="default" w:eastAsia="宋体"/>
                <w:color w:val="auto"/>
                <w:kern w:val="0"/>
                <w:sz w:val="21"/>
                <w:highlight w:val="none"/>
                <w:lang w:val="en-US" w:eastAsia="zh-CN"/>
              </w:rPr>
            </w:pPr>
            <w:r>
              <w:rPr>
                <w:rFonts w:hint="eastAsia" w:ascii="Times New Roman" w:eastAsia="宋体"/>
                <w:color w:val="auto"/>
                <w:kern w:val="0"/>
                <w:sz w:val="21"/>
                <w:highlight w:val="none"/>
                <w:lang w:val="en-US" w:eastAsia="zh-CN"/>
              </w:rPr>
              <w:t>NH</w:t>
            </w:r>
            <w:r>
              <w:rPr>
                <w:rFonts w:hint="eastAsia" w:ascii="Times New Roman" w:eastAsia="宋体"/>
                <w:color w:val="auto"/>
                <w:kern w:val="0"/>
                <w:sz w:val="21"/>
                <w:highlight w:val="none"/>
                <w:vertAlign w:val="subscript"/>
                <w:lang w:val="en-US" w:eastAsia="zh-CN"/>
              </w:rPr>
              <w:t>3</w:t>
            </w:r>
          </w:p>
        </w:tc>
        <w:tc>
          <w:tcPr>
            <w:tcW w:w="404" w:type="pct"/>
            <w:vAlign w:val="center"/>
          </w:tcPr>
          <w:p>
            <w:pPr>
              <w:adjustRightInd w:val="0"/>
              <w:snapToGrid w:val="0"/>
              <w:spacing w:line="240" w:lineRule="auto"/>
              <w:ind w:firstLine="0" w:firstLineChars="0"/>
              <w:jc w:val="center"/>
              <w:rPr>
                <w:color w:val="auto"/>
                <w:kern w:val="0"/>
                <w:sz w:val="21"/>
                <w:highlight w:val="none"/>
              </w:rPr>
            </w:pPr>
            <w:r>
              <w:rPr>
                <w:rFonts w:hint="eastAsia"/>
                <w:color w:val="auto"/>
                <w:sz w:val="21"/>
                <w:highlight w:val="none"/>
              </w:rPr>
              <w:t>无组织</w:t>
            </w:r>
          </w:p>
        </w:tc>
        <w:tc>
          <w:tcPr>
            <w:tcW w:w="513" w:type="pct"/>
            <w:vAlign w:val="center"/>
          </w:tcPr>
          <w:p>
            <w:pPr>
              <w:adjustRightInd w:val="0"/>
              <w:snapToGrid w:val="0"/>
              <w:spacing w:line="240" w:lineRule="auto"/>
              <w:ind w:firstLine="0" w:firstLineChars="0"/>
              <w:jc w:val="center"/>
              <w:rPr>
                <w:rFonts w:hint="default"/>
                <w:color w:val="auto"/>
                <w:kern w:val="0"/>
                <w:sz w:val="21"/>
                <w:highlight w:val="none"/>
                <w:lang w:val="en-US"/>
              </w:rPr>
            </w:pPr>
            <w:r>
              <w:rPr>
                <w:rFonts w:hint="eastAsia" w:ascii="Times New Roman" w:eastAsia="宋体"/>
                <w:color w:val="auto"/>
                <w:kern w:val="0"/>
                <w:sz w:val="21"/>
                <w:highlight w:val="none"/>
                <w:lang w:val="en-US" w:eastAsia="zh-CN"/>
              </w:rPr>
              <w:t>3.</w:t>
            </w:r>
            <w:r>
              <w:rPr>
                <w:rFonts w:hint="eastAsia"/>
                <w:color w:val="auto"/>
                <w:kern w:val="0"/>
                <w:sz w:val="21"/>
                <w:highlight w:val="none"/>
                <w:lang w:val="en-US" w:eastAsia="zh-CN"/>
              </w:rPr>
              <w:t>84</w:t>
            </w:r>
          </w:p>
        </w:tc>
        <w:tc>
          <w:tcPr>
            <w:tcW w:w="513" w:type="pct"/>
            <w:vAlign w:val="center"/>
          </w:tcPr>
          <w:p>
            <w:pPr>
              <w:adjustRightInd w:val="0"/>
              <w:snapToGrid w:val="0"/>
              <w:spacing w:line="240" w:lineRule="auto"/>
              <w:ind w:firstLine="0" w:firstLineChars="0"/>
              <w:jc w:val="center"/>
              <w:rPr>
                <w:rFonts w:hint="default" w:eastAsia="宋体"/>
                <w:color w:val="auto"/>
                <w:spacing w:val="4"/>
                <w:kern w:val="18"/>
                <w:sz w:val="21"/>
                <w:highlight w:val="none"/>
                <w:lang w:val="en-US" w:eastAsia="zh-CN"/>
              </w:rPr>
            </w:pPr>
            <w:r>
              <w:rPr>
                <w:rFonts w:hint="eastAsia" w:ascii="Times New Roman" w:eastAsia="宋体"/>
                <w:color w:val="auto"/>
                <w:spacing w:val="4"/>
                <w:kern w:val="18"/>
                <w:sz w:val="21"/>
                <w:highlight w:val="none"/>
                <w:lang w:val="en-US" w:eastAsia="zh-CN"/>
              </w:rPr>
              <w:t>/</w:t>
            </w:r>
          </w:p>
        </w:tc>
        <w:tc>
          <w:tcPr>
            <w:tcW w:w="512" w:type="pct"/>
            <w:vAlign w:val="center"/>
          </w:tcPr>
          <w:p>
            <w:pPr>
              <w:adjustRightInd w:val="0"/>
              <w:snapToGrid w:val="0"/>
              <w:spacing w:line="240" w:lineRule="auto"/>
              <w:ind w:firstLine="0" w:firstLineChars="0"/>
              <w:jc w:val="center"/>
              <w:rPr>
                <w:rFonts w:hint="default"/>
                <w:color w:val="auto"/>
                <w:spacing w:val="4"/>
                <w:kern w:val="18"/>
                <w:sz w:val="21"/>
                <w:highlight w:val="none"/>
                <w:lang w:val="en-US"/>
              </w:rPr>
            </w:pPr>
            <w:r>
              <w:rPr>
                <w:rFonts w:hint="eastAsia"/>
                <w:color w:val="auto"/>
                <w:kern w:val="0"/>
                <w:sz w:val="21"/>
                <w:highlight w:val="none"/>
                <w:lang w:val="en-US" w:eastAsia="zh-CN"/>
              </w:rPr>
              <w:t>0.768</w:t>
            </w:r>
          </w:p>
        </w:tc>
        <w:tc>
          <w:tcPr>
            <w:tcW w:w="530" w:type="pct"/>
            <w:vAlign w:val="center"/>
          </w:tcPr>
          <w:p>
            <w:pPr>
              <w:adjustRightInd w:val="0"/>
              <w:snapToGrid w:val="0"/>
              <w:spacing w:line="240" w:lineRule="auto"/>
              <w:ind w:firstLine="0" w:firstLineChars="0"/>
              <w:jc w:val="center"/>
              <w:rPr>
                <w:color w:val="auto"/>
                <w:sz w:val="21"/>
                <w:highlight w:val="none"/>
              </w:rPr>
            </w:pPr>
            <w:r>
              <w:rPr>
                <w:color w:val="auto"/>
                <w:sz w:val="21"/>
                <w:highlight w:val="none"/>
              </w:rPr>
              <w:t>/</w:t>
            </w:r>
          </w:p>
        </w:tc>
        <w:tc>
          <w:tcPr>
            <w:tcW w:w="1699" w:type="pct"/>
            <w:vMerge w:val="restart"/>
            <w:tcBorders>
              <w:right w:val="single" w:color="auto" w:sz="12" w:space="0"/>
            </w:tcBorders>
            <w:vAlign w:val="center"/>
          </w:tcPr>
          <w:p>
            <w:pPr>
              <w:adjustRightInd w:val="0"/>
              <w:snapToGrid w:val="0"/>
              <w:spacing w:line="240" w:lineRule="auto"/>
              <w:ind w:firstLine="0" w:firstLineChars="0"/>
              <w:jc w:val="center"/>
              <w:rPr>
                <w:rFonts w:hint="eastAsia" w:eastAsia="宋体"/>
                <w:color w:val="auto"/>
                <w:sz w:val="21"/>
                <w:highlight w:val="none"/>
                <w:lang w:eastAsia="zh-CN"/>
              </w:rPr>
            </w:pPr>
            <w:r>
              <w:rPr>
                <w:rFonts w:hint="eastAsia" w:ascii="宋体" w:hAnsi="宋体"/>
                <w:color w:val="auto"/>
                <w:spacing w:val="4"/>
                <w:kern w:val="18"/>
                <w:sz w:val="21"/>
                <w:highlight w:val="none"/>
              </w:rPr>
              <w:t>控制养殖密度、饲料添加剂、及时清粪、喷洒除臭剂、设置绿化带</w:t>
            </w:r>
            <w:r>
              <w:rPr>
                <w:rFonts w:hint="eastAsia" w:ascii="宋体" w:hAnsi="宋体"/>
                <w:color w:val="auto"/>
                <w:spacing w:val="4"/>
                <w:kern w:val="18"/>
                <w:sz w:val="21"/>
                <w:highlight w:val="none"/>
                <w:lang w:eastAsia="zh-CN"/>
              </w:rPr>
              <w:t>，配备除臭墙除臭</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484" w:type="pct"/>
            <w:vMerge w:val="continue"/>
            <w:tcBorders>
              <w:left w:val="single" w:color="auto" w:sz="12" w:space="0"/>
            </w:tcBorders>
            <w:vAlign w:val="center"/>
          </w:tcPr>
          <w:p>
            <w:pPr>
              <w:spacing w:line="240" w:lineRule="auto"/>
              <w:ind w:firstLine="436"/>
              <w:jc w:val="center"/>
              <w:rPr>
                <w:color w:val="auto"/>
                <w:spacing w:val="4"/>
                <w:kern w:val="18"/>
                <w:sz w:val="21"/>
                <w:highlight w:val="none"/>
              </w:rPr>
            </w:pPr>
          </w:p>
        </w:tc>
        <w:tc>
          <w:tcPr>
            <w:tcW w:w="342" w:type="pct"/>
            <w:vAlign w:val="center"/>
          </w:tcPr>
          <w:p>
            <w:pPr>
              <w:spacing w:line="240" w:lineRule="auto"/>
              <w:ind w:left="0" w:leftChars="0" w:firstLine="0" w:firstLineChars="0"/>
              <w:jc w:val="center"/>
              <w:rPr>
                <w:rFonts w:hint="default" w:eastAsia="宋体"/>
                <w:color w:val="auto"/>
                <w:spacing w:val="4"/>
                <w:kern w:val="18"/>
                <w:sz w:val="21"/>
                <w:highlight w:val="none"/>
                <w:lang w:val="en-US" w:eastAsia="zh-CN"/>
              </w:rPr>
            </w:pPr>
            <w:r>
              <w:rPr>
                <w:rFonts w:hint="eastAsia" w:ascii="Times New Roman" w:eastAsia="宋体"/>
                <w:color w:val="auto"/>
                <w:spacing w:val="4"/>
                <w:kern w:val="18"/>
                <w:sz w:val="21"/>
                <w:highlight w:val="none"/>
                <w:lang w:val="en-US" w:eastAsia="zh-CN"/>
              </w:rPr>
              <w:t>H</w:t>
            </w:r>
            <w:r>
              <w:rPr>
                <w:rFonts w:hint="eastAsia" w:ascii="Times New Roman" w:eastAsia="宋体"/>
                <w:color w:val="auto"/>
                <w:spacing w:val="4"/>
                <w:kern w:val="18"/>
                <w:sz w:val="21"/>
                <w:highlight w:val="none"/>
                <w:vertAlign w:val="subscript"/>
                <w:lang w:val="en-US" w:eastAsia="zh-CN"/>
              </w:rPr>
              <w:t>2</w:t>
            </w:r>
            <w:r>
              <w:rPr>
                <w:rFonts w:hint="eastAsia" w:ascii="Times New Roman" w:eastAsia="宋体"/>
                <w:color w:val="auto"/>
                <w:spacing w:val="4"/>
                <w:kern w:val="18"/>
                <w:sz w:val="21"/>
                <w:highlight w:val="none"/>
                <w:lang w:val="en-US" w:eastAsia="zh-CN"/>
              </w:rPr>
              <w:t>S</w:t>
            </w:r>
          </w:p>
        </w:tc>
        <w:tc>
          <w:tcPr>
            <w:tcW w:w="404" w:type="pct"/>
            <w:vAlign w:val="center"/>
          </w:tcPr>
          <w:p>
            <w:pPr>
              <w:spacing w:line="240" w:lineRule="auto"/>
              <w:ind w:firstLine="0" w:firstLineChars="0"/>
              <w:jc w:val="center"/>
              <w:rPr>
                <w:color w:val="auto"/>
                <w:sz w:val="21"/>
                <w:highlight w:val="none"/>
              </w:rPr>
            </w:pPr>
            <w:r>
              <w:rPr>
                <w:rFonts w:hint="eastAsia"/>
                <w:color w:val="auto"/>
                <w:sz w:val="21"/>
                <w:highlight w:val="none"/>
              </w:rPr>
              <w:t>无组织</w:t>
            </w:r>
          </w:p>
        </w:tc>
        <w:tc>
          <w:tcPr>
            <w:tcW w:w="513" w:type="pct"/>
            <w:vAlign w:val="center"/>
          </w:tcPr>
          <w:p>
            <w:pPr>
              <w:spacing w:line="240" w:lineRule="auto"/>
              <w:ind w:firstLine="0" w:firstLineChars="0"/>
              <w:jc w:val="center"/>
              <w:rPr>
                <w:rFonts w:hint="default"/>
                <w:color w:val="auto"/>
                <w:sz w:val="21"/>
                <w:highlight w:val="none"/>
                <w:lang w:val="en-US"/>
              </w:rPr>
            </w:pPr>
            <w:r>
              <w:rPr>
                <w:rFonts w:hint="eastAsia"/>
                <w:color w:val="auto"/>
                <w:sz w:val="21"/>
                <w:highlight w:val="none"/>
              </w:rPr>
              <w:t>0.</w:t>
            </w:r>
            <w:r>
              <w:rPr>
                <w:rFonts w:hint="eastAsia"/>
                <w:color w:val="auto"/>
                <w:sz w:val="21"/>
                <w:highlight w:val="none"/>
                <w:lang w:val="en-US" w:eastAsia="zh-CN"/>
              </w:rPr>
              <w:t>33</w:t>
            </w:r>
          </w:p>
        </w:tc>
        <w:tc>
          <w:tcPr>
            <w:tcW w:w="513" w:type="pct"/>
            <w:vAlign w:val="center"/>
          </w:tcPr>
          <w:p>
            <w:pPr>
              <w:spacing w:line="240" w:lineRule="auto"/>
              <w:ind w:firstLine="0" w:firstLineChars="0"/>
              <w:jc w:val="center"/>
              <w:rPr>
                <w:color w:val="auto"/>
                <w:sz w:val="21"/>
                <w:highlight w:val="none"/>
              </w:rPr>
            </w:pPr>
            <w:r>
              <w:rPr>
                <w:color w:val="auto"/>
                <w:sz w:val="21"/>
                <w:highlight w:val="none"/>
              </w:rPr>
              <w:t>/</w:t>
            </w:r>
          </w:p>
        </w:tc>
        <w:tc>
          <w:tcPr>
            <w:tcW w:w="512" w:type="pct"/>
            <w:vAlign w:val="center"/>
          </w:tcPr>
          <w:p>
            <w:pPr>
              <w:spacing w:line="240" w:lineRule="auto"/>
              <w:ind w:firstLine="0" w:firstLineChars="0"/>
              <w:jc w:val="center"/>
              <w:rPr>
                <w:rFonts w:hint="default"/>
                <w:color w:val="auto"/>
                <w:sz w:val="21"/>
                <w:highlight w:val="none"/>
                <w:lang w:val="en-US"/>
              </w:rPr>
            </w:pPr>
            <w:r>
              <w:rPr>
                <w:rFonts w:hint="eastAsia"/>
                <w:color w:val="auto"/>
                <w:sz w:val="21"/>
                <w:highlight w:val="none"/>
              </w:rPr>
              <w:t>0.</w:t>
            </w:r>
            <w:r>
              <w:rPr>
                <w:rFonts w:hint="eastAsia"/>
                <w:color w:val="auto"/>
                <w:sz w:val="21"/>
                <w:highlight w:val="none"/>
                <w:lang w:val="en-US" w:eastAsia="zh-CN"/>
              </w:rPr>
              <w:t>066</w:t>
            </w:r>
          </w:p>
        </w:tc>
        <w:tc>
          <w:tcPr>
            <w:tcW w:w="530" w:type="pct"/>
            <w:vAlign w:val="center"/>
          </w:tcPr>
          <w:p>
            <w:pPr>
              <w:spacing w:line="240" w:lineRule="auto"/>
              <w:ind w:firstLine="0" w:firstLineChars="0"/>
              <w:jc w:val="center"/>
              <w:rPr>
                <w:color w:val="auto"/>
                <w:sz w:val="21"/>
                <w:highlight w:val="none"/>
              </w:rPr>
            </w:pPr>
            <w:r>
              <w:rPr>
                <w:color w:val="auto"/>
                <w:sz w:val="21"/>
                <w:highlight w:val="none"/>
              </w:rPr>
              <w:t>/</w:t>
            </w:r>
          </w:p>
        </w:tc>
        <w:tc>
          <w:tcPr>
            <w:tcW w:w="1699" w:type="pct"/>
            <w:vMerge w:val="continue"/>
            <w:tcBorders>
              <w:right w:val="single" w:color="auto" w:sz="12" w:space="0"/>
            </w:tcBorders>
            <w:vAlign w:val="center"/>
          </w:tcPr>
          <w:p>
            <w:pPr>
              <w:spacing w:line="240" w:lineRule="auto"/>
              <w:ind w:firstLine="0" w:firstLineChars="0"/>
              <w:jc w:val="center"/>
              <w:rPr>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484" w:type="pct"/>
            <w:vMerge w:val="restart"/>
            <w:tcBorders>
              <w:left w:val="single" w:color="auto" w:sz="12" w:space="0"/>
            </w:tcBorders>
            <w:vAlign w:val="center"/>
          </w:tcPr>
          <w:p>
            <w:pPr>
              <w:spacing w:line="240" w:lineRule="auto"/>
              <w:ind w:left="0" w:leftChars="0" w:firstLine="0" w:firstLineChars="0"/>
              <w:jc w:val="center"/>
              <w:rPr>
                <w:rFonts w:hint="eastAsia"/>
                <w:color w:val="auto"/>
                <w:spacing w:val="4"/>
                <w:kern w:val="18"/>
                <w:sz w:val="21"/>
                <w:highlight w:val="none"/>
                <w:lang w:val="en-US" w:eastAsia="zh-CN"/>
              </w:rPr>
            </w:pPr>
            <w:r>
              <w:rPr>
                <w:rFonts w:hint="eastAsia" w:ascii="Times New Roman" w:eastAsia="宋体"/>
                <w:color w:val="auto"/>
                <w:spacing w:val="4"/>
                <w:kern w:val="18"/>
                <w:sz w:val="21"/>
                <w:highlight w:val="none"/>
                <w:lang w:val="en-US" w:eastAsia="zh-CN"/>
              </w:rPr>
              <w:t>固粪处理区废气</w:t>
            </w:r>
          </w:p>
        </w:tc>
        <w:tc>
          <w:tcPr>
            <w:tcW w:w="342" w:type="pct"/>
            <w:vAlign w:val="center"/>
          </w:tcPr>
          <w:p>
            <w:pPr>
              <w:spacing w:line="240" w:lineRule="auto"/>
              <w:ind w:left="0" w:leftChars="0" w:firstLine="0" w:firstLineChars="0"/>
              <w:jc w:val="center"/>
              <w:rPr>
                <w:rFonts w:hint="eastAsia"/>
                <w:color w:val="auto"/>
                <w:spacing w:val="4"/>
                <w:kern w:val="18"/>
                <w:sz w:val="21"/>
                <w:highlight w:val="none"/>
                <w:lang w:val="en-US" w:eastAsia="zh-CN"/>
              </w:rPr>
            </w:pPr>
            <w:r>
              <w:rPr>
                <w:rFonts w:hint="eastAsia" w:ascii="Times New Roman" w:eastAsia="宋体"/>
                <w:color w:val="auto"/>
                <w:spacing w:val="4"/>
                <w:kern w:val="18"/>
                <w:sz w:val="21"/>
                <w:highlight w:val="none"/>
                <w:lang w:val="en-US" w:eastAsia="zh-CN"/>
              </w:rPr>
              <w:t>NH</w:t>
            </w:r>
            <w:r>
              <w:rPr>
                <w:rFonts w:hint="eastAsia" w:ascii="Times New Roman" w:eastAsia="宋体"/>
                <w:color w:val="auto"/>
                <w:spacing w:val="4"/>
                <w:kern w:val="18"/>
                <w:sz w:val="21"/>
                <w:highlight w:val="none"/>
                <w:vertAlign w:val="subscript"/>
                <w:lang w:val="en-US" w:eastAsia="zh-CN"/>
              </w:rPr>
              <w:t>3</w:t>
            </w:r>
          </w:p>
        </w:tc>
        <w:tc>
          <w:tcPr>
            <w:tcW w:w="404" w:type="pct"/>
            <w:vAlign w:val="center"/>
          </w:tcPr>
          <w:p>
            <w:pPr>
              <w:spacing w:line="240" w:lineRule="auto"/>
              <w:ind w:left="0" w:leftChars="0" w:firstLine="0" w:firstLineChars="0"/>
              <w:jc w:val="center"/>
              <w:rPr>
                <w:rFonts w:hint="eastAsia"/>
                <w:color w:val="auto"/>
                <w:spacing w:val="4"/>
                <w:kern w:val="18"/>
                <w:sz w:val="21"/>
                <w:highlight w:val="none"/>
                <w:lang w:val="en-US" w:eastAsia="zh-CN"/>
              </w:rPr>
            </w:pPr>
            <w:r>
              <w:rPr>
                <w:rFonts w:hint="eastAsia" w:ascii="Times New Roman" w:eastAsia="宋体"/>
                <w:color w:val="auto"/>
                <w:spacing w:val="4"/>
                <w:kern w:val="18"/>
                <w:sz w:val="21"/>
                <w:highlight w:val="none"/>
                <w:lang w:val="en-US" w:eastAsia="zh-CN"/>
              </w:rPr>
              <w:t>无组织</w:t>
            </w:r>
          </w:p>
        </w:tc>
        <w:tc>
          <w:tcPr>
            <w:tcW w:w="513" w:type="pct"/>
            <w:vAlign w:val="center"/>
          </w:tcPr>
          <w:p>
            <w:pPr>
              <w:spacing w:line="240" w:lineRule="auto"/>
              <w:ind w:left="0" w:leftChars="0" w:firstLine="0" w:firstLineChars="0"/>
              <w:jc w:val="center"/>
              <w:rPr>
                <w:rFonts w:hint="default"/>
                <w:color w:val="auto"/>
                <w:spacing w:val="4"/>
                <w:kern w:val="18"/>
                <w:sz w:val="21"/>
                <w:highlight w:val="none"/>
                <w:lang w:val="en-US" w:eastAsia="zh-CN"/>
              </w:rPr>
            </w:pPr>
            <w:r>
              <w:rPr>
                <w:rFonts w:hint="eastAsia" w:ascii="Times New Roman" w:eastAsia="宋体"/>
                <w:color w:val="auto"/>
                <w:spacing w:val="4"/>
                <w:kern w:val="18"/>
                <w:sz w:val="21"/>
                <w:highlight w:val="none"/>
                <w:lang w:val="en-US" w:eastAsia="zh-CN"/>
              </w:rPr>
              <w:t>1.69</w:t>
            </w:r>
          </w:p>
        </w:tc>
        <w:tc>
          <w:tcPr>
            <w:tcW w:w="513" w:type="pct"/>
            <w:vAlign w:val="center"/>
          </w:tcPr>
          <w:p>
            <w:pPr>
              <w:spacing w:line="240" w:lineRule="auto"/>
              <w:ind w:left="0" w:leftChars="0" w:firstLine="0" w:firstLineChars="0"/>
              <w:jc w:val="center"/>
              <w:rPr>
                <w:rFonts w:hint="eastAsia"/>
                <w:color w:val="auto"/>
                <w:spacing w:val="4"/>
                <w:kern w:val="18"/>
                <w:sz w:val="21"/>
                <w:highlight w:val="none"/>
                <w:lang w:val="en-US" w:eastAsia="zh-CN"/>
              </w:rPr>
            </w:pPr>
            <w:r>
              <w:rPr>
                <w:rFonts w:hint="eastAsia" w:ascii="Times New Roman" w:eastAsia="宋体"/>
                <w:color w:val="auto"/>
                <w:spacing w:val="4"/>
                <w:kern w:val="18"/>
                <w:sz w:val="21"/>
                <w:highlight w:val="none"/>
                <w:lang w:val="en-US" w:eastAsia="zh-CN"/>
              </w:rPr>
              <w:t>/</w:t>
            </w:r>
          </w:p>
        </w:tc>
        <w:tc>
          <w:tcPr>
            <w:tcW w:w="512" w:type="pct"/>
            <w:vAlign w:val="center"/>
          </w:tcPr>
          <w:p>
            <w:pPr>
              <w:spacing w:line="240" w:lineRule="auto"/>
              <w:ind w:left="0" w:leftChars="0" w:firstLine="0" w:firstLineChars="0"/>
              <w:jc w:val="center"/>
              <w:rPr>
                <w:rFonts w:hint="default"/>
                <w:color w:val="auto"/>
                <w:spacing w:val="4"/>
                <w:kern w:val="18"/>
                <w:sz w:val="21"/>
                <w:highlight w:val="none"/>
                <w:lang w:val="en-US" w:eastAsia="zh-CN"/>
              </w:rPr>
            </w:pPr>
            <w:r>
              <w:rPr>
                <w:rFonts w:hint="eastAsia"/>
                <w:color w:val="auto"/>
                <w:spacing w:val="4"/>
                <w:kern w:val="18"/>
                <w:sz w:val="21"/>
                <w:highlight w:val="none"/>
                <w:lang w:val="en-US" w:eastAsia="zh-CN"/>
              </w:rPr>
              <w:t>0.338</w:t>
            </w:r>
          </w:p>
        </w:tc>
        <w:tc>
          <w:tcPr>
            <w:tcW w:w="530" w:type="pct"/>
            <w:vAlign w:val="center"/>
          </w:tcPr>
          <w:p>
            <w:pPr>
              <w:adjustRightInd w:val="0"/>
              <w:snapToGrid w:val="0"/>
              <w:spacing w:line="240" w:lineRule="auto"/>
              <w:ind w:firstLine="0" w:firstLineChars="0"/>
              <w:jc w:val="center"/>
              <w:rPr>
                <w:rFonts w:hint="eastAsia"/>
                <w:color w:val="auto"/>
                <w:sz w:val="21"/>
                <w:highlight w:val="none"/>
              </w:rPr>
            </w:pPr>
            <w:r>
              <w:rPr>
                <w:color w:val="auto"/>
                <w:sz w:val="21"/>
                <w:highlight w:val="none"/>
              </w:rPr>
              <w:t>/</w:t>
            </w:r>
          </w:p>
        </w:tc>
        <w:tc>
          <w:tcPr>
            <w:tcW w:w="1699" w:type="pct"/>
            <w:vMerge w:val="restart"/>
            <w:tcBorders>
              <w:right w:val="single" w:color="auto" w:sz="12" w:space="0"/>
            </w:tcBorders>
            <w:vAlign w:val="center"/>
          </w:tcPr>
          <w:p>
            <w:pPr>
              <w:spacing w:line="240" w:lineRule="auto"/>
              <w:ind w:firstLine="0" w:firstLineChars="0"/>
              <w:jc w:val="center"/>
              <w:rPr>
                <w:rFonts w:hint="eastAsia"/>
                <w:color w:val="auto"/>
                <w:sz w:val="21"/>
                <w:highlight w:val="none"/>
              </w:rPr>
            </w:pPr>
            <w:r>
              <w:rPr>
                <w:rFonts w:hint="eastAsia"/>
                <w:color w:val="auto"/>
                <w:sz w:val="21"/>
                <w:highlight w:val="none"/>
              </w:rPr>
              <w:t>固粪处理区喷洒除臭剂，配备除臭墙除臭</w:t>
            </w:r>
            <w:r>
              <w:rPr>
                <w:rFonts w:hint="eastAsia"/>
                <w:color w:val="auto"/>
                <w:sz w:val="21"/>
                <w:highlight w:val="none"/>
                <w:lang w:eastAsia="zh-CN"/>
              </w:rPr>
              <w:t>，</w:t>
            </w:r>
            <w:r>
              <w:rPr>
                <w:rFonts w:hint="eastAsia"/>
                <w:color w:val="auto"/>
                <w:sz w:val="21"/>
                <w:highlight w:val="none"/>
              </w:rPr>
              <w:t>并加强场区绿化</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484" w:type="pct"/>
            <w:vMerge w:val="continue"/>
            <w:tcBorders>
              <w:left w:val="single" w:color="auto" w:sz="12" w:space="0"/>
            </w:tcBorders>
            <w:vAlign w:val="center"/>
          </w:tcPr>
          <w:p>
            <w:pPr>
              <w:spacing w:line="240" w:lineRule="auto"/>
              <w:ind w:left="0" w:leftChars="0" w:firstLine="0" w:firstLineChars="0"/>
              <w:jc w:val="center"/>
              <w:rPr>
                <w:rFonts w:hint="eastAsia"/>
                <w:color w:val="auto"/>
                <w:spacing w:val="4"/>
                <w:kern w:val="18"/>
                <w:sz w:val="21"/>
                <w:highlight w:val="none"/>
                <w:lang w:val="en-US" w:eastAsia="zh-CN"/>
              </w:rPr>
            </w:pPr>
          </w:p>
        </w:tc>
        <w:tc>
          <w:tcPr>
            <w:tcW w:w="342" w:type="pct"/>
            <w:vAlign w:val="center"/>
          </w:tcPr>
          <w:p>
            <w:pPr>
              <w:spacing w:line="240" w:lineRule="auto"/>
              <w:ind w:left="0" w:leftChars="0" w:firstLine="0" w:firstLineChars="0"/>
              <w:jc w:val="center"/>
              <w:rPr>
                <w:rFonts w:hint="eastAsia"/>
                <w:color w:val="auto"/>
                <w:spacing w:val="4"/>
                <w:kern w:val="18"/>
                <w:sz w:val="21"/>
                <w:highlight w:val="none"/>
                <w:lang w:val="en-US" w:eastAsia="zh-CN"/>
              </w:rPr>
            </w:pPr>
            <w:r>
              <w:rPr>
                <w:rFonts w:hint="eastAsia" w:ascii="Times New Roman" w:eastAsia="宋体"/>
                <w:color w:val="auto"/>
                <w:spacing w:val="4"/>
                <w:kern w:val="18"/>
                <w:sz w:val="21"/>
                <w:highlight w:val="none"/>
                <w:lang w:val="en-US" w:eastAsia="zh-CN"/>
              </w:rPr>
              <w:t>H</w:t>
            </w:r>
            <w:r>
              <w:rPr>
                <w:rFonts w:hint="eastAsia" w:ascii="Times New Roman" w:eastAsia="宋体"/>
                <w:color w:val="auto"/>
                <w:spacing w:val="4"/>
                <w:kern w:val="18"/>
                <w:sz w:val="21"/>
                <w:highlight w:val="none"/>
                <w:vertAlign w:val="subscript"/>
                <w:lang w:val="en-US" w:eastAsia="zh-CN"/>
              </w:rPr>
              <w:t>2</w:t>
            </w:r>
            <w:r>
              <w:rPr>
                <w:rFonts w:hint="eastAsia" w:ascii="Times New Roman" w:eastAsia="宋体"/>
                <w:color w:val="auto"/>
                <w:spacing w:val="4"/>
                <w:kern w:val="18"/>
                <w:sz w:val="21"/>
                <w:highlight w:val="none"/>
                <w:lang w:val="en-US" w:eastAsia="zh-CN"/>
              </w:rPr>
              <w:t>S</w:t>
            </w:r>
          </w:p>
        </w:tc>
        <w:tc>
          <w:tcPr>
            <w:tcW w:w="404" w:type="pct"/>
            <w:vAlign w:val="center"/>
          </w:tcPr>
          <w:p>
            <w:pPr>
              <w:spacing w:line="240" w:lineRule="auto"/>
              <w:ind w:left="0" w:leftChars="0" w:firstLine="0" w:firstLineChars="0"/>
              <w:jc w:val="center"/>
              <w:rPr>
                <w:rFonts w:hint="eastAsia"/>
                <w:color w:val="auto"/>
                <w:spacing w:val="4"/>
                <w:kern w:val="18"/>
                <w:sz w:val="21"/>
                <w:highlight w:val="none"/>
                <w:lang w:val="en-US" w:eastAsia="zh-CN"/>
              </w:rPr>
            </w:pPr>
            <w:r>
              <w:rPr>
                <w:rFonts w:hint="eastAsia" w:ascii="Times New Roman" w:eastAsia="宋体"/>
                <w:color w:val="auto"/>
                <w:spacing w:val="4"/>
                <w:kern w:val="18"/>
                <w:sz w:val="21"/>
                <w:highlight w:val="none"/>
                <w:lang w:val="en-US" w:eastAsia="zh-CN"/>
              </w:rPr>
              <w:t>无组织</w:t>
            </w:r>
          </w:p>
        </w:tc>
        <w:tc>
          <w:tcPr>
            <w:tcW w:w="513" w:type="pct"/>
            <w:vAlign w:val="center"/>
          </w:tcPr>
          <w:p>
            <w:pPr>
              <w:spacing w:line="240" w:lineRule="auto"/>
              <w:ind w:left="0" w:leftChars="0" w:firstLine="0" w:firstLineChars="0"/>
              <w:jc w:val="center"/>
              <w:rPr>
                <w:rFonts w:hint="default"/>
                <w:color w:val="auto"/>
                <w:spacing w:val="4"/>
                <w:kern w:val="18"/>
                <w:sz w:val="21"/>
                <w:highlight w:val="none"/>
                <w:lang w:val="en-US" w:eastAsia="zh-CN"/>
              </w:rPr>
            </w:pPr>
            <w:r>
              <w:rPr>
                <w:rFonts w:hint="eastAsia" w:ascii="Times New Roman" w:eastAsia="宋体"/>
                <w:color w:val="auto"/>
                <w:spacing w:val="4"/>
                <w:kern w:val="18"/>
                <w:sz w:val="21"/>
                <w:highlight w:val="none"/>
                <w:lang w:val="en-US" w:eastAsia="zh-CN"/>
              </w:rPr>
              <w:t>0.10</w:t>
            </w:r>
          </w:p>
        </w:tc>
        <w:tc>
          <w:tcPr>
            <w:tcW w:w="513" w:type="pct"/>
            <w:vAlign w:val="center"/>
          </w:tcPr>
          <w:p>
            <w:pPr>
              <w:spacing w:line="240" w:lineRule="auto"/>
              <w:ind w:left="0" w:leftChars="0" w:firstLine="0" w:firstLineChars="0"/>
              <w:jc w:val="center"/>
              <w:rPr>
                <w:rFonts w:hint="eastAsia"/>
                <w:color w:val="auto"/>
                <w:spacing w:val="4"/>
                <w:kern w:val="18"/>
                <w:sz w:val="21"/>
                <w:highlight w:val="none"/>
                <w:lang w:val="en-US" w:eastAsia="zh-CN"/>
              </w:rPr>
            </w:pPr>
            <w:r>
              <w:rPr>
                <w:rFonts w:hint="eastAsia" w:ascii="Times New Roman" w:eastAsia="宋体"/>
                <w:color w:val="auto"/>
                <w:spacing w:val="4"/>
                <w:kern w:val="18"/>
                <w:sz w:val="21"/>
                <w:highlight w:val="none"/>
                <w:lang w:val="en-US" w:eastAsia="zh-CN"/>
              </w:rPr>
              <w:t>/</w:t>
            </w:r>
          </w:p>
        </w:tc>
        <w:tc>
          <w:tcPr>
            <w:tcW w:w="512" w:type="pct"/>
            <w:vAlign w:val="center"/>
          </w:tcPr>
          <w:p>
            <w:pPr>
              <w:spacing w:line="240" w:lineRule="auto"/>
              <w:ind w:left="0" w:leftChars="0" w:firstLine="0" w:firstLineChars="0"/>
              <w:jc w:val="center"/>
              <w:rPr>
                <w:rFonts w:hint="eastAsia"/>
                <w:color w:val="auto"/>
                <w:spacing w:val="4"/>
                <w:kern w:val="18"/>
                <w:sz w:val="21"/>
                <w:highlight w:val="none"/>
                <w:lang w:val="en-US" w:eastAsia="zh-CN"/>
              </w:rPr>
            </w:pPr>
            <w:r>
              <w:rPr>
                <w:rFonts w:hint="eastAsia" w:ascii="Times New Roman" w:eastAsia="宋体"/>
                <w:color w:val="auto"/>
                <w:spacing w:val="4"/>
                <w:kern w:val="18"/>
                <w:sz w:val="21"/>
                <w:highlight w:val="none"/>
                <w:lang w:val="en-US" w:eastAsia="zh-CN"/>
              </w:rPr>
              <w:t>0.0</w:t>
            </w:r>
            <w:r>
              <w:rPr>
                <w:rFonts w:hint="eastAsia"/>
                <w:color w:val="auto"/>
                <w:spacing w:val="4"/>
                <w:kern w:val="18"/>
                <w:sz w:val="21"/>
                <w:highlight w:val="none"/>
                <w:lang w:val="en-US" w:eastAsia="zh-CN"/>
              </w:rPr>
              <w:t>2</w:t>
            </w:r>
          </w:p>
        </w:tc>
        <w:tc>
          <w:tcPr>
            <w:tcW w:w="530" w:type="pct"/>
            <w:vAlign w:val="center"/>
          </w:tcPr>
          <w:p>
            <w:pPr>
              <w:spacing w:line="240" w:lineRule="auto"/>
              <w:ind w:firstLine="0" w:firstLineChars="0"/>
              <w:jc w:val="center"/>
              <w:rPr>
                <w:rFonts w:hint="eastAsia"/>
                <w:color w:val="auto"/>
                <w:sz w:val="21"/>
                <w:highlight w:val="none"/>
              </w:rPr>
            </w:pPr>
            <w:r>
              <w:rPr>
                <w:color w:val="auto"/>
                <w:sz w:val="21"/>
                <w:highlight w:val="none"/>
              </w:rPr>
              <w:t>/</w:t>
            </w:r>
          </w:p>
        </w:tc>
        <w:tc>
          <w:tcPr>
            <w:tcW w:w="1699" w:type="pct"/>
            <w:vMerge w:val="continue"/>
            <w:tcBorders>
              <w:right w:val="single" w:color="auto" w:sz="12" w:space="0"/>
            </w:tcBorders>
            <w:vAlign w:val="center"/>
          </w:tcPr>
          <w:p>
            <w:pPr>
              <w:spacing w:line="240" w:lineRule="auto"/>
              <w:ind w:firstLine="0" w:firstLineChars="0"/>
              <w:jc w:val="center"/>
              <w:rPr>
                <w:rFonts w:hint="eastAsia"/>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484" w:type="pct"/>
            <w:vMerge w:val="restart"/>
            <w:tcBorders>
              <w:left w:val="single" w:color="auto" w:sz="12" w:space="0"/>
            </w:tcBorders>
            <w:vAlign w:val="center"/>
          </w:tcPr>
          <w:p>
            <w:pPr>
              <w:spacing w:line="240" w:lineRule="auto"/>
              <w:ind w:firstLine="0" w:firstLineChars="0"/>
              <w:jc w:val="center"/>
              <w:rPr>
                <w:rFonts w:hint="eastAsia"/>
                <w:color w:val="auto"/>
                <w:sz w:val="21"/>
                <w:highlight w:val="none"/>
                <w:lang w:eastAsia="zh-CN"/>
              </w:rPr>
            </w:pPr>
            <w:r>
              <w:rPr>
                <w:rFonts w:hint="eastAsia" w:eastAsia="宋体"/>
                <w:color w:val="auto"/>
                <w:sz w:val="21"/>
                <w:highlight w:val="none"/>
                <w:lang w:eastAsia="zh-CN"/>
              </w:rPr>
              <w:t>沼液储存池废气</w:t>
            </w:r>
          </w:p>
        </w:tc>
        <w:tc>
          <w:tcPr>
            <w:tcW w:w="342" w:type="pct"/>
            <w:vAlign w:val="center"/>
          </w:tcPr>
          <w:p>
            <w:pPr>
              <w:spacing w:line="240" w:lineRule="auto"/>
              <w:ind w:left="0" w:leftChars="0" w:firstLine="0" w:firstLineChars="0"/>
              <w:jc w:val="center"/>
              <w:rPr>
                <w:rFonts w:hint="eastAsia" w:cs="Times New Roman"/>
                <w:b w:val="0"/>
                <w:bCs/>
                <w:color w:val="auto"/>
                <w:sz w:val="21"/>
                <w:szCs w:val="21"/>
                <w:highlight w:val="none"/>
              </w:rPr>
            </w:pPr>
            <w:r>
              <w:rPr>
                <w:rFonts w:hint="eastAsia" w:ascii="Times New Roman" w:eastAsia="宋体"/>
                <w:color w:val="auto"/>
                <w:spacing w:val="4"/>
                <w:kern w:val="18"/>
                <w:sz w:val="21"/>
                <w:highlight w:val="none"/>
                <w:lang w:val="en-US" w:eastAsia="zh-CN"/>
              </w:rPr>
              <w:t>NH</w:t>
            </w:r>
            <w:r>
              <w:rPr>
                <w:rFonts w:hint="eastAsia" w:ascii="Times New Roman" w:eastAsia="宋体"/>
                <w:color w:val="auto"/>
                <w:spacing w:val="4"/>
                <w:kern w:val="18"/>
                <w:sz w:val="21"/>
                <w:highlight w:val="none"/>
                <w:vertAlign w:val="subscript"/>
                <w:lang w:val="en-US" w:eastAsia="zh-CN"/>
              </w:rPr>
              <w:t>3</w:t>
            </w:r>
          </w:p>
        </w:tc>
        <w:tc>
          <w:tcPr>
            <w:tcW w:w="404" w:type="pct"/>
            <w:vAlign w:val="center"/>
          </w:tcPr>
          <w:p>
            <w:pPr>
              <w:spacing w:line="240" w:lineRule="auto"/>
              <w:ind w:left="0" w:leftChars="0" w:firstLine="0" w:firstLineChars="0"/>
              <w:jc w:val="center"/>
              <w:rPr>
                <w:rFonts w:hint="eastAsia"/>
                <w:color w:val="auto"/>
                <w:sz w:val="21"/>
                <w:highlight w:val="none"/>
              </w:rPr>
            </w:pPr>
            <w:r>
              <w:rPr>
                <w:rFonts w:hint="eastAsia" w:ascii="Times New Roman" w:eastAsia="宋体"/>
                <w:color w:val="auto"/>
                <w:spacing w:val="4"/>
                <w:kern w:val="18"/>
                <w:sz w:val="21"/>
                <w:highlight w:val="none"/>
                <w:lang w:val="en-US" w:eastAsia="zh-CN"/>
              </w:rPr>
              <w:t>无组织</w:t>
            </w:r>
          </w:p>
        </w:tc>
        <w:tc>
          <w:tcPr>
            <w:tcW w:w="513" w:type="pct"/>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0.13</w:t>
            </w:r>
          </w:p>
        </w:tc>
        <w:tc>
          <w:tcPr>
            <w:tcW w:w="513" w:type="pct"/>
            <w:vAlign w:val="center"/>
          </w:tcPr>
          <w:p>
            <w:pPr>
              <w:spacing w:line="240" w:lineRule="auto"/>
              <w:ind w:left="0" w:leftChars="0" w:firstLine="0" w:firstLineChars="0"/>
              <w:jc w:val="center"/>
              <w:rPr>
                <w:rFonts w:hint="eastAsia" w:cs="Times New Roman"/>
                <w:b w:val="0"/>
                <w:bCs/>
                <w:color w:val="auto"/>
                <w:sz w:val="21"/>
                <w:szCs w:val="21"/>
                <w:highlight w:val="none"/>
                <w:lang w:val="en-US" w:eastAsia="zh-CN"/>
              </w:rPr>
            </w:pPr>
            <w:r>
              <w:rPr>
                <w:rFonts w:hint="eastAsia" w:ascii="Times New Roman" w:eastAsia="宋体"/>
                <w:color w:val="auto"/>
                <w:spacing w:val="4"/>
                <w:kern w:val="18"/>
                <w:sz w:val="21"/>
                <w:highlight w:val="none"/>
                <w:lang w:val="en-US" w:eastAsia="zh-CN"/>
              </w:rPr>
              <w:t>/</w:t>
            </w:r>
          </w:p>
        </w:tc>
        <w:tc>
          <w:tcPr>
            <w:tcW w:w="512" w:type="pct"/>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0.04</w:t>
            </w:r>
          </w:p>
        </w:tc>
        <w:tc>
          <w:tcPr>
            <w:tcW w:w="530" w:type="pct"/>
            <w:vAlign w:val="center"/>
          </w:tcPr>
          <w:p>
            <w:pPr>
              <w:spacing w:line="240" w:lineRule="auto"/>
              <w:ind w:left="0" w:leftChars="0" w:firstLine="0" w:firstLineChars="0"/>
              <w:jc w:val="center"/>
              <w:rPr>
                <w:rFonts w:hint="eastAsia" w:cs="Times New Roman"/>
                <w:b w:val="0"/>
                <w:bCs/>
                <w:color w:val="auto"/>
                <w:sz w:val="21"/>
                <w:szCs w:val="21"/>
                <w:highlight w:val="none"/>
                <w:lang w:val="en-US" w:eastAsia="zh-CN"/>
              </w:rPr>
            </w:pPr>
            <w:r>
              <w:rPr>
                <w:rFonts w:hint="eastAsia" w:ascii="Times New Roman" w:eastAsia="宋体"/>
                <w:color w:val="auto"/>
                <w:spacing w:val="4"/>
                <w:kern w:val="18"/>
                <w:sz w:val="21"/>
                <w:highlight w:val="none"/>
                <w:lang w:val="en-US" w:eastAsia="zh-CN"/>
              </w:rPr>
              <w:t>/</w:t>
            </w:r>
          </w:p>
        </w:tc>
        <w:tc>
          <w:tcPr>
            <w:tcW w:w="1699" w:type="pct"/>
            <w:vMerge w:val="restart"/>
            <w:tcBorders>
              <w:right w:val="single" w:color="auto" w:sz="12" w:space="0"/>
            </w:tcBorders>
            <w:vAlign w:val="center"/>
          </w:tcPr>
          <w:p>
            <w:pPr>
              <w:spacing w:line="240" w:lineRule="auto"/>
              <w:ind w:firstLine="0" w:firstLineChars="0"/>
              <w:jc w:val="center"/>
              <w:rPr>
                <w:rFonts w:hint="eastAsia" w:ascii="Times New Roman" w:hAnsi="Times New Roman" w:eastAsia="宋体" w:cstheme="minorBidi"/>
                <w:color w:val="auto"/>
                <w:kern w:val="2"/>
                <w:sz w:val="21"/>
                <w:szCs w:val="24"/>
                <w:highlight w:val="none"/>
                <w:lang w:val="en-US" w:eastAsia="zh-CN" w:bidi="ar-SA"/>
              </w:rPr>
            </w:pPr>
            <w:r>
              <w:rPr>
                <w:rFonts w:hint="eastAsia"/>
                <w:color w:val="auto"/>
                <w:sz w:val="21"/>
                <w:highlight w:val="none"/>
              </w:rPr>
              <w:t>喷洒除臭剂，并加强场区绿化</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484" w:type="pct"/>
            <w:vMerge w:val="continue"/>
            <w:tcBorders>
              <w:left w:val="single" w:color="auto" w:sz="12" w:space="0"/>
            </w:tcBorders>
            <w:vAlign w:val="center"/>
          </w:tcPr>
          <w:p>
            <w:pPr>
              <w:spacing w:line="240" w:lineRule="auto"/>
              <w:ind w:firstLine="0" w:firstLineChars="0"/>
              <w:jc w:val="center"/>
              <w:rPr>
                <w:rFonts w:hint="eastAsia"/>
                <w:color w:val="auto"/>
                <w:sz w:val="21"/>
                <w:highlight w:val="none"/>
                <w:lang w:eastAsia="zh-CN"/>
              </w:rPr>
            </w:pPr>
          </w:p>
        </w:tc>
        <w:tc>
          <w:tcPr>
            <w:tcW w:w="342" w:type="pct"/>
            <w:vAlign w:val="center"/>
          </w:tcPr>
          <w:p>
            <w:pPr>
              <w:spacing w:line="240" w:lineRule="auto"/>
              <w:ind w:left="0" w:leftChars="0" w:firstLine="0" w:firstLineChars="0"/>
              <w:jc w:val="center"/>
              <w:rPr>
                <w:rFonts w:hint="eastAsia" w:cs="Times New Roman"/>
                <w:b w:val="0"/>
                <w:bCs/>
                <w:color w:val="auto"/>
                <w:sz w:val="21"/>
                <w:szCs w:val="21"/>
                <w:highlight w:val="none"/>
              </w:rPr>
            </w:pPr>
            <w:r>
              <w:rPr>
                <w:rFonts w:hint="eastAsia" w:ascii="Times New Roman" w:eastAsia="宋体"/>
                <w:color w:val="auto"/>
                <w:spacing w:val="4"/>
                <w:kern w:val="18"/>
                <w:sz w:val="21"/>
                <w:highlight w:val="none"/>
                <w:lang w:val="en-US" w:eastAsia="zh-CN"/>
              </w:rPr>
              <w:t>H</w:t>
            </w:r>
            <w:r>
              <w:rPr>
                <w:rFonts w:hint="eastAsia" w:ascii="Times New Roman" w:eastAsia="宋体"/>
                <w:color w:val="auto"/>
                <w:spacing w:val="4"/>
                <w:kern w:val="18"/>
                <w:sz w:val="21"/>
                <w:highlight w:val="none"/>
                <w:vertAlign w:val="subscript"/>
                <w:lang w:val="en-US" w:eastAsia="zh-CN"/>
              </w:rPr>
              <w:t>2</w:t>
            </w:r>
            <w:r>
              <w:rPr>
                <w:rFonts w:hint="eastAsia" w:ascii="Times New Roman" w:eastAsia="宋体"/>
                <w:color w:val="auto"/>
                <w:spacing w:val="4"/>
                <w:kern w:val="18"/>
                <w:sz w:val="21"/>
                <w:highlight w:val="none"/>
                <w:lang w:val="en-US" w:eastAsia="zh-CN"/>
              </w:rPr>
              <w:t>S</w:t>
            </w:r>
          </w:p>
        </w:tc>
        <w:tc>
          <w:tcPr>
            <w:tcW w:w="404" w:type="pct"/>
            <w:vAlign w:val="center"/>
          </w:tcPr>
          <w:p>
            <w:pPr>
              <w:spacing w:line="240" w:lineRule="auto"/>
              <w:ind w:left="0" w:leftChars="0" w:firstLine="0" w:firstLineChars="0"/>
              <w:jc w:val="center"/>
              <w:rPr>
                <w:rFonts w:hint="eastAsia"/>
                <w:color w:val="auto"/>
                <w:sz w:val="21"/>
                <w:highlight w:val="none"/>
              </w:rPr>
            </w:pPr>
            <w:r>
              <w:rPr>
                <w:rFonts w:hint="eastAsia" w:ascii="Times New Roman" w:eastAsia="宋体"/>
                <w:color w:val="auto"/>
                <w:spacing w:val="4"/>
                <w:kern w:val="18"/>
                <w:sz w:val="21"/>
                <w:highlight w:val="none"/>
                <w:lang w:val="en-US" w:eastAsia="zh-CN"/>
              </w:rPr>
              <w:t>无组织</w:t>
            </w:r>
          </w:p>
        </w:tc>
        <w:tc>
          <w:tcPr>
            <w:tcW w:w="513" w:type="pct"/>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0.01</w:t>
            </w:r>
          </w:p>
        </w:tc>
        <w:tc>
          <w:tcPr>
            <w:tcW w:w="513" w:type="pct"/>
            <w:vAlign w:val="center"/>
          </w:tcPr>
          <w:p>
            <w:pPr>
              <w:spacing w:line="240" w:lineRule="auto"/>
              <w:ind w:left="0" w:leftChars="0" w:firstLine="0" w:firstLineChars="0"/>
              <w:jc w:val="center"/>
              <w:rPr>
                <w:rFonts w:hint="eastAsia" w:cs="Times New Roman"/>
                <w:b w:val="0"/>
                <w:bCs/>
                <w:color w:val="auto"/>
                <w:sz w:val="21"/>
                <w:szCs w:val="21"/>
                <w:highlight w:val="none"/>
                <w:lang w:val="en-US" w:eastAsia="zh-CN"/>
              </w:rPr>
            </w:pPr>
            <w:r>
              <w:rPr>
                <w:rFonts w:hint="eastAsia" w:ascii="Times New Roman" w:eastAsia="宋体"/>
                <w:color w:val="auto"/>
                <w:spacing w:val="4"/>
                <w:kern w:val="18"/>
                <w:sz w:val="21"/>
                <w:highlight w:val="none"/>
                <w:lang w:val="en-US" w:eastAsia="zh-CN"/>
              </w:rPr>
              <w:t>/</w:t>
            </w:r>
          </w:p>
        </w:tc>
        <w:tc>
          <w:tcPr>
            <w:tcW w:w="512" w:type="pct"/>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0.003</w:t>
            </w:r>
          </w:p>
        </w:tc>
        <w:tc>
          <w:tcPr>
            <w:tcW w:w="530" w:type="pct"/>
            <w:vAlign w:val="center"/>
          </w:tcPr>
          <w:p>
            <w:pPr>
              <w:spacing w:line="240" w:lineRule="auto"/>
              <w:ind w:left="0" w:leftChars="0" w:firstLine="0" w:firstLineChars="0"/>
              <w:jc w:val="center"/>
              <w:rPr>
                <w:rFonts w:hint="eastAsia" w:cs="Times New Roman"/>
                <w:b w:val="0"/>
                <w:bCs/>
                <w:color w:val="auto"/>
                <w:sz w:val="21"/>
                <w:szCs w:val="21"/>
                <w:highlight w:val="none"/>
                <w:lang w:val="en-US" w:eastAsia="zh-CN"/>
              </w:rPr>
            </w:pPr>
            <w:r>
              <w:rPr>
                <w:rFonts w:hint="eastAsia" w:ascii="Times New Roman" w:eastAsia="宋体"/>
                <w:color w:val="auto"/>
                <w:spacing w:val="4"/>
                <w:kern w:val="18"/>
                <w:sz w:val="21"/>
                <w:highlight w:val="none"/>
                <w:lang w:val="en-US" w:eastAsia="zh-CN"/>
              </w:rPr>
              <w:t>/</w:t>
            </w:r>
          </w:p>
        </w:tc>
        <w:tc>
          <w:tcPr>
            <w:tcW w:w="1699" w:type="pct"/>
            <w:vMerge w:val="continue"/>
            <w:tcBorders>
              <w:right w:val="single" w:color="auto" w:sz="12" w:space="0"/>
            </w:tcBorders>
            <w:vAlign w:val="center"/>
          </w:tcPr>
          <w:p>
            <w:pPr>
              <w:spacing w:line="240" w:lineRule="auto"/>
              <w:ind w:firstLine="0" w:firstLineChars="0"/>
              <w:jc w:val="center"/>
              <w:rPr>
                <w:rFonts w:hint="eastAsia"/>
                <w:color w:val="auto"/>
                <w:sz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484" w:type="pct"/>
            <w:vMerge w:val="restart"/>
            <w:tcBorders>
              <w:left w:val="single" w:color="auto" w:sz="12" w:space="0"/>
            </w:tcBorders>
            <w:vAlign w:val="center"/>
          </w:tcPr>
          <w:p>
            <w:pPr>
              <w:spacing w:line="240" w:lineRule="auto"/>
              <w:ind w:firstLine="0" w:firstLineChars="0"/>
              <w:jc w:val="center"/>
              <w:rPr>
                <w:rFonts w:hint="eastAsia"/>
                <w:color w:val="auto"/>
                <w:sz w:val="21"/>
                <w:highlight w:val="none"/>
                <w:lang w:eastAsia="zh-CN"/>
              </w:rPr>
            </w:pPr>
            <w:r>
              <w:rPr>
                <w:rFonts w:hint="eastAsia" w:eastAsia="宋体"/>
                <w:color w:val="auto"/>
                <w:sz w:val="21"/>
                <w:highlight w:val="none"/>
                <w:lang w:eastAsia="zh-CN"/>
              </w:rPr>
              <w:t>无害化处理车间废气</w:t>
            </w:r>
          </w:p>
        </w:tc>
        <w:tc>
          <w:tcPr>
            <w:tcW w:w="342" w:type="pct"/>
            <w:vAlign w:val="center"/>
          </w:tcPr>
          <w:p>
            <w:pPr>
              <w:spacing w:line="240" w:lineRule="auto"/>
              <w:ind w:left="0" w:leftChars="0" w:firstLine="0" w:firstLineChars="0"/>
              <w:jc w:val="center"/>
              <w:rPr>
                <w:rFonts w:hint="eastAsia"/>
                <w:color w:val="auto"/>
                <w:spacing w:val="4"/>
                <w:kern w:val="18"/>
                <w:sz w:val="21"/>
                <w:highlight w:val="none"/>
                <w:lang w:val="en-US" w:eastAsia="zh-CN"/>
              </w:rPr>
            </w:pPr>
            <w:r>
              <w:rPr>
                <w:rFonts w:hint="eastAsia" w:ascii="Times New Roman" w:eastAsia="宋体"/>
                <w:color w:val="auto"/>
                <w:spacing w:val="4"/>
                <w:kern w:val="18"/>
                <w:sz w:val="21"/>
                <w:highlight w:val="none"/>
                <w:lang w:val="en-US" w:eastAsia="zh-CN"/>
              </w:rPr>
              <w:t>NH</w:t>
            </w:r>
            <w:r>
              <w:rPr>
                <w:rFonts w:hint="eastAsia" w:ascii="Times New Roman" w:eastAsia="宋体"/>
                <w:color w:val="auto"/>
                <w:spacing w:val="4"/>
                <w:kern w:val="18"/>
                <w:sz w:val="21"/>
                <w:highlight w:val="none"/>
                <w:vertAlign w:val="subscript"/>
                <w:lang w:val="en-US" w:eastAsia="zh-CN"/>
              </w:rPr>
              <w:t>3</w:t>
            </w:r>
          </w:p>
        </w:tc>
        <w:tc>
          <w:tcPr>
            <w:tcW w:w="404" w:type="pct"/>
            <w:vAlign w:val="center"/>
          </w:tcPr>
          <w:p>
            <w:pPr>
              <w:spacing w:line="240" w:lineRule="auto"/>
              <w:ind w:left="0" w:leftChars="0" w:firstLine="0" w:firstLineChars="0"/>
              <w:jc w:val="center"/>
              <w:rPr>
                <w:rFonts w:hint="eastAsia"/>
                <w:color w:val="auto"/>
                <w:spacing w:val="4"/>
                <w:kern w:val="18"/>
                <w:sz w:val="21"/>
                <w:highlight w:val="none"/>
                <w:lang w:val="en-US" w:eastAsia="zh-CN"/>
              </w:rPr>
            </w:pPr>
            <w:r>
              <w:rPr>
                <w:rFonts w:hint="eastAsia" w:ascii="Times New Roman" w:eastAsia="宋体"/>
                <w:color w:val="auto"/>
                <w:spacing w:val="4"/>
                <w:kern w:val="18"/>
                <w:sz w:val="21"/>
                <w:highlight w:val="none"/>
                <w:lang w:val="en-US" w:eastAsia="zh-CN"/>
              </w:rPr>
              <w:t>无组织</w:t>
            </w:r>
          </w:p>
        </w:tc>
        <w:tc>
          <w:tcPr>
            <w:tcW w:w="513" w:type="pct"/>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0.004</w:t>
            </w:r>
          </w:p>
        </w:tc>
        <w:tc>
          <w:tcPr>
            <w:tcW w:w="513" w:type="pct"/>
            <w:vAlign w:val="center"/>
          </w:tcPr>
          <w:p>
            <w:pPr>
              <w:spacing w:line="240" w:lineRule="auto"/>
              <w:ind w:left="0" w:leftChars="0" w:firstLine="0" w:firstLineChars="0"/>
              <w:jc w:val="center"/>
              <w:rPr>
                <w:rFonts w:hint="eastAsia" w:cs="Times New Roman"/>
                <w:b w:val="0"/>
                <w:bCs/>
                <w:color w:val="auto"/>
                <w:sz w:val="21"/>
                <w:szCs w:val="21"/>
                <w:highlight w:val="none"/>
                <w:lang w:val="en-US" w:eastAsia="zh-CN"/>
              </w:rPr>
            </w:pPr>
            <w:r>
              <w:rPr>
                <w:rFonts w:hint="eastAsia" w:ascii="Times New Roman" w:eastAsia="宋体"/>
                <w:color w:val="auto"/>
                <w:spacing w:val="4"/>
                <w:kern w:val="18"/>
                <w:sz w:val="21"/>
                <w:highlight w:val="none"/>
                <w:lang w:val="en-US" w:eastAsia="zh-CN"/>
              </w:rPr>
              <w:t>/</w:t>
            </w:r>
          </w:p>
        </w:tc>
        <w:tc>
          <w:tcPr>
            <w:tcW w:w="512" w:type="pct"/>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0.0008</w:t>
            </w:r>
          </w:p>
        </w:tc>
        <w:tc>
          <w:tcPr>
            <w:tcW w:w="530" w:type="pct"/>
            <w:vAlign w:val="center"/>
          </w:tcPr>
          <w:p>
            <w:pPr>
              <w:spacing w:line="240" w:lineRule="auto"/>
              <w:ind w:left="0" w:leftChars="0" w:firstLine="0" w:firstLineChars="0"/>
              <w:jc w:val="center"/>
              <w:rPr>
                <w:rFonts w:hint="eastAsia" w:cs="Times New Roman"/>
                <w:b w:val="0"/>
                <w:bCs/>
                <w:color w:val="auto"/>
                <w:sz w:val="21"/>
                <w:szCs w:val="21"/>
                <w:highlight w:val="none"/>
                <w:lang w:val="en-US" w:eastAsia="zh-CN"/>
              </w:rPr>
            </w:pPr>
            <w:r>
              <w:rPr>
                <w:rFonts w:hint="eastAsia" w:ascii="Times New Roman" w:eastAsia="宋体"/>
                <w:color w:val="auto"/>
                <w:spacing w:val="4"/>
                <w:kern w:val="18"/>
                <w:sz w:val="21"/>
                <w:highlight w:val="none"/>
                <w:lang w:val="en-US" w:eastAsia="zh-CN"/>
              </w:rPr>
              <w:t>/</w:t>
            </w:r>
          </w:p>
        </w:tc>
        <w:tc>
          <w:tcPr>
            <w:tcW w:w="1699" w:type="pct"/>
            <w:vMerge w:val="restart"/>
            <w:tcBorders>
              <w:right w:val="single" w:color="auto" w:sz="12" w:space="0"/>
            </w:tcBorders>
            <w:vAlign w:val="center"/>
          </w:tcPr>
          <w:p>
            <w:pPr>
              <w:spacing w:line="240" w:lineRule="auto"/>
              <w:ind w:firstLine="0" w:firstLineChars="0"/>
              <w:jc w:val="center"/>
              <w:rPr>
                <w:rFonts w:hint="default"/>
                <w:color w:val="auto"/>
                <w:sz w:val="21"/>
                <w:highlight w:val="none"/>
                <w:lang w:val="en-US" w:eastAsia="zh-CN"/>
              </w:rPr>
            </w:pPr>
            <w:r>
              <w:rPr>
                <w:rFonts w:hint="eastAsia" w:ascii="Times New Roman" w:eastAsia="宋体"/>
                <w:color w:val="auto"/>
                <w:sz w:val="21"/>
                <w:highlight w:val="none"/>
                <w:lang w:val="en-US" w:eastAsia="zh-CN"/>
              </w:rPr>
              <w:t>配备除臭墙除臭</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484" w:type="pct"/>
            <w:vMerge w:val="continue"/>
            <w:tcBorders>
              <w:left w:val="single" w:color="auto" w:sz="12" w:space="0"/>
            </w:tcBorders>
            <w:vAlign w:val="center"/>
          </w:tcPr>
          <w:p>
            <w:pPr>
              <w:spacing w:line="240" w:lineRule="auto"/>
              <w:ind w:firstLine="0" w:firstLineChars="0"/>
              <w:jc w:val="center"/>
              <w:rPr>
                <w:rFonts w:hint="eastAsia"/>
                <w:color w:val="auto"/>
                <w:sz w:val="21"/>
                <w:highlight w:val="none"/>
                <w:lang w:eastAsia="zh-CN"/>
              </w:rPr>
            </w:pPr>
          </w:p>
        </w:tc>
        <w:tc>
          <w:tcPr>
            <w:tcW w:w="342" w:type="pct"/>
            <w:vAlign w:val="center"/>
          </w:tcPr>
          <w:p>
            <w:pPr>
              <w:spacing w:line="240" w:lineRule="auto"/>
              <w:ind w:left="0" w:leftChars="0" w:firstLine="0" w:firstLineChars="0"/>
              <w:jc w:val="center"/>
              <w:rPr>
                <w:rFonts w:hint="eastAsia"/>
                <w:color w:val="auto"/>
                <w:spacing w:val="4"/>
                <w:kern w:val="18"/>
                <w:sz w:val="21"/>
                <w:highlight w:val="none"/>
                <w:lang w:val="en-US" w:eastAsia="zh-CN"/>
              </w:rPr>
            </w:pPr>
            <w:r>
              <w:rPr>
                <w:rFonts w:hint="eastAsia" w:ascii="Times New Roman" w:eastAsia="宋体"/>
                <w:color w:val="auto"/>
                <w:spacing w:val="4"/>
                <w:kern w:val="18"/>
                <w:sz w:val="21"/>
                <w:highlight w:val="none"/>
                <w:lang w:val="en-US" w:eastAsia="zh-CN"/>
              </w:rPr>
              <w:t>H</w:t>
            </w:r>
            <w:r>
              <w:rPr>
                <w:rFonts w:hint="eastAsia" w:ascii="Times New Roman" w:eastAsia="宋体"/>
                <w:color w:val="auto"/>
                <w:spacing w:val="4"/>
                <w:kern w:val="18"/>
                <w:sz w:val="21"/>
                <w:highlight w:val="none"/>
                <w:vertAlign w:val="subscript"/>
                <w:lang w:val="en-US" w:eastAsia="zh-CN"/>
              </w:rPr>
              <w:t>2</w:t>
            </w:r>
            <w:r>
              <w:rPr>
                <w:rFonts w:hint="eastAsia" w:ascii="Times New Roman" w:eastAsia="宋体"/>
                <w:color w:val="auto"/>
                <w:spacing w:val="4"/>
                <w:kern w:val="18"/>
                <w:sz w:val="21"/>
                <w:highlight w:val="none"/>
                <w:lang w:val="en-US" w:eastAsia="zh-CN"/>
              </w:rPr>
              <w:t>S</w:t>
            </w:r>
          </w:p>
        </w:tc>
        <w:tc>
          <w:tcPr>
            <w:tcW w:w="404" w:type="pct"/>
            <w:vAlign w:val="center"/>
          </w:tcPr>
          <w:p>
            <w:pPr>
              <w:spacing w:line="240" w:lineRule="auto"/>
              <w:ind w:left="0" w:leftChars="0" w:firstLine="0" w:firstLineChars="0"/>
              <w:jc w:val="center"/>
              <w:rPr>
                <w:rFonts w:hint="eastAsia"/>
                <w:color w:val="auto"/>
                <w:spacing w:val="4"/>
                <w:kern w:val="18"/>
                <w:sz w:val="21"/>
                <w:highlight w:val="none"/>
                <w:lang w:val="en-US" w:eastAsia="zh-CN"/>
              </w:rPr>
            </w:pPr>
            <w:r>
              <w:rPr>
                <w:rFonts w:hint="eastAsia" w:ascii="Times New Roman" w:eastAsia="宋体"/>
                <w:color w:val="auto"/>
                <w:spacing w:val="4"/>
                <w:kern w:val="18"/>
                <w:sz w:val="21"/>
                <w:highlight w:val="none"/>
                <w:lang w:val="en-US" w:eastAsia="zh-CN"/>
              </w:rPr>
              <w:t>无组织</w:t>
            </w:r>
          </w:p>
        </w:tc>
        <w:tc>
          <w:tcPr>
            <w:tcW w:w="513" w:type="pct"/>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0.0001</w:t>
            </w:r>
          </w:p>
        </w:tc>
        <w:tc>
          <w:tcPr>
            <w:tcW w:w="513" w:type="pct"/>
            <w:vAlign w:val="center"/>
          </w:tcPr>
          <w:p>
            <w:pPr>
              <w:spacing w:line="240" w:lineRule="auto"/>
              <w:ind w:left="0" w:leftChars="0" w:firstLine="0" w:firstLineChars="0"/>
              <w:jc w:val="center"/>
              <w:rPr>
                <w:rFonts w:hint="eastAsia" w:cs="Times New Roman"/>
                <w:b w:val="0"/>
                <w:bCs/>
                <w:color w:val="auto"/>
                <w:sz w:val="21"/>
                <w:szCs w:val="21"/>
                <w:highlight w:val="none"/>
                <w:lang w:val="en-US" w:eastAsia="zh-CN"/>
              </w:rPr>
            </w:pPr>
            <w:r>
              <w:rPr>
                <w:rFonts w:hint="eastAsia" w:ascii="Times New Roman" w:eastAsia="宋体"/>
                <w:color w:val="auto"/>
                <w:spacing w:val="4"/>
                <w:kern w:val="18"/>
                <w:sz w:val="21"/>
                <w:highlight w:val="none"/>
                <w:lang w:val="en-US" w:eastAsia="zh-CN"/>
              </w:rPr>
              <w:t>/</w:t>
            </w:r>
          </w:p>
        </w:tc>
        <w:tc>
          <w:tcPr>
            <w:tcW w:w="512" w:type="pct"/>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0.00002</w:t>
            </w:r>
          </w:p>
        </w:tc>
        <w:tc>
          <w:tcPr>
            <w:tcW w:w="530" w:type="pct"/>
            <w:vAlign w:val="center"/>
          </w:tcPr>
          <w:p>
            <w:pPr>
              <w:spacing w:line="240" w:lineRule="auto"/>
              <w:ind w:left="0" w:leftChars="0" w:firstLine="0" w:firstLineChars="0"/>
              <w:jc w:val="center"/>
              <w:rPr>
                <w:rFonts w:hint="eastAsia" w:cs="Times New Roman"/>
                <w:b w:val="0"/>
                <w:bCs/>
                <w:color w:val="auto"/>
                <w:sz w:val="21"/>
                <w:szCs w:val="21"/>
                <w:highlight w:val="none"/>
                <w:lang w:val="en-US" w:eastAsia="zh-CN"/>
              </w:rPr>
            </w:pPr>
            <w:r>
              <w:rPr>
                <w:rFonts w:hint="eastAsia" w:ascii="Times New Roman" w:eastAsia="宋体"/>
                <w:color w:val="auto"/>
                <w:spacing w:val="4"/>
                <w:kern w:val="18"/>
                <w:sz w:val="21"/>
                <w:highlight w:val="none"/>
                <w:lang w:val="en-US" w:eastAsia="zh-CN"/>
              </w:rPr>
              <w:t>/</w:t>
            </w:r>
          </w:p>
        </w:tc>
        <w:tc>
          <w:tcPr>
            <w:tcW w:w="1699" w:type="pct"/>
            <w:vMerge w:val="continue"/>
            <w:tcBorders>
              <w:right w:val="single" w:color="auto" w:sz="12" w:space="0"/>
            </w:tcBorders>
            <w:vAlign w:val="center"/>
          </w:tcPr>
          <w:p>
            <w:pPr>
              <w:spacing w:line="240" w:lineRule="auto"/>
              <w:ind w:firstLine="0" w:firstLineChars="0"/>
              <w:jc w:val="center"/>
              <w:rPr>
                <w:rFonts w:hint="eastAsia"/>
                <w:color w:val="auto"/>
                <w:sz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484" w:type="pct"/>
            <w:vMerge w:val="restart"/>
            <w:tcBorders>
              <w:left w:val="single" w:color="auto" w:sz="12" w:space="0"/>
            </w:tcBorders>
            <w:vAlign w:val="center"/>
          </w:tcPr>
          <w:p>
            <w:pPr>
              <w:spacing w:line="240" w:lineRule="auto"/>
              <w:ind w:firstLine="0" w:firstLineChars="0"/>
              <w:jc w:val="center"/>
              <w:rPr>
                <w:rFonts w:hint="eastAsia" w:eastAsia="宋体"/>
                <w:color w:val="auto"/>
                <w:sz w:val="21"/>
                <w:highlight w:val="none"/>
                <w:lang w:eastAsia="zh-CN"/>
              </w:rPr>
            </w:pPr>
            <w:r>
              <w:rPr>
                <w:rFonts w:hint="eastAsia" w:eastAsia="宋体"/>
                <w:color w:val="auto"/>
                <w:sz w:val="21"/>
                <w:highlight w:val="none"/>
                <w:lang w:eastAsia="zh-CN"/>
              </w:rPr>
              <w:t>沼气</w:t>
            </w:r>
            <w:r>
              <w:rPr>
                <w:rFonts w:hint="eastAsia"/>
                <w:color w:val="auto"/>
                <w:sz w:val="21"/>
                <w:highlight w:val="none"/>
                <w:lang w:eastAsia="zh-CN"/>
              </w:rPr>
              <w:t>锅炉</w:t>
            </w:r>
            <w:r>
              <w:rPr>
                <w:rFonts w:hint="eastAsia" w:eastAsia="宋体"/>
                <w:color w:val="auto"/>
                <w:sz w:val="21"/>
                <w:highlight w:val="none"/>
                <w:lang w:eastAsia="zh-CN"/>
              </w:rPr>
              <w:t>燃烧废气</w:t>
            </w:r>
          </w:p>
        </w:tc>
        <w:tc>
          <w:tcPr>
            <w:tcW w:w="342" w:type="pct"/>
            <w:vAlign w:val="center"/>
          </w:tcPr>
          <w:p>
            <w:pPr>
              <w:adjustRightInd w:val="0"/>
              <w:snapToGrid w:val="0"/>
              <w:spacing w:line="240" w:lineRule="auto"/>
              <w:ind w:firstLine="0" w:firstLineChars="0"/>
              <w:jc w:val="center"/>
              <w:rPr>
                <w:rFonts w:hint="eastAsia"/>
                <w:color w:val="auto"/>
                <w:sz w:val="21"/>
                <w:highlight w:val="none"/>
              </w:rPr>
            </w:pPr>
            <w:r>
              <w:rPr>
                <w:rFonts w:hint="eastAsia" w:cs="Times New Roman"/>
                <w:b w:val="0"/>
                <w:bCs/>
                <w:color w:val="auto"/>
                <w:sz w:val="21"/>
                <w:szCs w:val="21"/>
                <w:highlight w:val="none"/>
              </w:rPr>
              <w:t>NO</w:t>
            </w:r>
            <w:r>
              <w:rPr>
                <w:rFonts w:hint="eastAsia" w:cs="Times New Roman"/>
                <w:b w:val="0"/>
                <w:bCs/>
                <w:color w:val="auto"/>
                <w:sz w:val="21"/>
                <w:szCs w:val="21"/>
                <w:highlight w:val="none"/>
                <w:vertAlign w:val="subscript"/>
              </w:rPr>
              <w:t>X</w:t>
            </w:r>
          </w:p>
        </w:tc>
        <w:tc>
          <w:tcPr>
            <w:tcW w:w="404" w:type="pct"/>
            <w:vMerge w:val="restart"/>
            <w:vAlign w:val="center"/>
          </w:tcPr>
          <w:p>
            <w:pPr>
              <w:spacing w:line="240" w:lineRule="auto"/>
              <w:ind w:firstLine="0" w:firstLineChars="0"/>
              <w:jc w:val="center"/>
              <w:rPr>
                <w:color w:val="auto"/>
                <w:sz w:val="21"/>
                <w:highlight w:val="none"/>
              </w:rPr>
            </w:pPr>
            <w:r>
              <w:rPr>
                <w:rFonts w:hint="eastAsia"/>
                <w:color w:val="auto"/>
                <w:sz w:val="21"/>
                <w:highlight w:val="none"/>
              </w:rPr>
              <w:t>有组织</w:t>
            </w:r>
          </w:p>
        </w:tc>
        <w:tc>
          <w:tcPr>
            <w:tcW w:w="513" w:type="pct"/>
            <w:vAlign w:val="center"/>
          </w:tcPr>
          <w:p>
            <w:pPr>
              <w:adjustRightInd w:val="0"/>
              <w:snapToGrid w:val="0"/>
              <w:spacing w:line="240" w:lineRule="auto"/>
              <w:ind w:firstLine="0" w:firstLineChars="0"/>
              <w:jc w:val="center"/>
              <w:rPr>
                <w:rFonts w:hint="default"/>
                <w:color w:val="auto"/>
                <w:sz w:val="21"/>
                <w:highlight w:val="none"/>
                <w:lang w:val="en-US"/>
              </w:rPr>
            </w:pPr>
            <w:r>
              <w:rPr>
                <w:rFonts w:hint="eastAsia" w:cs="Times New Roman"/>
                <w:b w:val="0"/>
                <w:bCs/>
                <w:color w:val="auto"/>
                <w:sz w:val="21"/>
                <w:szCs w:val="21"/>
                <w:highlight w:val="none"/>
                <w:lang w:val="en-US" w:eastAsia="zh-CN"/>
              </w:rPr>
              <w:t>0.0006</w:t>
            </w:r>
          </w:p>
        </w:tc>
        <w:tc>
          <w:tcPr>
            <w:tcW w:w="513" w:type="pct"/>
            <w:vAlign w:val="center"/>
          </w:tcPr>
          <w:p>
            <w:pPr>
              <w:adjustRightInd w:val="0"/>
              <w:snapToGrid w:val="0"/>
              <w:spacing w:line="240" w:lineRule="auto"/>
              <w:ind w:firstLine="0" w:firstLineChars="0"/>
              <w:jc w:val="center"/>
              <w:rPr>
                <w:rFonts w:hint="default"/>
                <w:color w:val="auto"/>
                <w:spacing w:val="4"/>
                <w:kern w:val="18"/>
                <w:sz w:val="21"/>
                <w:highlight w:val="none"/>
                <w:lang w:val="en-US"/>
              </w:rPr>
            </w:pPr>
            <w:r>
              <w:rPr>
                <w:rFonts w:hint="eastAsia" w:cs="Times New Roman"/>
                <w:b w:val="0"/>
                <w:bCs/>
                <w:color w:val="auto"/>
                <w:sz w:val="21"/>
                <w:szCs w:val="21"/>
                <w:highlight w:val="none"/>
                <w:lang w:val="en-US" w:eastAsia="zh-CN"/>
              </w:rPr>
              <w:t>63.7</w:t>
            </w:r>
          </w:p>
        </w:tc>
        <w:tc>
          <w:tcPr>
            <w:tcW w:w="512" w:type="pct"/>
            <w:vAlign w:val="center"/>
          </w:tcPr>
          <w:p>
            <w:pPr>
              <w:adjustRightInd w:val="0"/>
              <w:snapToGrid w:val="0"/>
              <w:spacing w:line="240" w:lineRule="auto"/>
              <w:ind w:firstLine="0" w:firstLineChars="0"/>
              <w:jc w:val="center"/>
              <w:rPr>
                <w:rFonts w:hint="default"/>
                <w:color w:val="auto"/>
                <w:sz w:val="21"/>
                <w:highlight w:val="none"/>
                <w:lang w:val="en-US"/>
              </w:rPr>
            </w:pPr>
            <w:r>
              <w:rPr>
                <w:rFonts w:hint="eastAsia" w:cs="Times New Roman"/>
                <w:b w:val="0"/>
                <w:bCs/>
                <w:color w:val="auto"/>
                <w:sz w:val="21"/>
                <w:szCs w:val="21"/>
                <w:highlight w:val="none"/>
                <w:lang w:val="en-US" w:eastAsia="zh-CN"/>
              </w:rPr>
              <w:t>0.0001</w:t>
            </w:r>
          </w:p>
        </w:tc>
        <w:tc>
          <w:tcPr>
            <w:tcW w:w="530" w:type="pct"/>
            <w:vAlign w:val="center"/>
          </w:tcPr>
          <w:p>
            <w:pPr>
              <w:adjustRightInd w:val="0"/>
              <w:snapToGrid w:val="0"/>
              <w:spacing w:line="240" w:lineRule="auto"/>
              <w:ind w:firstLine="0" w:firstLineChars="0"/>
              <w:jc w:val="center"/>
              <w:rPr>
                <w:rFonts w:hint="default"/>
                <w:color w:val="auto"/>
                <w:spacing w:val="4"/>
                <w:kern w:val="18"/>
                <w:sz w:val="21"/>
                <w:highlight w:val="none"/>
                <w:lang w:val="en-US"/>
              </w:rPr>
            </w:pPr>
            <w:r>
              <w:rPr>
                <w:rFonts w:hint="eastAsia" w:cs="Times New Roman"/>
                <w:b w:val="0"/>
                <w:bCs/>
                <w:color w:val="auto"/>
                <w:sz w:val="21"/>
                <w:szCs w:val="21"/>
                <w:highlight w:val="none"/>
                <w:lang w:val="en-US" w:eastAsia="zh-CN"/>
              </w:rPr>
              <w:t>12.74</w:t>
            </w:r>
          </w:p>
        </w:tc>
        <w:tc>
          <w:tcPr>
            <w:tcW w:w="1699" w:type="pct"/>
            <w:vMerge w:val="restart"/>
            <w:tcBorders>
              <w:right w:val="single" w:color="auto" w:sz="12" w:space="0"/>
            </w:tcBorders>
            <w:vAlign w:val="center"/>
          </w:tcPr>
          <w:p>
            <w:pPr>
              <w:spacing w:line="240" w:lineRule="auto"/>
              <w:ind w:firstLine="0" w:firstLineChars="0"/>
              <w:jc w:val="center"/>
              <w:rPr>
                <w:rFonts w:hint="default" w:eastAsia="宋体"/>
                <w:color w:val="auto"/>
                <w:sz w:val="21"/>
                <w:highlight w:val="none"/>
                <w:lang w:val="en-US" w:eastAsia="zh-CN"/>
              </w:rPr>
            </w:pPr>
            <w:r>
              <w:rPr>
                <w:rFonts w:hint="eastAsia" w:ascii="Times New Roman" w:eastAsia="宋体"/>
                <w:color w:val="auto"/>
                <w:sz w:val="21"/>
                <w:highlight w:val="none"/>
                <w:lang w:val="en-US" w:eastAsia="zh-CN"/>
              </w:rPr>
              <w:t>高效低氮燃烧器+烟气二次燃烧技术+8m高排气筒排放</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484" w:type="pct"/>
            <w:vMerge w:val="continue"/>
            <w:tcBorders>
              <w:left w:val="single" w:color="auto" w:sz="12" w:space="0"/>
            </w:tcBorders>
            <w:vAlign w:val="center"/>
          </w:tcPr>
          <w:p>
            <w:pPr>
              <w:spacing w:line="240" w:lineRule="auto"/>
              <w:ind w:firstLine="0" w:firstLineChars="0"/>
              <w:jc w:val="center"/>
              <w:rPr>
                <w:color w:val="auto"/>
                <w:sz w:val="21"/>
                <w:highlight w:val="none"/>
              </w:rPr>
            </w:pPr>
          </w:p>
        </w:tc>
        <w:tc>
          <w:tcPr>
            <w:tcW w:w="342" w:type="pct"/>
            <w:vAlign w:val="center"/>
          </w:tcPr>
          <w:p>
            <w:pPr>
              <w:adjustRightInd w:val="0"/>
              <w:snapToGrid w:val="0"/>
              <w:spacing w:line="240" w:lineRule="auto"/>
              <w:ind w:firstLine="0" w:firstLineChars="0"/>
              <w:jc w:val="center"/>
              <w:rPr>
                <w:color w:val="auto"/>
                <w:sz w:val="21"/>
                <w:highlight w:val="none"/>
              </w:rPr>
            </w:pPr>
            <w:r>
              <w:rPr>
                <w:rFonts w:hint="eastAsia" w:cs="Times New Roman"/>
                <w:b w:val="0"/>
                <w:bCs/>
                <w:color w:val="auto"/>
                <w:sz w:val="21"/>
                <w:szCs w:val="21"/>
                <w:highlight w:val="none"/>
              </w:rPr>
              <w:t>SO</w:t>
            </w:r>
            <w:r>
              <w:rPr>
                <w:rFonts w:hint="eastAsia" w:cs="Times New Roman"/>
                <w:b w:val="0"/>
                <w:bCs/>
                <w:color w:val="auto"/>
                <w:sz w:val="21"/>
                <w:szCs w:val="21"/>
                <w:highlight w:val="none"/>
                <w:vertAlign w:val="subscript"/>
              </w:rPr>
              <w:t>2</w:t>
            </w:r>
          </w:p>
        </w:tc>
        <w:tc>
          <w:tcPr>
            <w:tcW w:w="404" w:type="pct"/>
            <w:vMerge w:val="continue"/>
            <w:vAlign w:val="center"/>
          </w:tcPr>
          <w:p>
            <w:pPr>
              <w:spacing w:line="240" w:lineRule="auto"/>
              <w:ind w:firstLine="0" w:firstLineChars="0"/>
              <w:jc w:val="center"/>
              <w:rPr>
                <w:color w:val="auto"/>
                <w:sz w:val="21"/>
                <w:highlight w:val="none"/>
              </w:rPr>
            </w:pPr>
          </w:p>
        </w:tc>
        <w:tc>
          <w:tcPr>
            <w:tcW w:w="513" w:type="pct"/>
            <w:vAlign w:val="center"/>
          </w:tcPr>
          <w:p>
            <w:pPr>
              <w:adjustRightInd w:val="0"/>
              <w:snapToGrid w:val="0"/>
              <w:spacing w:line="240" w:lineRule="auto"/>
              <w:ind w:firstLine="0" w:firstLineChars="0"/>
              <w:jc w:val="center"/>
              <w:rPr>
                <w:rFonts w:hint="default"/>
                <w:color w:val="auto"/>
                <w:sz w:val="21"/>
                <w:highlight w:val="none"/>
                <w:lang w:val="en-US"/>
              </w:rPr>
            </w:pPr>
            <w:r>
              <w:rPr>
                <w:rFonts w:hint="eastAsia" w:cs="Times New Roman"/>
                <w:b w:val="0"/>
                <w:bCs/>
                <w:color w:val="auto"/>
                <w:sz w:val="21"/>
                <w:szCs w:val="21"/>
                <w:highlight w:val="none"/>
                <w:lang w:val="en-US" w:eastAsia="zh-CN"/>
              </w:rPr>
              <w:t>0.00002</w:t>
            </w:r>
          </w:p>
        </w:tc>
        <w:tc>
          <w:tcPr>
            <w:tcW w:w="513" w:type="pct"/>
            <w:vAlign w:val="center"/>
          </w:tcPr>
          <w:p>
            <w:pPr>
              <w:adjustRightInd w:val="0"/>
              <w:snapToGrid w:val="0"/>
              <w:spacing w:line="240" w:lineRule="auto"/>
              <w:ind w:firstLine="0" w:firstLineChars="0"/>
              <w:jc w:val="center"/>
              <w:rPr>
                <w:rFonts w:hint="default"/>
                <w:color w:val="auto"/>
                <w:sz w:val="21"/>
                <w:highlight w:val="none"/>
                <w:lang w:val="en-US"/>
              </w:rPr>
            </w:pPr>
            <w:r>
              <w:rPr>
                <w:rFonts w:hint="eastAsia" w:cs="Times New Roman"/>
                <w:b w:val="0"/>
                <w:bCs/>
                <w:color w:val="auto"/>
                <w:sz w:val="21"/>
                <w:szCs w:val="21"/>
                <w:highlight w:val="none"/>
                <w:lang w:val="en-US" w:eastAsia="zh-CN"/>
              </w:rPr>
              <w:t>2.54</w:t>
            </w:r>
          </w:p>
        </w:tc>
        <w:tc>
          <w:tcPr>
            <w:tcW w:w="512" w:type="pct"/>
            <w:vAlign w:val="center"/>
          </w:tcPr>
          <w:p>
            <w:pPr>
              <w:adjustRightInd w:val="0"/>
              <w:snapToGrid w:val="0"/>
              <w:spacing w:line="240" w:lineRule="auto"/>
              <w:ind w:firstLine="0" w:firstLineChars="0"/>
              <w:jc w:val="center"/>
              <w:rPr>
                <w:rFonts w:hint="default"/>
                <w:color w:val="auto"/>
                <w:sz w:val="21"/>
                <w:highlight w:val="none"/>
                <w:lang w:val="en-US"/>
              </w:rPr>
            </w:pPr>
            <w:r>
              <w:rPr>
                <w:rFonts w:hint="eastAsia" w:cs="Times New Roman"/>
                <w:b w:val="0"/>
                <w:bCs/>
                <w:color w:val="auto"/>
                <w:sz w:val="21"/>
                <w:szCs w:val="21"/>
                <w:highlight w:val="none"/>
                <w:lang w:val="en-US" w:eastAsia="zh-CN"/>
              </w:rPr>
              <w:t>0.00002</w:t>
            </w:r>
          </w:p>
        </w:tc>
        <w:tc>
          <w:tcPr>
            <w:tcW w:w="530" w:type="pct"/>
            <w:vAlign w:val="center"/>
          </w:tcPr>
          <w:p>
            <w:pPr>
              <w:adjustRightInd w:val="0"/>
              <w:snapToGrid w:val="0"/>
              <w:spacing w:line="240" w:lineRule="auto"/>
              <w:ind w:firstLine="0" w:firstLineChars="0"/>
              <w:jc w:val="center"/>
              <w:rPr>
                <w:rFonts w:hint="default"/>
                <w:color w:val="auto"/>
                <w:spacing w:val="4"/>
                <w:kern w:val="18"/>
                <w:sz w:val="21"/>
                <w:highlight w:val="none"/>
                <w:lang w:val="en-US"/>
              </w:rPr>
            </w:pPr>
            <w:r>
              <w:rPr>
                <w:rFonts w:hint="eastAsia" w:cs="Times New Roman"/>
                <w:b w:val="0"/>
                <w:bCs/>
                <w:color w:val="auto"/>
                <w:sz w:val="21"/>
                <w:szCs w:val="21"/>
                <w:highlight w:val="none"/>
                <w:lang w:val="en-US" w:eastAsia="zh-CN"/>
              </w:rPr>
              <w:t>2.54</w:t>
            </w:r>
          </w:p>
        </w:tc>
        <w:tc>
          <w:tcPr>
            <w:tcW w:w="1699" w:type="pct"/>
            <w:vMerge w:val="continue"/>
            <w:tcBorders>
              <w:right w:val="single" w:color="auto" w:sz="12" w:space="0"/>
            </w:tcBorders>
            <w:vAlign w:val="center"/>
          </w:tcPr>
          <w:p>
            <w:pPr>
              <w:spacing w:line="240" w:lineRule="auto"/>
              <w:ind w:firstLine="0" w:firstLineChars="0"/>
              <w:jc w:val="center"/>
              <w:rPr>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484" w:type="pct"/>
            <w:vMerge w:val="continue"/>
            <w:tcBorders>
              <w:left w:val="single" w:color="auto" w:sz="12" w:space="0"/>
            </w:tcBorders>
            <w:vAlign w:val="center"/>
          </w:tcPr>
          <w:p>
            <w:pPr>
              <w:spacing w:line="240" w:lineRule="auto"/>
              <w:ind w:firstLine="0" w:firstLineChars="0"/>
              <w:jc w:val="center"/>
              <w:rPr>
                <w:color w:val="auto"/>
                <w:sz w:val="21"/>
                <w:highlight w:val="none"/>
              </w:rPr>
            </w:pPr>
          </w:p>
        </w:tc>
        <w:tc>
          <w:tcPr>
            <w:tcW w:w="342" w:type="pct"/>
            <w:vAlign w:val="center"/>
          </w:tcPr>
          <w:p>
            <w:pPr>
              <w:adjustRightInd w:val="0"/>
              <w:snapToGrid w:val="0"/>
              <w:spacing w:line="240" w:lineRule="auto"/>
              <w:ind w:firstLine="0" w:firstLineChars="0"/>
              <w:jc w:val="center"/>
              <w:rPr>
                <w:color w:val="auto"/>
                <w:sz w:val="21"/>
                <w:highlight w:val="none"/>
              </w:rPr>
            </w:pPr>
            <w:r>
              <w:rPr>
                <w:rFonts w:hint="eastAsia" w:cs="Times New Roman"/>
                <w:b w:val="0"/>
                <w:bCs/>
                <w:color w:val="auto"/>
                <w:sz w:val="21"/>
                <w:szCs w:val="21"/>
                <w:highlight w:val="none"/>
              </w:rPr>
              <w:t>颗粒物</w:t>
            </w:r>
          </w:p>
        </w:tc>
        <w:tc>
          <w:tcPr>
            <w:tcW w:w="404" w:type="pct"/>
            <w:vMerge w:val="continue"/>
            <w:vAlign w:val="center"/>
          </w:tcPr>
          <w:p>
            <w:pPr>
              <w:spacing w:line="240" w:lineRule="auto"/>
              <w:ind w:firstLine="0" w:firstLineChars="0"/>
              <w:jc w:val="center"/>
              <w:rPr>
                <w:rFonts w:hint="eastAsia"/>
                <w:color w:val="auto"/>
                <w:sz w:val="21"/>
                <w:highlight w:val="none"/>
              </w:rPr>
            </w:pPr>
          </w:p>
        </w:tc>
        <w:tc>
          <w:tcPr>
            <w:tcW w:w="513" w:type="pct"/>
            <w:vAlign w:val="center"/>
          </w:tcPr>
          <w:p>
            <w:pPr>
              <w:adjustRightInd w:val="0"/>
              <w:snapToGrid w:val="0"/>
              <w:spacing w:line="240" w:lineRule="auto"/>
              <w:ind w:firstLine="0" w:firstLineChars="0"/>
              <w:jc w:val="center"/>
              <w:rPr>
                <w:rFonts w:hint="default"/>
                <w:color w:val="auto"/>
                <w:sz w:val="21"/>
                <w:highlight w:val="none"/>
                <w:lang w:val="en-US"/>
              </w:rPr>
            </w:pPr>
            <w:r>
              <w:rPr>
                <w:rFonts w:hint="eastAsia" w:cs="Times New Roman"/>
                <w:b w:val="0"/>
                <w:bCs/>
                <w:color w:val="auto"/>
                <w:sz w:val="21"/>
                <w:szCs w:val="21"/>
                <w:highlight w:val="none"/>
                <w:lang w:val="en-US" w:eastAsia="zh-CN"/>
              </w:rPr>
              <w:t>0.00004</w:t>
            </w:r>
          </w:p>
        </w:tc>
        <w:tc>
          <w:tcPr>
            <w:tcW w:w="513" w:type="pct"/>
            <w:vAlign w:val="center"/>
          </w:tcPr>
          <w:p>
            <w:pPr>
              <w:adjustRightInd w:val="0"/>
              <w:snapToGrid w:val="0"/>
              <w:spacing w:line="240" w:lineRule="auto"/>
              <w:ind w:firstLine="0" w:firstLineChars="0"/>
              <w:jc w:val="center"/>
              <w:rPr>
                <w:rFonts w:hint="eastAsia"/>
                <w:color w:val="auto"/>
                <w:sz w:val="21"/>
                <w:highlight w:val="none"/>
              </w:rPr>
            </w:pPr>
            <w:r>
              <w:rPr>
                <w:rFonts w:hint="eastAsia" w:cs="Times New Roman"/>
                <w:b w:val="0"/>
                <w:bCs/>
                <w:color w:val="auto"/>
                <w:sz w:val="21"/>
                <w:szCs w:val="21"/>
                <w:highlight w:val="none"/>
                <w:lang w:val="en-US" w:eastAsia="zh-CN"/>
              </w:rPr>
              <w:t>4.8</w:t>
            </w:r>
          </w:p>
        </w:tc>
        <w:tc>
          <w:tcPr>
            <w:tcW w:w="512" w:type="pct"/>
            <w:vAlign w:val="center"/>
          </w:tcPr>
          <w:p>
            <w:pPr>
              <w:adjustRightInd w:val="0"/>
              <w:snapToGrid w:val="0"/>
              <w:spacing w:line="240" w:lineRule="auto"/>
              <w:ind w:firstLine="0" w:firstLineChars="0"/>
              <w:jc w:val="center"/>
              <w:rPr>
                <w:rFonts w:hint="default"/>
                <w:color w:val="auto"/>
                <w:sz w:val="21"/>
                <w:highlight w:val="none"/>
                <w:lang w:val="en-US"/>
              </w:rPr>
            </w:pPr>
            <w:r>
              <w:rPr>
                <w:rFonts w:hint="eastAsia" w:cs="Times New Roman"/>
                <w:b w:val="0"/>
                <w:bCs/>
                <w:color w:val="auto"/>
                <w:sz w:val="21"/>
                <w:szCs w:val="21"/>
                <w:highlight w:val="none"/>
                <w:lang w:val="en-US" w:eastAsia="zh-CN"/>
              </w:rPr>
              <w:t>0.00004</w:t>
            </w:r>
          </w:p>
        </w:tc>
        <w:tc>
          <w:tcPr>
            <w:tcW w:w="530" w:type="pct"/>
            <w:vAlign w:val="center"/>
          </w:tcPr>
          <w:p>
            <w:pPr>
              <w:adjustRightInd w:val="0"/>
              <w:snapToGrid w:val="0"/>
              <w:spacing w:line="240" w:lineRule="auto"/>
              <w:ind w:firstLine="0" w:firstLineChars="0"/>
              <w:jc w:val="center"/>
              <w:rPr>
                <w:color w:val="auto"/>
                <w:sz w:val="21"/>
                <w:highlight w:val="none"/>
              </w:rPr>
            </w:pPr>
            <w:r>
              <w:rPr>
                <w:rFonts w:hint="eastAsia" w:cs="Times New Roman"/>
                <w:b w:val="0"/>
                <w:bCs/>
                <w:color w:val="auto"/>
                <w:sz w:val="21"/>
                <w:szCs w:val="21"/>
                <w:highlight w:val="none"/>
                <w:lang w:val="en-US" w:eastAsia="zh-CN"/>
              </w:rPr>
              <w:t>4.8</w:t>
            </w:r>
          </w:p>
        </w:tc>
        <w:tc>
          <w:tcPr>
            <w:tcW w:w="1699" w:type="pct"/>
            <w:vMerge w:val="continue"/>
            <w:tcBorders>
              <w:right w:val="single" w:color="auto" w:sz="12" w:space="0"/>
            </w:tcBorders>
            <w:vAlign w:val="center"/>
          </w:tcPr>
          <w:p>
            <w:pPr>
              <w:spacing w:line="240" w:lineRule="auto"/>
              <w:ind w:firstLine="0" w:firstLineChars="0"/>
              <w:jc w:val="center"/>
              <w:rPr>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484" w:type="pct"/>
            <w:vMerge w:val="restart"/>
            <w:tcBorders>
              <w:left w:val="single" w:color="auto" w:sz="12" w:space="0"/>
            </w:tcBorders>
            <w:vAlign w:val="center"/>
          </w:tcPr>
          <w:p>
            <w:pPr>
              <w:spacing w:line="240" w:lineRule="auto"/>
              <w:ind w:firstLine="0" w:firstLineChars="0"/>
              <w:jc w:val="center"/>
              <w:rPr>
                <w:rFonts w:hint="eastAsia" w:eastAsia="宋体"/>
                <w:color w:val="auto"/>
                <w:sz w:val="21"/>
                <w:highlight w:val="none"/>
                <w:lang w:eastAsia="zh-CN"/>
              </w:rPr>
            </w:pPr>
            <w:r>
              <w:rPr>
                <w:rFonts w:hint="eastAsia"/>
                <w:color w:val="auto"/>
                <w:sz w:val="21"/>
                <w:highlight w:val="none"/>
                <w:lang w:eastAsia="zh-CN"/>
              </w:rPr>
              <w:t>火炬燃烧废气</w:t>
            </w:r>
          </w:p>
        </w:tc>
        <w:tc>
          <w:tcPr>
            <w:tcW w:w="342" w:type="pct"/>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NO</w:t>
            </w:r>
            <w:r>
              <w:rPr>
                <w:rFonts w:hint="eastAsia" w:cs="Times New Roman"/>
                <w:b w:val="0"/>
                <w:bCs/>
                <w:color w:val="auto"/>
                <w:sz w:val="21"/>
                <w:szCs w:val="21"/>
                <w:highlight w:val="none"/>
                <w:vertAlign w:val="subscript"/>
              </w:rPr>
              <w:t>X</w:t>
            </w:r>
          </w:p>
        </w:tc>
        <w:tc>
          <w:tcPr>
            <w:tcW w:w="404" w:type="pct"/>
            <w:vMerge w:val="restart"/>
            <w:vAlign w:val="center"/>
          </w:tcPr>
          <w:p>
            <w:pPr>
              <w:spacing w:line="240" w:lineRule="auto"/>
              <w:ind w:firstLine="0" w:firstLineChars="0"/>
              <w:jc w:val="center"/>
              <w:rPr>
                <w:rFonts w:hint="eastAsia" w:eastAsia="宋体"/>
                <w:color w:val="auto"/>
                <w:sz w:val="21"/>
                <w:highlight w:val="none"/>
                <w:lang w:eastAsia="zh-CN"/>
              </w:rPr>
            </w:pPr>
            <w:r>
              <w:rPr>
                <w:rFonts w:hint="eastAsia"/>
                <w:color w:val="auto"/>
                <w:sz w:val="21"/>
                <w:highlight w:val="none"/>
                <w:lang w:eastAsia="zh-CN"/>
              </w:rPr>
              <w:t>无组织</w:t>
            </w:r>
          </w:p>
        </w:tc>
        <w:tc>
          <w:tcPr>
            <w:tcW w:w="1454" w:type="dxa"/>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0.387</w:t>
            </w:r>
          </w:p>
        </w:tc>
        <w:tc>
          <w:tcPr>
            <w:tcW w:w="1454" w:type="dxa"/>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78.63</w:t>
            </w:r>
          </w:p>
        </w:tc>
        <w:tc>
          <w:tcPr>
            <w:tcW w:w="1451" w:type="dxa"/>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0.077</w:t>
            </w:r>
          </w:p>
        </w:tc>
        <w:tc>
          <w:tcPr>
            <w:tcW w:w="1502" w:type="dxa"/>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15.73</w:t>
            </w:r>
          </w:p>
        </w:tc>
        <w:tc>
          <w:tcPr>
            <w:tcW w:w="1699" w:type="pct"/>
            <w:vMerge w:val="restart"/>
            <w:tcBorders>
              <w:right w:val="single" w:color="auto" w:sz="12" w:space="0"/>
            </w:tcBorders>
            <w:vAlign w:val="center"/>
          </w:tcPr>
          <w:p>
            <w:pPr>
              <w:spacing w:line="240" w:lineRule="auto"/>
              <w:ind w:firstLine="0" w:firstLineChars="0"/>
              <w:jc w:val="center"/>
              <w:rPr>
                <w:rFonts w:hint="default" w:eastAsia="宋体"/>
                <w:color w:val="auto"/>
                <w:sz w:val="21"/>
                <w:highlight w:val="none"/>
                <w:lang w:val="en-US" w:eastAsia="zh-CN"/>
              </w:rPr>
            </w:pPr>
            <w:r>
              <w:rPr>
                <w:rFonts w:hint="eastAsia"/>
                <w:color w:val="auto"/>
                <w:sz w:val="21"/>
                <w:highlight w:val="none"/>
                <w:lang w:val="en-US" w:eastAsia="zh-CN"/>
              </w:rPr>
              <w:t>3m火炬</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484" w:type="pct"/>
            <w:vMerge w:val="continue"/>
            <w:tcBorders>
              <w:left w:val="single" w:color="auto" w:sz="12" w:space="0"/>
            </w:tcBorders>
            <w:vAlign w:val="center"/>
          </w:tcPr>
          <w:p>
            <w:pPr>
              <w:spacing w:line="240" w:lineRule="auto"/>
              <w:ind w:firstLine="0" w:firstLineChars="0"/>
              <w:jc w:val="center"/>
              <w:rPr>
                <w:color w:val="auto"/>
                <w:sz w:val="21"/>
                <w:highlight w:val="none"/>
              </w:rPr>
            </w:pPr>
          </w:p>
        </w:tc>
        <w:tc>
          <w:tcPr>
            <w:tcW w:w="342" w:type="pct"/>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SO</w:t>
            </w:r>
            <w:r>
              <w:rPr>
                <w:rFonts w:hint="eastAsia" w:cs="Times New Roman"/>
                <w:b w:val="0"/>
                <w:bCs/>
                <w:color w:val="auto"/>
                <w:sz w:val="21"/>
                <w:szCs w:val="21"/>
                <w:highlight w:val="none"/>
                <w:vertAlign w:val="subscript"/>
              </w:rPr>
              <w:t>2</w:t>
            </w:r>
          </w:p>
        </w:tc>
        <w:tc>
          <w:tcPr>
            <w:tcW w:w="404" w:type="pct"/>
            <w:vMerge w:val="continue"/>
            <w:vAlign w:val="center"/>
          </w:tcPr>
          <w:p>
            <w:pPr>
              <w:spacing w:line="240" w:lineRule="auto"/>
              <w:ind w:firstLine="0" w:firstLineChars="0"/>
              <w:jc w:val="center"/>
              <w:rPr>
                <w:rFonts w:hint="eastAsia"/>
                <w:color w:val="auto"/>
                <w:sz w:val="21"/>
                <w:highlight w:val="none"/>
              </w:rPr>
            </w:pPr>
          </w:p>
        </w:tc>
        <w:tc>
          <w:tcPr>
            <w:tcW w:w="1454" w:type="dxa"/>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0.014</w:t>
            </w:r>
          </w:p>
        </w:tc>
        <w:tc>
          <w:tcPr>
            <w:tcW w:w="1454" w:type="dxa"/>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2.85</w:t>
            </w:r>
          </w:p>
        </w:tc>
        <w:tc>
          <w:tcPr>
            <w:tcW w:w="1451" w:type="dxa"/>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0.014</w:t>
            </w:r>
          </w:p>
        </w:tc>
        <w:tc>
          <w:tcPr>
            <w:tcW w:w="1502" w:type="dxa"/>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2.85</w:t>
            </w:r>
          </w:p>
        </w:tc>
        <w:tc>
          <w:tcPr>
            <w:tcW w:w="1699" w:type="pct"/>
            <w:vMerge w:val="continue"/>
            <w:tcBorders>
              <w:right w:val="single" w:color="auto" w:sz="12" w:space="0"/>
            </w:tcBorders>
            <w:vAlign w:val="center"/>
          </w:tcPr>
          <w:p>
            <w:pPr>
              <w:spacing w:line="240" w:lineRule="auto"/>
              <w:ind w:firstLine="0" w:firstLineChars="0"/>
              <w:jc w:val="center"/>
              <w:rPr>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484" w:type="pct"/>
            <w:vMerge w:val="continue"/>
            <w:tcBorders>
              <w:left w:val="single" w:color="auto" w:sz="12" w:space="0"/>
            </w:tcBorders>
            <w:vAlign w:val="center"/>
          </w:tcPr>
          <w:p>
            <w:pPr>
              <w:spacing w:line="240" w:lineRule="auto"/>
              <w:ind w:firstLine="0" w:firstLineChars="0"/>
              <w:jc w:val="center"/>
              <w:rPr>
                <w:color w:val="auto"/>
                <w:sz w:val="21"/>
                <w:highlight w:val="none"/>
              </w:rPr>
            </w:pPr>
          </w:p>
        </w:tc>
        <w:tc>
          <w:tcPr>
            <w:tcW w:w="342" w:type="pct"/>
            <w:vAlign w:val="center"/>
          </w:tcPr>
          <w:p>
            <w:pPr>
              <w:adjustRightInd w:val="0"/>
              <w:snapToGrid w:val="0"/>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颗粒物</w:t>
            </w:r>
          </w:p>
        </w:tc>
        <w:tc>
          <w:tcPr>
            <w:tcW w:w="404" w:type="pct"/>
            <w:vMerge w:val="continue"/>
            <w:vAlign w:val="center"/>
          </w:tcPr>
          <w:p>
            <w:pPr>
              <w:spacing w:line="240" w:lineRule="auto"/>
              <w:ind w:firstLine="0" w:firstLineChars="0"/>
              <w:jc w:val="center"/>
              <w:rPr>
                <w:rFonts w:hint="eastAsia"/>
                <w:color w:val="auto"/>
                <w:sz w:val="21"/>
                <w:highlight w:val="none"/>
              </w:rPr>
            </w:pPr>
          </w:p>
        </w:tc>
        <w:tc>
          <w:tcPr>
            <w:tcW w:w="1454" w:type="dxa"/>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0.024</w:t>
            </w:r>
          </w:p>
        </w:tc>
        <w:tc>
          <w:tcPr>
            <w:tcW w:w="1454" w:type="dxa"/>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4.8</w:t>
            </w:r>
          </w:p>
        </w:tc>
        <w:tc>
          <w:tcPr>
            <w:tcW w:w="1451" w:type="dxa"/>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0.024</w:t>
            </w:r>
          </w:p>
        </w:tc>
        <w:tc>
          <w:tcPr>
            <w:tcW w:w="1502" w:type="dxa"/>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4.8</w:t>
            </w:r>
          </w:p>
        </w:tc>
        <w:tc>
          <w:tcPr>
            <w:tcW w:w="1699" w:type="pct"/>
            <w:vMerge w:val="continue"/>
            <w:tcBorders>
              <w:right w:val="single" w:color="auto" w:sz="12" w:space="0"/>
            </w:tcBorders>
            <w:vAlign w:val="center"/>
          </w:tcPr>
          <w:p>
            <w:pPr>
              <w:spacing w:line="240" w:lineRule="auto"/>
              <w:ind w:firstLine="0" w:firstLineChars="0"/>
              <w:jc w:val="center"/>
              <w:rPr>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826" w:type="pct"/>
            <w:gridSpan w:val="2"/>
            <w:tcBorders>
              <w:left w:val="single" w:color="auto" w:sz="12" w:space="0"/>
            </w:tcBorders>
            <w:vAlign w:val="center"/>
          </w:tcPr>
          <w:p>
            <w:pPr>
              <w:spacing w:line="240" w:lineRule="auto"/>
              <w:ind w:firstLine="0" w:firstLineChars="0"/>
              <w:jc w:val="center"/>
              <w:rPr>
                <w:color w:val="auto"/>
                <w:sz w:val="21"/>
                <w:highlight w:val="none"/>
              </w:rPr>
            </w:pPr>
            <w:r>
              <w:rPr>
                <w:rFonts w:hint="eastAsia"/>
                <w:color w:val="auto"/>
                <w:sz w:val="21"/>
                <w:highlight w:val="none"/>
              </w:rPr>
              <w:t>食堂油烟</w:t>
            </w:r>
          </w:p>
        </w:tc>
        <w:tc>
          <w:tcPr>
            <w:tcW w:w="404" w:type="pct"/>
            <w:vAlign w:val="center"/>
          </w:tcPr>
          <w:p>
            <w:pPr>
              <w:spacing w:line="240" w:lineRule="auto"/>
              <w:ind w:firstLine="0" w:firstLineChars="0"/>
              <w:jc w:val="center"/>
              <w:rPr>
                <w:color w:val="auto"/>
                <w:sz w:val="21"/>
                <w:highlight w:val="none"/>
              </w:rPr>
            </w:pPr>
            <w:r>
              <w:rPr>
                <w:rFonts w:hint="eastAsia"/>
                <w:color w:val="auto"/>
                <w:sz w:val="21"/>
                <w:highlight w:val="none"/>
              </w:rPr>
              <w:t>/</w:t>
            </w:r>
          </w:p>
        </w:tc>
        <w:tc>
          <w:tcPr>
            <w:tcW w:w="513" w:type="pct"/>
            <w:vAlign w:val="center"/>
          </w:tcPr>
          <w:p>
            <w:pPr>
              <w:spacing w:line="240" w:lineRule="auto"/>
              <w:ind w:firstLine="0" w:firstLineChars="0"/>
              <w:jc w:val="center"/>
              <w:rPr>
                <w:rFonts w:hint="default"/>
                <w:color w:val="auto"/>
                <w:sz w:val="21"/>
                <w:highlight w:val="none"/>
                <w:lang w:val="en-US"/>
              </w:rPr>
            </w:pPr>
            <w:r>
              <w:rPr>
                <w:rFonts w:hint="eastAsia" w:ascii="Times New Roman" w:eastAsia="宋体"/>
                <w:color w:val="auto"/>
                <w:sz w:val="21"/>
                <w:highlight w:val="none"/>
                <w:lang w:val="en-US" w:eastAsia="zh-CN"/>
              </w:rPr>
              <w:t>0.026</w:t>
            </w:r>
          </w:p>
        </w:tc>
        <w:tc>
          <w:tcPr>
            <w:tcW w:w="513" w:type="pct"/>
            <w:vAlign w:val="center"/>
          </w:tcPr>
          <w:p>
            <w:pPr>
              <w:spacing w:line="240" w:lineRule="auto"/>
              <w:ind w:firstLine="0" w:firstLineChars="0"/>
              <w:jc w:val="center"/>
              <w:rPr>
                <w:rFonts w:hint="default"/>
                <w:color w:val="auto"/>
                <w:sz w:val="21"/>
                <w:highlight w:val="none"/>
                <w:lang w:val="en-US"/>
              </w:rPr>
            </w:pPr>
            <w:r>
              <w:rPr>
                <w:rFonts w:hint="eastAsia" w:ascii="Times New Roman" w:eastAsia="宋体"/>
                <w:color w:val="auto"/>
                <w:sz w:val="21"/>
                <w:highlight w:val="none"/>
                <w:lang w:val="en-US" w:eastAsia="zh-CN"/>
              </w:rPr>
              <w:t>5.9</w:t>
            </w:r>
          </w:p>
        </w:tc>
        <w:tc>
          <w:tcPr>
            <w:tcW w:w="512" w:type="pct"/>
            <w:vAlign w:val="center"/>
          </w:tcPr>
          <w:p>
            <w:pPr>
              <w:spacing w:line="240" w:lineRule="auto"/>
              <w:ind w:firstLine="0" w:firstLineChars="0"/>
              <w:jc w:val="center"/>
              <w:rPr>
                <w:rFonts w:hint="default"/>
                <w:color w:val="auto"/>
                <w:sz w:val="21"/>
                <w:highlight w:val="none"/>
                <w:lang w:val="en-US"/>
              </w:rPr>
            </w:pPr>
            <w:r>
              <w:rPr>
                <w:rFonts w:hint="eastAsia" w:ascii="Times New Roman" w:eastAsia="宋体"/>
                <w:color w:val="auto"/>
                <w:sz w:val="21"/>
                <w:highlight w:val="none"/>
                <w:lang w:val="en-US" w:eastAsia="zh-CN"/>
              </w:rPr>
              <w:t>0.0026</w:t>
            </w:r>
          </w:p>
        </w:tc>
        <w:tc>
          <w:tcPr>
            <w:tcW w:w="530" w:type="pct"/>
            <w:vAlign w:val="center"/>
          </w:tcPr>
          <w:p>
            <w:pPr>
              <w:spacing w:line="240" w:lineRule="auto"/>
              <w:ind w:firstLine="0" w:firstLineChars="0"/>
              <w:jc w:val="center"/>
              <w:rPr>
                <w:rFonts w:hint="default"/>
                <w:color w:val="auto"/>
                <w:sz w:val="21"/>
                <w:highlight w:val="none"/>
                <w:lang w:val="en-US"/>
              </w:rPr>
            </w:pPr>
            <w:r>
              <w:rPr>
                <w:rFonts w:hint="eastAsia" w:ascii="Times New Roman" w:eastAsia="宋体"/>
                <w:color w:val="auto"/>
                <w:sz w:val="21"/>
                <w:highlight w:val="none"/>
                <w:lang w:val="en-US" w:eastAsia="zh-CN"/>
              </w:rPr>
              <w:t>0.59</w:t>
            </w:r>
          </w:p>
        </w:tc>
        <w:tc>
          <w:tcPr>
            <w:tcW w:w="1699" w:type="pct"/>
            <w:tcBorders>
              <w:right w:val="single" w:color="auto" w:sz="12" w:space="0"/>
            </w:tcBorders>
            <w:vAlign w:val="center"/>
          </w:tcPr>
          <w:p>
            <w:pPr>
              <w:spacing w:line="240" w:lineRule="auto"/>
              <w:ind w:firstLine="0" w:firstLineChars="0"/>
              <w:jc w:val="center"/>
              <w:rPr>
                <w:color w:val="auto"/>
                <w:sz w:val="21"/>
                <w:highlight w:val="none"/>
              </w:rPr>
            </w:pPr>
            <w:r>
              <w:rPr>
                <w:rFonts w:hint="eastAsia"/>
                <w:color w:val="auto"/>
                <w:sz w:val="21"/>
                <w:highlight w:val="none"/>
              </w:rPr>
              <w:t>采用油烟净化器处理</w:t>
            </w:r>
          </w:p>
        </w:tc>
      </w:tr>
    </w:tbl>
    <w:p>
      <w:pPr>
        <w:pStyle w:val="40"/>
        <w:rPr>
          <w:rFonts w:hint="eastAsia" w:cs="Times New Roman"/>
          <w:color w:val="auto"/>
          <w:highlight w:val="none"/>
          <w:lang w:val="en-US" w:eastAsia="zh-CN"/>
        </w:rPr>
      </w:pPr>
    </w:p>
    <w:p>
      <w:pPr>
        <w:ind w:firstLine="482"/>
        <w:jc w:val="center"/>
        <w:rPr>
          <w:rFonts w:cs="Times New Roman"/>
          <w:b/>
          <w:color w:val="auto"/>
          <w:highlight w:val="none"/>
        </w:rPr>
      </w:pPr>
    </w:p>
    <w:p>
      <w:pPr>
        <w:ind w:firstLine="482"/>
        <w:jc w:val="center"/>
        <w:rPr>
          <w:rFonts w:cs="Times New Roman"/>
          <w:b/>
          <w:color w:val="auto"/>
          <w:highlight w:val="none"/>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docGrid w:type="lines" w:linePitch="332" w:charSpace="0"/>
        </w:sectPr>
      </w:pPr>
    </w:p>
    <w:p>
      <w:pPr>
        <w:pStyle w:val="6"/>
        <w:ind w:firstLine="482"/>
        <w:rPr>
          <w:color w:val="auto"/>
          <w:highlight w:val="none"/>
        </w:rPr>
      </w:pP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11</w:t>
      </w:r>
      <w:r>
        <w:rPr>
          <w:rFonts w:hint="eastAsia"/>
          <w:color w:val="auto"/>
          <w:highlight w:val="none"/>
        </w:rPr>
        <w:t>.</w:t>
      </w:r>
      <w:r>
        <w:rPr>
          <w:rFonts w:hint="eastAsia"/>
          <w:color w:val="auto"/>
          <w:highlight w:val="none"/>
          <w:lang w:val="en-US" w:eastAsia="zh-CN"/>
        </w:rPr>
        <w:t>1</w:t>
      </w:r>
      <w:r>
        <w:rPr>
          <w:rFonts w:hint="eastAsia"/>
          <w:color w:val="auto"/>
          <w:highlight w:val="none"/>
        </w:rPr>
        <w:t>.2废水</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cs="Times New Roman"/>
          <w:color w:val="auto"/>
          <w:highlight w:val="none"/>
        </w:rPr>
      </w:pPr>
      <w:r>
        <w:rPr>
          <w:rFonts w:hint="eastAsia"/>
          <w:color w:val="auto"/>
          <w:highlight w:val="none"/>
        </w:rPr>
        <w:t>废水是养猪场产生的重要污染物，包括猪尿、猪舍冲洗废水、猪粪带入废水</w:t>
      </w:r>
      <w:r>
        <w:rPr>
          <w:rFonts w:hint="eastAsia"/>
          <w:color w:val="auto"/>
          <w:highlight w:val="none"/>
          <w:lang w:eastAsia="zh-CN"/>
        </w:rPr>
        <w:t>、无害化处理车间冲洗废水</w:t>
      </w:r>
      <w:r>
        <w:rPr>
          <w:rFonts w:hint="eastAsia"/>
          <w:color w:val="auto"/>
          <w:highlight w:val="none"/>
        </w:rPr>
        <w:t>及员工生活污水等，废水中含有高浓度有机物和N、P等，如若处理不当，如不经处理直接排入附近的水体，将对周边水体和人群健康存在巨大的潜在风险。由水平衡分析可知：本项目</w:t>
      </w:r>
      <w:r>
        <w:rPr>
          <w:rFonts w:hint="eastAsia"/>
          <w:color w:val="auto"/>
          <w:highlight w:val="none"/>
          <w:lang w:eastAsia="zh-CN"/>
        </w:rPr>
        <w:t>生产</w:t>
      </w:r>
      <w:r>
        <w:rPr>
          <w:rFonts w:hint="eastAsia"/>
          <w:color w:val="auto"/>
          <w:highlight w:val="none"/>
        </w:rPr>
        <w:t>废水97919.508m</w:t>
      </w:r>
      <w:r>
        <w:rPr>
          <w:rFonts w:hint="eastAsia"/>
          <w:color w:val="auto"/>
          <w:highlight w:val="none"/>
          <w:vertAlign w:val="superscript"/>
        </w:rPr>
        <w:t>3</w:t>
      </w:r>
      <w:r>
        <w:rPr>
          <w:rFonts w:hint="eastAsia"/>
          <w:color w:val="auto"/>
          <w:highlight w:val="none"/>
        </w:rPr>
        <w:t>/a、生活污水</w:t>
      </w:r>
      <w:r>
        <w:rPr>
          <w:rFonts w:hint="eastAsia"/>
          <w:color w:val="auto"/>
          <w:highlight w:val="none"/>
          <w:lang w:val="en-US" w:eastAsia="zh-CN"/>
        </w:rPr>
        <w:t>3363.84</w:t>
      </w:r>
      <w:r>
        <w:rPr>
          <w:rFonts w:hint="eastAsia"/>
          <w:color w:val="auto"/>
          <w:highlight w:val="none"/>
        </w:rPr>
        <w:t>m</w:t>
      </w:r>
      <w:r>
        <w:rPr>
          <w:rFonts w:hint="eastAsia"/>
          <w:color w:val="auto"/>
          <w:highlight w:val="none"/>
          <w:vertAlign w:val="superscript"/>
        </w:rPr>
        <w:t>3</w:t>
      </w:r>
      <w:r>
        <w:rPr>
          <w:rFonts w:hint="eastAsia"/>
          <w:color w:val="auto"/>
          <w:highlight w:val="none"/>
        </w:rPr>
        <w:t>/a</w:t>
      </w:r>
      <w:r>
        <w:rPr>
          <w:rFonts w:cs="Times New Roman"/>
          <w:color w:val="auto"/>
          <w:highlight w:val="none"/>
        </w:rPr>
        <w:t>。</w:t>
      </w:r>
    </w:p>
    <w:p>
      <w:pPr>
        <w:keepNext w:val="0"/>
        <w:keepLines w:val="0"/>
        <w:pageBreakBefore w:val="0"/>
        <w:numPr>
          <w:ilvl w:val="0"/>
          <w:numId w:val="12"/>
        </w:numPr>
        <w:tabs>
          <w:tab w:val="left" w:pos="2640"/>
        </w:tabs>
        <w:kinsoku/>
        <w:wordWrap/>
        <w:overflowPunct/>
        <w:topLinePunct w:val="0"/>
        <w:autoSpaceDE/>
        <w:autoSpaceDN/>
        <w:bidi w:val="0"/>
        <w:adjustRightInd/>
        <w:snapToGrid/>
        <w:spacing w:line="360" w:lineRule="auto"/>
        <w:ind w:firstLine="480"/>
        <w:textAlignment w:val="auto"/>
        <w:rPr>
          <w:rFonts w:hint="eastAsia"/>
          <w:b w:val="0"/>
          <w:color w:val="auto"/>
          <w:highlight w:val="none"/>
          <w:lang w:eastAsia="zh-CN"/>
        </w:rPr>
      </w:pPr>
      <w:r>
        <w:rPr>
          <w:rFonts w:hint="eastAsia"/>
          <w:b w:val="0"/>
          <w:color w:val="auto"/>
          <w:highlight w:val="none"/>
          <w:lang w:eastAsia="zh-CN"/>
        </w:rPr>
        <w:t>污水水质分析</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textAlignment w:val="auto"/>
        <w:rPr>
          <w:rFonts w:hint="eastAsia" w:cs="Times New Roman"/>
          <w:bCs/>
          <w:color w:val="auto"/>
          <w:sz w:val="24"/>
          <w:szCs w:val="24"/>
          <w:highlight w:val="none"/>
          <w:lang w:eastAsia="zh-CN"/>
        </w:rPr>
      </w:pPr>
      <w:r>
        <w:rPr>
          <w:rFonts w:hint="eastAsia" w:cs="Times New Roman"/>
          <w:bCs/>
          <w:color w:val="auto"/>
          <w:sz w:val="24"/>
          <w:szCs w:val="24"/>
          <w:highlight w:val="none"/>
          <w:lang w:eastAsia="zh-CN"/>
        </w:rPr>
        <w:t>养殖废水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auto"/>
          <w:sz w:val="24"/>
          <w:szCs w:val="24"/>
          <w:highlight w:val="none"/>
        </w:rPr>
      </w:pPr>
      <w:r>
        <w:rPr>
          <w:rFonts w:hint="eastAsia" w:cs="Times New Roman"/>
          <w:bCs/>
          <w:color w:val="auto"/>
          <w:sz w:val="24"/>
          <w:szCs w:val="24"/>
          <w:highlight w:val="none"/>
          <w:lang w:eastAsia="zh-CN"/>
        </w:rPr>
        <w:t>养殖废水产生量为97610.73</w:t>
      </w:r>
      <w:r>
        <w:rPr>
          <w:rFonts w:ascii="Times New Roman" w:hAnsi="Times New Roman" w:cs="Times New Roman"/>
          <w:bCs/>
          <w:color w:val="auto"/>
          <w:sz w:val="24"/>
          <w:szCs w:val="24"/>
          <w:highlight w:val="none"/>
        </w:rPr>
        <w:t>m</w:t>
      </w:r>
      <w:r>
        <w:rPr>
          <w:rFonts w:ascii="Times New Roman" w:hAnsi="Times New Roman" w:cs="Times New Roman"/>
          <w:bCs/>
          <w:color w:val="auto"/>
          <w:sz w:val="24"/>
          <w:szCs w:val="24"/>
          <w:highlight w:val="none"/>
          <w:vertAlign w:val="superscript"/>
        </w:rPr>
        <w:t>3</w:t>
      </w:r>
      <w:r>
        <w:rPr>
          <w:rFonts w:ascii="Times New Roman" w:hAnsi="Times New Roman" w:cs="Times New Roman"/>
          <w:bCs/>
          <w:color w:val="auto"/>
          <w:sz w:val="24"/>
          <w:szCs w:val="24"/>
          <w:highlight w:val="none"/>
          <w:vertAlign w:val="baseline"/>
        </w:rPr>
        <w:t>/</w:t>
      </w:r>
      <w:r>
        <w:rPr>
          <w:rFonts w:ascii="Times New Roman" w:hAnsi="Times New Roman" w:cs="Times New Roman"/>
          <w:bCs/>
          <w:color w:val="auto"/>
          <w:sz w:val="24"/>
          <w:szCs w:val="24"/>
          <w:highlight w:val="none"/>
        </w:rPr>
        <w:t>a</w:t>
      </w:r>
      <w:r>
        <w:rPr>
          <w:rFonts w:hint="eastAsia" w:cs="Times New Roman"/>
          <w:bCs/>
          <w:color w:val="auto"/>
          <w:sz w:val="24"/>
          <w:szCs w:val="24"/>
          <w:highlight w:val="none"/>
          <w:lang w:eastAsia="zh-CN"/>
        </w:rPr>
        <w:t>，</w:t>
      </w:r>
      <w:r>
        <w:rPr>
          <w:rFonts w:hint="eastAsia" w:ascii="Times New Roman" w:hAnsi="Times New Roman" w:cs="Times New Roman"/>
          <w:bCs/>
          <w:color w:val="auto"/>
          <w:sz w:val="24"/>
          <w:szCs w:val="24"/>
          <w:highlight w:val="none"/>
        </w:rPr>
        <w:t>主要污染物产生浓度分别为COD19500mg/L、BOD</w:t>
      </w:r>
      <w:r>
        <w:rPr>
          <w:rFonts w:hint="eastAsia" w:ascii="Times New Roman" w:hAnsi="Times New Roman" w:cs="Times New Roman"/>
          <w:bCs/>
          <w:color w:val="auto"/>
          <w:sz w:val="24"/>
          <w:szCs w:val="24"/>
          <w:highlight w:val="none"/>
          <w:vertAlign w:val="subscript"/>
        </w:rPr>
        <w:t>5</w:t>
      </w:r>
      <w:r>
        <w:rPr>
          <w:rFonts w:hint="eastAsia" w:ascii="Times New Roman" w:hAnsi="Times New Roman" w:cs="Times New Roman"/>
          <w:bCs/>
          <w:color w:val="auto"/>
          <w:sz w:val="24"/>
          <w:szCs w:val="24"/>
          <w:highlight w:val="none"/>
        </w:rPr>
        <w:t xml:space="preserve"> 8000mg/L、SS16000mg/L、NH</w:t>
      </w:r>
      <w:r>
        <w:rPr>
          <w:rFonts w:hint="eastAsia" w:ascii="Times New Roman" w:hAnsi="Times New Roman" w:cs="Times New Roman"/>
          <w:bCs/>
          <w:color w:val="auto"/>
          <w:sz w:val="24"/>
          <w:szCs w:val="24"/>
          <w:highlight w:val="none"/>
          <w:vertAlign w:val="subscript"/>
        </w:rPr>
        <w:t>3</w:t>
      </w:r>
      <w:r>
        <w:rPr>
          <w:rFonts w:hint="eastAsia" w:ascii="Times New Roman" w:hAnsi="Times New Roman" w:cs="Times New Roman"/>
          <w:bCs/>
          <w:color w:val="auto"/>
          <w:sz w:val="24"/>
          <w:szCs w:val="24"/>
          <w:highlight w:val="none"/>
        </w:rPr>
        <w:t xml:space="preserve">-N1200mg/L，则本项目污染物产生量分别为COD </w:t>
      </w:r>
      <w:r>
        <w:rPr>
          <w:rFonts w:hint="eastAsia" w:cs="Times New Roman"/>
          <w:bCs/>
          <w:color w:val="auto"/>
          <w:sz w:val="24"/>
          <w:szCs w:val="24"/>
          <w:highlight w:val="none"/>
          <w:lang w:val="en-US" w:eastAsia="zh-CN"/>
        </w:rPr>
        <w:t>1903.4</w:t>
      </w:r>
      <w:r>
        <w:rPr>
          <w:rFonts w:hint="eastAsia" w:ascii="Times New Roman" w:hAnsi="Times New Roman" w:cs="Times New Roman"/>
          <w:bCs/>
          <w:color w:val="auto"/>
          <w:sz w:val="24"/>
          <w:szCs w:val="24"/>
          <w:highlight w:val="none"/>
        </w:rPr>
        <w:t>t/a、BOD</w:t>
      </w:r>
      <w:r>
        <w:rPr>
          <w:rFonts w:hint="eastAsia" w:ascii="Times New Roman" w:hAnsi="Times New Roman" w:cs="Times New Roman"/>
          <w:bCs/>
          <w:color w:val="auto"/>
          <w:sz w:val="24"/>
          <w:szCs w:val="24"/>
          <w:highlight w:val="none"/>
          <w:vertAlign w:val="subscript"/>
        </w:rPr>
        <w:t>5</w:t>
      </w:r>
      <w:r>
        <w:rPr>
          <w:rFonts w:hint="eastAsia" w:cs="Times New Roman"/>
          <w:bCs/>
          <w:color w:val="auto"/>
          <w:sz w:val="24"/>
          <w:szCs w:val="24"/>
          <w:highlight w:val="none"/>
          <w:vertAlign w:val="subscript"/>
          <w:lang w:val="en-US" w:eastAsia="zh-CN"/>
        </w:rPr>
        <w:t xml:space="preserve"> </w:t>
      </w:r>
      <w:r>
        <w:rPr>
          <w:rFonts w:hint="eastAsia" w:cs="Times New Roman"/>
          <w:bCs/>
          <w:color w:val="auto"/>
          <w:sz w:val="24"/>
          <w:szCs w:val="24"/>
          <w:highlight w:val="none"/>
          <w:lang w:val="en-US" w:eastAsia="zh-CN"/>
        </w:rPr>
        <w:t>780.9</w:t>
      </w:r>
      <w:r>
        <w:rPr>
          <w:rFonts w:hint="eastAsia" w:ascii="Times New Roman" w:hAnsi="Times New Roman" w:cs="Times New Roman"/>
          <w:bCs/>
          <w:color w:val="auto"/>
          <w:sz w:val="24"/>
          <w:szCs w:val="24"/>
          <w:highlight w:val="none"/>
        </w:rPr>
        <w:t xml:space="preserve">t/a、SS </w:t>
      </w:r>
      <w:r>
        <w:rPr>
          <w:rFonts w:hint="eastAsia" w:cs="Times New Roman"/>
          <w:bCs/>
          <w:color w:val="auto"/>
          <w:sz w:val="24"/>
          <w:szCs w:val="24"/>
          <w:highlight w:val="none"/>
          <w:lang w:val="en-US" w:eastAsia="zh-CN"/>
        </w:rPr>
        <w:t>1561.8</w:t>
      </w:r>
      <w:r>
        <w:rPr>
          <w:rFonts w:hint="eastAsia" w:ascii="Times New Roman" w:hAnsi="Times New Roman" w:cs="Times New Roman"/>
          <w:bCs/>
          <w:color w:val="auto"/>
          <w:sz w:val="24"/>
          <w:szCs w:val="24"/>
          <w:highlight w:val="none"/>
        </w:rPr>
        <w:t>t/a、NH</w:t>
      </w:r>
      <w:r>
        <w:rPr>
          <w:rFonts w:hint="eastAsia" w:ascii="Times New Roman" w:hAnsi="Times New Roman" w:cs="Times New Roman"/>
          <w:bCs/>
          <w:color w:val="auto"/>
          <w:sz w:val="24"/>
          <w:szCs w:val="24"/>
          <w:highlight w:val="none"/>
          <w:vertAlign w:val="subscript"/>
        </w:rPr>
        <w:t>3</w:t>
      </w:r>
      <w:r>
        <w:rPr>
          <w:rFonts w:hint="eastAsia" w:ascii="Times New Roman" w:hAnsi="Times New Roman" w:cs="Times New Roman"/>
          <w:bCs/>
          <w:color w:val="auto"/>
          <w:sz w:val="24"/>
          <w:szCs w:val="24"/>
          <w:highlight w:val="none"/>
        </w:rPr>
        <w:t>-N</w:t>
      </w:r>
      <w:r>
        <w:rPr>
          <w:rFonts w:hint="eastAsia" w:cs="Times New Roman"/>
          <w:bCs/>
          <w:color w:val="auto"/>
          <w:sz w:val="24"/>
          <w:szCs w:val="24"/>
          <w:highlight w:val="none"/>
          <w:lang w:val="en-US" w:eastAsia="zh-CN"/>
        </w:rPr>
        <w:t xml:space="preserve"> 117.1</w:t>
      </w:r>
      <w:r>
        <w:rPr>
          <w:rFonts w:hint="eastAsia" w:ascii="Times New Roman" w:hAnsi="Times New Roman" w:cs="Times New Roman"/>
          <w:bCs/>
          <w:color w:val="auto"/>
          <w:sz w:val="24"/>
          <w:szCs w:val="24"/>
          <w:highlight w:val="none"/>
        </w:rPr>
        <w:t>t/a，经过固液分离器进入沼气池</w:t>
      </w:r>
      <w:r>
        <w:rPr>
          <w:rFonts w:hint="eastAsia" w:cs="Times New Roman"/>
          <w:bCs/>
          <w:color w:val="auto"/>
          <w:sz w:val="24"/>
          <w:szCs w:val="24"/>
          <w:highlight w:val="none"/>
          <w:lang w:eastAsia="zh-CN"/>
        </w:rPr>
        <w:t>的</w:t>
      </w:r>
      <w:r>
        <w:rPr>
          <w:rFonts w:hint="eastAsia" w:ascii="Times New Roman" w:hAnsi="Times New Roman" w:cs="Times New Roman"/>
          <w:bCs/>
          <w:color w:val="auto"/>
          <w:sz w:val="24"/>
          <w:szCs w:val="24"/>
          <w:highlight w:val="none"/>
        </w:rPr>
        <w:t>废水水质为COD15000mg/L、BOD</w:t>
      </w:r>
      <w:r>
        <w:rPr>
          <w:rFonts w:hint="eastAsia" w:ascii="Times New Roman" w:hAnsi="Times New Roman" w:cs="Times New Roman"/>
          <w:bCs/>
          <w:color w:val="auto"/>
          <w:sz w:val="24"/>
          <w:szCs w:val="24"/>
          <w:highlight w:val="none"/>
          <w:vertAlign w:val="subscript"/>
        </w:rPr>
        <w:t>5</w:t>
      </w:r>
      <w:r>
        <w:rPr>
          <w:rFonts w:hint="eastAsia" w:ascii="Times New Roman" w:hAnsi="Times New Roman" w:cs="Times New Roman"/>
          <w:bCs/>
          <w:color w:val="auto"/>
          <w:sz w:val="24"/>
          <w:szCs w:val="24"/>
          <w:highlight w:val="none"/>
        </w:rPr>
        <w:t xml:space="preserve"> 6000mg/L、SS7800mg/L、NH</w:t>
      </w:r>
      <w:r>
        <w:rPr>
          <w:rFonts w:hint="eastAsia" w:ascii="Times New Roman" w:hAnsi="Times New Roman" w:cs="Times New Roman"/>
          <w:bCs/>
          <w:color w:val="auto"/>
          <w:sz w:val="24"/>
          <w:szCs w:val="24"/>
          <w:highlight w:val="none"/>
          <w:vertAlign w:val="subscript"/>
        </w:rPr>
        <w:t>3</w:t>
      </w:r>
      <w:r>
        <w:rPr>
          <w:rFonts w:hint="eastAsia" w:ascii="Times New Roman" w:hAnsi="Times New Roman" w:cs="Times New Roman"/>
          <w:bCs/>
          <w:color w:val="auto"/>
          <w:sz w:val="24"/>
          <w:szCs w:val="24"/>
          <w:highlight w:val="none"/>
        </w:rPr>
        <w:t>-N1000mg/L</w:t>
      </w:r>
      <w:r>
        <w:rPr>
          <w:rFonts w:hint="eastAsia" w:cs="Times New Roman"/>
          <w:bCs/>
          <w:color w:val="auto"/>
          <w:sz w:val="24"/>
          <w:szCs w:val="24"/>
          <w:highlight w:val="none"/>
          <w:lang w:eastAsia="zh-CN"/>
        </w:rPr>
        <w:t>，则进入黑膜沼气池前</w:t>
      </w:r>
      <w:r>
        <w:rPr>
          <w:rFonts w:hint="eastAsia" w:ascii="Times New Roman" w:hAnsi="Times New Roman" w:cs="Times New Roman"/>
          <w:bCs/>
          <w:color w:val="auto"/>
          <w:sz w:val="24"/>
          <w:szCs w:val="24"/>
          <w:highlight w:val="none"/>
        </w:rPr>
        <w:t xml:space="preserve">污染物产生量分别为COD </w:t>
      </w:r>
      <w:r>
        <w:rPr>
          <w:rFonts w:hint="eastAsia" w:cs="Times New Roman"/>
          <w:bCs/>
          <w:color w:val="auto"/>
          <w:sz w:val="24"/>
          <w:szCs w:val="24"/>
          <w:highlight w:val="none"/>
          <w:lang w:val="en-US" w:eastAsia="zh-CN"/>
        </w:rPr>
        <w:t>1464.2</w:t>
      </w:r>
      <w:r>
        <w:rPr>
          <w:rFonts w:hint="eastAsia" w:ascii="Times New Roman" w:hAnsi="Times New Roman" w:cs="Times New Roman"/>
          <w:bCs/>
          <w:color w:val="auto"/>
          <w:sz w:val="24"/>
          <w:szCs w:val="24"/>
          <w:highlight w:val="none"/>
        </w:rPr>
        <w:t>t/a、BOD</w:t>
      </w:r>
      <w:r>
        <w:rPr>
          <w:rFonts w:hint="eastAsia" w:ascii="Times New Roman" w:hAnsi="Times New Roman" w:cs="Times New Roman"/>
          <w:bCs/>
          <w:color w:val="auto"/>
          <w:sz w:val="24"/>
          <w:szCs w:val="24"/>
          <w:highlight w:val="none"/>
          <w:vertAlign w:val="subscript"/>
        </w:rPr>
        <w:t>5</w:t>
      </w:r>
      <w:r>
        <w:rPr>
          <w:rFonts w:hint="eastAsia" w:cs="Times New Roman"/>
          <w:bCs/>
          <w:color w:val="auto"/>
          <w:sz w:val="24"/>
          <w:szCs w:val="24"/>
          <w:highlight w:val="none"/>
          <w:vertAlign w:val="subscript"/>
          <w:lang w:val="en-US" w:eastAsia="zh-CN"/>
        </w:rPr>
        <w:t xml:space="preserve"> </w:t>
      </w:r>
      <w:r>
        <w:rPr>
          <w:rFonts w:hint="eastAsia" w:cs="Times New Roman"/>
          <w:bCs/>
          <w:color w:val="auto"/>
          <w:sz w:val="24"/>
          <w:szCs w:val="24"/>
          <w:highlight w:val="none"/>
          <w:lang w:val="en-US" w:eastAsia="zh-CN"/>
        </w:rPr>
        <w:t>585.7</w:t>
      </w:r>
      <w:r>
        <w:rPr>
          <w:rFonts w:hint="eastAsia" w:ascii="Times New Roman" w:hAnsi="Times New Roman" w:cs="Times New Roman"/>
          <w:bCs/>
          <w:color w:val="auto"/>
          <w:sz w:val="24"/>
          <w:szCs w:val="24"/>
          <w:highlight w:val="none"/>
        </w:rPr>
        <w:t xml:space="preserve">t/a、SS </w:t>
      </w:r>
      <w:r>
        <w:rPr>
          <w:rFonts w:hint="eastAsia" w:cs="Times New Roman"/>
          <w:bCs/>
          <w:color w:val="auto"/>
          <w:sz w:val="24"/>
          <w:szCs w:val="24"/>
          <w:highlight w:val="none"/>
          <w:lang w:val="en-US" w:eastAsia="zh-CN"/>
        </w:rPr>
        <w:t>761.4</w:t>
      </w:r>
      <w:r>
        <w:rPr>
          <w:rFonts w:hint="eastAsia" w:ascii="Times New Roman" w:hAnsi="Times New Roman" w:cs="Times New Roman"/>
          <w:bCs/>
          <w:color w:val="auto"/>
          <w:sz w:val="24"/>
          <w:szCs w:val="24"/>
          <w:highlight w:val="none"/>
        </w:rPr>
        <w:t>t/a、NH</w:t>
      </w:r>
      <w:r>
        <w:rPr>
          <w:rFonts w:hint="eastAsia" w:ascii="Times New Roman" w:hAnsi="Times New Roman" w:cs="Times New Roman"/>
          <w:bCs/>
          <w:color w:val="auto"/>
          <w:sz w:val="24"/>
          <w:szCs w:val="24"/>
          <w:highlight w:val="none"/>
          <w:vertAlign w:val="subscript"/>
        </w:rPr>
        <w:t>3</w:t>
      </w:r>
      <w:r>
        <w:rPr>
          <w:rFonts w:hint="eastAsia" w:ascii="Times New Roman" w:hAnsi="Times New Roman" w:cs="Times New Roman"/>
          <w:bCs/>
          <w:color w:val="auto"/>
          <w:sz w:val="24"/>
          <w:szCs w:val="24"/>
          <w:highlight w:val="none"/>
        </w:rPr>
        <w:t>-N</w:t>
      </w:r>
      <w:r>
        <w:rPr>
          <w:rFonts w:hint="eastAsia" w:cs="Times New Roman"/>
          <w:bCs/>
          <w:color w:val="auto"/>
          <w:sz w:val="24"/>
          <w:szCs w:val="24"/>
          <w:highlight w:val="none"/>
          <w:lang w:val="en-US" w:eastAsia="zh-CN"/>
        </w:rPr>
        <w:t xml:space="preserve"> 97.6</w:t>
      </w:r>
      <w:r>
        <w:rPr>
          <w:rFonts w:hint="eastAsia" w:ascii="Times New Roman" w:hAnsi="Times New Roman" w:cs="Times New Roman"/>
          <w:bCs/>
          <w:color w:val="auto"/>
          <w:sz w:val="24"/>
          <w:szCs w:val="24"/>
          <w:highlight w:val="none"/>
        </w:rPr>
        <w:t>t/a。废水经“</w:t>
      </w:r>
      <w:r>
        <w:rPr>
          <w:rFonts w:hint="eastAsia" w:cs="Times New Roman"/>
          <w:bCs/>
          <w:color w:val="auto"/>
          <w:sz w:val="24"/>
          <w:szCs w:val="24"/>
          <w:highlight w:val="none"/>
          <w:lang w:eastAsia="zh-CN"/>
        </w:rPr>
        <w:t>黑膜</w:t>
      </w:r>
      <w:r>
        <w:rPr>
          <w:rFonts w:hint="eastAsia" w:ascii="Times New Roman" w:hAnsi="Times New Roman" w:cs="Times New Roman"/>
          <w:bCs/>
          <w:color w:val="auto"/>
          <w:sz w:val="24"/>
          <w:szCs w:val="24"/>
          <w:highlight w:val="none"/>
        </w:rPr>
        <w:t>沼气池、沼气沼液沼渣综合利用”工艺处理后，废水中主要污染物浓度约为COD3000mg/L、BOD</w:t>
      </w:r>
      <w:r>
        <w:rPr>
          <w:rFonts w:hint="eastAsia" w:ascii="Times New Roman" w:hAnsi="Times New Roman" w:cs="Times New Roman"/>
          <w:bCs/>
          <w:color w:val="auto"/>
          <w:sz w:val="24"/>
          <w:szCs w:val="24"/>
          <w:highlight w:val="none"/>
          <w:vertAlign w:val="subscript"/>
        </w:rPr>
        <w:t>5</w:t>
      </w:r>
      <w:r>
        <w:rPr>
          <w:rFonts w:hint="eastAsia" w:ascii="Times New Roman" w:hAnsi="Times New Roman" w:cs="Times New Roman"/>
          <w:bCs/>
          <w:color w:val="auto"/>
          <w:sz w:val="24"/>
          <w:szCs w:val="24"/>
          <w:highlight w:val="none"/>
        </w:rPr>
        <w:t>1400mg/L、SS2000mg/L、NH</w:t>
      </w:r>
      <w:r>
        <w:rPr>
          <w:rFonts w:hint="eastAsia" w:ascii="Times New Roman" w:hAnsi="Times New Roman" w:cs="Times New Roman"/>
          <w:bCs/>
          <w:color w:val="auto"/>
          <w:sz w:val="24"/>
          <w:szCs w:val="24"/>
          <w:highlight w:val="none"/>
          <w:vertAlign w:val="subscript"/>
        </w:rPr>
        <w:t>3</w:t>
      </w:r>
      <w:r>
        <w:rPr>
          <w:rFonts w:hint="eastAsia" w:ascii="Times New Roman" w:hAnsi="Times New Roman" w:cs="Times New Roman"/>
          <w:bCs/>
          <w:color w:val="auto"/>
          <w:sz w:val="24"/>
          <w:szCs w:val="24"/>
          <w:highlight w:val="none"/>
        </w:rPr>
        <w:t>-N900mg/L。</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B、无害化处理车间废水</w:t>
      </w:r>
    </w:p>
    <w:p>
      <w:pPr>
        <w:pStyle w:val="2"/>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olor w:val="auto"/>
          <w:highlight w:val="none"/>
          <w:lang w:val="en-US" w:eastAsia="zh-CN"/>
        </w:rPr>
      </w:pPr>
      <w:r>
        <w:rPr>
          <w:rFonts w:hint="default"/>
          <w:color w:val="auto"/>
          <w:highlight w:val="none"/>
          <w:lang w:val="en-US" w:eastAsia="zh-CN"/>
        </w:rPr>
        <w:t>项目无害化车间废水总量为3</w:t>
      </w:r>
      <w:r>
        <w:rPr>
          <w:rFonts w:hint="eastAsia"/>
          <w:color w:val="auto"/>
          <w:highlight w:val="none"/>
          <w:lang w:val="en-US" w:eastAsia="zh-CN"/>
        </w:rPr>
        <w:t>08.778</w:t>
      </w:r>
      <w:r>
        <w:rPr>
          <w:rFonts w:hint="default"/>
          <w:color w:val="auto"/>
          <w:highlight w:val="none"/>
          <w:lang w:val="en-US" w:eastAsia="zh-CN"/>
        </w:rPr>
        <w:t>m</w:t>
      </w:r>
      <w:r>
        <w:rPr>
          <w:rFonts w:hint="default"/>
          <w:color w:val="auto"/>
          <w:highlight w:val="none"/>
          <w:vertAlign w:val="superscript"/>
          <w:lang w:val="en-US" w:eastAsia="zh-CN"/>
        </w:rPr>
        <w:t>3</w:t>
      </w:r>
      <w:r>
        <w:rPr>
          <w:rFonts w:hint="default"/>
          <w:color w:val="auto"/>
          <w:highlight w:val="none"/>
          <w:lang w:val="en-US" w:eastAsia="zh-CN"/>
        </w:rPr>
        <w:t>/a，0.</w:t>
      </w:r>
      <w:r>
        <w:rPr>
          <w:rFonts w:hint="eastAsia"/>
          <w:color w:val="auto"/>
          <w:highlight w:val="none"/>
          <w:lang w:val="en-US" w:eastAsia="zh-CN"/>
        </w:rPr>
        <w:t>846</w:t>
      </w:r>
      <w:r>
        <w:rPr>
          <w:rFonts w:hint="default"/>
          <w:color w:val="auto"/>
          <w:highlight w:val="none"/>
          <w:lang w:val="en-US" w:eastAsia="zh-CN"/>
        </w:rPr>
        <w:t>m</w:t>
      </w:r>
      <w:r>
        <w:rPr>
          <w:rFonts w:hint="default"/>
          <w:color w:val="auto"/>
          <w:highlight w:val="none"/>
          <w:vertAlign w:val="superscript"/>
          <w:lang w:val="en-US" w:eastAsia="zh-CN"/>
        </w:rPr>
        <w:t>3</w:t>
      </w:r>
      <w:r>
        <w:rPr>
          <w:rFonts w:hint="default"/>
          <w:color w:val="auto"/>
          <w:highlight w:val="none"/>
          <w:lang w:val="en-US" w:eastAsia="zh-CN"/>
        </w:rPr>
        <w:t>/d，据类比牧原集团采用相同工艺同规模的无害化处理车间，项目无害化车间废水主要污染物浓度为COD700mg/L、BOD</w:t>
      </w:r>
      <w:r>
        <w:rPr>
          <w:rFonts w:hint="default"/>
          <w:color w:val="auto"/>
          <w:highlight w:val="none"/>
          <w:vertAlign w:val="subscript"/>
          <w:lang w:val="en-US" w:eastAsia="zh-CN"/>
        </w:rPr>
        <w:t>5</w:t>
      </w:r>
      <w:r>
        <w:rPr>
          <w:rFonts w:hint="eastAsia"/>
          <w:color w:val="auto"/>
          <w:highlight w:val="none"/>
          <w:vertAlign w:val="subscript"/>
          <w:lang w:val="en-US" w:eastAsia="zh-CN"/>
        </w:rPr>
        <w:t xml:space="preserve"> </w:t>
      </w:r>
      <w:r>
        <w:rPr>
          <w:rFonts w:hint="default"/>
          <w:color w:val="auto"/>
          <w:highlight w:val="none"/>
          <w:lang w:val="en-US" w:eastAsia="zh-CN"/>
        </w:rPr>
        <w:t>350mg/L、氨氮40mg/L、SS 200mg/L。</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cs="Times New Roman"/>
          <w:bCs/>
          <w:color w:val="auto"/>
          <w:sz w:val="24"/>
          <w:szCs w:val="24"/>
          <w:highlight w:val="none"/>
          <w:lang w:val="en-US" w:eastAsia="zh-CN"/>
        </w:rPr>
      </w:pPr>
      <w:r>
        <w:rPr>
          <w:rFonts w:hint="eastAsia" w:cs="Times New Roman"/>
          <w:bCs/>
          <w:color w:val="auto"/>
          <w:sz w:val="24"/>
          <w:szCs w:val="24"/>
          <w:highlight w:val="none"/>
          <w:lang w:val="en-US" w:eastAsia="zh-CN"/>
        </w:rPr>
        <w:t>C、生活污水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生活污水产生量为</w:t>
      </w:r>
      <w:r>
        <w:rPr>
          <w:rFonts w:hint="eastAsia" w:cs="Times New Roman"/>
          <w:bCs/>
          <w:color w:val="auto"/>
          <w:sz w:val="24"/>
          <w:szCs w:val="24"/>
          <w:highlight w:val="none"/>
          <w:lang w:val="en-US" w:eastAsia="zh-CN"/>
        </w:rPr>
        <w:t>9.216</w:t>
      </w:r>
      <w:r>
        <w:rPr>
          <w:rFonts w:ascii="Times New Roman" w:hAnsi="Times New Roman" w:cs="Times New Roman"/>
          <w:bCs/>
          <w:color w:val="auto"/>
          <w:sz w:val="24"/>
          <w:szCs w:val="24"/>
          <w:highlight w:val="none"/>
        </w:rPr>
        <w:t>m</w:t>
      </w:r>
      <w:r>
        <w:rPr>
          <w:rFonts w:ascii="Times New Roman" w:hAnsi="Times New Roman" w:cs="Times New Roman"/>
          <w:bCs/>
          <w:color w:val="auto"/>
          <w:sz w:val="24"/>
          <w:szCs w:val="24"/>
          <w:highlight w:val="none"/>
          <w:vertAlign w:val="superscript"/>
        </w:rPr>
        <w:t>3</w:t>
      </w:r>
      <w:r>
        <w:rPr>
          <w:rFonts w:ascii="Times New Roman" w:hAnsi="Times New Roman" w:cs="Times New Roman"/>
          <w:bCs/>
          <w:color w:val="auto"/>
          <w:sz w:val="24"/>
          <w:szCs w:val="24"/>
          <w:highlight w:val="none"/>
        </w:rPr>
        <w:t>/d、</w:t>
      </w:r>
      <w:r>
        <w:rPr>
          <w:rFonts w:hint="eastAsia" w:cs="Times New Roman"/>
          <w:bCs/>
          <w:color w:val="auto"/>
          <w:sz w:val="24"/>
          <w:szCs w:val="24"/>
          <w:highlight w:val="none"/>
          <w:lang w:val="en-US" w:eastAsia="zh-CN"/>
        </w:rPr>
        <w:t>3363.84</w:t>
      </w:r>
      <w:r>
        <w:rPr>
          <w:rFonts w:ascii="Times New Roman" w:hAnsi="Times New Roman" w:cs="Times New Roman"/>
          <w:bCs/>
          <w:color w:val="auto"/>
          <w:sz w:val="24"/>
          <w:szCs w:val="24"/>
          <w:highlight w:val="none"/>
        </w:rPr>
        <w:t>m</w:t>
      </w:r>
      <w:r>
        <w:rPr>
          <w:rFonts w:ascii="Times New Roman" w:hAnsi="Times New Roman" w:cs="Times New Roman"/>
          <w:bCs/>
          <w:color w:val="auto"/>
          <w:sz w:val="24"/>
          <w:szCs w:val="24"/>
          <w:highlight w:val="none"/>
          <w:vertAlign w:val="superscript"/>
        </w:rPr>
        <w:t>3</w:t>
      </w:r>
      <w:r>
        <w:rPr>
          <w:rFonts w:ascii="Times New Roman" w:hAnsi="Times New Roman" w:cs="Times New Roman"/>
          <w:bCs/>
          <w:color w:val="auto"/>
          <w:sz w:val="24"/>
          <w:szCs w:val="24"/>
          <w:highlight w:val="none"/>
        </w:rPr>
        <w:t>/a，主要污染物产生浓度分别为COD300mg/L、BOD</w:t>
      </w:r>
      <w:r>
        <w:rPr>
          <w:rFonts w:ascii="Times New Roman" w:hAnsi="Times New Roman" w:cs="Times New Roman"/>
          <w:bCs/>
          <w:color w:val="auto"/>
          <w:sz w:val="24"/>
          <w:szCs w:val="24"/>
          <w:highlight w:val="none"/>
          <w:vertAlign w:val="subscript"/>
        </w:rPr>
        <w:t>5</w:t>
      </w:r>
      <w:r>
        <w:rPr>
          <w:rFonts w:ascii="Times New Roman" w:hAnsi="Times New Roman" w:cs="Times New Roman"/>
          <w:bCs/>
          <w:color w:val="auto"/>
          <w:sz w:val="24"/>
          <w:szCs w:val="24"/>
          <w:highlight w:val="none"/>
        </w:rPr>
        <w:t>150mg/L、SS200mg/L</w:t>
      </w:r>
      <w:r>
        <w:rPr>
          <w:rFonts w:hint="eastAsia" w:ascii="Times New Roman" w:hAnsi="Times New Roman" w:cs="Times New Roman"/>
          <w:bCs/>
          <w:color w:val="auto"/>
          <w:sz w:val="24"/>
          <w:szCs w:val="24"/>
          <w:highlight w:val="none"/>
          <w:lang w:eastAsia="zh-CN"/>
        </w:rPr>
        <w:t>、</w:t>
      </w:r>
      <w:r>
        <w:rPr>
          <w:rFonts w:ascii="Times New Roman" w:hAnsi="Times New Roman" w:cs="Times New Roman"/>
          <w:bCs/>
          <w:color w:val="auto"/>
          <w:sz w:val="24"/>
          <w:szCs w:val="24"/>
          <w:highlight w:val="none"/>
        </w:rPr>
        <w:t>NH</w:t>
      </w:r>
      <w:r>
        <w:rPr>
          <w:rFonts w:ascii="Times New Roman" w:hAnsi="Times New Roman" w:cs="Times New Roman"/>
          <w:bCs/>
          <w:color w:val="auto"/>
          <w:sz w:val="24"/>
          <w:szCs w:val="24"/>
          <w:highlight w:val="none"/>
          <w:vertAlign w:val="subscript"/>
        </w:rPr>
        <w:t>3</w:t>
      </w:r>
      <w:r>
        <w:rPr>
          <w:rFonts w:ascii="Times New Roman" w:hAnsi="Times New Roman" w:cs="Times New Roman"/>
          <w:bCs/>
          <w:color w:val="auto"/>
          <w:sz w:val="24"/>
          <w:szCs w:val="24"/>
          <w:highlight w:val="none"/>
        </w:rPr>
        <w:t>-N30mg/L，污染物产生量分别为COD</w:t>
      </w:r>
      <w:r>
        <w:rPr>
          <w:rFonts w:hint="eastAsia" w:cs="Times New Roman"/>
          <w:bCs/>
          <w:color w:val="auto"/>
          <w:sz w:val="24"/>
          <w:szCs w:val="24"/>
          <w:highlight w:val="none"/>
          <w:lang w:val="en-US" w:eastAsia="zh-CN"/>
        </w:rPr>
        <w:t xml:space="preserve"> 1.01</w:t>
      </w:r>
      <w:r>
        <w:rPr>
          <w:rFonts w:ascii="Times New Roman" w:hAnsi="Times New Roman" w:cs="Times New Roman"/>
          <w:bCs/>
          <w:color w:val="auto"/>
          <w:sz w:val="24"/>
          <w:szCs w:val="24"/>
          <w:highlight w:val="none"/>
        </w:rPr>
        <w:t>t/a、BOD</w:t>
      </w:r>
      <w:r>
        <w:rPr>
          <w:rFonts w:ascii="Times New Roman" w:hAnsi="Times New Roman" w:cs="Times New Roman"/>
          <w:bCs/>
          <w:color w:val="auto"/>
          <w:sz w:val="24"/>
          <w:szCs w:val="24"/>
          <w:highlight w:val="none"/>
          <w:vertAlign w:val="subscript"/>
        </w:rPr>
        <w:t>5</w:t>
      </w:r>
      <w:r>
        <w:rPr>
          <w:rFonts w:hint="eastAsia" w:cs="Times New Roman"/>
          <w:bCs/>
          <w:color w:val="auto"/>
          <w:sz w:val="24"/>
          <w:szCs w:val="24"/>
          <w:highlight w:val="none"/>
          <w:vertAlign w:val="subscript"/>
          <w:lang w:val="en-US" w:eastAsia="zh-CN"/>
        </w:rPr>
        <w:t xml:space="preserve"> </w:t>
      </w:r>
      <w:r>
        <w:rPr>
          <w:rFonts w:ascii="Times New Roman" w:hAnsi="Times New Roman" w:cs="Times New Roman"/>
          <w:bCs/>
          <w:color w:val="auto"/>
          <w:sz w:val="24"/>
          <w:szCs w:val="24"/>
          <w:highlight w:val="none"/>
        </w:rPr>
        <w:t>0.</w:t>
      </w:r>
      <w:r>
        <w:rPr>
          <w:rFonts w:hint="eastAsia" w:cs="Times New Roman"/>
          <w:bCs/>
          <w:color w:val="auto"/>
          <w:sz w:val="24"/>
          <w:szCs w:val="24"/>
          <w:highlight w:val="none"/>
          <w:lang w:val="en-US" w:eastAsia="zh-CN"/>
        </w:rPr>
        <w:t>50</w:t>
      </w:r>
      <w:r>
        <w:rPr>
          <w:rFonts w:ascii="Times New Roman" w:hAnsi="Times New Roman" w:cs="Times New Roman"/>
          <w:bCs/>
          <w:color w:val="auto"/>
          <w:sz w:val="24"/>
          <w:szCs w:val="24"/>
          <w:highlight w:val="none"/>
        </w:rPr>
        <w:t>t/a、SS</w:t>
      </w:r>
      <w:r>
        <w:rPr>
          <w:rFonts w:hint="eastAsia" w:cs="Times New Roman"/>
          <w:bCs/>
          <w:color w:val="auto"/>
          <w:sz w:val="24"/>
          <w:szCs w:val="24"/>
          <w:highlight w:val="none"/>
          <w:lang w:val="en-US" w:eastAsia="zh-CN"/>
        </w:rPr>
        <w:t xml:space="preserve"> </w:t>
      </w:r>
      <w:r>
        <w:rPr>
          <w:rFonts w:ascii="Times New Roman" w:hAnsi="Times New Roman" w:cs="Times New Roman"/>
          <w:bCs/>
          <w:color w:val="auto"/>
          <w:sz w:val="24"/>
          <w:szCs w:val="24"/>
          <w:highlight w:val="none"/>
        </w:rPr>
        <w:t>0.</w:t>
      </w:r>
      <w:r>
        <w:rPr>
          <w:rFonts w:hint="eastAsia" w:cs="Times New Roman"/>
          <w:bCs/>
          <w:color w:val="auto"/>
          <w:sz w:val="24"/>
          <w:szCs w:val="24"/>
          <w:highlight w:val="none"/>
          <w:lang w:val="en-US" w:eastAsia="zh-CN"/>
        </w:rPr>
        <w:t>67</w:t>
      </w:r>
      <w:r>
        <w:rPr>
          <w:rFonts w:ascii="Times New Roman" w:hAnsi="Times New Roman" w:cs="Times New Roman"/>
          <w:bCs/>
          <w:color w:val="auto"/>
          <w:sz w:val="24"/>
          <w:szCs w:val="24"/>
          <w:highlight w:val="none"/>
        </w:rPr>
        <w:t>t/a、NH</w:t>
      </w:r>
      <w:r>
        <w:rPr>
          <w:rFonts w:ascii="Times New Roman" w:hAnsi="Times New Roman" w:cs="Times New Roman"/>
          <w:bCs/>
          <w:color w:val="auto"/>
          <w:sz w:val="24"/>
          <w:szCs w:val="24"/>
          <w:highlight w:val="none"/>
          <w:vertAlign w:val="subscript"/>
        </w:rPr>
        <w:t>3</w:t>
      </w:r>
      <w:r>
        <w:rPr>
          <w:rFonts w:ascii="Times New Roman" w:hAnsi="Times New Roman" w:cs="Times New Roman"/>
          <w:bCs/>
          <w:color w:val="auto"/>
          <w:sz w:val="24"/>
          <w:szCs w:val="24"/>
          <w:highlight w:val="none"/>
        </w:rPr>
        <w:t>-N</w:t>
      </w:r>
      <w:r>
        <w:rPr>
          <w:rFonts w:hint="eastAsia" w:cs="Times New Roman"/>
          <w:bCs/>
          <w:color w:val="auto"/>
          <w:sz w:val="24"/>
          <w:szCs w:val="24"/>
          <w:highlight w:val="none"/>
          <w:lang w:val="en-US" w:eastAsia="zh-CN"/>
        </w:rPr>
        <w:t xml:space="preserve"> </w:t>
      </w:r>
      <w:r>
        <w:rPr>
          <w:rFonts w:ascii="Times New Roman" w:hAnsi="Times New Roman" w:cs="Times New Roman"/>
          <w:bCs/>
          <w:color w:val="auto"/>
          <w:sz w:val="24"/>
          <w:szCs w:val="24"/>
          <w:highlight w:val="none"/>
        </w:rPr>
        <w:t>0.</w:t>
      </w:r>
      <w:r>
        <w:rPr>
          <w:rFonts w:hint="eastAsia" w:cs="Times New Roman"/>
          <w:bCs/>
          <w:color w:val="auto"/>
          <w:sz w:val="24"/>
          <w:szCs w:val="24"/>
          <w:highlight w:val="none"/>
          <w:lang w:val="en-US" w:eastAsia="zh-CN"/>
        </w:rPr>
        <w:t>10</w:t>
      </w:r>
      <w:r>
        <w:rPr>
          <w:rFonts w:ascii="Times New Roman" w:hAnsi="Times New Roman" w:cs="Times New Roman"/>
          <w:bCs/>
          <w:color w:val="auto"/>
          <w:sz w:val="24"/>
          <w:szCs w:val="24"/>
          <w:highlight w:val="none"/>
        </w:rPr>
        <w:t>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根据牧原食品股份有限公司实际运营过程中统计数据，养殖场在春、秋、冬季节用排水量无明显差异，因此项目废水排放量分析按照夏季及春、秋、冬季节（即非夏季）进行分析，</w:t>
      </w:r>
      <w:r>
        <w:rPr>
          <w:rFonts w:hint="eastAsia" w:cs="Times New Roman"/>
          <w:bCs/>
          <w:color w:val="auto"/>
          <w:sz w:val="24"/>
          <w:szCs w:val="24"/>
          <w:highlight w:val="none"/>
          <w:lang w:eastAsia="zh-CN"/>
        </w:rPr>
        <w:t>生产</w:t>
      </w:r>
      <w:r>
        <w:rPr>
          <w:rFonts w:ascii="Times New Roman" w:hAnsi="Times New Roman" w:cs="Times New Roman"/>
          <w:bCs/>
          <w:color w:val="auto"/>
          <w:sz w:val="24"/>
          <w:szCs w:val="24"/>
          <w:highlight w:val="none"/>
        </w:rPr>
        <w:t>废水与生活污水混合后，废水总排水量为</w:t>
      </w:r>
      <w:r>
        <w:rPr>
          <w:rFonts w:hint="eastAsia" w:ascii="Times New Roman" w:hAnsi="Times New Roman" w:cs="Times New Roman"/>
          <w:bCs/>
          <w:color w:val="auto"/>
          <w:sz w:val="24"/>
          <w:szCs w:val="24"/>
          <w:highlight w:val="none"/>
        </w:rPr>
        <w:t>101283.348</w:t>
      </w:r>
      <w:r>
        <w:rPr>
          <w:rFonts w:ascii="Times New Roman" w:hAnsi="Times New Roman" w:cs="Times New Roman"/>
          <w:bCs/>
          <w:color w:val="auto"/>
          <w:sz w:val="24"/>
          <w:szCs w:val="24"/>
          <w:highlight w:val="none"/>
        </w:rPr>
        <w:t>m</w:t>
      </w:r>
      <w:r>
        <w:rPr>
          <w:rFonts w:ascii="Times New Roman" w:hAnsi="Times New Roman" w:cs="Times New Roman"/>
          <w:bCs/>
          <w:color w:val="auto"/>
          <w:sz w:val="24"/>
          <w:szCs w:val="24"/>
          <w:highlight w:val="none"/>
          <w:vertAlign w:val="superscript"/>
        </w:rPr>
        <w:t>3</w:t>
      </w:r>
      <w:r>
        <w:rPr>
          <w:rFonts w:ascii="Times New Roman" w:hAnsi="Times New Roman" w:cs="Times New Roman"/>
          <w:bCs/>
          <w:color w:val="auto"/>
          <w:sz w:val="24"/>
          <w:szCs w:val="24"/>
          <w:highlight w:val="none"/>
        </w:rPr>
        <w:t>/a，即夏季</w:t>
      </w:r>
      <w:r>
        <w:rPr>
          <w:rFonts w:hint="eastAsia" w:cs="Times New Roman"/>
          <w:bCs/>
          <w:color w:val="auto"/>
          <w:sz w:val="24"/>
          <w:szCs w:val="24"/>
          <w:highlight w:val="none"/>
          <w:lang w:val="en-US" w:eastAsia="zh-CN"/>
        </w:rPr>
        <w:t>355.982</w:t>
      </w:r>
      <w:r>
        <w:rPr>
          <w:rFonts w:ascii="Times New Roman" w:hAnsi="Times New Roman" w:cs="Times New Roman"/>
          <w:bCs/>
          <w:color w:val="auto"/>
          <w:sz w:val="24"/>
          <w:szCs w:val="24"/>
          <w:highlight w:val="none"/>
        </w:rPr>
        <w:t>m</w:t>
      </w:r>
      <w:r>
        <w:rPr>
          <w:rFonts w:ascii="Times New Roman" w:hAnsi="Times New Roman" w:cs="Times New Roman"/>
          <w:bCs/>
          <w:color w:val="auto"/>
          <w:sz w:val="24"/>
          <w:szCs w:val="24"/>
          <w:highlight w:val="none"/>
          <w:vertAlign w:val="superscript"/>
        </w:rPr>
        <w:t>3</w:t>
      </w:r>
      <w:r>
        <w:rPr>
          <w:rFonts w:ascii="Times New Roman" w:hAnsi="Times New Roman" w:cs="Times New Roman"/>
          <w:bCs/>
          <w:color w:val="auto"/>
          <w:sz w:val="24"/>
          <w:szCs w:val="24"/>
          <w:highlight w:val="none"/>
        </w:rPr>
        <w:t>/d，其他季节</w:t>
      </w:r>
      <w:r>
        <w:rPr>
          <w:rFonts w:hint="eastAsia" w:cs="Times New Roman"/>
          <w:bCs/>
          <w:color w:val="auto"/>
          <w:sz w:val="24"/>
          <w:szCs w:val="24"/>
          <w:highlight w:val="none"/>
          <w:lang w:val="en-US" w:eastAsia="zh-CN"/>
        </w:rPr>
        <w:t>238.082</w:t>
      </w:r>
      <w:r>
        <w:rPr>
          <w:rFonts w:ascii="Times New Roman" w:hAnsi="Times New Roman" w:cs="Times New Roman"/>
          <w:bCs/>
          <w:color w:val="auto"/>
          <w:sz w:val="24"/>
          <w:szCs w:val="24"/>
          <w:highlight w:val="none"/>
        </w:rPr>
        <w:t>m</w:t>
      </w:r>
      <w:r>
        <w:rPr>
          <w:rFonts w:ascii="Times New Roman" w:hAnsi="Times New Roman" w:cs="Times New Roman"/>
          <w:bCs/>
          <w:color w:val="auto"/>
          <w:sz w:val="24"/>
          <w:szCs w:val="24"/>
          <w:highlight w:val="none"/>
          <w:vertAlign w:val="superscript"/>
        </w:rPr>
        <w:t>3</w:t>
      </w:r>
      <w:r>
        <w:rPr>
          <w:rFonts w:ascii="Times New Roman" w:hAnsi="Times New Roman" w:cs="Times New Roman"/>
          <w:bCs/>
          <w:color w:val="auto"/>
          <w:sz w:val="24"/>
          <w:szCs w:val="24"/>
          <w:highlight w:val="none"/>
        </w:rPr>
        <w:t>/d。</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本项目采取</w:t>
      </w:r>
      <w:r>
        <w:rPr>
          <w:rFonts w:hint="eastAsia" w:asciiTheme="minorEastAsia" w:hAnsiTheme="minorEastAsia" w:eastAsiaTheme="minorEastAsia" w:cstheme="minorEastAsia"/>
          <w:bCs/>
          <w:color w:val="auto"/>
          <w:sz w:val="24"/>
          <w:szCs w:val="24"/>
          <w:highlight w:val="none"/>
        </w:rPr>
        <w:t>“环保部认定的干清粪、</w:t>
      </w:r>
      <w:r>
        <w:rPr>
          <w:rFonts w:hint="eastAsia" w:asciiTheme="minorEastAsia" w:hAnsiTheme="minorEastAsia" w:eastAsiaTheme="minorEastAsia" w:cstheme="minorEastAsia"/>
          <w:bCs/>
          <w:color w:val="auto"/>
          <w:sz w:val="24"/>
          <w:szCs w:val="24"/>
          <w:highlight w:val="none"/>
          <w:lang w:eastAsia="zh-CN"/>
        </w:rPr>
        <w:t>黑膜</w:t>
      </w:r>
      <w:r>
        <w:rPr>
          <w:rFonts w:hint="eastAsia" w:asciiTheme="minorEastAsia" w:hAnsiTheme="minorEastAsia" w:eastAsiaTheme="minorEastAsia" w:cstheme="minorEastAsia"/>
          <w:bCs/>
          <w:color w:val="auto"/>
          <w:sz w:val="24"/>
          <w:szCs w:val="24"/>
          <w:highlight w:val="none"/>
        </w:rPr>
        <w:t>沼气池、沼气沼液沼渣综合利用”</w:t>
      </w:r>
      <w:r>
        <w:rPr>
          <w:rFonts w:ascii="Times New Roman" w:hAnsi="Times New Roman" w:cs="Times New Roman"/>
          <w:bCs/>
          <w:color w:val="auto"/>
          <w:sz w:val="24"/>
          <w:szCs w:val="24"/>
          <w:highlight w:val="none"/>
        </w:rPr>
        <w:t>处理工艺，养殖废水和生活污水进入</w:t>
      </w:r>
      <w:r>
        <w:rPr>
          <w:rFonts w:hint="eastAsia" w:ascii="Times New Roman" w:hAnsi="Times New Roman" w:cs="Times New Roman"/>
          <w:bCs/>
          <w:color w:val="auto"/>
          <w:sz w:val="24"/>
          <w:szCs w:val="24"/>
          <w:highlight w:val="none"/>
          <w:lang w:eastAsia="zh-CN"/>
        </w:rPr>
        <w:t>黑膜</w:t>
      </w:r>
      <w:r>
        <w:rPr>
          <w:rFonts w:ascii="Times New Roman" w:hAnsi="Times New Roman" w:cs="Times New Roman"/>
          <w:bCs/>
          <w:color w:val="auto"/>
          <w:sz w:val="24"/>
          <w:szCs w:val="24"/>
          <w:highlight w:val="none"/>
        </w:rPr>
        <w:t>沼气池进行30d厌氧发酵处理，</w:t>
      </w:r>
      <w:r>
        <w:rPr>
          <w:rFonts w:hint="eastAsia" w:ascii="Times New Roman" w:hAnsi="Times New Roman" w:cs="Times New Roman"/>
          <w:bCs/>
          <w:color w:val="auto"/>
          <w:sz w:val="24"/>
          <w:szCs w:val="24"/>
          <w:highlight w:val="none"/>
          <w:lang w:eastAsia="zh-CN"/>
        </w:rPr>
        <w:t>黑膜</w:t>
      </w:r>
      <w:r>
        <w:rPr>
          <w:rFonts w:ascii="Times New Roman" w:hAnsi="Times New Roman" w:cs="Times New Roman"/>
          <w:bCs/>
          <w:color w:val="auto"/>
          <w:sz w:val="24"/>
          <w:szCs w:val="24"/>
          <w:highlight w:val="none"/>
        </w:rPr>
        <w:t>沼气池设计总容积为</w:t>
      </w:r>
      <w:r>
        <w:rPr>
          <w:rFonts w:hint="eastAsia" w:cs="Times New Roman"/>
          <w:bCs/>
          <w:color w:val="auto"/>
          <w:sz w:val="24"/>
          <w:szCs w:val="24"/>
          <w:highlight w:val="none"/>
          <w:lang w:eastAsia="zh-CN"/>
        </w:rPr>
        <w:t>10</w:t>
      </w:r>
      <w:r>
        <w:rPr>
          <w:rFonts w:hint="eastAsia" w:cs="Times New Roman"/>
          <w:bCs/>
          <w:color w:val="auto"/>
          <w:sz w:val="24"/>
          <w:szCs w:val="24"/>
          <w:highlight w:val="none"/>
          <w:lang w:val="en-US" w:eastAsia="zh-CN"/>
        </w:rPr>
        <w:t>680</w:t>
      </w:r>
      <w:r>
        <w:rPr>
          <w:rFonts w:ascii="Times New Roman" w:hAnsi="Times New Roman" w:cs="Times New Roman"/>
          <w:bCs/>
          <w:color w:val="auto"/>
          <w:sz w:val="24"/>
          <w:szCs w:val="24"/>
          <w:highlight w:val="none"/>
        </w:rPr>
        <w:t>m</w:t>
      </w:r>
      <w:r>
        <w:rPr>
          <w:rFonts w:ascii="Times New Roman" w:hAnsi="Times New Roman" w:cs="Times New Roman"/>
          <w:bCs/>
          <w:color w:val="auto"/>
          <w:sz w:val="24"/>
          <w:szCs w:val="24"/>
          <w:highlight w:val="none"/>
          <w:vertAlign w:val="superscript"/>
        </w:rPr>
        <w:t>3</w:t>
      </w:r>
      <w:r>
        <w:rPr>
          <w:rFonts w:ascii="Times New Roman" w:hAnsi="Times New Roman" w:cs="Times New Roman"/>
          <w:bCs/>
          <w:color w:val="auto"/>
          <w:sz w:val="24"/>
          <w:szCs w:val="24"/>
          <w:highlight w:val="none"/>
        </w:rPr>
        <w:t>，满足夏季最大容纳30天共</w:t>
      </w:r>
      <w:r>
        <w:rPr>
          <w:rFonts w:hint="eastAsia" w:cs="Times New Roman"/>
          <w:bCs/>
          <w:color w:val="auto"/>
          <w:sz w:val="24"/>
          <w:szCs w:val="24"/>
          <w:highlight w:val="none"/>
          <w:lang w:val="en-US" w:eastAsia="zh-CN"/>
        </w:rPr>
        <w:t>10679.46</w:t>
      </w:r>
      <w:r>
        <w:rPr>
          <w:rFonts w:ascii="Times New Roman" w:hAnsi="Times New Roman" w:cs="Times New Roman"/>
          <w:bCs/>
          <w:color w:val="auto"/>
          <w:sz w:val="24"/>
          <w:szCs w:val="24"/>
          <w:highlight w:val="none"/>
        </w:rPr>
        <w:t>m</w:t>
      </w:r>
      <w:r>
        <w:rPr>
          <w:rFonts w:ascii="Times New Roman" w:hAnsi="Times New Roman" w:cs="Times New Roman"/>
          <w:bCs/>
          <w:color w:val="auto"/>
          <w:sz w:val="24"/>
          <w:szCs w:val="24"/>
          <w:highlight w:val="none"/>
          <w:vertAlign w:val="superscript"/>
        </w:rPr>
        <w:t>3</w:t>
      </w:r>
      <w:r>
        <w:rPr>
          <w:rFonts w:ascii="Times New Roman" w:hAnsi="Times New Roman" w:cs="Times New Roman"/>
          <w:bCs/>
          <w:color w:val="auto"/>
          <w:sz w:val="24"/>
          <w:szCs w:val="24"/>
          <w:highlight w:val="none"/>
        </w:rPr>
        <w:t>废水处理需求。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项目场区废水产生后统一进入</w:t>
      </w:r>
      <w:r>
        <w:rPr>
          <w:rFonts w:hint="eastAsia" w:ascii="Times New Roman" w:hAnsi="Times New Roman" w:cs="Times New Roman"/>
          <w:bCs/>
          <w:color w:val="auto"/>
          <w:sz w:val="24"/>
          <w:szCs w:val="24"/>
          <w:highlight w:val="none"/>
          <w:lang w:eastAsia="zh-CN"/>
        </w:rPr>
        <w:t>黑膜</w:t>
      </w:r>
      <w:r>
        <w:rPr>
          <w:rFonts w:ascii="Times New Roman" w:hAnsi="Times New Roman" w:cs="Times New Roman"/>
          <w:bCs/>
          <w:color w:val="auto"/>
          <w:sz w:val="24"/>
          <w:szCs w:val="24"/>
          <w:highlight w:val="none"/>
        </w:rPr>
        <w:t>沼气池进行处理，经过厌氧发酵的出水沼液在耕作施肥期用于配套消纳地进行综合利用，在非耕作期于场内</w:t>
      </w:r>
      <w:r>
        <w:rPr>
          <w:rFonts w:hint="eastAsia" w:cs="Times New Roman"/>
          <w:bCs/>
          <w:color w:val="auto"/>
          <w:sz w:val="24"/>
          <w:szCs w:val="24"/>
          <w:highlight w:val="none"/>
          <w:lang w:eastAsia="zh-CN"/>
        </w:rPr>
        <w:t>黑膜沼气</w:t>
      </w:r>
      <w:r>
        <w:rPr>
          <w:rFonts w:ascii="Times New Roman" w:hAnsi="Times New Roman" w:cs="Times New Roman"/>
          <w:bCs/>
          <w:color w:val="auto"/>
          <w:sz w:val="24"/>
          <w:szCs w:val="24"/>
          <w:highlight w:val="none"/>
        </w:rPr>
        <w:t>池中暂存，不外排。项目废水中主要污染物去除效率为COD</w:t>
      </w:r>
      <w:r>
        <w:rPr>
          <w:rFonts w:hint="eastAsia" w:cs="Times New Roman"/>
          <w:bCs/>
          <w:color w:val="auto"/>
          <w:sz w:val="24"/>
          <w:szCs w:val="24"/>
          <w:highlight w:val="none"/>
          <w:lang w:val="en-US" w:eastAsia="zh-CN"/>
        </w:rPr>
        <w:t xml:space="preserve"> 85</w:t>
      </w:r>
      <w:r>
        <w:rPr>
          <w:rFonts w:ascii="Times New Roman" w:hAnsi="Times New Roman" w:cs="Times New Roman"/>
          <w:bCs/>
          <w:color w:val="auto"/>
          <w:sz w:val="24"/>
          <w:szCs w:val="24"/>
          <w:highlight w:val="none"/>
        </w:rPr>
        <w:t>%、BOD</w:t>
      </w:r>
      <w:r>
        <w:rPr>
          <w:rFonts w:ascii="Times New Roman" w:hAnsi="Times New Roman" w:cs="Times New Roman"/>
          <w:bCs/>
          <w:color w:val="auto"/>
          <w:sz w:val="24"/>
          <w:szCs w:val="24"/>
          <w:highlight w:val="none"/>
          <w:vertAlign w:val="subscript"/>
        </w:rPr>
        <w:t>5</w:t>
      </w:r>
      <w:r>
        <w:rPr>
          <w:rFonts w:hint="eastAsia" w:cs="Times New Roman"/>
          <w:bCs/>
          <w:color w:val="auto"/>
          <w:sz w:val="24"/>
          <w:szCs w:val="24"/>
          <w:highlight w:val="none"/>
          <w:vertAlign w:val="subscript"/>
          <w:lang w:val="en-US" w:eastAsia="zh-CN"/>
        </w:rPr>
        <w:t xml:space="preserve"> </w:t>
      </w:r>
      <w:r>
        <w:rPr>
          <w:rFonts w:hint="eastAsia" w:cs="Times New Roman"/>
          <w:bCs/>
          <w:color w:val="auto"/>
          <w:sz w:val="24"/>
          <w:szCs w:val="24"/>
          <w:highlight w:val="none"/>
          <w:lang w:val="en-US" w:eastAsia="zh-CN"/>
        </w:rPr>
        <w:t>83</w:t>
      </w:r>
      <w:r>
        <w:rPr>
          <w:rFonts w:ascii="Times New Roman" w:hAnsi="Times New Roman" w:cs="Times New Roman"/>
          <w:bCs/>
          <w:color w:val="auto"/>
          <w:sz w:val="24"/>
          <w:szCs w:val="24"/>
          <w:highlight w:val="none"/>
        </w:rPr>
        <w:t>%、SS</w:t>
      </w:r>
      <w:r>
        <w:rPr>
          <w:rFonts w:hint="eastAsia" w:cs="Times New Roman"/>
          <w:bCs/>
          <w:color w:val="auto"/>
          <w:sz w:val="24"/>
          <w:szCs w:val="24"/>
          <w:highlight w:val="none"/>
          <w:lang w:val="en-US" w:eastAsia="zh-CN"/>
        </w:rPr>
        <w:t xml:space="preserve"> 87.9</w:t>
      </w:r>
      <w:r>
        <w:rPr>
          <w:rFonts w:ascii="Times New Roman" w:hAnsi="Times New Roman" w:cs="Times New Roman"/>
          <w:bCs/>
          <w:color w:val="auto"/>
          <w:sz w:val="24"/>
          <w:szCs w:val="24"/>
          <w:highlight w:val="none"/>
        </w:rPr>
        <w:t>%、氨氮</w:t>
      </w:r>
      <w:r>
        <w:rPr>
          <w:rFonts w:hint="eastAsia" w:cs="Times New Roman"/>
          <w:bCs/>
          <w:color w:val="auto"/>
          <w:sz w:val="24"/>
          <w:szCs w:val="24"/>
          <w:highlight w:val="none"/>
          <w:lang w:val="en-US" w:eastAsia="zh-CN"/>
        </w:rPr>
        <w:t>27.2</w:t>
      </w:r>
      <w:r>
        <w:rPr>
          <w:rFonts w:ascii="Times New Roman" w:hAnsi="Times New Roman" w:cs="Times New Roman"/>
          <w:bCs/>
          <w:color w:val="auto"/>
          <w:sz w:val="24"/>
          <w:szCs w:val="24"/>
          <w:highlight w:val="none"/>
        </w:rPr>
        <w:t>%。项目废水主要污染物产生及排放汇总表见表</w:t>
      </w:r>
      <w:r>
        <w:rPr>
          <w:rFonts w:hint="eastAsia" w:cs="Times New Roman"/>
          <w:bCs/>
          <w:color w:val="auto"/>
          <w:sz w:val="24"/>
          <w:szCs w:val="24"/>
          <w:highlight w:val="none"/>
          <w:lang w:val="en-US" w:eastAsia="zh-CN"/>
        </w:rPr>
        <w:t>2</w:t>
      </w:r>
      <w:r>
        <w:rPr>
          <w:rFonts w:hint="eastAsia" w:ascii="Times New Roman" w:hAnsi="Times New Roman" w:cs="Times New Roman"/>
          <w:bCs/>
          <w:color w:val="auto"/>
          <w:sz w:val="24"/>
          <w:szCs w:val="24"/>
          <w:highlight w:val="none"/>
          <w:lang w:val="en-US" w:eastAsia="zh-CN"/>
        </w:rPr>
        <w:t>.</w:t>
      </w:r>
      <w:r>
        <w:rPr>
          <w:rFonts w:hint="eastAsia" w:cs="Times New Roman"/>
          <w:bCs/>
          <w:color w:val="auto"/>
          <w:sz w:val="24"/>
          <w:szCs w:val="24"/>
          <w:highlight w:val="none"/>
          <w:lang w:val="en-US" w:eastAsia="zh-CN"/>
        </w:rPr>
        <w:t>12</w:t>
      </w:r>
      <w:r>
        <w:rPr>
          <w:rFonts w:ascii="Times New Roman" w:hAnsi="Times New Roman" w:cs="Times New Roman"/>
          <w:bCs/>
          <w:color w:val="auto"/>
          <w:sz w:val="24"/>
          <w:szCs w:val="24"/>
          <w:highlight w:val="none"/>
        </w:rPr>
        <w:t>-</w:t>
      </w:r>
      <w:r>
        <w:rPr>
          <w:rFonts w:hint="eastAsia" w:cs="Times New Roman"/>
          <w:bCs/>
          <w:color w:val="auto"/>
          <w:sz w:val="24"/>
          <w:szCs w:val="24"/>
          <w:highlight w:val="none"/>
          <w:lang w:val="en-US" w:eastAsia="zh-CN"/>
        </w:rPr>
        <w:t>8</w:t>
      </w:r>
      <w:r>
        <w:rPr>
          <w:rFonts w:ascii="Times New Roman" w:hAnsi="Times New Roman" w:cs="Times New Roman"/>
          <w:bCs/>
          <w:color w:val="auto"/>
          <w:sz w:val="24"/>
          <w:szCs w:val="24"/>
          <w:highlight w:val="none"/>
        </w:rPr>
        <w:t>。</w:t>
      </w:r>
    </w:p>
    <w:p>
      <w:pPr>
        <w:pStyle w:val="40"/>
        <w:rPr>
          <w:rFonts w:hint="eastAsia" w:cs="Times New Roman"/>
          <w:color w:val="auto"/>
          <w:highlight w:val="none"/>
          <w:lang w:val="en-US" w:eastAsia="zh-CN"/>
        </w:rPr>
      </w:pPr>
      <w:r>
        <w:rPr>
          <w:rFonts w:hint="eastAsia" w:cs="Times New Roman"/>
          <w:color w:val="auto"/>
          <w:highlight w:val="none"/>
          <w:lang w:val="en-US" w:eastAsia="zh-CN"/>
        </w:rPr>
        <w:t>表2.12-8 项目污水产生及排放情况</w:t>
      </w:r>
    </w:p>
    <w:tbl>
      <w:tblPr>
        <w:tblStyle w:val="2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83"/>
        <w:gridCol w:w="1214"/>
        <w:gridCol w:w="920"/>
        <w:gridCol w:w="1000"/>
        <w:gridCol w:w="1119"/>
        <w:gridCol w:w="1047"/>
        <w:gridCol w:w="14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来源</w:t>
            </w:r>
          </w:p>
        </w:tc>
        <w:tc>
          <w:tcPr>
            <w:tcW w:w="66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水量m</w:t>
            </w:r>
            <w:r>
              <w:rPr>
                <w:rFonts w:hint="default" w:cs="Times New Roman"/>
                <w:bCs/>
                <w:color w:val="auto"/>
                <w:spacing w:val="2"/>
                <w:sz w:val="21"/>
                <w:highlight w:val="none"/>
                <w:vertAlign w:val="superscript"/>
              </w:rPr>
              <w:t>3</w:t>
            </w:r>
            <w:r>
              <w:rPr>
                <w:rFonts w:hint="default" w:cs="Times New Roman"/>
                <w:bCs/>
                <w:color w:val="auto"/>
                <w:spacing w:val="2"/>
                <w:sz w:val="21"/>
                <w:highlight w:val="none"/>
              </w:rPr>
              <w:t>/a</w:t>
            </w:r>
          </w:p>
        </w:tc>
        <w:tc>
          <w:tcPr>
            <w:tcW w:w="56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指标</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浓度mg/L</w:t>
            </w:r>
          </w:p>
        </w:tc>
        <w:tc>
          <w:tcPr>
            <w:tcW w:w="68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产生量t/a</w:t>
            </w:r>
          </w:p>
        </w:tc>
        <w:tc>
          <w:tcPr>
            <w:tcW w:w="64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排放量t/a</w:t>
            </w:r>
          </w:p>
        </w:tc>
        <w:tc>
          <w:tcPr>
            <w:tcW w:w="878"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eastAsia="zh-CN"/>
              </w:rPr>
            </w:pPr>
            <w:r>
              <w:rPr>
                <w:rFonts w:hint="eastAsia" w:cs="Times New Roman"/>
                <w:bCs/>
                <w:color w:val="auto"/>
                <w:spacing w:val="2"/>
                <w:sz w:val="21"/>
                <w:highlight w:val="none"/>
                <w:lang w:eastAsia="zh-CN"/>
              </w:rPr>
              <w:t>固液分离前养殖废水</w:t>
            </w:r>
          </w:p>
        </w:tc>
        <w:tc>
          <w:tcPr>
            <w:tcW w:w="66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97610.73</w:t>
            </w:r>
          </w:p>
        </w:tc>
        <w:tc>
          <w:tcPr>
            <w:tcW w:w="56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COD</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19500</w:t>
            </w:r>
          </w:p>
        </w:tc>
        <w:tc>
          <w:tcPr>
            <w:tcW w:w="68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1903.4</w:t>
            </w:r>
            <w:r>
              <w:rPr>
                <w:rFonts w:hint="eastAsia" w:cs="Times New Roman"/>
                <w:bCs/>
                <w:color w:val="auto"/>
                <w:spacing w:val="2"/>
                <w:sz w:val="21"/>
                <w:highlight w:val="none"/>
                <w:lang w:val="en-US" w:eastAsia="zh-CN"/>
              </w:rPr>
              <w:t>1</w:t>
            </w:r>
          </w:p>
        </w:tc>
        <w:tc>
          <w:tcPr>
            <w:tcW w:w="641"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0</w:t>
            </w:r>
          </w:p>
        </w:tc>
        <w:tc>
          <w:tcPr>
            <w:tcW w:w="878" w:type="pct"/>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农肥施用季节做农肥，雨季由沼液储存池暂时贮存，不外排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eastAsia="zh-CN"/>
              </w:rPr>
            </w:pPr>
          </w:p>
        </w:tc>
        <w:tc>
          <w:tcPr>
            <w:tcW w:w="66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p>
        </w:tc>
        <w:tc>
          <w:tcPr>
            <w:tcW w:w="56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BOD</w:t>
            </w:r>
            <w:r>
              <w:rPr>
                <w:rFonts w:hint="default" w:cs="Times New Roman"/>
                <w:bCs/>
                <w:color w:val="auto"/>
                <w:spacing w:val="2"/>
                <w:sz w:val="21"/>
                <w:highlight w:val="none"/>
                <w:vertAlign w:val="subscript"/>
              </w:rPr>
              <w:t>5</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8000</w:t>
            </w:r>
          </w:p>
        </w:tc>
        <w:tc>
          <w:tcPr>
            <w:tcW w:w="68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780.</w:t>
            </w:r>
            <w:r>
              <w:rPr>
                <w:rFonts w:hint="eastAsia" w:cs="Times New Roman"/>
                <w:bCs/>
                <w:color w:val="auto"/>
                <w:spacing w:val="2"/>
                <w:sz w:val="21"/>
                <w:highlight w:val="none"/>
                <w:lang w:val="en-US" w:eastAsia="zh-CN"/>
              </w:rPr>
              <w:t>9</w:t>
            </w:r>
          </w:p>
        </w:tc>
        <w:tc>
          <w:tcPr>
            <w:tcW w:w="64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878"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eastAsia="zh-CN"/>
              </w:rPr>
            </w:pPr>
          </w:p>
        </w:tc>
        <w:tc>
          <w:tcPr>
            <w:tcW w:w="66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p>
        </w:tc>
        <w:tc>
          <w:tcPr>
            <w:tcW w:w="56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SS</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16000</w:t>
            </w:r>
          </w:p>
        </w:tc>
        <w:tc>
          <w:tcPr>
            <w:tcW w:w="68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1561.</w:t>
            </w:r>
            <w:r>
              <w:rPr>
                <w:rFonts w:hint="eastAsia" w:cs="Times New Roman"/>
                <w:bCs/>
                <w:color w:val="auto"/>
                <w:spacing w:val="2"/>
                <w:sz w:val="21"/>
                <w:highlight w:val="none"/>
                <w:lang w:val="en-US" w:eastAsia="zh-CN"/>
              </w:rPr>
              <w:t>8</w:t>
            </w:r>
          </w:p>
        </w:tc>
        <w:tc>
          <w:tcPr>
            <w:tcW w:w="64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878"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cs="Times New Roman"/>
                <w:bCs/>
                <w:color w:val="auto"/>
                <w:spacing w:val="2"/>
                <w:sz w:val="21"/>
                <w:highlight w:val="none"/>
                <w:lang w:eastAsia="zh-CN"/>
              </w:rPr>
            </w:pPr>
          </w:p>
        </w:tc>
        <w:tc>
          <w:tcPr>
            <w:tcW w:w="66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p>
        </w:tc>
        <w:tc>
          <w:tcPr>
            <w:tcW w:w="56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NH</w:t>
            </w:r>
            <w:r>
              <w:rPr>
                <w:rFonts w:hint="default" w:cs="Times New Roman"/>
                <w:bCs/>
                <w:color w:val="auto"/>
                <w:spacing w:val="2"/>
                <w:sz w:val="21"/>
                <w:highlight w:val="none"/>
                <w:vertAlign w:val="subscript"/>
              </w:rPr>
              <w:t>3</w:t>
            </w:r>
            <w:r>
              <w:rPr>
                <w:rFonts w:hint="default" w:cs="Times New Roman"/>
                <w:bCs/>
                <w:color w:val="auto"/>
                <w:spacing w:val="2"/>
                <w:sz w:val="21"/>
                <w:highlight w:val="none"/>
              </w:rPr>
              <w:t>-N</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1200</w:t>
            </w:r>
          </w:p>
        </w:tc>
        <w:tc>
          <w:tcPr>
            <w:tcW w:w="68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117.1</w:t>
            </w:r>
          </w:p>
        </w:tc>
        <w:tc>
          <w:tcPr>
            <w:tcW w:w="64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878"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eastAsia" w:cs="Times New Roman"/>
                <w:bCs/>
                <w:color w:val="auto"/>
                <w:spacing w:val="2"/>
                <w:sz w:val="21"/>
                <w:highlight w:val="none"/>
                <w:lang w:eastAsia="zh-CN"/>
              </w:rPr>
              <w:t>固液分离后养殖</w:t>
            </w:r>
            <w:r>
              <w:rPr>
                <w:rFonts w:hint="default" w:cs="Times New Roman"/>
                <w:bCs/>
                <w:color w:val="auto"/>
                <w:spacing w:val="2"/>
                <w:sz w:val="21"/>
                <w:highlight w:val="none"/>
              </w:rPr>
              <w:t>废水（尿液、猪舍冲洗废水、进污水站猪粪含水等）</w:t>
            </w:r>
          </w:p>
        </w:tc>
        <w:tc>
          <w:tcPr>
            <w:tcW w:w="66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97610.73</w:t>
            </w:r>
          </w:p>
        </w:tc>
        <w:tc>
          <w:tcPr>
            <w:tcW w:w="56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COD</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15000</w:t>
            </w:r>
          </w:p>
        </w:tc>
        <w:tc>
          <w:tcPr>
            <w:tcW w:w="68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1464.</w:t>
            </w:r>
            <w:r>
              <w:rPr>
                <w:rFonts w:hint="eastAsia" w:cs="Times New Roman"/>
                <w:bCs/>
                <w:color w:val="auto"/>
                <w:spacing w:val="2"/>
                <w:sz w:val="21"/>
                <w:highlight w:val="none"/>
                <w:lang w:val="en-US" w:eastAsia="zh-CN"/>
              </w:rPr>
              <w:t>2</w:t>
            </w:r>
          </w:p>
        </w:tc>
        <w:tc>
          <w:tcPr>
            <w:tcW w:w="64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878"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66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6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BOD</w:t>
            </w:r>
            <w:r>
              <w:rPr>
                <w:rFonts w:hint="default" w:cs="Times New Roman"/>
                <w:bCs/>
                <w:color w:val="auto"/>
                <w:spacing w:val="2"/>
                <w:sz w:val="21"/>
                <w:highlight w:val="none"/>
                <w:vertAlign w:val="subscript"/>
              </w:rPr>
              <w:t>5</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6000</w:t>
            </w:r>
          </w:p>
        </w:tc>
        <w:tc>
          <w:tcPr>
            <w:tcW w:w="68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585.</w:t>
            </w:r>
            <w:r>
              <w:rPr>
                <w:rFonts w:hint="eastAsia" w:cs="Times New Roman"/>
                <w:bCs/>
                <w:color w:val="auto"/>
                <w:spacing w:val="2"/>
                <w:sz w:val="21"/>
                <w:highlight w:val="none"/>
                <w:lang w:val="en-US" w:eastAsia="zh-CN"/>
              </w:rPr>
              <w:t>7</w:t>
            </w:r>
          </w:p>
        </w:tc>
        <w:tc>
          <w:tcPr>
            <w:tcW w:w="64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87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66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6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SS</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7800</w:t>
            </w:r>
          </w:p>
        </w:tc>
        <w:tc>
          <w:tcPr>
            <w:tcW w:w="68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761.4</w:t>
            </w:r>
          </w:p>
        </w:tc>
        <w:tc>
          <w:tcPr>
            <w:tcW w:w="64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7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66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6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NH</w:t>
            </w:r>
            <w:r>
              <w:rPr>
                <w:rFonts w:hint="default" w:cs="Times New Roman"/>
                <w:bCs/>
                <w:color w:val="auto"/>
                <w:spacing w:val="2"/>
                <w:sz w:val="21"/>
                <w:highlight w:val="none"/>
                <w:vertAlign w:val="subscript"/>
              </w:rPr>
              <w:t>3</w:t>
            </w:r>
            <w:r>
              <w:rPr>
                <w:rFonts w:hint="default" w:cs="Times New Roman"/>
                <w:bCs/>
                <w:color w:val="auto"/>
                <w:spacing w:val="2"/>
                <w:sz w:val="21"/>
                <w:highlight w:val="none"/>
              </w:rPr>
              <w:t>-N</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1000</w:t>
            </w:r>
          </w:p>
        </w:tc>
        <w:tc>
          <w:tcPr>
            <w:tcW w:w="68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97.6</w:t>
            </w:r>
          </w:p>
        </w:tc>
        <w:tc>
          <w:tcPr>
            <w:tcW w:w="64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7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6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eastAsia" w:eastAsia="宋体" w:cs="Times New Roman"/>
                <w:bCs/>
                <w:color w:val="auto"/>
                <w:spacing w:val="2"/>
                <w:sz w:val="21"/>
                <w:highlight w:val="none"/>
                <w:lang w:eastAsia="zh-CN"/>
              </w:rPr>
            </w:pPr>
            <w:r>
              <w:rPr>
                <w:rFonts w:hint="eastAsia" w:cs="Times New Roman"/>
                <w:bCs/>
                <w:color w:val="auto"/>
                <w:spacing w:val="2"/>
                <w:sz w:val="21"/>
                <w:highlight w:val="none"/>
                <w:lang w:eastAsia="zh-CN"/>
              </w:rPr>
              <w:t>无害化处理车间废水</w:t>
            </w:r>
          </w:p>
        </w:tc>
        <w:tc>
          <w:tcPr>
            <w:tcW w:w="66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308.778</w:t>
            </w:r>
          </w:p>
        </w:tc>
        <w:tc>
          <w:tcPr>
            <w:tcW w:w="56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COD</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700</w:t>
            </w:r>
          </w:p>
        </w:tc>
        <w:tc>
          <w:tcPr>
            <w:tcW w:w="68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0.2</w:t>
            </w:r>
            <w:r>
              <w:rPr>
                <w:rFonts w:hint="eastAsia" w:cs="Times New Roman"/>
                <w:bCs/>
                <w:color w:val="auto"/>
                <w:spacing w:val="2"/>
                <w:sz w:val="21"/>
                <w:highlight w:val="none"/>
                <w:lang w:val="en-US" w:eastAsia="zh-CN"/>
              </w:rPr>
              <w:t>2</w:t>
            </w:r>
          </w:p>
        </w:tc>
        <w:tc>
          <w:tcPr>
            <w:tcW w:w="64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7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66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6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BOD</w:t>
            </w:r>
            <w:r>
              <w:rPr>
                <w:rFonts w:hint="default" w:cs="Times New Roman"/>
                <w:bCs/>
                <w:color w:val="auto"/>
                <w:spacing w:val="2"/>
                <w:sz w:val="21"/>
                <w:highlight w:val="none"/>
                <w:vertAlign w:val="subscript"/>
              </w:rPr>
              <w:t>5</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350</w:t>
            </w:r>
          </w:p>
        </w:tc>
        <w:tc>
          <w:tcPr>
            <w:tcW w:w="68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0.1</w:t>
            </w:r>
            <w:r>
              <w:rPr>
                <w:rFonts w:hint="eastAsia" w:cs="Times New Roman"/>
                <w:bCs/>
                <w:color w:val="auto"/>
                <w:spacing w:val="2"/>
                <w:sz w:val="21"/>
                <w:highlight w:val="none"/>
                <w:lang w:val="en-US" w:eastAsia="zh-CN"/>
              </w:rPr>
              <w:t>1</w:t>
            </w:r>
          </w:p>
        </w:tc>
        <w:tc>
          <w:tcPr>
            <w:tcW w:w="64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7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66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6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SS</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200</w:t>
            </w:r>
          </w:p>
        </w:tc>
        <w:tc>
          <w:tcPr>
            <w:tcW w:w="68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0.06</w:t>
            </w:r>
          </w:p>
        </w:tc>
        <w:tc>
          <w:tcPr>
            <w:tcW w:w="64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7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66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6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NH</w:t>
            </w:r>
            <w:r>
              <w:rPr>
                <w:rFonts w:hint="default" w:cs="Times New Roman"/>
                <w:bCs/>
                <w:color w:val="auto"/>
                <w:spacing w:val="2"/>
                <w:sz w:val="21"/>
                <w:highlight w:val="none"/>
                <w:vertAlign w:val="subscript"/>
              </w:rPr>
              <w:t>3</w:t>
            </w:r>
            <w:r>
              <w:rPr>
                <w:rFonts w:hint="default" w:cs="Times New Roman"/>
                <w:bCs/>
                <w:color w:val="auto"/>
                <w:spacing w:val="2"/>
                <w:sz w:val="21"/>
                <w:highlight w:val="none"/>
              </w:rPr>
              <w:t>-N</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40</w:t>
            </w:r>
          </w:p>
        </w:tc>
        <w:tc>
          <w:tcPr>
            <w:tcW w:w="68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0.01</w:t>
            </w:r>
          </w:p>
        </w:tc>
        <w:tc>
          <w:tcPr>
            <w:tcW w:w="64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7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生活污水</w:t>
            </w:r>
          </w:p>
        </w:tc>
        <w:tc>
          <w:tcPr>
            <w:tcW w:w="66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3363.84</w:t>
            </w:r>
          </w:p>
        </w:tc>
        <w:tc>
          <w:tcPr>
            <w:tcW w:w="56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COD</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300</w:t>
            </w:r>
          </w:p>
        </w:tc>
        <w:tc>
          <w:tcPr>
            <w:tcW w:w="68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1.0</w:t>
            </w:r>
            <w:r>
              <w:rPr>
                <w:rFonts w:hint="eastAsia" w:cs="Times New Roman"/>
                <w:bCs/>
                <w:color w:val="auto"/>
                <w:spacing w:val="2"/>
                <w:sz w:val="21"/>
                <w:highlight w:val="none"/>
                <w:lang w:val="en-US" w:eastAsia="zh-CN"/>
              </w:rPr>
              <w:t>1</w:t>
            </w:r>
          </w:p>
        </w:tc>
        <w:tc>
          <w:tcPr>
            <w:tcW w:w="64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7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66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6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BOD</w:t>
            </w:r>
            <w:r>
              <w:rPr>
                <w:rFonts w:hint="default" w:cs="Times New Roman"/>
                <w:bCs/>
                <w:color w:val="auto"/>
                <w:spacing w:val="2"/>
                <w:sz w:val="21"/>
                <w:highlight w:val="none"/>
                <w:vertAlign w:val="subscript"/>
              </w:rPr>
              <w:t>5</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150</w:t>
            </w:r>
          </w:p>
        </w:tc>
        <w:tc>
          <w:tcPr>
            <w:tcW w:w="68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0.50</w:t>
            </w:r>
          </w:p>
        </w:tc>
        <w:tc>
          <w:tcPr>
            <w:tcW w:w="64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7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66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6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SS</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200</w:t>
            </w:r>
          </w:p>
        </w:tc>
        <w:tc>
          <w:tcPr>
            <w:tcW w:w="68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0.67</w:t>
            </w:r>
          </w:p>
        </w:tc>
        <w:tc>
          <w:tcPr>
            <w:tcW w:w="64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7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66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6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NH</w:t>
            </w:r>
            <w:r>
              <w:rPr>
                <w:rFonts w:hint="default" w:cs="Times New Roman"/>
                <w:bCs/>
                <w:color w:val="auto"/>
                <w:spacing w:val="2"/>
                <w:sz w:val="21"/>
                <w:highlight w:val="none"/>
                <w:vertAlign w:val="subscript"/>
              </w:rPr>
              <w:t>3</w:t>
            </w:r>
            <w:r>
              <w:rPr>
                <w:rFonts w:hint="default" w:cs="Times New Roman"/>
                <w:bCs/>
                <w:color w:val="auto"/>
                <w:spacing w:val="2"/>
                <w:sz w:val="21"/>
                <w:highlight w:val="none"/>
              </w:rPr>
              <w:t>-N</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30</w:t>
            </w:r>
          </w:p>
        </w:tc>
        <w:tc>
          <w:tcPr>
            <w:tcW w:w="68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0.10</w:t>
            </w:r>
          </w:p>
        </w:tc>
        <w:tc>
          <w:tcPr>
            <w:tcW w:w="64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7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混合后废水</w:t>
            </w:r>
          </w:p>
        </w:tc>
        <w:tc>
          <w:tcPr>
            <w:tcW w:w="66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101283.348</w:t>
            </w:r>
          </w:p>
        </w:tc>
        <w:tc>
          <w:tcPr>
            <w:tcW w:w="56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COD</w:t>
            </w:r>
          </w:p>
        </w:tc>
        <w:tc>
          <w:tcPr>
            <w:tcW w:w="10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14468.6</w:t>
            </w:r>
            <w:r>
              <w:rPr>
                <w:rFonts w:hint="eastAsia" w:cs="Times New Roman"/>
                <w:bCs/>
                <w:color w:val="auto"/>
                <w:spacing w:val="2"/>
                <w:sz w:val="21"/>
                <w:highlight w:val="none"/>
                <w:lang w:val="en-US" w:eastAsia="zh-CN"/>
              </w:rPr>
              <w:t>2</w:t>
            </w:r>
          </w:p>
        </w:tc>
        <w:tc>
          <w:tcPr>
            <w:tcW w:w="1141"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1465.43</w:t>
            </w:r>
          </w:p>
        </w:tc>
        <w:tc>
          <w:tcPr>
            <w:tcW w:w="64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7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66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6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BOD</w:t>
            </w:r>
            <w:r>
              <w:rPr>
                <w:rFonts w:hint="default" w:cs="Times New Roman"/>
                <w:bCs/>
                <w:color w:val="auto"/>
                <w:spacing w:val="2"/>
                <w:sz w:val="21"/>
                <w:highlight w:val="none"/>
                <w:vertAlign w:val="subscript"/>
              </w:rPr>
              <w:t>5</w:t>
            </w:r>
          </w:p>
        </w:tc>
        <w:tc>
          <w:tcPr>
            <w:tcW w:w="10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5788.8</w:t>
            </w:r>
            <w:r>
              <w:rPr>
                <w:rFonts w:hint="eastAsia" w:cs="Times New Roman"/>
                <w:bCs/>
                <w:color w:val="auto"/>
                <w:spacing w:val="2"/>
                <w:sz w:val="21"/>
                <w:highlight w:val="none"/>
                <w:lang w:val="en-US" w:eastAsia="zh-CN"/>
              </w:rPr>
              <w:t>1</w:t>
            </w:r>
          </w:p>
        </w:tc>
        <w:tc>
          <w:tcPr>
            <w:tcW w:w="1141"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586.31</w:t>
            </w:r>
          </w:p>
        </w:tc>
        <w:tc>
          <w:tcPr>
            <w:tcW w:w="64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7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66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6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SS</w:t>
            </w:r>
          </w:p>
        </w:tc>
        <w:tc>
          <w:tcPr>
            <w:tcW w:w="10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7524.73</w:t>
            </w:r>
          </w:p>
        </w:tc>
        <w:tc>
          <w:tcPr>
            <w:tcW w:w="1141"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762.13</w:t>
            </w:r>
          </w:p>
        </w:tc>
        <w:tc>
          <w:tcPr>
            <w:tcW w:w="64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7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66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6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NH</w:t>
            </w:r>
            <w:r>
              <w:rPr>
                <w:rFonts w:hint="default" w:cs="Times New Roman"/>
                <w:bCs/>
                <w:color w:val="auto"/>
                <w:spacing w:val="2"/>
                <w:sz w:val="21"/>
                <w:highlight w:val="none"/>
                <w:vertAlign w:val="subscript"/>
              </w:rPr>
              <w:t>3</w:t>
            </w:r>
            <w:r>
              <w:rPr>
                <w:rFonts w:hint="default" w:cs="Times New Roman"/>
                <w:bCs/>
                <w:color w:val="auto"/>
                <w:spacing w:val="2"/>
                <w:sz w:val="21"/>
                <w:highlight w:val="none"/>
              </w:rPr>
              <w:t>-N</w:t>
            </w:r>
          </w:p>
        </w:tc>
        <w:tc>
          <w:tcPr>
            <w:tcW w:w="10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964.7</w:t>
            </w:r>
            <w:r>
              <w:rPr>
                <w:rFonts w:hint="eastAsia" w:cs="Times New Roman"/>
                <w:bCs/>
                <w:color w:val="auto"/>
                <w:spacing w:val="2"/>
                <w:sz w:val="21"/>
                <w:highlight w:val="none"/>
                <w:lang w:val="en-US" w:eastAsia="zh-CN"/>
              </w:rPr>
              <w:t>2</w:t>
            </w:r>
          </w:p>
        </w:tc>
        <w:tc>
          <w:tcPr>
            <w:tcW w:w="1141"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97.71</w:t>
            </w:r>
          </w:p>
        </w:tc>
        <w:tc>
          <w:tcPr>
            <w:tcW w:w="64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7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963" w:type="pct"/>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处理后废水</w:t>
            </w:r>
          </w:p>
        </w:tc>
        <w:tc>
          <w:tcPr>
            <w:tcW w:w="66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101283.348</w:t>
            </w:r>
          </w:p>
        </w:tc>
        <w:tc>
          <w:tcPr>
            <w:tcW w:w="56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COD</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3000</w:t>
            </w:r>
          </w:p>
        </w:tc>
        <w:tc>
          <w:tcPr>
            <w:tcW w:w="1119"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303.85</w:t>
            </w:r>
          </w:p>
        </w:tc>
        <w:tc>
          <w:tcPr>
            <w:tcW w:w="64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7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66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6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BOD</w:t>
            </w:r>
            <w:r>
              <w:rPr>
                <w:rFonts w:hint="default" w:cs="Times New Roman"/>
                <w:bCs/>
                <w:color w:val="auto"/>
                <w:spacing w:val="2"/>
                <w:sz w:val="21"/>
                <w:highlight w:val="none"/>
                <w:vertAlign w:val="subscript"/>
              </w:rPr>
              <w:t>5</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1400</w:t>
            </w:r>
          </w:p>
        </w:tc>
        <w:tc>
          <w:tcPr>
            <w:tcW w:w="1119"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141.</w:t>
            </w:r>
            <w:r>
              <w:rPr>
                <w:rFonts w:hint="eastAsia" w:cs="Times New Roman"/>
                <w:bCs/>
                <w:color w:val="auto"/>
                <w:spacing w:val="2"/>
                <w:sz w:val="21"/>
                <w:highlight w:val="none"/>
                <w:lang w:val="en-US" w:eastAsia="zh-CN"/>
              </w:rPr>
              <w:t>80</w:t>
            </w:r>
          </w:p>
        </w:tc>
        <w:tc>
          <w:tcPr>
            <w:tcW w:w="64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7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66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6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SS</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2000</w:t>
            </w:r>
          </w:p>
        </w:tc>
        <w:tc>
          <w:tcPr>
            <w:tcW w:w="1119"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202.5</w:t>
            </w:r>
            <w:r>
              <w:rPr>
                <w:rFonts w:hint="eastAsia" w:cs="Times New Roman"/>
                <w:bCs/>
                <w:color w:val="auto"/>
                <w:spacing w:val="2"/>
                <w:sz w:val="21"/>
                <w:highlight w:val="none"/>
                <w:lang w:val="en-US" w:eastAsia="zh-CN"/>
              </w:rPr>
              <w:t>7</w:t>
            </w:r>
          </w:p>
        </w:tc>
        <w:tc>
          <w:tcPr>
            <w:tcW w:w="64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7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66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p>
        </w:tc>
        <w:tc>
          <w:tcPr>
            <w:tcW w:w="56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rPr>
            </w:pPr>
            <w:r>
              <w:rPr>
                <w:rFonts w:hint="default" w:cs="Times New Roman"/>
                <w:bCs/>
                <w:color w:val="auto"/>
                <w:spacing w:val="2"/>
                <w:sz w:val="21"/>
                <w:highlight w:val="none"/>
              </w:rPr>
              <w:t>NH</w:t>
            </w:r>
            <w:r>
              <w:rPr>
                <w:rFonts w:hint="default" w:cs="Times New Roman"/>
                <w:bCs/>
                <w:color w:val="auto"/>
                <w:spacing w:val="2"/>
                <w:sz w:val="21"/>
                <w:highlight w:val="none"/>
                <w:vertAlign w:val="subscript"/>
              </w:rPr>
              <w:t>3</w:t>
            </w:r>
            <w:r>
              <w:rPr>
                <w:rFonts w:hint="default" w:cs="Times New Roman"/>
                <w:bCs/>
                <w:color w:val="auto"/>
                <w:spacing w:val="2"/>
                <w:sz w:val="21"/>
                <w:highlight w:val="none"/>
              </w:rPr>
              <w:t>-N</w:t>
            </w:r>
          </w:p>
        </w:tc>
        <w:tc>
          <w:tcPr>
            <w:tcW w:w="6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900</w:t>
            </w:r>
          </w:p>
        </w:tc>
        <w:tc>
          <w:tcPr>
            <w:tcW w:w="1119"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20" w:firstLine="0" w:firstLineChars="0"/>
              <w:jc w:val="center"/>
              <w:textAlignment w:val="auto"/>
              <w:rPr>
                <w:rFonts w:hint="default" w:cs="Times New Roman"/>
                <w:bCs/>
                <w:color w:val="auto"/>
                <w:spacing w:val="2"/>
                <w:sz w:val="21"/>
                <w:highlight w:val="none"/>
                <w:lang w:val="en-US" w:eastAsia="zh-CN"/>
              </w:rPr>
            </w:pPr>
            <w:r>
              <w:rPr>
                <w:rFonts w:hint="default" w:cs="Times New Roman"/>
                <w:bCs/>
                <w:color w:val="auto"/>
                <w:spacing w:val="2"/>
                <w:sz w:val="21"/>
                <w:highlight w:val="none"/>
                <w:lang w:val="en-US" w:eastAsia="zh-CN"/>
              </w:rPr>
              <w:t>91.1</w:t>
            </w:r>
            <w:r>
              <w:rPr>
                <w:rFonts w:hint="eastAsia" w:cs="Times New Roman"/>
                <w:bCs/>
                <w:color w:val="auto"/>
                <w:spacing w:val="2"/>
                <w:sz w:val="21"/>
                <w:highlight w:val="none"/>
                <w:lang w:val="en-US" w:eastAsia="zh-CN"/>
              </w:rPr>
              <w:t>6</w:t>
            </w:r>
          </w:p>
        </w:tc>
        <w:tc>
          <w:tcPr>
            <w:tcW w:w="64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c>
          <w:tcPr>
            <w:tcW w:w="87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rPr>
            </w:pPr>
          </w:p>
        </w:tc>
      </w:tr>
    </w:tbl>
    <w:p>
      <w:pPr>
        <w:pStyle w:val="6"/>
        <w:ind w:firstLine="482"/>
        <w:rPr>
          <w:rFonts w:hint="eastAsia"/>
          <w:color w:val="auto"/>
          <w:highlight w:val="none"/>
          <w:lang w:val="en-US" w:eastAsia="zh-CN"/>
        </w:rPr>
      </w:pPr>
      <w:r>
        <w:rPr>
          <w:rFonts w:hint="eastAsia"/>
          <w:color w:val="auto"/>
          <w:highlight w:val="none"/>
          <w:lang w:val="en-US" w:eastAsia="zh-CN"/>
        </w:rPr>
        <w:t>2.11.1.3固废</w:t>
      </w:r>
    </w:p>
    <w:p>
      <w:pPr>
        <w:ind w:firstLine="480" w:firstLineChars="0"/>
        <w:rPr>
          <w:rFonts w:hint="eastAsia" w:cs="Times New Roman"/>
          <w:color w:val="auto"/>
          <w:highlight w:val="none"/>
        </w:rPr>
      </w:pPr>
      <w:r>
        <w:rPr>
          <w:rFonts w:hint="eastAsia" w:cs="Times New Roman"/>
          <w:color w:val="auto"/>
          <w:highlight w:val="none"/>
        </w:rPr>
        <w:t>本项目产生的固体废物主要包括猪粪固形物、厌氧发酵后的沼渣、疾病防疫产生的医疗废物、职工生活垃圾</w:t>
      </w:r>
      <w:r>
        <w:rPr>
          <w:rFonts w:hint="eastAsia" w:cs="Times New Roman"/>
          <w:color w:val="auto"/>
          <w:highlight w:val="none"/>
          <w:lang w:eastAsia="zh-CN"/>
        </w:rPr>
        <w:t>、</w:t>
      </w:r>
      <w:r>
        <w:rPr>
          <w:rFonts w:hint="eastAsia" w:cs="Times New Roman"/>
          <w:color w:val="auto"/>
          <w:highlight w:val="none"/>
        </w:rPr>
        <w:t>废脱硫剂</w:t>
      </w:r>
      <w:r>
        <w:rPr>
          <w:rFonts w:hint="eastAsia" w:cs="Times New Roman"/>
          <w:color w:val="auto"/>
          <w:highlight w:val="none"/>
          <w:lang w:eastAsia="zh-CN"/>
        </w:rPr>
        <w:t>、废导热油</w:t>
      </w:r>
      <w:r>
        <w:rPr>
          <w:rFonts w:hint="eastAsia" w:cs="Times New Roman"/>
          <w:color w:val="auto"/>
          <w:highlight w:val="none"/>
        </w:rPr>
        <w:t>等。</w:t>
      </w:r>
    </w:p>
    <w:p>
      <w:pPr>
        <w:ind w:firstLine="480" w:firstLineChars="0"/>
        <w:rPr>
          <w:rFonts w:hint="eastAsia" w:cs="Times New Roman"/>
          <w:color w:val="auto"/>
          <w:highlight w:val="none"/>
        </w:rPr>
      </w:pPr>
      <w:r>
        <w:rPr>
          <w:rFonts w:hint="eastAsia" w:cs="Times New Roman"/>
          <w:color w:val="auto"/>
          <w:highlight w:val="none"/>
        </w:rPr>
        <w:t>（一）猪粪固形物和沼渣</w:t>
      </w:r>
    </w:p>
    <w:p>
      <w:pPr>
        <w:ind w:firstLine="480" w:firstLineChars="0"/>
        <w:rPr>
          <w:rFonts w:hint="eastAsia" w:cs="Times New Roman"/>
          <w:color w:val="auto"/>
          <w:highlight w:val="none"/>
        </w:rPr>
      </w:pPr>
      <w:r>
        <w:rPr>
          <w:rFonts w:hint="eastAsia" w:cs="Times New Roman"/>
          <w:color w:val="auto"/>
          <w:highlight w:val="none"/>
        </w:rPr>
        <w:t>（1）猪粪固形物</w:t>
      </w:r>
    </w:p>
    <w:p>
      <w:pPr>
        <w:ind w:firstLine="480" w:firstLineChars="0"/>
        <w:rPr>
          <w:rFonts w:hint="eastAsia" w:cs="Times New Roman"/>
          <w:color w:val="auto"/>
          <w:highlight w:val="none"/>
        </w:rPr>
      </w:pPr>
      <w:r>
        <w:rPr>
          <w:rFonts w:hint="eastAsia" w:cs="Times New Roman"/>
          <w:color w:val="auto"/>
          <w:highlight w:val="none"/>
        </w:rPr>
        <w:t>根据《畜禽养殖污染防治最佳可行技术指南》（试行），猪粪排泄量计算公式为：</w:t>
      </w:r>
    </w:p>
    <w:p>
      <w:pPr>
        <w:ind w:firstLine="480" w:firstLineChars="0"/>
        <w:rPr>
          <w:rFonts w:hint="eastAsia" w:cs="Times New Roman"/>
          <w:color w:val="auto"/>
          <w:highlight w:val="none"/>
        </w:rPr>
      </w:pPr>
      <w:r>
        <w:rPr>
          <w:rFonts w:hint="eastAsia" w:cs="Times New Roman"/>
          <w:color w:val="auto"/>
          <w:highlight w:val="none"/>
        </w:rPr>
        <w:t>Yf=0.530F-0.049</w:t>
      </w:r>
    </w:p>
    <w:p>
      <w:pPr>
        <w:ind w:firstLine="480" w:firstLineChars="0"/>
        <w:rPr>
          <w:rFonts w:hint="eastAsia" w:cs="Times New Roman"/>
          <w:color w:val="auto"/>
          <w:highlight w:val="none"/>
        </w:rPr>
      </w:pPr>
      <w:r>
        <w:rPr>
          <w:rFonts w:hint="eastAsia" w:cs="Times New Roman"/>
          <w:color w:val="auto"/>
          <w:highlight w:val="none"/>
        </w:rPr>
        <w:t>式中：Yf——为猪粪排泄量（kg/头·d）；未折算为干粪。</w:t>
      </w:r>
    </w:p>
    <w:p>
      <w:pPr>
        <w:ind w:firstLine="480" w:firstLineChars="0"/>
        <w:rPr>
          <w:rFonts w:hint="eastAsia" w:cs="Times New Roman"/>
          <w:color w:val="auto"/>
          <w:highlight w:val="none"/>
        </w:rPr>
      </w:pPr>
      <w:r>
        <w:rPr>
          <w:rFonts w:hint="eastAsia" w:cs="Times New Roman"/>
          <w:color w:val="auto"/>
          <w:highlight w:val="none"/>
        </w:rPr>
        <w:t>F——为饲料采食量（kg/头·d）。</w:t>
      </w:r>
    </w:p>
    <w:p>
      <w:pPr>
        <w:pStyle w:val="2"/>
        <w:rPr>
          <w:rFonts w:hint="eastAsia"/>
          <w:color w:val="auto"/>
          <w:sz w:val="24"/>
          <w:szCs w:val="24"/>
          <w:highlight w:val="none"/>
          <w:lang w:val="en-US" w:eastAsia="zh-CN"/>
        </w:rPr>
      </w:pPr>
      <w:r>
        <w:rPr>
          <w:rFonts w:ascii="Times New Roman" w:hAnsi="Times New Roman"/>
          <w:color w:val="auto"/>
          <w:sz w:val="24"/>
          <w:szCs w:val="24"/>
          <w:highlight w:val="none"/>
        </w:rPr>
        <w:t>通过计算，项目猪粪产生情况见表</w:t>
      </w:r>
      <w:r>
        <w:rPr>
          <w:rFonts w:hint="eastAsia"/>
          <w:color w:val="auto"/>
          <w:sz w:val="24"/>
          <w:szCs w:val="24"/>
          <w:highlight w:val="none"/>
          <w:lang w:val="en-US" w:eastAsia="zh-CN"/>
        </w:rPr>
        <w:t>2.12</w:t>
      </w:r>
      <w:r>
        <w:rPr>
          <w:rFonts w:ascii="Times New Roman" w:hAnsi="Times New Roman"/>
          <w:color w:val="auto"/>
          <w:sz w:val="24"/>
          <w:szCs w:val="24"/>
          <w:highlight w:val="none"/>
        </w:rPr>
        <w:t>-</w:t>
      </w:r>
      <w:r>
        <w:rPr>
          <w:rFonts w:hint="eastAsia"/>
          <w:color w:val="auto"/>
          <w:sz w:val="24"/>
          <w:szCs w:val="24"/>
          <w:highlight w:val="none"/>
          <w:lang w:val="en-US" w:eastAsia="zh-CN"/>
        </w:rPr>
        <w:t>9。</w:t>
      </w:r>
    </w:p>
    <w:p>
      <w:pPr>
        <w:pStyle w:val="40"/>
        <w:rPr>
          <w:rFonts w:hint="eastAsia" w:cs="Times New Roman"/>
          <w:color w:val="auto"/>
          <w:highlight w:val="none"/>
          <w:lang w:val="en-US" w:eastAsia="zh-CN"/>
        </w:rPr>
      </w:pPr>
      <w:r>
        <w:rPr>
          <w:rFonts w:hint="eastAsia" w:cs="Times New Roman"/>
          <w:color w:val="auto"/>
          <w:highlight w:val="none"/>
          <w:lang w:val="en-US" w:eastAsia="zh-CN"/>
        </w:rPr>
        <w:t>表2.12-9 猪粪产生情况一览表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1218"/>
        <w:gridCol w:w="1206"/>
        <w:gridCol w:w="1836"/>
        <w:gridCol w:w="1560"/>
        <w:gridCol w:w="13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4" w:type="pct"/>
            <w:vMerge w:val="restar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种类</w:t>
            </w:r>
          </w:p>
        </w:tc>
        <w:tc>
          <w:tcPr>
            <w:tcW w:w="723" w:type="pct"/>
            <w:vMerge w:val="restar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存栏数（头）</w:t>
            </w:r>
          </w:p>
        </w:tc>
        <w:tc>
          <w:tcPr>
            <w:tcW w:w="716" w:type="pct"/>
            <w:vMerge w:val="restart"/>
            <w:tcBorders>
              <w:tl2br w:val="nil"/>
              <w:tr2bl w:val="nil"/>
            </w:tcBorders>
            <w:noWrap w:val="0"/>
            <w:vAlign w:val="center"/>
          </w:tcPr>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饲料定额</w:t>
            </w:r>
          </w:p>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（kg/头·d）</w:t>
            </w:r>
          </w:p>
        </w:tc>
        <w:tc>
          <w:tcPr>
            <w:tcW w:w="1089" w:type="pct"/>
            <w:vMerge w:val="restart"/>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单头猪粪便产生量</w:t>
            </w:r>
          </w:p>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（kg/头·d）</w:t>
            </w:r>
          </w:p>
        </w:tc>
        <w:tc>
          <w:tcPr>
            <w:tcW w:w="1756" w:type="pct"/>
            <w:gridSpan w:val="2"/>
            <w:tcBorders>
              <w:tl2br w:val="nil"/>
              <w:tr2bl w:val="nil"/>
            </w:tcBorders>
            <w:noWrap w:val="0"/>
            <w:vAlign w:val="center"/>
          </w:tcPr>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猪粪便产生量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4" w:type="pct"/>
            <w:vMerge w:val="continue"/>
            <w:tcBorders>
              <w:tl2br w:val="nil"/>
              <w:tr2bl w:val="nil"/>
            </w:tcBorders>
            <w:noWrap w:val="0"/>
            <w:vAlign w:val="center"/>
          </w:tcPr>
          <w:p>
            <w:pPr>
              <w:spacing w:line="276" w:lineRule="auto"/>
              <w:ind w:firstLine="0" w:firstLineChars="0"/>
              <w:jc w:val="center"/>
              <w:rPr>
                <w:rFonts w:hint="default"/>
                <w:color w:val="auto"/>
                <w:sz w:val="21"/>
                <w:highlight w:val="none"/>
                <w:lang w:eastAsia="zh-CN"/>
              </w:rPr>
            </w:pPr>
          </w:p>
        </w:tc>
        <w:tc>
          <w:tcPr>
            <w:tcW w:w="723" w:type="pct"/>
            <w:vMerge w:val="continue"/>
            <w:tcBorders>
              <w:tl2br w:val="nil"/>
              <w:tr2bl w:val="nil"/>
            </w:tcBorders>
            <w:noWrap w:val="0"/>
            <w:vAlign w:val="center"/>
          </w:tcPr>
          <w:p>
            <w:pPr>
              <w:spacing w:line="276" w:lineRule="auto"/>
              <w:ind w:firstLine="0" w:firstLineChars="0"/>
              <w:jc w:val="center"/>
              <w:rPr>
                <w:rFonts w:hint="default"/>
                <w:color w:val="auto"/>
                <w:sz w:val="21"/>
                <w:highlight w:val="none"/>
                <w:lang w:eastAsia="zh-CN"/>
              </w:rPr>
            </w:pPr>
          </w:p>
        </w:tc>
        <w:tc>
          <w:tcPr>
            <w:tcW w:w="716" w:type="pct"/>
            <w:vMerge w:val="continue"/>
            <w:tcBorders>
              <w:tl2br w:val="nil"/>
              <w:tr2bl w:val="nil"/>
            </w:tcBorders>
            <w:noWrap w:val="0"/>
            <w:vAlign w:val="center"/>
          </w:tcPr>
          <w:p>
            <w:pPr>
              <w:spacing w:line="276" w:lineRule="auto"/>
              <w:ind w:firstLine="0" w:firstLineChars="0"/>
              <w:jc w:val="center"/>
              <w:rPr>
                <w:rFonts w:hint="default"/>
                <w:color w:val="auto"/>
                <w:sz w:val="21"/>
                <w:highlight w:val="none"/>
                <w:lang w:eastAsia="zh-CN"/>
              </w:rPr>
            </w:pPr>
          </w:p>
        </w:tc>
        <w:tc>
          <w:tcPr>
            <w:tcW w:w="1089" w:type="pct"/>
            <w:vMerge w:val="continue"/>
            <w:tcBorders>
              <w:tl2br w:val="nil"/>
              <w:tr2bl w:val="nil"/>
            </w:tcBorders>
            <w:noWrap w:val="0"/>
            <w:vAlign w:val="center"/>
          </w:tcPr>
          <w:p>
            <w:pPr>
              <w:spacing w:line="276" w:lineRule="auto"/>
              <w:ind w:firstLine="0" w:firstLineChars="0"/>
              <w:jc w:val="center"/>
              <w:rPr>
                <w:rFonts w:hint="default"/>
                <w:color w:val="auto"/>
                <w:sz w:val="21"/>
                <w:highlight w:val="none"/>
                <w:lang w:eastAsia="zh-CN"/>
              </w:rPr>
            </w:pPr>
          </w:p>
        </w:tc>
        <w:tc>
          <w:tcPr>
            <w:tcW w:w="926" w:type="pct"/>
            <w:tcBorders>
              <w:tl2br w:val="nil"/>
              <w:tr2bl w:val="nil"/>
            </w:tcBorders>
            <w:noWrap w:val="0"/>
            <w:vAlign w:val="center"/>
          </w:tcPr>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（t/d）</w:t>
            </w:r>
          </w:p>
        </w:tc>
        <w:tc>
          <w:tcPr>
            <w:tcW w:w="830" w:type="pct"/>
            <w:tcBorders>
              <w:tl2br w:val="nil"/>
              <w:tr2bl w:val="nil"/>
            </w:tcBorders>
            <w:noWrap w:val="0"/>
            <w:vAlign w:val="center"/>
          </w:tcPr>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2" w:type="dxa"/>
            <w:tcBorders>
              <w:tl2br w:val="nil"/>
              <w:tr2bl w:val="nil"/>
            </w:tcBorders>
            <w:noWrap w:val="0"/>
            <w:tcMar>
              <w:top w:w="0" w:type="dxa"/>
              <w:left w:w="0" w:type="dxa"/>
              <w:bottom w:w="0" w:type="dxa"/>
              <w:right w:w="0" w:type="dxa"/>
            </w:tcMar>
            <w:vAlign w:val="center"/>
          </w:tcPr>
          <w:p>
            <w:pPr>
              <w:spacing w:line="240" w:lineRule="auto"/>
              <w:ind w:firstLine="0" w:firstLineChars="0"/>
              <w:jc w:val="center"/>
              <w:rPr>
                <w:rFonts w:hint="default"/>
                <w:color w:val="auto"/>
                <w:sz w:val="21"/>
                <w:highlight w:val="none"/>
                <w:lang w:val="en-US" w:eastAsia="zh-CN"/>
              </w:rPr>
            </w:pPr>
            <w:r>
              <w:rPr>
                <w:rFonts w:hint="eastAsia"/>
                <w:color w:val="auto"/>
                <w:sz w:val="21"/>
                <w:szCs w:val="21"/>
                <w:highlight w:val="none"/>
                <w:lang w:val="en-US" w:eastAsia="zh-CN"/>
              </w:rPr>
              <w:t>保育猪</w:t>
            </w:r>
          </w:p>
        </w:tc>
        <w:tc>
          <w:tcPr>
            <w:tcW w:w="1218" w:type="dxa"/>
            <w:tcBorders>
              <w:tl2br w:val="nil"/>
              <w:tr2bl w:val="nil"/>
            </w:tcBorders>
            <w:noWrap w:val="0"/>
            <w:tcMar>
              <w:top w:w="0" w:type="dxa"/>
              <w:left w:w="0" w:type="dxa"/>
              <w:bottom w:w="0" w:type="dxa"/>
              <w:right w:w="0" w:type="dxa"/>
            </w:tcMar>
            <w:vAlign w:val="center"/>
          </w:tcPr>
          <w:p>
            <w:pPr>
              <w:spacing w:line="240" w:lineRule="auto"/>
              <w:ind w:firstLine="0" w:firstLineChars="0"/>
              <w:jc w:val="center"/>
              <w:rPr>
                <w:rFonts w:hint="default"/>
                <w:color w:val="auto"/>
                <w:sz w:val="21"/>
                <w:highlight w:val="none"/>
                <w:lang w:val="en-US" w:eastAsia="zh-CN"/>
              </w:rPr>
            </w:pPr>
            <w:r>
              <w:rPr>
                <w:rFonts w:hint="eastAsia" w:ascii="Times New Roman" w:eastAsia="宋体"/>
                <w:color w:val="auto"/>
                <w:sz w:val="21"/>
                <w:szCs w:val="21"/>
                <w:highlight w:val="none"/>
                <w:lang w:val="en-US" w:eastAsia="zh-CN"/>
              </w:rPr>
              <w:t>2</w:t>
            </w:r>
            <w:r>
              <w:rPr>
                <w:rFonts w:hint="eastAsia"/>
                <w:color w:val="auto"/>
                <w:sz w:val="21"/>
                <w:szCs w:val="21"/>
                <w:highlight w:val="none"/>
                <w:lang w:val="en-US" w:eastAsia="zh-CN"/>
              </w:rPr>
              <w:t>0</w:t>
            </w:r>
            <w:r>
              <w:rPr>
                <w:rFonts w:hint="eastAsia" w:ascii="Times New Roman" w:eastAsia="宋体"/>
                <w:color w:val="auto"/>
                <w:sz w:val="21"/>
                <w:szCs w:val="21"/>
                <w:highlight w:val="none"/>
                <w:lang w:val="en-US" w:eastAsia="zh-CN"/>
              </w:rPr>
              <w:t>208</w:t>
            </w:r>
          </w:p>
        </w:tc>
        <w:tc>
          <w:tcPr>
            <w:tcW w:w="1206" w:type="dxa"/>
            <w:tcBorders>
              <w:tl2br w:val="nil"/>
              <w:tr2bl w:val="nil"/>
            </w:tcBorders>
            <w:noWrap w:val="0"/>
            <w:vAlign w:val="center"/>
          </w:tcPr>
          <w:p>
            <w:pPr>
              <w:spacing w:line="276"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0.78</w:t>
            </w:r>
          </w:p>
        </w:tc>
        <w:tc>
          <w:tcPr>
            <w:tcW w:w="1836" w:type="dxa"/>
            <w:tcBorders>
              <w:tl2br w:val="nil"/>
              <w:tr2bl w:val="nil"/>
            </w:tcBorders>
            <w:noWrap w:val="0"/>
            <w:tcMar>
              <w:top w:w="0" w:type="dxa"/>
              <w:left w:w="0" w:type="dxa"/>
              <w:bottom w:w="0" w:type="dxa"/>
              <w:right w:w="0" w:type="dxa"/>
            </w:tcMar>
            <w:vAlign w:val="bottom"/>
          </w:tcPr>
          <w:p>
            <w:pPr>
              <w:spacing w:line="276"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0.364</w:t>
            </w:r>
          </w:p>
        </w:tc>
        <w:tc>
          <w:tcPr>
            <w:tcW w:w="926" w:type="pct"/>
            <w:tcBorders>
              <w:tl2br w:val="nil"/>
              <w:tr2bl w:val="nil"/>
            </w:tcBorders>
            <w:noWrap w:val="0"/>
            <w:vAlign w:val="center"/>
          </w:tcPr>
          <w:p>
            <w:pPr>
              <w:spacing w:line="276"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7.36</w:t>
            </w:r>
          </w:p>
        </w:tc>
        <w:tc>
          <w:tcPr>
            <w:tcW w:w="830" w:type="pct"/>
            <w:tcBorders>
              <w:tl2br w:val="nil"/>
              <w:tr2bl w:val="nil"/>
            </w:tcBorders>
            <w:noWrap w:val="0"/>
            <w:vAlign w:val="center"/>
          </w:tcPr>
          <w:p>
            <w:pPr>
              <w:spacing w:line="276"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2684.8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2" w:type="dxa"/>
            <w:tcBorders>
              <w:tl2br w:val="nil"/>
              <w:tr2bl w:val="nil"/>
            </w:tcBorders>
            <w:noWrap w:val="0"/>
            <w:tcMar>
              <w:top w:w="0" w:type="dxa"/>
              <w:left w:w="0" w:type="dxa"/>
              <w:bottom w:w="0" w:type="dxa"/>
              <w:right w:w="0" w:type="dxa"/>
            </w:tcMar>
            <w:vAlign w:val="center"/>
          </w:tcPr>
          <w:p>
            <w:pPr>
              <w:spacing w:line="240" w:lineRule="auto"/>
              <w:ind w:firstLine="0" w:firstLineChars="0"/>
              <w:jc w:val="center"/>
              <w:rPr>
                <w:rFonts w:hint="default"/>
                <w:color w:val="auto"/>
                <w:sz w:val="21"/>
                <w:highlight w:val="none"/>
                <w:lang w:eastAsia="zh-CN"/>
              </w:rPr>
            </w:pPr>
            <w:r>
              <w:rPr>
                <w:rFonts w:hint="eastAsia"/>
                <w:color w:val="auto"/>
                <w:sz w:val="21"/>
                <w:szCs w:val="21"/>
                <w:highlight w:val="none"/>
                <w:lang w:val="en-US" w:eastAsia="zh-CN"/>
              </w:rPr>
              <w:t>育肥猪</w:t>
            </w:r>
          </w:p>
        </w:tc>
        <w:tc>
          <w:tcPr>
            <w:tcW w:w="1218" w:type="dxa"/>
            <w:tcBorders>
              <w:tl2br w:val="nil"/>
              <w:tr2bl w:val="nil"/>
            </w:tcBorders>
            <w:noWrap w:val="0"/>
            <w:tcMar>
              <w:top w:w="0" w:type="dxa"/>
              <w:left w:w="0" w:type="dxa"/>
              <w:bottom w:w="0" w:type="dxa"/>
              <w:right w:w="0" w:type="dxa"/>
            </w:tcMar>
            <w:vAlign w:val="center"/>
          </w:tcPr>
          <w:p>
            <w:pPr>
              <w:spacing w:line="240" w:lineRule="auto"/>
              <w:ind w:firstLine="0" w:firstLineChars="0"/>
              <w:jc w:val="center"/>
              <w:rPr>
                <w:rFonts w:hint="eastAsia"/>
                <w:color w:val="auto"/>
                <w:sz w:val="21"/>
                <w:highlight w:val="none"/>
                <w:lang w:val="en-US" w:eastAsia="zh-CN"/>
              </w:rPr>
            </w:pPr>
            <w:r>
              <w:rPr>
                <w:rFonts w:hint="eastAsia" w:ascii="Times New Roman" w:eastAsia="宋体"/>
                <w:color w:val="auto"/>
                <w:sz w:val="21"/>
                <w:szCs w:val="21"/>
                <w:highlight w:val="none"/>
                <w:lang w:val="en-US" w:eastAsia="zh-CN"/>
              </w:rPr>
              <w:t>4</w:t>
            </w:r>
            <w:r>
              <w:rPr>
                <w:rFonts w:hint="eastAsia"/>
                <w:color w:val="auto"/>
                <w:sz w:val="21"/>
                <w:szCs w:val="21"/>
                <w:highlight w:val="none"/>
                <w:lang w:val="en-US" w:eastAsia="zh-CN"/>
              </w:rPr>
              <w:t>8</w:t>
            </w:r>
            <w:r>
              <w:rPr>
                <w:rFonts w:hint="eastAsia" w:ascii="Times New Roman" w:eastAsia="宋体"/>
                <w:color w:val="auto"/>
                <w:sz w:val="21"/>
                <w:szCs w:val="21"/>
                <w:highlight w:val="none"/>
                <w:lang w:val="en-US" w:eastAsia="zh-CN"/>
              </w:rPr>
              <w:t>592</w:t>
            </w:r>
          </w:p>
        </w:tc>
        <w:tc>
          <w:tcPr>
            <w:tcW w:w="1206" w:type="dxa"/>
            <w:tcBorders>
              <w:tl2br w:val="nil"/>
              <w:tr2bl w:val="nil"/>
            </w:tcBorders>
            <w:noWrap w:val="0"/>
            <w:vAlign w:val="center"/>
          </w:tcPr>
          <w:p>
            <w:pPr>
              <w:spacing w:line="276"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2</w:t>
            </w:r>
          </w:p>
        </w:tc>
        <w:tc>
          <w:tcPr>
            <w:tcW w:w="1836" w:type="dxa"/>
            <w:tcBorders>
              <w:tl2br w:val="nil"/>
              <w:tr2bl w:val="nil"/>
            </w:tcBorders>
            <w:noWrap w:val="0"/>
            <w:tcMar>
              <w:top w:w="0" w:type="dxa"/>
              <w:left w:w="0" w:type="dxa"/>
              <w:bottom w:w="0" w:type="dxa"/>
              <w:right w:w="0" w:type="dxa"/>
            </w:tcMar>
            <w:vAlign w:val="bottom"/>
          </w:tcPr>
          <w:p>
            <w:pPr>
              <w:spacing w:line="276"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1.011</w:t>
            </w:r>
          </w:p>
        </w:tc>
        <w:tc>
          <w:tcPr>
            <w:tcW w:w="926" w:type="pct"/>
            <w:tcBorders>
              <w:tl2br w:val="nil"/>
              <w:tr2bl w:val="nil"/>
            </w:tcBorders>
            <w:noWrap w:val="0"/>
            <w:vAlign w:val="center"/>
          </w:tcPr>
          <w:p>
            <w:pPr>
              <w:spacing w:line="276"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49.13</w:t>
            </w:r>
          </w:p>
        </w:tc>
        <w:tc>
          <w:tcPr>
            <w:tcW w:w="830" w:type="pct"/>
            <w:tcBorders>
              <w:tl2br w:val="nil"/>
              <w:tr2bl w:val="nil"/>
            </w:tcBorders>
            <w:noWrap w:val="0"/>
            <w:vAlign w:val="center"/>
          </w:tcPr>
          <w:p>
            <w:pPr>
              <w:spacing w:line="276"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17931.18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3" w:type="pct"/>
            <w:gridSpan w:val="4"/>
            <w:tcBorders>
              <w:tl2br w:val="nil"/>
              <w:tr2bl w:val="nil"/>
            </w:tcBorders>
            <w:noWrap w:val="0"/>
            <w:tcMar>
              <w:top w:w="0" w:type="dxa"/>
              <w:left w:w="0" w:type="dxa"/>
              <w:bottom w:w="0" w:type="dxa"/>
              <w:right w:w="0" w:type="dxa"/>
            </w:tcMar>
            <w:vAlign w:val="center"/>
          </w:tcPr>
          <w:p>
            <w:pPr>
              <w:spacing w:line="276" w:lineRule="auto"/>
              <w:ind w:firstLine="0" w:firstLineChars="0"/>
              <w:jc w:val="center"/>
              <w:rPr>
                <w:rFonts w:hint="default"/>
                <w:color w:val="auto"/>
                <w:sz w:val="21"/>
                <w:highlight w:val="none"/>
                <w:lang w:val="en-US" w:eastAsia="zh-CN"/>
              </w:rPr>
            </w:pPr>
            <w:r>
              <w:rPr>
                <w:rFonts w:hint="default"/>
                <w:color w:val="auto"/>
                <w:sz w:val="21"/>
                <w:highlight w:val="none"/>
                <w:lang w:val="en-US" w:eastAsia="zh-CN"/>
              </w:rPr>
              <w:t>全场合计</w:t>
            </w:r>
          </w:p>
        </w:tc>
        <w:tc>
          <w:tcPr>
            <w:tcW w:w="1560" w:type="dxa"/>
            <w:tcBorders>
              <w:tl2br w:val="nil"/>
              <w:tr2bl w:val="nil"/>
            </w:tcBorders>
            <w:noWrap w:val="0"/>
            <w:vAlign w:val="center"/>
          </w:tcPr>
          <w:p>
            <w:pPr>
              <w:spacing w:line="276" w:lineRule="auto"/>
              <w:ind w:firstLine="0" w:firstLineChars="0"/>
              <w:jc w:val="center"/>
              <w:rPr>
                <w:rFonts w:hint="default"/>
                <w:color w:val="auto"/>
                <w:sz w:val="21"/>
                <w:highlight w:val="none"/>
                <w:lang w:val="en-US" w:eastAsia="zh-CN"/>
              </w:rPr>
            </w:pPr>
            <w:r>
              <w:rPr>
                <w:rFonts w:hint="default"/>
                <w:color w:val="auto"/>
                <w:sz w:val="21"/>
                <w:highlight w:val="none"/>
                <w:lang w:val="en-US" w:eastAsia="zh-CN"/>
              </w:rPr>
              <w:t>5</w:t>
            </w:r>
            <w:r>
              <w:rPr>
                <w:rFonts w:hint="eastAsia"/>
                <w:color w:val="auto"/>
                <w:sz w:val="21"/>
                <w:highlight w:val="none"/>
                <w:lang w:val="en-US" w:eastAsia="zh-CN"/>
              </w:rPr>
              <w:t>6.50</w:t>
            </w:r>
          </w:p>
        </w:tc>
        <w:tc>
          <w:tcPr>
            <w:tcW w:w="1398" w:type="dxa"/>
            <w:tcBorders>
              <w:tl2br w:val="nil"/>
              <w:tr2bl w:val="nil"/>
            </w:tcBorders>
            <w:noWrap w:val="0"/>
            <w:vAlign w:val="center"/>
          </w:tcPr>
          <w:p>
            <w:pPr>
              <w:spacing w:line="276"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20616.01</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养殖粪污在固粪处理区进行固液分离，</w:t>
      </w:r>
      <w:r>
        <w:rPr>
          <w:rFonts w:hint="eastAsia" w:ascii="Times New Roman" w:hAnsi="Times New Roman"/>
          <w:color w:val="auto"/>
          <w:sz w:val="24"/>
          <w:szCs w:val="24"/>
          <w:highlight w:val="none"/>
          <w:lang w:val="en-US" w:eastAsia="zh-CN"/>
        </w:rPr>
        <w:t>猪粪含水量80%，</w:t>
      </w:r>
      <w:r>
        <w:rPr>
          <w:rFonts w:ascii="Times New Roman" w:hAnsi="Times New Roman"/>
          <w:color w:val="auto"/>
          <w:sz w:val="24"/>
          <w:szCs w:val="24"/>
          <w:highlight w:val="none"/>
        </w:rPr>
        <w:t>固液分离效率按分离出干物质的50%计，则分离出来的猪粪总重（以含水量65%计）为</w:t>
      </w:r>
      <w:r>
        <w:rPr>
          <w:rFonts w:hint="eastAsia"/>
          <w:color w:val="auto"/>
          <w:sz w:val="24"/>
          <w:szCs w:val="24"/>
          <w:highlight w:val="none"/>
          <w:lang w:val="en-US" w:eastAsia="zh-CN"/>
        </w:rPr>
        <w:t>5890.3</w:t>
      </w:r>
      <w:r>
        <w:rPr>
          <w:rFonts w:ascii="Times New Roman" w:hAnsi="Times New Roman"/>
          <w:color w:val="auto"/>
          <w:sz w:val="24"/>
          <w:szCs w:val="24"/>
          <w:highlight w:val="none"/>
        </w:rPr>
        <w:t>t/a，在固粪处理区发酵生产有机肥基料，剩余溶解在废水里的猪粪进入</w:t>
      </w:r>
      <w:r>
        <w:rPr>
          <w:rFonts w:hint="eastAsia"/>
          <w:color w:val="auto"/>
          <w:sz w:val="24"/>
          <w:szCs w:val="24"/>
          <w:highlight w:val="none"/>
          <w:lang w:eastAsia="zh-CN"/>
        </w:rPr>
        <w:t>黑膜</w:t>
      </w:r>
      <w:r>
        <w:rPr>
          <w:rFonts w:ascii="Times New Roman" w:hAnsi="Times New Roman"/>
          <w:color w:val="auto"/>
          <w:sz w:val="24"/>
          <w:szCs w:val="24"/>
          <w:highlight w:val="none"/>
        </w:rPr>
        <w:t>沼气池进行处理。项目产生的粪便及去向详见表</w:t>
      </w:r>
      <w:r>
        <w:rPr>
          <w:rFonts w:hint="eastAsia"/>
          <w:color w:val="auto"/>
          <w:sz w:val="24"/>
          <w:szCs w:val="24"/>
          <w:highlight w:val="none"/>
          <w:lang w:val="en-US" w:eastAsia="zh-CN"/>
        </w:rPr>
        <w:t>2.12</w:t>
      </w:r>
      <w:r>
        <w:rPr>
          <w:rFonts w:ascii="Times New Roman" w:hAnsi="Times New Roman"/>
          <w:color w:val="auto"/>
          <w:sz w:val="24"/>
          <w:szCs w:val="24"/>
          <w:highlight w:val="none"/>
        </w:rPr>
        <w:t>-</w:t>
      </w:r>
      <w:r>
        <w:rPr>
          <w:rFonts w:hint="eastAsia"/>
          <w:color w:val="auto"/>
          <w:sz w:val="24"/>
          <w:szCs w:val="24"/>
          <w:highlight w:val="none"/>
          <w:lang w:val="en-US" w:eastAsia="zh-CN"/>
        </w:rPr>
        <w:t>10</w:t>
      </w:r>
      <w:r>
        <w:rPr>
          <w:rFonts w:ascii="Times New Roman" w:hAnsi="Times New Roman"/>
          <w:color w:val="auto"/>
          <w:sz w:val="24"/>
          <w:szCs w:val="24"/>
          <w:highlight w:val="none"/>
        </w:rPr>
        <w:t>。</w:t>
      </w:r>
    </w:p>
    <w:p>
      <w:pPr>
        <w:pStyle w:val="40"/>
        <w:rPr>
          <w:rFonts w:hint="eastAsia" w:cs="Times New Roman"/>
          <w:color w:val="auto"/>
          <w:highlight w:val="none"/>
          <w:lang w:val="en-US" w:eastAsia="zh-CN"/>
        </w:rPr>
      </w:pPr>
      <w:r>
        <w:rPr>
          <w:rFonts w:hint="eastAsia" w:cs="Times New Roman"/>
          <w:color w:val="auto"/>
          <w:highlight w:val="none"/>
          <w:lang w:val="en-US" w:eastAsia="zh-CN"/>
        </w:rPr>
        <w:t>表2.12-10  项目猪粪产生及去向一览表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728"/>
        <w:gridCol w:w="1000"/>
        <w:gridCol w:w="1096"/>
        <w:gridCol w:w="1229"/>
        <w:gridCol w:w="956"/>
        <w:gridCol w:w="1331"/>
        <w:gridCol w:w="10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1027" w:type="pct"/>
            <w:vMerge w:val="restart"/>
            <w:tcBorders>
              <w:tl2br w:val="nil"/>
              <w:tr2bl w:val="nil"/>
            </w:tcBorders>
            <w:noWrap w:val="0"/>
            <w:vAlign w:val="center"/>
          </w:tcPr>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产生/去向</w:t>
            </w:r>
          </w:p>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类别</w:t>
            </w:r>
          </w:p>
        </w:tc>
        <w:tc>
          <w:tcPr>
            <w:tcW w:w="1245" w:type="pct"/>
            <w:gridSpan w:val="2"/>
            <w:tcBorders>
              <w:tl2br w:val="nil"/>
              <w:tr2bl w:val="nil"/>
            </w:tcBorders>
            <w:noWrap w:val="0"/>
            <w:vAlign w:val="center"/>
          </w:tcPr>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猪粪总产生量（含水率80%）</w:t>
            </w:r>
          </w:p>
        </w:tc>
        <w:tc>
          <w:tcPr>
            <w:tcW w:w="1298" w:type="pct"/>
            <w:gridSpan w:val="2"/>
            <w:tcBorders>
              <w:tl2br w:val="nil"/>
              <w:tr2bl w:val="nil"/>
            </w:tcBorders>
            <w:noWrap w:val="0"/>
            <w:vAlign w:val="center"/>
          </w:tcPr>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固液分离后堆肥（含水率65%）</w:t>
            </w:r>
          </w:p>
        </w:tc>
        <w:tc>
          <w:tcPr>
            <w:tcW w:w="1427" w:type="pct"/>
            <w:gridSpan w:val="2"/>
            <w:tcBorders>
              <w:tl2br w:val="nil"/>
              <w:tr2bl w:val="nil"/>
            </w:tcBorders>
            <w:noWrap w:val="0"/>
            <w:vAlign w:val="center"/>
          </w:tcPr>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进入</w:t>
            </w:r>
            <w:r>
              <w:rPr>
                <w:rFonts w:hint="eastAsia"/>
                <w:color w:val="auto"/>
                <w:sz w:val="21"/>
                <w:highlight w:val="none"/>
                <w:lang w:eastAsia="zh-CN"/>
              </w:rPr>
              <w:t>黑膜</w:t>
            </w:r>
            <w:r>
              <w:rPr>
                <w:rFonts w:hint="default"/>
                <w:color w:val="auto"/>
                <w:sz w:val="21"/>
                <w:highlight w:val="none"/>
                <w:lang w:eastAsia="zh-CN"/>
              </w:rPr>
              <w:t>沼气池的猪粪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1027" w:type="pct"/>
            <w:vMerge w:val="continue"/>
            <w:tcBorders>
              <w:tl2br w:val="nil"/>
              <w:tr2bl w:val="nil"/>
            </w:tcBorders>
            <w:noWrap w:val="0"/>
            <w:vAlign w:val="center"/>
          </w:tcPr>
          <w:p>
            <w:pPr>
              <w:spacing w:line="276" w:lineRule="auto"/>
              <w:ind w:firstLine="0" w:firstLineChars="0"/>
              <w:jc w:val="center"/>
              <w:rPr>
                <w:rFonts w:hint="default"/>
                <w:color w:val="auto"/>
                <w:sz w:val="21"/>
                <w:highlight w:val="none"/>
                <w:lang w:eastAsia="zh-CN"/>
              </w:rPr>
            </w:pPr>
          </w:p>
        </w:tc>
        <w:tc>
          <w:tcPr>
            <w:tcW w:w="594" w:type="pct"/>
            <w:tcBorders>
              <w:tl2br w:val="nil"/>
              <w:tr2bl w:val="nil"/>
            </w:tcBorders>
            <w:noWrap w:val="0"/>
            <w:vAlign w:val="center"/>
          </w:tcPr>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t/d</w:t>
            </w:r>
          </w:p>
        </w:tc>
        <w:tc>
          <w:tcPr>
            <w:tcW w:w="651" w:type="pct"/>
            <w:tcBorders>
              <w:tl2br w:val="nil"/>
              <w:tr2bl w:val="nil"/>
            </w:tcBorders>
            <w:noWrap w:val="0"/>
            <w:vAlign w:val="center"/>
          </w:tcPr>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t/a</w:t>
            </w:r>
          </w:p>
        </w:tc>
        <w:tc>
          <w:tcPr>
            <w:tcW w:w="730" w:type="pct"/>
            <w:tcBorders>
              <w:tl2br w:val="nil"/>
              <w:tr2bl w:val="nil"/>
            </w:tcBorders>
            <w:noWrap w:val="0"/>
            <w:vAlign w:val="center"/>
          </w:tcPr>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t/d</w:t>
            </w:r>
          </w:p>
        </w:tc>
        <w:tc>
          <w:tcPr>
            <w:tcW w:w="568" w:type="pct"/>
            <w:tcBorders>
              <w:tl2br w:val="nil"/>
              <w:tr2bl w:val="nil"/>
            </w:tcBorders>
            <w:noWrap w:val="0"/>
            <w:vAlign w:val="center"/>
          </w:tcPr>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t/a</w:t>
            </w:r>
          </w:p>
        </w:tc>
        <w:tc>
          <w:tcPr>
            <w:tcW w:w="791" w:type="pct"/>
            <w:tcBorders>
              <w:tl2br w:val="nil"/>
              <w:tr2bl w:val="nil"/>
            </w:tcBorders>
            <w:noWrap w:val="0"/>
            <w:vAlign w:val="center"/>
          </w:tcPr>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t/d</w:t>
            </w:r>
          </w:p>
        </w:tc>
        <w:tc>
          <w:tcPr>
            <w:tcW w:w="636" w:type="pct"/>
            <w:tcBorders>
              <w:tl2br w:val="nil"/>
              <w:tr2bl w:val="nil"/>
            </w:tcBorders>
            <w:noWrap w:val="0"/>
            <w:vAlign w:val="center"/>
          </w:tcPr>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1027" w:type="pct"/>
            <w:tcBorders>
              <w:tl2br w:val="nil"/>
              <w:tr2bl w:val="nil"/>
            </w:tcBorders>
            <w:noWrap w:val="0"/>
            <w:vAlign w:val="center"/>
          </w:tcPr>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湿重</w:t>
            </w:r>
          </w:p>
        </w:tc>
        <w:tc>
          <w:tcPr>
            <w:tcW w:w="1000" w:type="dxa"/>
            <w:tcBorders>
              <w:tl2br w:val="nil"/>
              <w:tr2bl w:val="nil"/>
            </w:tcBorders>
            <w:noWrap w:val="0"/>
            <w:vAlign w:val="center"/>
          </w:tcPr>
          <w:p>
            <w:pPr>
              <w:spacing w:line="276" w:lineRule="auto"/>
              <w:ind w:firstLine="0" w:firstLineChars="0"/>
              <w:jc w:val="center"/>
              <w:rPr>
                <w:rFonts w:hint="default"/>
                <w:color w:val="auto"/>
                <w:sz w:val="21"/>
                <w:highlight w:val="none"/>
                <w:lang w:val="en-US" w:eastAsia="zh-CN"/>
              </w:rPr>
            </w:pPr>
            <w:r>
              <w:rPr>
                <w:rFonts w:hint="default"/>
                <w:color w:val="auto"/>
                <w:sz w:val="21"/>
                <w:highlight w:val="none"/>
                <w:lang w:val="en-US" w:eastAsia="zh-CN"/>
              </w:rPr>
              <w:t>5</w:t>
            </w:r>
            <w:r>
              <w:rPr>
                <w:rFonts w:hint="eastAsia"/>
                <w:color w:val="auto"/>
                <w:sz w:val="21"/>
                <w:highlight w:val="none"/>
                <w:lang w:val="en-US" w:eastAsia="zh-CN"/>
              </w:rPr>
              <w:t>6.5</w:t>
            </w:r>
          </w:p>
        </w:tc>
        <w:tc>
          <w:tcPr>
            <w:tcW w:w="1096" w:type="dxa"/>
            <w:tcBorders>
              <w:tl2br w:val="nil"/>
              <w:tr2bl w:val="nil"/>
            </w:tcBorders>
            <w:noWrap w:val="0"/>
            <w:vAlign w:val="center"/>
          </w:tcPr>
          <w:p>
            <w:pPr>
              <w:spacing w:line="276"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20616.01</w:t>
            </w:r>
          </w:p>
        </w:tc>
        <w:tc>
          <w:tcPr>
            <w:tcW w:w="730" w:type="pct"/>
            <w:tcBorders>
              <w:tl2br w:val="nil"/>
              <w:tr2bl w:val="nil"/>
            </w:tcBorders>
            <w:noWrap w:val="0"/>
            <w:vAlign w:val="center"/>
          </w:tcPr>
          <w:p>
            <w:pPr>
              <w:spacing w:line="276"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16.14</w:t>
            </w:r>
          </w:p>
        </w:tc>
        <w:tc>
          <w:tcPr>
            <w:tcW w:w="568" w:type="pct"/>
            <w:tcBorders>
              <w:tl2br w:val="nil"/>
              <w:tr2bl w:val="nil"/>
            </w:tcBorders>
            <w:noWrap w:val="0"/>
            <w:vAlign w:val="center"/>
          </w:tcPr>
          <w:p>
            <w:pPr>
              <w:spacing w:line="276"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5890.3</w:t>
            </w:r>
          </w:p>
        </w:tc>
        <w:tc>
          <w:tcPr>
            <w:tcW w:w="791" w:type="pct"/>
            <w:tcBorders>
              <w:tl2br w:val="nil"/>
              <w:tr2bl w:val="nil"/>
            </w:tcBorders>
            <w:noWrap w:val="0"/>
            <w:vAlign w:val="center"/>
          </w:tcPr>
          <w:p>
            <w:pPr>
              <w:spacing w:line="276"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40.36</w:t>
            </w:r>
          </w:p>
        </w:tc>
        <w:tc>
          <w:tcPr>
            <w:tcW w:w="636" w:type="pct"/>
            <w:tcBorders>
              <w:tl2br w:val="nil"/>
              <w:tr2bl w:val="nil"/>
            </w:tcBorders>
            <w:noWrap w:val="0"/>
            <w:vAlign w:val="center"/>
          </w:tcPr>
          <w:p>
            <w:pPr>
              <w:spacing w:line="276" w:lineRule="auto"/>
              <w:ind w:firstLine="0" w:firstLineChars="0"/>
              <w:jc w:val="center"/>
              <w:rPr>
                <w:rFonts w:hint="default"/>
                <w:color w:val="auto"/>
                <w:sz w:val="21"/>
                <w:highlight w:val="none"/>
                <w:lang w:val="en-US" w:eastAsia="zh-CN"/>
              </w:rPr>
            </w:pPr>
            <w:r>
              <w:rPr>
                <w:rFonts w:hint="default"/>
                <w:color w:val="auto"/>
                <w:sz w:val="21"/>
                <w:highlight w:val="none"/>
                <w:lang w:val="en-US" w:eastAsia="zh-CN"/>
              </w:rPr>
              <w:t>14725.71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1027" w:type="pct"/>
            <w:tcBorders>
              <w:tl2br w:val="nil"/>
              <w:tr2bl w:val="nil"/>
            </w:tcBorders>
            <w:noWrap w:val="0"/>
            <w:vAlign w:val="center"/>
          </w:tcPr>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干重</w:t>
            </w:r>
          </w:p>
        </w:tc>
        <w:tc>
          <w:tcPr>
            <w:tcW w:w="594" w:type="pct"/>
            <w:tcBorders>
              <w:tl2br w:val="nil"/>
              <w:tr2bl w:val="nil"/>
            </w:tcBorders>
            <w:noWrap w:val="0"/>
            <w:vAlign w:val="center"/>
          </w:tcPr>
          <w:p>
            <w:pPr>
              <w:spacing w:line="276"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11.3</w:t>
            </w:r>
          </w:p>
        </w:tc>
        <w:tc>
          <w:tcPr>
            <w:tcW w:w="651" w:type="pct"/>
            <w:tcBorders>
              <w:tl2br w:val="nil"/>
              <w:tr2bl w:val="nil"/>
            </w:tcBorders>
            <w:noWrap w:val="0"/>
            <w:vAlign w:val="center"/>
          </w:tcPr>
          <w:p>
            <w:pPr>
              <w:spacing w:line="276"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4124.5</w:t>
            </w:r>
          </w:p>
        </w:tc>
        <w:tc>
          <w:tcPr>
            <w:tcW w:w="730" w:type="pct"/>
            <w:tcBorders>
              <w:tl2br w:val="nil"/>
              <w:tr2bl w:val="nil"/>
            </w:tcBorders>
            <w:noWrap w:val="0"/>
            <w:vAlign w:val="center"/>
          </w:tcPr>
          <w:p>
            <w:pPr>
              <w:spacing w:line="276"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5.65</w:t>
            </w:r>
          </w:p>
        </w:tc>
        <w:tc>
          <w:tcPr>
            <w:tcW w:w="568" w:type="pct"/>
            <w:tcBorders>
              <w:tl2br w:val="nil"/>
              <w:tr2bl w:val="nil"/>
            </w:tcBorders>
            <w:noWrap w:val="0"/>
            <w:vAlign w:val="center"/>
          </w:tcPr>
          <w:p>
            <w:pPr>
              <w:spacing w:line="276"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2061.6</w:t>
            </w:r>
          </w:p>
        </w:tc>
        <w:tc>
          <w:tcPr>
            <w:tcW w:w="1331" w:type="dxa"/>
            <w:tcBorders>
              <w:tl2br w:val="nil"/>
              <w:tr2bl w:val="nil"/>
            </w:tcBorders>
            <w:noWrap w:val="0"/>
            <w:vAlign w:val="center"/>
          </w:tcPr>
          <w:p>
            <w:pPr>
              <w:spacing w:line="276"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5.65</w:t>
            </w:r>
          </w:p>
        </w:tc>
        <w:tc>
          <w:tcPr>
            <w:tcW w:w="1071" w:type="dxa"/>
            <w:tcBorders>
              <w:tl2br w:val="nil"/>
              <w:tr2bl w:val="nil"/>
            </w:tcBorders>
            <w:noWrap w:val="0"/>
            <w:vAlign w:val="center"/>
          </w:tcPr>
          <w:p>
            <w:pPr>
              <w:spacing w:line="276"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2061.6</w:t>
            </w:r>
          </w:p>
        </w:tc>
      </w:tr>
    </w:tbl>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color w:val="auto"/>
          <w:sz w:val="24"/>
          <w:szCs w:val="24"/>
          <w:highlight w:val="none"/>
        </w:rPr>
        <w:t>经分离后的猪粪通过接种半成品通过发酵生成有机肥基料。有机肥基料产生量按原料总量的25%计，有机肥基料产生量为</w:t>
      </w:r>
      <w:r>
        <w:rPr>
          <w:rFonts w:hint="eastAsia"/>
          <w:color w:val="auto"/>
          <w:sz w:val="24"/>
          <w:szCs w:val="24"/>
          <w:highlight w:val="none"/>
          <w:lang w:val="en-US" w:eastAsia="zh-CN"/>
        </w:rPr>
        <w:t>1472.575</w:t>
      </w:r>
      <w:r>
        <w:rPr>
          <w:color w:val="auto"/>
          <w:sz w:val="24"/>
          <w:szCs w:val="24"/>
          <w:highlight w:val="none"/>
        </w:rPr>
        <w:t>t/a。项目发酵后的固体有机肥</w:t>
      </w:r>
      <w:r>
        <w:rPr>
          <w:rFonts w:hint="default" w:ascii="Times New Roman" w:hAnsi="Times New Roman" w:cs="Times New Roman"/>
          <w:color w:val="auto"/>
          <w:sz w:val="24"/>
          <w:szCs w:val="24"/>
          <w:highlight w:val="none"/>
        </w:rPr>
        <w:t>基料，经过晾晒等方法把含水量降至30%以下定期外售</w:t>
      </w:r>
      <w:r>
        <w:rPr>
          <w:rFonts w:hint="default" w:ascii="Times New Roman" w:hAnsi="Times New Roman" w:cs="Times New Roman"/>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（2）沼渣</w:t>
      </w:r>
    </w:p>
    <w:p>
      <w:pPr>
        <w:pStyle w:val="11"/>
        <w:keepNext w:val="0"/>
        <w:keepLines w:val="0"/>
        <w:pageBreakBefore w:val="0"/>
        <w:widowControl/>
        <w:kinsoku/>
        <w:wordWrap/>
        <w:overflowPunct/>
        <w:topLinePunct w:val="0"/>
        <w:autoSpaceDE/>
        <w:autoSpaceDN/>
        <w:bidi w:val="0"/>
        <w:adjustRightInd/>
        <w:snapToGrid/>
        <w:spacing w:before="0" w:beforeLines="0" w:after="0" w:afterLines="0" w:line="360" w:lineRule="auto"/>
        <w:ind w:left="0" w:leftChars="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项目进入</w:t>
      </w:r>
      <w:r>
        <w:rPr>
          <w:rFonts w:hint="eastAsia" w:ascii="Times New Roman" w:hAnsi="Times New Roman" w:cs="Times New Roman"/>
          <w:color w:val="auto"/>
          <w:sz w:val="24"/>
          <w:szCs w:val="24"/>
          <w:highlight w:val="none"/>
          <w:lang w:eastAsia="zh-CN"/>
        </w:rPr>
        <w:t>黑膜</w:t>
      </w:r>
      <w:r>
        <w:rPr>
          <w:rFonts w:hint="default" w:ascii="Times New Roman" w:hAnsi="Times New Roman" w:cs="Times New Roman"/>
          <w:color w:val="auto"/>
          <w:sz w:val="24"/>
          <w:szCs w:val="24"/>
          <w:highlight w:val="none"/>
        </w:rPr>
        <w:t>沼气池猪粪干重为</w:t>
      </w:r>
      <w:r>
        <w:rPr>
          <w:rFonts w:hint="eastAsia" w:ascii="Times New Roman" w:hAnsi="Times New Roman" w:cs="Times New Roman"/>
          <w:color w:val="auto"/>
          <w:sz w:val="24"/>
          <w:szCs w:val="24"/>
          <w:highlight w:val="none"/>
          <w:lang w:val="en-US" w:eastAsia="zh-CN"/>
        </w:rPr>
        <w:t>2061.6</w:t>
      </w:r>
      <w:r>
        <w:rPr>
          <w:rFonts w:hint="default" w:ascii="Times New Roman" w:hAnsi="Times New Roman" w:cs="Times New Roman"/>
          <w:color w:val="auto"/>
          <w:sz w:val="24"/>
          <w:szCs w:val="24"/>
          <w:highlight w:val="none"/>
        </w:rPr>
        <w:t>t/a，粪便中的有机物质在厌氧反应阶段被降解50%，20%进入沼液，30%转化为沼渣，厌氧反应处理后沼渣实际含水率为85%，故沼渣产生量（总重）为</w:t>
      </w:r>
      <w:r>
        <w:rPr>
          <w:rFonts w:hint="eastAsia" w:ascii="Times New Roman" w:hAnsi="Times New Roman" w:cs="Times New Roman"/>
          <w:color w:val="auto"/>
          <w:sz w:val="24"/>
          <w:szCs w:val="24"/>
          <w:highlight w:val="none"/>
          <w:lang w:val="en-US" w:eastAsia="zh-CN"/>
        </w:rPr>
        <w:t>4124.5</w:t>
      </w:r>
      <w:r>
        <w:rPr>
          <w:rFonts w:hint="default" w:ascii="Times New Roman" w:hAnsi="Times New Roman" w:cs="Times New Roman"/>
          <w:color w:val="auto"/>
          <w:sz w:val="24"/>
          <w:szCs w:val="24"/>
          <w:highlight w:val="none"/>
        </w:rPr>
        <w:t>t/a。沼渣收集后通过管道</w:t>
      </w:r>
      <w:r>
        <w:rPr>
          <w:rFonts w:hint="eastAsia" w:ascii="Times New Roman" w:hAnsi="Times New Roman" w:cs="Times New Roman"/>
          <w:color w:val="auto"/>
          <w:sz w:val="24"/>
          <w:szCs w:val="24"/>
          <w:highlight w:val="none"/>
          <w:lang w:eastAsia="zh-CN"/>
        </w:rPr>
        <w:t>进行</w:t>
      </w:r>
      <w:r>
        <w:rPr>
          <w:rFonts w:hint="default" w:ascii="Times New Roman" w:hAnsi="Times New Roman" w:cs="Times New Roman"/>
          <w:color w:val="auto"/>
          <w:sz w:val="24"/>
          <w:szCs w:val="24"/>
          <w:highlight w:val="none"/>
        </w:rPr>
        <w:t>固液分离后含水率60%，作为有机肥基肥外售，有机肥基肥产生量为</w:t>
      </w:r>
      <w:r>
        <w:rPr>
          <w:rFonts w:hint="eastAsia" w:ascii="Times New Roman" w:hAnsi="Times New Roman" w:cs="Times New Roman"/>
          <w:color w:val="auto"/>
          <w:sz w:val="24"/>
          <w:szCs w:val="24"/>
          <w:highlight w:val="none"/>
          <w:lang w:val="en-US" w:eastAsia="zh-CN"/>
        </w:rPr>
        <w:t>1546.69</w:t>
      </w:r>
      <w:r>
        <w:rPr>
          <w:rFonts w:hint="default" w:ascii="Times New Roman" w:hAnsi="Times New Roman" w:cs="Times New Roman"/>
          <w:color w:val="auto"/>
          <w:sz w:val="24"/>
          <w:szCs w:val="24"/>
          <w:highlight w:val="none"/>
        </w:rPr>
        <w:t>/a。</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项目猪粪、沼渣平衡图见图</w:t>
      </w:r>
      <w:r>
        <w:rPr>
          <w:rFonts w:hint="eastAsia" w:cs="Times New Roman"/>
          <w:bCs/>
          <w:color w:val="auto"/>
          <w:sz w:val="24"/>
          <w:szCs w:val="24"/>
          <w:highlight w:val="none"/>
          <w:lang w:val="en-US" w:eastAsia="zh-CN"/>
        </w:rPr>
        <w:t>2</w:t>
      </w:r>
      <w:r>
        <w:rPr>
          <w:rFonts w:hint="eastAsia" w:ascii="Times New Roman" w:hAnsi="Times New Roman" w:cs="Times New Roman"/>
          <w:bCs/>
          <w:color w:val="auto"/>
          <w:sz w:val="24"/>
          <w:szCs w:val="24"/>
          <w:highlight w:val="none"/>
          <w:lang w:val="en-US" w:eastAsia="zh-CN"/>
        </w:rPr>
        <w:t>.</w:t>
      </w:r>
      <w:r>
        <w:rPr>
          <w:rFonts w:hint="eastAsia" w:cs="Times New Roman"/>
          <w:bCs/>
          <w:color w:val="auto"/>
          <w:sz w:val="24"/>
          <w:szCs w:val="24"/>
          <w:highlight w:val="none"/>
          <w:lang w:val="en-US" w:eastAsia="zh-CN"/>
        </w:rPr>
        <w:t>12</w:t>
      </w:r>
      <w:r>
        <w:rPr>
          <w:rFonts w:hint="default" w:ascii="Times New Roman" w:hAnsi="Times New Roman" w:cs="Times New Roman"/>
          <w:bCs/>
          <w:color w:val="auto"/>
          <w:sz w:val="24"/>
          <w:szCs w:val="24"/>
          <w:highlight w:val="none"/>
        </w:rPr>
        <w:t>-1。</w:t>
      </w:r>
    </w:p>
    <w:p>
      <w:pPr>
        <w:pStyle w:val="2"/>
        <w:jc w:val="center"/>
        <w:rPr>
          <w:rFonts w:hint="default" w:ascii="Times New Roman" w:hAnsi="Times New Roman" w:cs="Times New Roman"/>
          <w:bCs/>
          <w:color w:val="auto"/>
          <w:sz w:val="24"/>
          <w:szCs w:val="24"/>
          <w:highlight w:val="none"/>
        </w:rPr>
      </w:pPr>
      <w:r>
        <w:rPr>
          <w:rStyle w:val="43"/>
          <w:rFonts w:hint="eastAsia" w:ascii="Times New Roman" w:hAnsi="Times New Roman"/>
          <w:color w:val="auto"/>
          <w:szCs w:val="22"/>
          <w:highlight w:val="none"/>
          <w:lang w:val="en-US" w:eastAsia="zh-CN"/>
        </w:rPr>
        <w:t>图2.12-1  项目猪粪、沼渣平衡图单位：干t/d</w:t>
      </w:r>
      <w:r>
        <w:rPr>
          <w:rFonts w:ascii="Times New Roman" w:hAnsi="Times New Roman" w:cs="Times New Roman"/>
          <w:color w:val="auto"/>
          <w:szCs w:val="22"/>
          <w:highlight w:val="none"/>
        </w:rPr>
        <mc:AlternateContent>
          <mc:Choice Requires="wpc">
            <w:drawing>
              <wp:anchor distT="0" distB="0" distL="114300" distR="114300" simplePos="0" relativeHeight="252424192" behindDoc="0" locked="0" layoutInCell="1" allowOverlap="1">
                <wp:simplePos x="0" y="0"/>
                <wp:positionH relativeFrom="column">
                  <wp:posOffset>-102870</wp:posOffset>
                </wp:positionH>
                <wp:positionV relativeFrom="paragraph">
                  <wp:posOffset>96520</wp:posOffset>
                </wp:positionV>
                <wp:extent cx="5629275" cy="1302385"/>
                <wp:effectExtent l="0" t="0" r="0" b="12700"/>
                <wp:wrapSquare wrapText="bothSides"/>
                <wp:docPr id="733" name="画布 7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7" name="文本框 717"/>
                        <wps:cNvSpPr txBox="1"/>
                        <wps:spPr>
                          <a:xfrm>
                            <a:off x="128202" y="108507"/>
                            <a:ext cx="991913" cy="301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center"/>
                                <w:rPr>
                                  <w:rFonts w:hint="default" w:ascii="Calibri" w:hAnsi="Calibri" w:eastAsia="宋体" w:cs="Times New Roman"/>
                                  <w:sz w:val="21"/>
                                  <w:szCs w:val="21"/>
                                  <w:lang w:val="en-US" w:eastAsia="zh-CN"/>
                                </w:rPr>
                              </w:pPr>
                              <w:r>
                                <w:rPr>
                                  <w:rFonts w:hint="eastAsia" w:ascii="Calibri" w:hAnsi="Calibri" w:cs="Times New Roman"/>
                                  <w:sz w:val="21"/>
                                  <w:szCs w:val="21"/>
                                </w:rPr>
                                <w:t>猪</w:t>
                              </w:r>
                              <w:r>
                                <w:rPr>
                                  <w:rFonts w:hint="eastAsia" w:ascii="Times New Roman" w:hAnsi="Times New Roman" w:cs="Times New Roman"/>
                                  <w:sz w:val="21"/>
                                  <w:szCs w:val="21"/>
                                </w:rPr>
                                <w:t>粪</w:t>
                              </w:r>
                              <w:r>
                                <w:rPr>
                                  <w:rFonts w:hint="eastAsia" w:cs="Times New Roman"/>
                                  <w:sz w:val="21"/>
                                  <w:szCs w:val="21"/>
                                  <w:lang w:val="en-US" w:eastAsia="zh-CN"/>
                                </w:rPr>
                                <w:t>11.3</w:t>
                              </w:r>
                            </w:p>
                          </w:txbxContent>
                        </wps:txbx>
                        <wps:bodyPr upright="1"/>
                      </wps:wsp>
                      <wps:wsp>
                        <wps:cNvPr id="718" name="直接箭头连接符 718"/>
                        <wps:cNvCnPr/>
                        <wps:spPr>
                          <a:xfrm>
                            <a:off x="1120115" y="259717"/>
                            <a:ext cx="845211" cy="0"/>
                          </a:xfrm>
                          <a:prstGeom prst="straightConnector1">
                            <a:avLst/>
                          </a:prstGeom>
                          <a:ln w="9525" cap="flat" cmpd="sng">
                            <a:solidFill>
                              <a:srgbClr val="000000"/>
                            </a:solidFill>
                            <a:prstDash val="solid"/>
                            <a:headEnd type="none" w="med" len="med"/>
                            <a:tailEnd type="triangle" w="med" len="med"/>
                          </a:ln>
                        </wps:spPr>
                        <wps:bodyPr/>
                      </wps:wsp>
                      <wps:wsp>
                        <wps:cNvPr id="719" name="文本框 719"/>
                        <wps:cNvSpPr txBox="1"/>
                        <wps:spPr>
                          <a:xfrm>
                            <a:off x="1965326" y="108507"/>
                            <a:ext cx="1401419" cy="301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污水处理站</w:t>
                              </w:r>
                            </w:p>
                          </w:txbxContent>
                        </wps:txbx>
                        <wps:bodyPr upright="1"/>
                      </wps:wsp>
                      <wps:wsp>
                        <wps:cNvPr id="720" name="文本框 720"/>
                        <wps:cNvSpPr txBox="1"/>
                        <wps:spPr>
                          <a:xfrm>
                            <a:off x="2023127" y="954462"/>
                            <a:ext cx="2910839" cy="3009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送至固粪处理区发酵后作为有机肥原料外售</w:t>
                              </w:r>
                            </w:p>
                          </w:txbxContent>
                        </wps:txbx>
                        <wps:bodyPr upright="1"/>
                      </wps:wsp>
                      <wps:wsp>
                        <wps:cNvPr id="721" name="肘形连接符 721"/>
                        <wps:cNvCnPr/>
                        <wps:spPr>
                          <a:xfrm rot="-5400000" flipH="1">
                            <a:off x="1261017" y="343422"/>
                            <a:ext cx="845211" cy="678244"/>
                          </a:xfrm>
                          <a:prstGeom prst="bentConnector2">
                            <a:avLst/>
                          </a:prstGeom>
                          <a:ln w="9525" cap="flat" cmpd="sng">
                            <a:solidFill>
                              <a:srgbClr val="000000"/>
                            </a:solidFill>
                            <a:prstDash val="solid"/>
                            <a:miter/>
                            <a:headEnd type="none" w="med" len="med"/>
                            <a:tailEnd type="triangle" w="med" len="med"/>
                          </a:ln>
                        </wps:spPr>
                        <wps:bodyPr/>
                      </wps:wsp>
                      <wps:wsp>
                        <wps:cNvPr id="722" name="文本框 722"/>
                        <wps:cNvSpPr txBox="1"/>
                        <wps:spPr>
                          <a:xfrm>
                            <a:off x="1386218" y="0"/>
                            <a:ext cx="579108" cy="327021"/>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5.65</w:t>
                              </w:r>
                            </w:p>
                          </w:txbxContent>
                        </wps:txbx>
                        <wps:bodyPr upright="1"/>
                      </wps:wsp>
                      <wps:wsp>
                        <wps:cNvPr id="723" name="文本框 723"/>
                        <wps:cNvSpPr txBox="1"/>
                        <wps:spPr>
                          <a:xfrm>
                            <a:off x="1344918" y="826754"/>
                            <a:ext cx="638209" cy="31182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5.65</w:t>
                              </w:r>
                            </w:p>
                          </w:txbxContent>
                        </wps:txbx>
                        <wps:bodyPr upright="1"/>
                      </wps:wsp>
                      <wps:wsp>
                        <wps:cNvPr id="724" name="直接箭头连接符 724"/>
                        <wps:cNvCnPr/>
                        <wps:spPr>
                          <a:xfrm>
                            <a:off x="3370545" y="257817"/>
                            <a:ext cx="491507" cy="600"/>
                          </a:xfrm>
                          <a:prstGeom prst="straightConnector1">
                            <a:avLst/>
                          </a:prstGeom>
                          <a:ln w="9525" cap="flat" cmpd="sng">
                            <a:solidFill>
                              <a:srgbClr val="000000"/>
                            </a:solidFill>
                            <a:prstDash val="solid"/>
                            <a:headEnd type="none" w="med" len="med"/>
                            <a:tailEnd type="none" w="med" len="med"/>
                          </a:ln>
                        </wps:spPr>
                        <wps:bodyPr/>
                      </wps:wsp>
                      <wps:wsp>
                        <wps:cNvPr id="725" name="直接箭头连接符 725"/>
                        <wps:cNvCnPr/>
                        <wps:spPr>
                          <a:xfrm>
                            <a:off x="3872852" y="170811"/>
                            <a:ext cx="700" cy="603239"/>
                          </a:xfrm>
                          <a:prstGeom prst="straightConnector1">
                            <a:avLst/>
                          </a:prstGeom>
                          <a:ln w="9525" cap="flat" cmpd="sng">
                            <a:solidFill>
                              <a:srgbClr val="000000"/>
                            </a:solidFill>
                            <a:prstDash val="solid"/>
                            <a:headEnd type="none" w="med" len="med"/>
                            <a:tailEnd type="none" w="med" len="med"/>
                          </a:ln>
                        </wps:spPr>
                        <wps:bodyPr/>
                      </wps:wsp>
                      <wps:wsp>
                        <wps:cNvPr id="726" name="直接箭头连接符 726"/>
                        <wps:cNvCnPr/>
                        <wps:spPr>
                          <a:xfrm>
                            <a:off x="3872852" y="170811"/>
                            <a:ext cx="448306" cy="600"/>
                          </a:xfrm>
                          <a:prstGeom prst="straightConnector1">
                            <a:avLst/>
                          </a:prstGeom>
                          <a:ln w="9525" cap="flat" cmpd="sng">
                            <a:solidFill>
                              <a:srgbClr val="000000"/>
                            </a:solidFill>
                            <a:prstDash val="solid"/>
                            <a:headEnd type="none" w="med" len="med"/>
                            <a:tailEnd type="triangle" w="med" len="med"/>
                          </a:ln>
                        </wps:spPr>
                        <wps:bodyPr/>
                      </wps:wsp>
                      <wps:wsp>
                        <wps:cNvPr id="727" name="文本框 727"/>
                        <wps:cNvSpPr txBox="1"/>
                        <wps:spPr>
                          <a:xfrm>
                            <a:off x="4224656" y="4400"/>
                            <a:ext cx="892212" cy="332122"/>
                          </a:xfrm>
                          <a:prstGeom prst="rect">
                            <a:avLst/>
                          </a:prstGeom>
                          <a:noFill/>
                          <a:ln>
                            <a:noFill/>
                          </a:ln>
                        </wps:spPr>
                        <wps:txbx>
                          <w:txbxContent>
                            <w:p>
                              <w:pPr>
                                <w:widowControl w:val="0"/>
                                <w:spacing w:line="240" w:lineRule="auto"/>
                                <w:ind w:firstLine="0" w:firstLineChars="0"/>
                                <w:jc w:val="left"/>
                                <w:rPr>
                                  <w:rFonts w:hint="default" w:ascii="Calibri" w:hAnsi="Calibri" w:eastAsia="宋体" w:cs="Times New Roman"/>
                                  <w:sz w:val="21"/>
                                  <w:szCs w:val="21"/>
                                  <w:lang w:val="en-US" w:eastAsia="zh-CN"/>
                                </w:rPr>
                              </w:pPr>
                              <w:r>
                                <w:rPr>
                                  <w:rFonts w:hint="eastAsia" w:ascii="Calibri" w:hAnsi="Calibri" w:cs="Times New Roman"/>
                                  <w:sz w:val="21"/>
                                  <w:szCs w:val="21"/>
                                </w:rPr>
                                <w:t>降</w:t>
                              </w:r>
                              <w:r>
                                <w:rPr>
                                  <w:rFonts w:hint="eastAsia" w:ascii="Times New Roman" w:hAnsi="Times New Roman" w:cs="Times New Roman"/>
                                  <w:sz w:val="21"/>
                                  <w:szCs w:val="21"/>
                                </w:rPr>
                                <w:t>解</w:t>
                              </w:r>
                              <w:r>
                                <w:rPr>
                                  <w:rFonts w:hint="eastAsia" w:cs="Times New Roman"/>
                                  <w:sz w:val="21"/>
                                  <w:szCs w:val="21"/>
                                  <w:lang w:val="en-US" w:eastAsia="zh-CN"/>
                                </w:rPr>
                                <w:t>2.825</w:t>
                              </w:r>
                            </w:p>
                          </w:txbxContent>
                        </wps:txbx>
                        <wps:bodyPr upright="1"/>
                      </wps:wsp>
                      <wps:wsp>
                        <wps:cNvPr id="728" name="文本框 728"/>
                        <wps:cNvSpPr txBox="1"/>
                        <wps:spPr>
                          <a:xfrm>
                            <a:off x="4320558" y="636242"/>
                            <a:ext cx="518207" cy="301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沼液</w:t>
                              </w:r>
                            </w:p>
                          </w:txbxContent>
                        </wps:txbx>
                        <wps:bodyPr upright="1"/>
                      </wps:wsp>
                      <wps:wsp>
                        <wps:cNvPr id="729" name="文本框 729"/>
                        <wps:cNvSpPr txBox="1"/>
                        <wps:spPr>
                          <a:xfrm>
                            <a:off x="3854451" y="425428"/>
                            <a:ext cx="633708" cy="311820"/>
                          </a:xfrm>
                          <a:prstGeom prst="rect">
                            <a:avLst/>
                          </a:prstGeom>
                          <a:noFill/>
                          <a:ln>
                            <a:noFill/>
                          </a:ln>
                        </wps:spPr>
                        <wps:txb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1.13</w:t>
                              </w:r>
                            </w:p>
                          </w:txbxContent>
                        </wps:txbx>
                        <wps:bodyPr upright="1"/>
                      </wps:wsp>
                      <wps:wsp>
                        <wps:cNvPr id="730" name="直接箭头连接符 730"/>
                        <wps:cNvCnPr/>
                        <wps:spPr>
                          <a:xfrm>
                            <a:off x="3872852" y="774751"/>
                            <a:ext cx="448306" cy="600"/>
                          </a:xfrm>
                          <a:prstGeom prst="straightConnector1">
                            <a:avLst/>
                          </a:prstGeom>
                          <a:ln w="9525" cap="flat" cmpd="sng">
                            <a:solidFill>
                              <a:srgbClr val="000000"/>
                            </a:solidFill>
                            <a:prstDash val="solid"/>
                            <a:headEnd type="none" w="med" len="med"/>
                            <a:tailEnd type="triangle" w="med" len="med"/>
                          </a:ln>
                        </wps:spPr>
                        <wps:bodyPr/>
                      </wps:wsp>
                      <wps:wsp>
                        <wps:cNvPr id="731" name="直接箭头连接符 731"/>
                        <wps:cNvCnPr/>
                        <wps:spPr>
                          <a:xfrm>
                            <a:off x="2661935" y="411427"/>
                            <a:ext cx="600" cy="545536"/>
                          </a:xfrm>
                          <a:prstGeom prst="straightConnector1">
                            <a:avLst/>
                          </a:prstGeom>
                          <a:ln w="9525" cap="flat" cmpd="sng">
                            <a:solidFill>
                              <a:srgbClr val="000000"/>
                            </a:solidFill>
                            <a:prstDash val="solid"/>
                            <a:headEnd type="none" w="med" len="med"/>
                            <a:tailEnd type="triangle" w="med" len="med"/>
                          </a:ln>
                        </wps:spPr>
                        <wps:bodyPr/>
                      </wps:wsp>
                      <wps:wsp>
                        <wps:cNvPr id="732" name="文本框 732"/>
                        <wps:cNvSpPr txBox="1"/>
                        <wps:spPr>
                          <a:xfrm>
                            <a:off x="2278330" y="531435"/>
                            <a:ext cx="998313" cy="374124"/>
                          </a:xfrm>
                          <a:prstGeom prst="rect">
                            <a:avLst/>
                          </a:prstGeom>
                          <a:noFill/>
                          <a:ln>
                            <a:noFill/>
                          </a:ln>
                        </wps:spPr>
                        <wps:txb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沼</w:t>
                              </w:r>
                              <w:r>
                                <w:rPr>
                                  <w:rFonts w:hint="eastAsia" w:ascii="Times New Roman" w:hAnsi="Times New Roman" w:cs="Times New Roman"/>
                                  <w:sz w:val="21"/>
                                  <w:szCs w:val="21"/>
                                </w:rPr>
                                <w:t>渣</w:t>
                              </w:r>
                              <w:r>
                                <w:rPr>
                                  <w:rFonts w:hint="eastAsia" w:cs="Times New Roman"/>
                                  <w:sz w:val="21"/>
                                  <w:szCs w:val="21"/>
                                  <w:lang w:val="en-US" w:eastAsia="zh-CN"/>
                                </w:rPr>
                                <w:t>1.695</w:t>
                              </w:r>
                            </w:p>
                          </w:txbxContent>
                        </wps:txbx>
                        <wps:bodyPr upright="1"/>
                      </wps:wsp>
                    </wpc:wpc>
                  </a:graphicData>
                </a:graphic>
              </wp:anchor>
            </w:drawing>
          </mc:Choice>
          <mc:Fallback>
            <w:pict>
              <v:group id="_x0000_s1026" o:spid="_x0000_s1026" o:spt="203" style="position:absolute;left:0pt;margin-left:-8.1pt;margin-top:7.6pt;height:102.55pt;width:443.25pt;mso-wrap-distance-bottom:0pt;mso-wrap-distance-left:9pt;mso-wrap-distance-right:9pt;mso-wrap-distance-top:0pt;z-index:252424192;mso-width-relative:page;mso-height-relative:page;" coordsize="5629275,1302385" editas="canvas" o:gfxdata="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">
                <o:lock v:ext="edit" aspectratio="f"/>
                <v:shape id="_x0000_s1026" o:spid="_x0000_s1026" style="position:absolute;left:0;top:0;height:1302385;width:5629275;" filled="f" stroked="f" coordsize="21600,21600" o:gfxdata="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">
                  <v:fill on="f" focussize="0,0"/>
                  <v:stroke on="f"/>
                  <v:imagedata o:title=""/>
                  <o:lock v:ext="edit" aspectratio="t"/>
                </v:shape>
                <v:shape id="_x0000_s1026" o:spid="_x0000_s1026" o:spt="202" type="#_x0000_t202" style="position:absolute;left:128202;top:108507;height:301720;width:991913;" fillcolor="#FFFFFF" filled="t" stroked="t" coordsize="21600,21600" o:gfxdata="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9PoJLZAAAACgEAAA8AAAAAAAAAAQAgAAAAIgAAAGRycy9kb3ducmV2&#10;LnhtbFBLAQIUABQAAAAIAIdO4kAZn0yc+wEAAPUDAAAOAAAAAAAAAAEAIAAAACgBAABkcnMvZTJv&#10;RG9jLnhtbFBLBQYAAAAABgAGAFkBAACVBQAAAAA=&#10;">
                  <v:fill on="t" focussize="0,0"/>
                  <v:stroke color="#000000" joinstyle="miter"/>
                  <v:imagedata o:title=""/>
                  <o:lock v:ext="edit" aspectratio="f"/>
                  <v:textbox>
                    <w:txbxContent>
                      <w:p>
                        <w:pPr>
                          <w:widowControl w:val="0"/>
                          <w:spacing w:line="240" w:lineRule="auto"/>
                          <w:ind w:firstLine="0" w:firstLineChars="0"/>
                          <w:jc w:val="center"/>
                          <w:rPr>
                            <w:rFonts w:hint="default" w:ascii="Calibri" w:hAnsi="Calibri" w:eastAsia="宋体" w:cs="Times New Roman"/>
                            <w:sz w:val="21"/>
                            <w:szCs w:val="21"/>
                            <w:lang w:val="en-US" w:eastAsia="zh-CN"/>
                          </w:rPr>
                        </w:pPr>
                        <w:r>
                          <w:rPr>
                            <w:rFonts w:hint="eastAsia" w:ascii="Calibri" w:hAnsi="Calibri" w:cs="Times New Roman"/>
                            <w:sz w:val="21"/>
                            <w:szCs w:val="21"/>
                          </w:rPr>
                          <w:t>猪</w:t>
                        </w:r>
                        <w:r>
                          <w:rPr>
                            <w:rFonts w:hint="eastAsia" w:ascii="Times New Roman" w:hAnsi="Times New Roman" w:cs="Times New Roman"/>
                            <w:sz w:val="21"/>
                            <w:szCs w:val="21"/>
                          </w:rPr>
                          <w:t>粪</w:t>
                        </w:r>
                        <w:r>
                          <w:rPr>
                            <w:rFonts w:hint="eastAsia" w:cs="Times New Roman"/>
                            <w:sz w:val="21"/>
                            <w:szCs w:val="21"/>
                            <w:lang w:val="en-US" w:eastAsia="zh-CN"/>
                          </w:rPr>
                          <w:t>11.3</w:t>
                        </w:r>
                      </w:p>
                    </w:txbxContent>
                  </v:textbox>
                </v:shape>
                <v:shape id="_x0000_s1026" o:spid="_x0000_s1026" o:spt="32" type="#_x0000_t32" style="position:absolute;left:1120115;top:259717;height:0;width:845211;" filled="f" stroked="t" coordsize="21600,21600" o:gfxdata="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IhXHH2gAAAAoBAAAPAAAAAAAAAAEAIAAAACIAAABkcnMvZG93bnJldi54&#10;bWxQSwECFAAUAAAACACHTuJAfuCDWfgBAACwAwAADgAAAAAAAAABACAAAAApAQAAZHJzL2Uyb0Rv&#10;Yy54bWxQSwUGAAAAAAYABgBZAQAAkwUAAAAA&#10;">
                  <v:fill on="f" focussize="0,0"/>
                  <v:stroke color="#000000" joinstyle="round" endarrow="block"/>
                  <v:imagedata o:title=""/>
                  <o:lock v:ext="edit" aspectratio="f"/>
                </v:shape>
                <v:shape id="_x0000_s1026" o:spid="_x0000_s1026" o:spt="202" type="#_x0000_t202" style="position:absolute;left:1965326;top:108507;height:301720;width:1401419;" fillcolor="#FFFFFF" filled="t" stroked="t" coordsize="21600,21600" o:gfxdata="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0+gktkAAAAKAQAADwAAAAAAAAABACAAAAAiAAAAZHJzL2Rvd25y&#10;ZXYueG1sUEsBAhQAFAAAAAgAh07iQPllBJr9AQAA9wMAAA4AAAAAAAAAAQAgAAAAKAEAAGRycy9l&#10;Mm9Eb2MueG1sUEsFBgAAAAAGAAYAWQEAAJcFAAAAAA==&#10;">
                  <v:fill on="t" focussize="0,0"/>
                  <v:stroke color="#000000" joinstyle="miter"/>
                  <v:imagedata o:title=""/>
                  <o:lock v:ext="edit" aspectratio="f"/>
                  <v:textbo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污水处理站</w:t>
                        </w:r>
                      </w:p>
                    </w:txbxContent>
                  </v:textbox>
                </v:shape>
                <v:shape id="_x0000_s1026" o:spid="_x0000_s1026" o:spt="202" type="#_x0000_t202" style="position:absolute;left:2023127;top:954462;height:300920;width:2910839;" fillcolor="#FFFFFF" filled="t" stroked="t" coordsize="21600,21600" o:gfxdata="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0+gktkAAAAKAQAADwAAAAAAAAABACAAAAAiAAAAZHJzL2Rvd25y&#10;ZXYueG1sUEsBAhQAFAAAAAgAh07iQNER6Xz9AQAA9wMAAA4AAAAAAAAAAQAgAAAAKAEAAGRycy9l&#10;Mm9Eb2MueG1sUEsFBgAAAAAGAAYAWQEAAJcFAAAAAA==&#10;">
                  <v:fill on="t" focussize="0,0"/>
                  <v:stroke color="#000000" joinstyle="miter"/>
                  <v:imagedata o:title=""/>
                  <o:lock v:ext="edit" aspectratio="f"/>
                  <v:textbo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送至固粪处理区发酵后作为有机肥原料外售</w:t>
                        </w:r>
                      </w:p>
                    </w:txbxContent>
                  </v:textbox>
                </v:shape>
                <v:shape id="_x0000_s1026" o:spid="_x0000_s1026" o:spt="33" type="#_x0000_t33" style="position:absolute;left:1261017;top:343422;flip:x;height:678244;width:845211;rotation:5898240f;" filled="f" stroked="t" coordsize="21600,21600" o:gfxdata="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IEd5zZAAAACgEAAA8AAAAAAAAAAQAg&#10;AAAAIgAAAGRycy9kb3ducmV2LnhtbFBLAQIUABQAAAAIAIdO4kD7XIgpDQIAAM4DAAAOAAAAAAAA&#10;AAEAIAAAACgBAABkcnMvZTJvRG9jLnhtbFBLBQYAAAAABgAGAFkBAACnBQAAAAA=&#10;">
                  <v:fill on="f" focussize="0,0"/>
                  <v:stroke color="#000000" joinstyle="miter" endarrow="block"/>
                  <v:imagedata o:title=""/>
                  <o:lock v:ext="edit" aspectratio="f"/>
                </v:shape>
                <v:shape id="_x0000_s1026" o:spid="_x0000_s1026" o:spt="202" type="#_x0000_t202" style="position:absolute;left:1386218;top:0;height:327021;width:579108;" filled="f" stroked="f" coordsize="21600,21600" o:gfxdata="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HVtlBPXAAAACgEAAA8AAAAAAAAAAQAgAAAAIgAA&#10;AGRycy9kb3ducmV2LnhtbFBLAQIUABQAAAAIAIdO4kARbmIjlwEAAAkDAAAOAAAAAAAAAAEAIAAA&#10;ACYBAABkcnMvZTJvRG9jLnhtbFBLBQYAAAAABgAGAFkBAAAvBQAAAAA=&#10;">
                  <v:fill on="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5.65</w:t>
                        </w:r>
                      </w:p>
                    </w:txbxContent>
                  </v:textbox>
                </v:shape>
                <v:shape id="_x0000_s1026" o:spid="_x0000_s1026" o:spt="202" type="#_x0000_t202" style="position:absolute;left:1344918;top:826754;height:311820;width:638209;" filled="f" stroked="f" coordsize="21600,21600" o:gfxdata="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VtlBPXAAAACgEAAA8AAAAAAAAAAQAg&#10;AAAAIgAAAGRycy9kb3ducmV2LnhtbFBLAQIUABQAAAAIAIdO4kA5AJ71nQEAAA4DAAAOAAAAAAAA&#10;AAEAIAAAACYBAABkcnMvZTJvRG9jLnhtbFBLBQYAAAAABgAGAFkBAAA1BQAAAAA=&#10;">
                  <v:fill on="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5.65</w:t>
                        </w:r>
                      </w:p>
                    </w:txbxContent>
                  </v:textbox>
                </v:shape>
                <v:shape id="_x0000_s1026" o:spid="_x0000_s1026" o:spt="32" type="#_x0000_t32" style="position:absolute;left:3370545;top:257817;height:600;width:491507;" filled="f" stroked="t" coordsize="21600,21600" o:gfxdata="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mQ8LR2AAAAAoBAAAPAAAAAAAAAAEAIAAAACIAAABkcnMvZG93bnJldi54bWxQ&#10;SwECFAAUAAAACACHTuJAZJyiovcBAACuAwAADgAAAAAAAAABACAAAAAnAQAAZHJzL2Uyb0RvYy54&#10;bWxQSwUGAAAAAAYABgBZAQAAkAUAAAAA&#10;">
                  <v:fill on="f" focussize="0,0"/>
                  <v:stroke color="#000000" joinstyle="round"/>
                  <v:imagedata o:title=""/>
                  <o:lock v:ext="edit" aspectratio="f"/>
                </v:shape>
                <v:shape id="_x0000_s1026" o:spid="_x0000_s1026" o:spt="32" type="#_x0000_t32" style="position:absolute;left:3872852;top:170811;height:603239;width:700;" filled="f" stroked="t" coordsize="21600,21600" o:gfxdata="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kPC0dgAAAAKAQAADwAAAAAAAAABACAAAAAiAAAAZHJzL2Rvd25yZXYueG1sUEsBAhQA&#10;FAAAAAgAh07iQEdMQKjyAQAArgMAAA4AAAAAAAAAAQAgAAAAJwEAAGRycy9lMm9Eb2MueG1sUEsF&#10;BgAAAAAGAAYAWQEAAIsFAAAAAA==&#10;">
                  <v:fill on="f" focussize="0,0"/>
                  <v:stroke color="#000000" joinstyle="round"/>
                  <v:imagedata o:title=""/>
                  <o:lock v:ext="edit" aspectratio="f"/>
                </v:shape>
                <v:shape id="_x0000_s1026" o:spid="_x0000_s1026" o:spt="32" type="#_x0000_t32" style="position:absolute;left:3872852;top:170811;height:600;width:448306;" filled="f" stroked="t" coordsize="21600,21600" o:gfxdata="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IhXHH2gAAAAoBAAAPAAAAAAAAAAEAIAAAACIAAABkcnMvZG93bnJl&#10;di54bWxQSwECFAAUAAAACACHTuJA1d/NwvsBAACyAwAADgAAAAAAAAABACAAAAApAQAAZHJzL2Uy&#10;b0RvYy54bWxQSwUGAAAAAAYABgBZAQAAlgUAAAAA&#10;">
                  <v:fill on="f" focussize="0,0"/>
                  <v:stroke color="#000000" joinstyle="round" endarrow="block"/>
                  <v:imagedata o:title=""/>
                  <o:lock v:ext="edit" aspectratio="f"/>
                </v:shape>
                <v:shape id="_x0000_s1026" o:spid="_x0000_s1026" o:spt="202" type="#_x0000_t202" style="position:absolute;left:4224656;top:4400;height:332122;width:892212;" filled="f" stroked="f" coordsize="21600,21600" o:gfxdata="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HVtlBPXAAAACgEAAA8AAAAAAAAAAQAgAAAA&#10;IgAAAGRycy9kb3ducmV2LnhtbFBLAQIUABQAAAAIAIdO4kA+LUBnmgEAAAwDAAAOAAAAAAAAAAEA&#10;IAAAACYBAABkcnMvZTJvRG9jLnhtbFBLBQYAAAAABgAGAFkBAAAyBQAAAAA=&#10;">
                  <v:fill on="f" focussize="0,0"/>
                  <v:stroke on="f"/>
                  <v:imagedata o:title=""/>
                  <o:lock v:ext="edit" aspectratio="f"/>
                  <v:textbox>
                    <w:txbxContent>
                      <w:p>
                        <w:pPr>
                          <w:widowControl w:val="0"/>
                          <w:spacing w:line="240" w:lineRule="auto"/>
                          <w:ind w:firstLine="0" w:firstLineChars="0"/>
                          <w:jc w:val="left"/>
                          <w:rPr>
                            <w:rFonts w:hint="default" w:ascii="Calibri" w:hAnsi="Calibri" w:eastAsia="宋体" w:cs="Times New Roman"/>
                            <w:sz w:val="21"/>
                            <w:szCs w:val="21"/>
                            <w:lang w:val="en-US" w:eastAsia="zh-CN"/>
                          </w:rPr>
                        </w:pPr>
                        <w:r>
                          <w:rPr>
                            <w:rFonts w:hint="eastAsia" w:ascii="Calibri" w:hAnsi="Calibri" w:cs="Times New Roman"/>
                            <w:sz w:val="21"/>
                            <w:szCs w:val="21"/>
                          </w:rPr>
                          <w:t>降</w:t>
                        </w:r>
                        <w:r>
                          <w:rPr>
                            <w:rFonts w:hint="eastAsia" w:ascii="Times New Roman" w:hAnsi="Times New Roman" w:cs="Times New Roman"/>
                            <w:sz w:val="21"/>
                            <w:szCs w:val="21"/>
                          </w:rPr>
                          <w:t>解</w:t>
                        </w:r>
                        <w:r>
                          <w:rPr>
                            <w:rFonts w:hint="eastAsia" w:cs="Times New Roman"/>
                            <w:sz w:val="21"/>
                            <w:szCs w:val="21"/>
                            <w:lang w:val="en-US" w:eastAsia="zh-CN"/>
                          </w:rPr>
                          <w:t>2.825</w:t>
                        </w:r>
                      </w:p>
                    </w:txbxContent>
                  </v:textbox>
                </v:shape>
                <v:shape id="_x0000_s1026" o:spid="_x0000_s1026" o:spt="202" type="#_x0000_t202" style="position:absolute;left:4320558;top:636242;height:301620;width:518207;" fillcolor="#FFFFFF" filled="t" stroked="t" coordsize="21600,21600" o:gfxdata="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T6CS2QAAAAoBAAAPAAAAAAAAAAEAIAAAACIAAABkcnMvZG93&#10;bnJldi54bWxQSwECFAAUAAAACACHTuJA78e2c/8BAAD2AwAADgAAAAAAAAABACAAAAAoAQAAZHJz&#10;L2Uyb0RvYy54bWxQSwUGAAAAAAYABgBZAQAAmQUAAAAA&#10;">
                  <v:fill on="t" focussize="0,0"/>
                  <v:stroke color="#000000" joinstyle="miter"/>
                  <v:imagedata o:title=""/>
                  <o:lock v:ext="edit" aspectratio="f"/>
                  <v:textbox>
                    <w:txbxContent>
                      <w:p>
                        <w:pPr>
                          <w:widowControl w:val="0"/>
                          <w:spacing w:line="240" w:lineRule="auto"/>
                          <w:ind w:firstLine="0" w:firstLineChars="0"/>
                          <w:jc w:val="center"/>
                          <w:rPr>
                            <w:rFonts w:ascii="Calibri" w:hAnsi="Calibri" w:cs="Times New Roman"/>
                            <w:sz w:val="21"/>
                            <w:szCs w:val="21"/>
                          </w:rPr>
                        </w:pPr>
                        <w:r>
                          <w:rPr>
                            <w:rFonts w:hint="eastAsia" w:ascii="Calibri" w:hAnsi="Calibri" w:cs="Times New Roman"/>
                            <w:sz w:val="21"/>
                            <w:szCs w:val="21"/>
                          </w:rPr>
                          <w:t>沼液</w:t>
                        </w:r>
                      </w:p>
                    </w:txbxContent>
                  </v:textbox>
                </v:shape>
                <v:shape id="_x0000_s1026" o:spid="_x0000_s1026" o:spt="202" type="#_x0000_t202" style="position:absolute;left:3854451;top:425428;height:311820;width:633708;" filled="f" stroked="f" coordsize="21600,21600" o:gfxdata="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VtlBPXAAAACgEAAA8AAAAAAAAA&#10;AQAgAAAAIgAAAGRycy9kb3ducmV2LnhtbFBLAQIUABQAAAAIAIdO4kAWlaWUoAEAAA4DAAAOAAAA&#10;AAAAAAEAIAAAACYBAABkcnMvZTJvRG9jLnhtbFBLBQYAAAAABgAGAFkBAAA4BQAAAAA=&#10;">
                  <v:fill on="f" focussize="0,0"/>
                  <v:stroke on="f"/>
                  <v:imagedata o:title=""/>
                  <o:lock v:ext="edit" aspectratio="f"/>
                  <v:textbox>
                    <w:txbxContent>
                      <w:p>
                        <w:pPr>
                          <w:widowControl w:val="0"/>
                          <w:spacing w:line="240" w:lineRule="auto"/>
                          <w:ind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1.13</w:t>
                        </w:r>
                      </w:p>
                    </w:txbxContent>
                  </v:textbox>
                </v:shape>
                <v:shape id="_x0000_s1026" o:spid="_x0000_s1026" o:spt="32" type="#_x0000_t32" style="position:absolute;left:3872852;top:774751;height:600;width:448306;" filled="f" stroked="t" coordsize="21600,21600" o:gfxdata="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IVxx9oAAAAKAQAADwAAAAAAAAABACAAAAAiAAAAZHJzL2Rvd25yZXYu&#10;eG1sUEsBAhQAFAAAAAgAh07iQMCOg3D5AQAAsgMAAA4AAAAAAAAAAQAgAAAAKQEAAGRycy9lMm9E&#10;b2MueG1sUEsFBgAAAAAGAAYAWQEAAJQFAAAAAA==&#10;">
                  <v:fill on="f" focussize="0,0"/>
                  <v:stroke color="#000000" joinstyle="round" endarrow="block"/>
                  <v:imagedata o:title=""/>
                  <o:lock v:ext="edit" aspectratio="f"/>
                </v:shape>
                <v:shape id="_x0000_s1026" o:spid="_x0000_s1026" o:spt="32" type="#_x0000_t32" style="position:absolute;left:2661935;top:411427;height:545536;width:600;" filled="f" stroked="t" coordsize="21600,21600" o:gfxdata="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iFccfaAAAACgEAAA8AAAAAAAAAAQAgAAAAIgAAAGRycy9kb3ducmV2&#10;LnhtbFBLAQIUABQAAAAIAIdO4kCMrozy+gEAALIDAAAOAAAAAAAAAAEAIAAAACkBAABkcnMvZTJv&#10;RG9jLnhtbFBLBQYAAAAABgAGAFkBAACVBQAAAAA=&#10;">
                  <v:fill on="f" focussize="0,0"/>
                  <v:stroke color="#000000" joinstyle="round" endarrow="block"/>
                  <v:imagedata o:title=""/>
                  <o:lock v:ext="edit" aspectratio="f"/>
                </v:shape>
                <v:shape id="_x0000_s1026" o:spid="_x0000_s1026" o:spt="202" type="#_x0000_t202" style="position:absolute;left:2278330;top:531435;height:374124;width:998313;" filled="f" stroked="f" coordsize="21600,21600" o:gfxdata="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dW2UE9cAAAAKAQAADwAAAAAAAAAB&#10;ACAAAAAiAAAAZHJzL2Rvd25yZXYueG1sUEsBAhQAFAAAAAgAh07iQEDibEifAQAADgMAAA4AAAAA&#10;AAAAAQAgAAAAJgEAAGRycy9lMm9Eb2MueG1sUEsFBgAAAAAGAAYAWQEAADcFAAAAAA==&#10;">
                  <v:fill on="f" focussize="0,0"/>
                  <v:stroke on="f"/>
                  <v:imagedata o:title=""/>
                  <o:lock v:ext="edit" aspectratio="f"/>
                  <v:textbox>
                    <w:txbxContent>
                      <w:p>
                        <w:pPr>
                          <w:widowControl w:val="0"/>
                          <w:spacing w:line="240" w:lineRule="auto"/>
                          <w:ind w:firstLine="0" w:firstLineChars="0"/>
                          <w:rPr>
                            <w:rFonts w:hint="default" w:ascii="Calibri" w:hAnsi="Calibri" w:eastAsia="宋体" w:cs="Times New Roman"/>
                            <w:sz w:val="21"/>
                            <w:szCs w:val="21"/>
                            <w:lang w:val="en-US" w:eastAsia="zh-CN"/>
                          </w:rPr>
                        </w:pPr>
                        <w:r>
                          <w:rPr>
                            <w:rFonts w:hint="eastAsia" w:ascii="Calibri" w:hAnsi="Calibri" w:cs="Times New Roman"/>
                            <w:sz w:val="21"/>
                            <w:szCs w:val="21"/>
                          </w:rPr>
                          <w:t>沼</w:t>
                        </w:r>
                        <w:r>
                          <w:rPr>
                            <w:rFonts w:hint="eastAsia" w:ascii="Times New Roman" w:hAnsi="Times New Roman" w:cs="Times New Roman"/>
                            <w:sz w:val="21"/>
                            <w:szCs w:val="21"/>
                          </w:rPr>
                          <w:t>渣</w:t>
                        </w:r>
                        <w:r>
                          <w:rPr>
                            <w:rFonts w:hint="eastAsia" w:cs="Times New Roman"/>
                            <w:sz w:val="21"/>
                            <w:szCs w:val="21"/>
                            <w:lang w:val="en-US" w:eastAsia="zh-CN"/>
                          </w:rPr>
                          <w:t>1.695</w:t>
                        </w:r>
                      </w:p>
                    </w:txbxContent>
                  </v:textbox>
                </v:shape>
                <w10:wrap type="square"/>
              </v:group>
            </w:pict>
          </mc:Fallback>
        </mc:AlternateContent>
      </w:r>
    </w:p>
    <w:p>
      <w:pPr>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（二）病死猪尸体</w:t>
      </w:r>
    </w:p>
    <w:p>
      <w:pPr>
        <w:spacing w:line="5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根据《关于病害动物无害化处理有关意见的复函》（环办函[2014]789号）中相关内容：“为防治动物传染病而需要收集和处置的废物”被列入《国家危险废物名录》，但是，根据法律位阶高于部门规章的法律适用原则，病害动物的无害化处理应执行《动物防疫法》，不宜再认定为危险废物集中处置项目。同时根据农业部“关于印发《病死动物无害化处理技术规范》的通知”农医发〔2017〕25号的相关技术要求，故该项目病死猪按一般固废处置。</w:t>
      </w:r>
    </w:p>
    <w:p>
      <w:pPr>
        <w:pStyle w:val="40"/>
        <w:rPr>
          <w:rFonts w:hint="eastAsia" w:cs="Times New Roman"/>
          <w:color w:val="auto"/>
          <w:highlight w:val="none"/>
          <w:lang w:val="en-US" w:eastAsia="zh-CN"/>
        </w:rPr>
      </w:pPr>
      <w:r>
        <w:rPr>
          <w:rFonts w:hint="eastAsia" w:cs="Times New Roman"/>
          <w:color w:val="auto"/>
          <w:highlight w:val="none"/>
          <w:lang w:val="en-US" w:eastAsia="zh-CN"/>
        </w:rPr>
        <w:t>表2.12-11 各种类猪死亡率及平均重量一览表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autofit"/>
        <w:tblCellMar>
          <w:top w:w="0" w:type="dxa"/>
          <w:left w:w="108" w:type="dxa"/>
          <w:bottom w:w="0" w:type="dxa"/>
          <w:right w:w="108" w:type="dxa"/>
        </w:tblCellMar>
      </w:tblPr>
      <w:tblGrid>
        <w:gridCol w:w="1463"/>
        <w:gridCol w:w="1374"/>
        <w:gridCol w:w="1369"/>
        <w:gridCol w:w="1214"/>
        <w:gridCol w:w="1520"/>
        <w:gridCol w:w="15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90" w:hRule="atLeast"/>
          <w:jc w:val="center"/>
        </w:trPr>
        <w:tc>
          <w:tcPr>
            <w:tcW w:w="859" w:type="pct"/>
            <w:tcBorders>
              <w:tl2br w:val="nil"/>
              <w:tr2bl w:val="nil"/>
            </w:tcBorders>
            <w:noWrap w:val="0"/>
            <w:vAlign w:val="center"/>
          </w:tcPr>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种类</w:t>
            </w:r>
          </w:p>
        </w:tc>
        <w:tc>
          <w:tcPr>
            <w:tcW w:w="807" w:type="pct"/>
            <w:tcBorders>
              <w:tl2br w:val="nil"/>
              <w:tr2bl w:val="nil"/>
            </w:tcBorders>
            <w:noWrap w:val="0"/>
            <w:vAlign w:val="center"/>
          </w:tcPr>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存栏量（头）</w:t>
            </w:r>
          </w:p>
        </w:tc>
        <w:tc>
          <w:tcPr>
            <w:tcW w:w="804" w:type="pct"/>
            <w:tcBorders>
              <w:tl2br w:val="nil"/>
              <w:tr2bl w:val="nil"/>
            </w:tcBorders>
            <w:noWrap w:val="0"/>
            <w:vAlign w:val="center"/>
          </w:tcPr>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平均死亡率</w:t>
            </w:r>
          </w:p>
        </w:tc>
        <w:tc>
          <w:tcPr>
            <w:tcW w:w="713" w:type="pct"/>
            <w:tcBorders>
              <w:tl2br w:val="nil"/>
              <w:tr2bl w:val="nil"/>
            </w:tcBorders>
            <w:noWrap w:val="0"/>
            <w:vAlign w:val="center"/>
          </w:tcPr>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平均重量（kg/头）</w:t>
            </w:r>
          </w:p>
        </w:tc>
        <w:tc>
          <w:tcPr>
            <w:tcW w:w="892" w:type="pct"/>
            <w:tcBorders>
              <w:tl2br w:val="nil"/>
              <w:tr2bl w:val="nil"/>
            </w:tcBorders>
            <w:noWrap w:val="0"/>
            <w:vAlign w:val="center"/>
          </w:tcPr>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病死数</w:t>
            </w:r>
          </w:p>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（头/a）</w:t>
            </w:r>
          </w:p>
        </w:tc>
        <w:tc>
          <w:tcPr>
            <w:tcW w:w="923" w:type="pct"/>
            <w:tcBorders>
              <w:tl2br w:val="nil"/>
              <w:tr2bl w:val="nil"/>
            </w:tcBorders>
            <w:noWrap w:val="0"/>
            <w:vAlign w:val="center"/>
          </w:tcPr>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病死猪重量（t/a）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76" w:hRule="atLeast"/>
          <w:jc w:val="center"/>
        </w:trPr>
        <w:tc>
          <w:tcPr>
            <w:tcW w:w="859" w:type="pct"/>
            <w:tcBorders>
              <w:tl2br w:val="nil"/>
              <w:tr2bl w:val="nil"/>
            </w:tcBorders>
            <w:noWrap w:val="0"/>
            <w:vAlign w:val="center"/>
          </w:tcPr>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育肥猪</w:t>
            </w:r>
          </w:p>
        </w:tc>
        <w:tc>
          <w:tcPr>
            <w:tcW w:w="807" w:type="pct"/>
            <w:tcBorders>
              <w:tl2br w:val="nil"/>
              <w:tr2bl w:val="nil"/>
            </w:tcBorders>
            <w:noWrap w:val="0"/>
            <w:vAlign w:val="center"/>
          </w:tcPr>
          <w:p>
            <w:pPr>
              <w:spacing w:line="276" w:lineRule="auto"/>
              <w:ind w:firstLine="0" w:firstLineChars="0"/>
              <w:jc w:val="center"/>
              <w:rPr>
                <w:rFonts w:hint="default"/>
                <w:color w:val="auto"/>
                <w:sz w:val="21"/>
                <w:highlight w:val="none"/>
                <w:lang w:val="en-US" w:eastAsia="zh-CN"/>
              </w:rPr>
            </w:pPr>
            <w:r>
              <w:rPr>
                <w:rFonts w:hint="eastAsia" w:ascii="Times New Roman" w:eastAsia="宋体"/>
                <w:color w:val="auto"/>
                <w:sz w:val="21"/>
                <w:szCs w:val="21"/>
                <w:highlight w:val="none"/>
                <w:lang w:val="en-US" w:eastAsia="zh-CN"/>
              </w:rPr>
              <w:t>4</w:t>
            </w:r>
            <w:r>
              <w:rPr>
                <w:rFonts w:hint="eastAsia"/>
                <w:color w:val="auto"/>
                <w:sz w:val="21"/>
                <w:szCs w:val="21"/>
                <w:highlight w:val="none"/>
                <w:lang w:val="en-US" w:eastAsia="zh-CN"/>
              </w:rPr>
              <w:t>8</w:t>
            </w:r>
            <w:r>
              <w:rPr>
                <w:rFonts w:hint="eastAsia" w:ascii="Times New Roman" w:eastAsia="宋体"/>
                <w:color w:val="auto"/>
                <w:sz w:val="21"/>
                <w:szCs w:val="21"/>
                <w:highlight w:val="none"/>
                <w:lang w:val="en-US" w:eastAsia="zh-CN"/>
              </w:rPr>
              <w:t>592</w:t>
            </w:r>
          </w:p>
        </w:tc>
        <w:tc>
          <w:tcPr>
            <w:tcW w:w="804" w:type="pct"/>
            <w:tcBorders>
              <w:tl2br w:val="nil"/>
              <w:tr2bl w:val="nil"/>
            </w:tcBorders>
            <w:noWrap w:val="0"/>
            <w:vAlign w:val="center"/>
          </w:tcPr>
          <w:p>
            <w:pPr>
              <w:spacing w:line="276" w:lineRule="auto"/>
              <w:ind w:firstLine="0" w:firstLineChars="0"/>
              <w:jc w:val="center"/>
              <w:rPr>
                <w:rFonts w:hint="default"/>
                <w:color w:val="auto"/>
                <w:sz w:val="21"/>
                <w:highlight w:val="none"/>
                <w:lang w:val="en-US" w:eastAsia="zh-CN"/>
              </w:rPr>
            </w:pPr>
            <w:r>
              <w:rPr>
                <w:rFonts w:hint="default"/>
                <w:color w:val="auto"/>
                <w:sz w:val="21"/>
                <w:highlight w:val="none"/>
                <w:lang w:eastAsia="zh-CN"/>
              </w:rPr>
              <w:t>1%</w:t>
            </w:r>
          </w:p>
        </w:tc>
        <w:tc>
          <w:tcPr>
            <w:tcW w:w="713" w:type="pct"/>
            <w:tcBorders>
              <w:tl2br w:val="nil"/>
              <w:tr2bl w:val="nil"/>
            </w:tcBorders>
            <w:noWrap w:val="0"/>
            <w:vAlign w:val="center"/>
          </w:tcPr>
          <w:p>
            <w:pPr>
              <w:spacing w:line="276"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40</w:t>
            </w:r>
          </w:p>
        </w:tc>
        <w:tc>
          <w:tcPr>
            <w:tcW w:w="892" w:type="pct"/>
            <w:tcBorders>
              <w:tl2br w:val="nil"/>
              <w:tr2bl w:val="nil"/>
            </w:tcBorders>
            <w:noWrap w:val="0"/>
            <w:vAlign w:val="center"/>
          </w:tcPr>
          <w:p>
            <w:pPr>
              <w:spacing w:line="276"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486</w:t>
            </w:r>
          </w:p>
        </w:tc>
        <w:tc>
          <w:tcPr>
            <w:tcW w:w="923" w:type="pct"/>
            <w:tcBorders>
              <w:tl2br w:val="nil"/>
              <w:tr2bl w:val="nil"/>
            </w:tcBorders>
            <w:noWrap w:val="0"/>
            <w:vAlign w:val="center"/>
          </w:tcPr>
          <w:p>
            <w:pPr>
              <w:spacing w:line="276"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19.4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76" w:hRule="atLeast"/>
          <w:jc w:val="center"/>
        </w:trPr>
        <w:tc>
          <w:tcPr>
            <w:tcW w:w="859" w:type="pct"/>
            <w:tcBorders>
              <w:tl2br w:val="nil"/>
              <w:tr2bl w:val="nil"/>
            </w:tcBorders>
            <w:noWrap w:val="0"/>
            <w:vAlign w:val="center"/>
          </w:tcPr>
          <w:p>
            <w:pPr>
              <w:spacing w:line="276" w:lineRule="auto"/>
              <w:ind w:firstLine="0" w:firstLineChars="0"/>
              <w:jc w:val="center"/>
              <w:rPr>
                <w:rFonts w:hint="default"/>
                <w:color w:val="auto"/>
                <w:sz w:val="21"/>
                <w:highlight w:val="none"/>
                <w:lang w:eastAsia="zh-CN"/>
              </w:rPr>
            </w:pPr>
            <w:r>
              <w:rPr>
                <w:rFonts w:hint="eastAsia"/>
                <w:color w:val="auto"/>
                <w:sz w:val="21"/>
                <w:highlight w:val="none"/>
                <w:lang w:eastAsia="zh-CN"/>
              </w:rPr>
              <w:t>保育猪</w:t>
            </w:r>
          </w:p>
        </w:tc>
        <w:tc>
          <w:tcPr>
            <w:tcW w:w="807" w:type="pct"/>
            <w:tcBorders>
              <w:tl2br w:val="nil"/>
              <w:tr2bl w:val="nil"/>
            </w:tcBorders>
            <w:noWrap w:val="0"/>
            <w:vAlign w:val="center"/>
          </w:tcPr>
          <w:p>
            <w:pPr>
              <w:spacing w:line="276" w:lineRule="auto"/>
              <w:ind w:firstLine="0" w:firstLineChars="0"/>
              <w:jc w:val="center"/>
              <w:rPr>
                <w:rFonts w:hint="eastAsia"/>
                <w:color w:val="auto"/>
                <w:sz w:val="21"/>
                <w:highlight w:val="none"/>
                <w:lang w:val="en-US" w:eastAsia="zh-CN"/>
              </w:rPr>
            </w:pPr>
            <w:r>
              <w:rPr>
                <w:rFonts w:hint="eastAsia" w:ascii="Times New Roman" w:eastAsia="宋体"/>
                <w:color w:val="auto"/>
                <w:sz w:val="21"/>
                <w:szCs w:val="21"/>
                <w:highlight w:val="none"/>
                <w:lang w:val="en-US" w:eastAsia="zh-CN"/>
              </w:rPr>
              <w:t>2</w:t>
            </w:r>
            <w:r>
              <w:rPr>
                <w:rFonts w:hint="eastAsia"/>
                <w:color w:val="auto"/>
                <w:sz w:val="21"/>
                <w:szCs w:val="21"/>
                <w:highlight w:val="none"/>
                <w:lang w:val="en-US" w:eastAsia="zh-CN"/>
              </w:rPr>
              <w:t>0</w:t>
            </w:r>
            <w:r>
              <w:rPr>
                <w:rFonts w:hint="eastAsia" w:ascii="Times New Roman" w:eastAsia="宋体"/>
                <w:color w:val="auto"/>
                <w:sz w:val="21"/>
                <w:szCs w:val="21"/>
                <w:highlight w:val="none"/>
                <w:lang w:val="en-US" w:eastAsia="zh-CN"/>
              </w:rPr>
              <w:t>208</w:t>
            </w:r>
          </w:p>
        </w:tc>
        <w:tc>
          <w:tcPr>
            <w:tcW w:w="804" w:type="pct"/>
            <w:tcBorders>
              <w:tl2br w:val="nil"/>
              <w:tr2bl w:val="nil"/>
            </w:tcBorders>
            <w:noWrap w:val="0"/>
            <w:vAlign w:val="center"/>
          </w:tcPr>
          <w:p>
            <w:pPr>
              <w:spacing w:line="276"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2%</w:t>
            </w:r>
          </w:p>
        </w:tc>
        <w:tc>
          <w:tcPr>
            <w:tcW w:w="713" w:type="pct"/>
            <w:tcBorders>
              <w:tl2br w:val="nil"/>
              <w:tr2bl w:val="nil"/>
            </w:tcBorders>
            <w:noWrap w:val="0"/>
            <w:vAlign w:val="center"/>
          </w:tcPr>
          <w:p>
            <w:pPr>
              <w:spacing w:line="276"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10</w:t>
            </w:r>
          </w:p>
        </w:tc>
        <w:tc>
          <w:tcPr>
            <w:tcW w:w="892" w:type="pct"/>
            <w:tcBorders>
              <w:tl2br w:val="nil"/>
              <w:tr2bl w:val="nil"/>
            </w:tcBorders>
            <w:noWrap w:val="0"/>
            <w:vAlign w:val="center"/>
          </w:tcPr>
          <w:p>
            <w:pPr>
              <w:spacing w:line="276"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404</w:t>
            </w:r>
          </w:p>
        </w:tc>
        <w:tc>
          <w:tcPr>
            <w:tcW w:w="923" w:type="pct"/>
            <w:tcBorders>
              <w:tl2br w:val="nil"/>
              <w:tr2bl w:val="nil"/>
            </w:tcBorders>
            <w:noWrap w:val="0"/>
            <w:vAlign w:val="center"/>
          </w:tcPr>
          <w:p>
            <w:pPr>
              <w:spacing w:line="276"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403" w:hRule="atLeast"/>
          <w:jc w:val="center"/>
        </w:trPr>
        <w:tc>
          <w:tcPr>
            <w:tcW w:w="859" w:type="pct"/>
            <w:tcBorders>
              <w:tl2br w:val="nil"/>
              <w:tr2bl w:val="nil"/>
            </w:tcBorders>
            <w:noWrap w:val="0"/>
            <w:vAlign w:val="center"/>
          </w:tcPr>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合计</w:t>
            </w:r>
          </w:p>
        </w:tc>
        <w:tc>
          <w:tcPr>
            <w:tcW w:w="807" w:type="pct"/>
            <w:tcBorders>
              <w:tl2br w:val="nil"/>
              <w:tr2bl w:val="nil"/>
            </w:tcBorders>
            <w:noWrap w:val="0"/>
            <w:vAlign w:val="center"/>
          </w:tcPr>
          <w:p>
            <w:pPr>
              <w:spacing w:line="276"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68800</w:t>
            </w:r>
          </w:p>
        </w:tc>
        <w:tc>
          <w:tcPr>
            <w:tcW w:w="804" w:type="pct"/>
            <w:tcBorders>
              <w:tl2br w:val="nil"/>
              <w:tr2bl w:val="nil"/>
            </w:tcBorders>
            <w:noWrap w:val="0"/>
            <w:vAlign w:val="center"/>
          </w:tcPr>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w:t>
            </w:r>
          </w:p>
        </w:tc>
        <w:tc>
          <w:tcPr>
            <w:tcW w:w="713" w:type="pct"/>
            <w:tcBorders>
              <w:tl2br w:val="nil"/>
              <w:tr2bl w:val="nil"/>
            </w:tcBorders>
            <w:noWrap w:val="0"/>
            <w:vAlign w:val="center"/>
          </w:tcPr>
          <w:p>
            <w:pPr>
              <w:spacing w:line="276" w:lineRule="auto"/>
              <w:ind w:firstLine="0" w:firstLineChars="0"/>
              <w:jc w:val="center"/>
              <w:rPr>
                <w:rFonts w:hint="default"/>
                <w:color w:val="auto"/>
                <w:sz w:val="21"/>
                <w:highlight w:val="none"/>
                <w:lang w:eastAsia="zh-CN"/>
              </w:rPr>
            </w:pPr>
            <w:r>
              <w:rPr>
                <w:rFonts w:hint="default"/>
                <w:color w:val="auto"/>
                <w:sz w:val="21"/>
                <w:highlight w:val="none"/>
                <w:lang w:eastAsia="zh-CN"/>
              </w:rPr>
              <w:t>/</w:t>
            </w:r>
          </w:p>
        </w:tc>
        <w:tc>
          <w:tcPr>
            <w:tcW w:w="892" w:type="pct"/>
            <w:tcBorders>
              <w:tl2br w:val="nil"/>
              <w:tr2bl w:val="nil"/>
            </w:tcBorders>
            <w:noWrap w:val="0"/>
            <w:vAlign w:val="center"/>
          </w:tcPr>
          <w:p>
            <w:pPr>
              <w:spacing w:line="276"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890</w:t>
            </w:r>
          </w:p>
        </w:tc>
        <w:tc>
          <w:tcPr>
            <w:tcW w:w="923" w:type="pct"/>
            <w:tcBorders>
              <w:tl2br w:val="nil"/>
              <w:tr2bl w:val="nil"/>
            </w:tcBorders>
            <w:noWrap w:val="0"/>
            <w:vAlign w:val="center"/>
          </w:tcPr>
          <w:p>
            <w:pPr>
              <w:spacing w:line="276" w:lineRule="auto"/>
              <w:ind w:firstLine="0" w:firstLineChars="0"/>
              <w:jc w:val="center"/>
              <w:rPr>
                <w:rFonts w:hint="default"/>
                <w:color w:val="auto"/>
                <w:sz w:val="21"/>
                <w:highlight w:val="none"/>
                <w:lang w:val="en-US" w:eastAsia="zh-CN"/>
              </w:rPr>
            </w:pPr>
            <w:r>
              <w:rPr>
                <w:rFonts w:hint="eastAsia"/>
                <w:color w:val="auto"/>
                <w:sz w:val="21"/>
                <w:highlight w:val="none"/>
                <w:lang w:val="en-US" w:eastAsia="zh-CN"/>
              </w:rPr>
              <w:t>23.5</w:t>
            </w:r>
          </w:p>
        </w:tc>
      </w:tr>
    </w:tbl>
    <w:p>
      <w:pPr>
        <w:keepNext w:val="0"/>
        <w:keepLines w:val="0"/>
        <w:pageBreakBefore w:val="0"/>
        <w:widowControl/>
        <w:kinsoku/>
        <w:wordWrap/>
        <w:overflowPunct/>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由</w:t>
      </w:r>
      <w:r>
        <w:rPr>
          <w:rFonts w:hint="eastAsia" w:ascii="Times New Roman" w:hAnsi="Times New Roman"/>
          <w:color w:val="auto"/>
          <w:sz w:val="24"/>
          <w:szCs w:val="24"/>
          <w:highlight w:val="none"/>
          <w:lang w:val="en-US" w:eastAsia="zh-CN"/>
        </w:rPr>
        <w:t>上</w:t>
      </w:r>
      <w:r>
        <w:rPr>
          <w:rFonts w:ascii="Times New Roman" w:hAnsi="Times New Roman"/>
          <w:color w:val="auto"/>
          <w:sz w:val="24"/>
          <w:szCs w:val="24"/>
          <w:highlight w:val="none"/>
        </w:rPr>
        <w:t>表可知，</w:t>
      </w:r>
      <w:r>
        <w:rPr>
          <w:rFonts w:hint="eastAsia" w:ascii="Times New Roman" w:hAnsi="Times New Roman"/>
          <w:color w:val="auto"/>
          <w:sz w:val="24"/>
          <w:szCs w:val="24"/>
          <w:highlight w:val="none"/>
          <w:lang w:val="en-US" w:eastAsia="zh-CN"/>
        </w:rPr>
        <w:t>项目</w:t>
      </w:r>
      <w:r>
        <w:rPr>
          <w:rFonts w:ascii="Times New Roman" w:hAnsi="Times New Roman"/>
          <w:color w:val="auto"/>
          <w:sz w:val="24"/>
          <w:szCs w:val="24"/>
          <w:highlight w:val="none"/>
        </w:rPr>
        <w:t>病死猪产生量为</w:t>
      </w:r>
      <w:r>
        <w:rPr>
          <w:rFonts w:hint="eastAsia"/>
          <w:color w:val="auto"/>
          <w:sz w:val="24"/>
          <w:szCs w:val="24"/>
          <w:highlight w:val="none"/>
          <w:lang w:val="en-US" w:eastAsia="zh-CN"/>
        </w:rPr>
        <w:t>23.5</w:t>
      </w:r>
      <w:r>
        <w:rPr>
          <w:rFonts w:ascii="Times New Roman" w:hAnsi="Times New Roman"/>
          <w:color w:val="auto"/>
          <w:sz w:val="24"/>
          <w:szCs w:val="24"/>
          <w:highlight w:val="none"/>
        </w:rPr>
        <w:t>t/a</w:t>
      </w:r>
      <w:r>
        <w:rPr>
          <w:rFonts w:ascii="Times New Roman" w:hAnsi="Times New Roman"/>
          <w:color w:val="auto"/>
          <w:sz w:val="21"/>
          <w:szCs w:val="21"/>
          <w:highlight w:val="none"/>
        </w:rPr>
        <w:t>，</w:t>
      </w:r>
      <w:r>
        <w:rPr>
          <w:rFonts w:ascii="Times New Roman" w:hAnsi="Times New Roman"/>
          <w:color w:val="auto"/>
          <w:sz w:val="24"/>
          <w:szCs w:val="24"/>
          <w:highlight w:val="none"/>
        </w:rPr>
        <w:t>根据企业提供的资料，产生的病死猪</w:t>
      </w:r>
      <w:r>
        <w:rPr>
          <w:rFonts w:hint="eastAsia" w:ascii="Times New Roman" w:hAnsi="Times New Roman"/>
          <w:color w:val="auto"/>
          <w:sz w:val="24"/>
          <w:szCs w:val="24"/>
          <w:highlight w:val="none"/>
        </w:rPr>
        <w:t>运送到场区内自建</w:t>
      </w:r>
      <w:r>
        <w:rPr>
          <w:rFonts w:hint="eastAsia"/>
          <w:color w:val="auto"/>
          <w:sz w:val="24"/>
          <w:szCs w:val="24"/>
          <w:highlight w:val="none"/>
          <w:lang w:eastAsia="zh-CN"/>
        </w:rPr>
        <w:t>无害化处理车间</w:t>
      </w:r>
      <w:r>
        <w:rPr>
          <w:rFonts w:hint="eastAsia" w:ascii="Times New Roman" w:hAnsi="Times New Roman"/>
          <w:color w:val="auto"/>
          <w:sz w:val="24"/>
          <w:szCs w:val="24"/>
          <w:highlight w:val="none"/>
        </w:rPr>
        <w:t>处理</w:t>
      </w:r>
      <w:r>
        <w:rPr>
          <w:rFonts w:ascii="Times New Roman" w:hAnsi="Times New Roman"/>
          <w:bCs/>
          <w:color w:val="auto"/>
          <w:sz w:val="24"/>
          <w:szCs w:val="24"/>
          <w:highlight w:val="none"/>
        </w:rPr>
        <w:t>。</w:t>
      </w:r>
    </w:p>
    <w:p>
      <w:pPr>
        <w:keepNext w:val="0"/>
        <w:keepLines w:val="0"/>
        <w:pageBreakBefore w:val="0"/>
        <w:widowControl/>
        <w:tabs>
          <w:tab w:val="right" w:leader="dot" w:pos="8647"/>
        </w:tabs>
        <w:kinsoku/>
        <w:wordWrap/>
        <w:overflowPunct/>
        <w:topLinePunct/>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bCs/>
          <w:color w:val="auto"/>
          <w:sz w:val="24"/>
          <w:highlight w:val="none"/>
        </w:rPr>
        <w:t>（三）</w:t>
      </w:r>
      <w:r>
        <w:rPr>
          <w:rFonts w:ascii="Times New Roman" w:hAnsi="Times New Roman"/>
          <w:color w:val="auto"/>
          <w:sz w:val="24"/>
          <w:szCs w:val="24"/>
          <w:highlight w:val="none"/>
        </w:rPr>
        <w:t>疾病防疫产生的医疗废物</w:t>
      </w:r>
    </w:p>
    <w:p>
      <w:pPr>
        <w:keepNext w:val="0"/>
        <w:keepLines w:val="0"/>
        <w:pageBreakBefore w:val="0"/>
        <w:widowControl/>
        <w:kinsoku/>
        <w:wordWrap/>
        <w:overflowPunct/>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highlight w:val="none"/>
          <w:lang w:val="en-US" w:eastAsia="zh-CN"/>
        </w:rPr>
      </w:pPr>
      <w:r>
        <w:rPr>
          <w:rFonts w:ascii="Times New Roman" w:hAnsi="Times New Roman"/>
          <w:color w:val="auto"/>
          <w:sz w:val="24"/>
          <w:szCs w:val="24"/>
          <w:highlight w:val="none"/>
        </w:rPr>
        <w:t>生猪在生长过程接种免疫或发病期接受治疗产生的少量医疗废物，每头猪防疫产生医疗废物量约为0.005kg/a，全场产生量约为</w:t>
      </w:r>
      <w:r>
        <w:rPr>
          <w:rFonts w:hint="eastAsia"/>
          <w:color w:val="auto"/>
          <w:sz w:val="24"/>
          <w:szCs w:val="24"/>
          <w:highlight w:val="none"/>
          <w:lang w:val="en-US" w:eastAsia="zh-CN"/>
        </w:rPr>
        <w:t>0.344</w:t>
      </w:r>
      <w:r>
        <w:rPr>
          <w:rFonts w:ascii="Times New Roman" w:hAnsi="Times New Roman"/>
          <w:color w:val="auto"/>
          <w:sz w:val="24"/>
          <w:szCs w:val="24"/>
          <w:highlight w:val="none"/>
        </w:rPr>
        <w:t>t/a，暂存于</w:t>
      </w:r>
      <w:r>
        <w:rPr>
          <w:rFonts w:hint="eastAsia"/>
          <w:color w:val="auto"/>
          <w:sz w:val="24"/>
          <w:szCs w:val="24"/>
          <w:highlight w:val="none"/>
          <w:lang w:eastAsia="zh-CN"/>
        </w:rPr>
        <w:t>医</w:t>
      </w:r>
      <w:r>
        <w:rPr>
          <w:rFonts w:ascii="Times New Roman" w:hAnsi="Times New Roman"/>
          <w:color w:val="auto"/>
          <w:sz w:val="24"/>
          <w:szCs w:val="24"/>
          <w:highlight w:val="none"/>
        </w:rPr>
        <w:t>废暂存间，定期交新蔡县中绿环保科技有限公司处置</w:t>
      </w:r>
      <w:r>
        <w:rPr>
          <w:rFonts w:hint="eastAsia" w:ascii="Times New Roman" w:hAnsi="Times New Roman"/>
          <w:color w:val="auto"/>
          <w:sz w:val="24"/>
          <w:szCs w:val="24"/>
          <w:highlight w:val="none"/>
          <w:lang w:eastAsia="zh-CN"/>
        </w:rPr>
        <w:t>。</w:t>
      </w:r>
    </w:p>
    <w:p>
      <w:pPr>
        <w:keepNext w:val="0"/>
        <w:keepLines w:val="0"/>
        <w:pageBreakBefore w:val="0"/>
        <w:widowControl/>
        <w:kinsoku/>
        <w:wordWrap/>
        <w:overflowPunct/>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w:t>
      </w:r>
      <w:r>
        <w:rPr>
          <w:rFonts w:hint="eastAsia"/>
          <w:color w:val="auto"/>
          <w:sz w:val="24"/>
          <w:szCs w:val="24"/>
          <w:highlight w:val="none"/>
          <w:lang w:eastAsia="zh-CN"/>
        </w:rPr>
        <w:t>四</w:t>
      </w:r>
      <w:r>
        <w:rPr>
          <w:rFonts w:ascii="Times New Roman" w:hAnsi="Times New Roman"/>
          <w:color w:val="auto"/>
          <w:sz w:val="24"/>
          <w:szCs w:val="24"/>
          <w:highlight w:val="none"/>
        </w:rPr>
        <w:t>）废脱硫剂</w:t>
      </w:r>
    </w:p>
    <w:p>
      <w:pPr>
        <w:keepNext w:val="0"/>
        <w:keepLines w:val="0"/>
        <w:pageBreakBefore w:val="0"/>
        <w:widowControl/>
        <w:kinsoku/>
        <w:wordWrap/>
        <w:overflowPunct/>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项目采用干法对沼气中硫化氢进行去除，沼气通过氧化铁等构成的填料层，使硫化氢氧化成单质硫或硫氧化物。根据《沼气常温氧化铁脱硫催化剂的研制》（武汉工程大学学报2010.07）可知：常温下，理论上每100g活性氧化铁一次可吸收脱除57.5g硫化氢气体。根据牧原食品股份有限公司提供沼气脱硫装置情况，项目所使用脱硫剂氧化铁含量为30%，废脱硫剂半年再生一次，脱硫剂一年更换一次，更换废脱硫剂产生量约为</w:t>
      </w:r>
      <w:r>
        <w:rPr>
          <w:rFonts w:hint="eastAsia"/>
          <w:color w:val="auto"/>
          <w:sz w:val="24"/>
          <w:szCs w:val="24"/>
          <w:highlight w:val="none"/>
          <w:lang w:val="en-US" w:eastAsia="zh-CN"/>
        </w:rPr>
        <w:t>2.6</w:t>
      </w:r>
      <w:r>
        <w:rPr>
          <w:rFonts w:ascii="Times New Roman" w:hAnsi="Times New Roman"/>
          <w:color w:val="auto"/>
          <w:sz w:val="24"/>
          <w:szCs w:val="24"/>
          <w:highlight w:val="none"/>
        </w:rPr>
        <w:t>t/a。沼气脱硫装置中失去活性的废脱硫剂（主要成分为废活性炭和氧化铁）由生产厂家统一回收处置。</w:t>
      </w:r>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w:t>
      </w:r>
      <w:r>
        <w:rPr>
          <w:rFonts w:hint="eastAsia"/>
          <w:color w:val="auto"/>
          <w:sz w:val="24"/>
          <w:szCs w:val="24"/>
          <w:highlight w:val="none"/>
          <w:lang w:eastAsia="zh-CN"/>
        </w:rPr>
        <w:t>五</w:t>
      </w:r>
      <w:r>
        <w:rPr>
          <w:rFonts w:ascii="Times New Roman" w:hAnsi="Times New Roman"/>
          <w:color w:val="auto"/>
          <w:sz w:val="24"/>
          <w:szCs w:val="24"/>
          <w:highlight w:val="none"/>
        </w:rPr>
        <w:t>）生活垃圾</w:t>
      </w:r>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生活垃圾产生系数按0.5kg/d</w:t>
      </w:r>
      <w:r>
        <w:rPr>
          <w:rFonts w:hint="eastAsia" w:ascii="宋体" w:hAnsi="宋体" w:eastAsia="宋体" w:cs="宋体"/>
          <w:color w:val="auto"/>
          <w:sz w:val="24"/>
          <w:szCs w:val="24"/>
          <w:highlight w:val="none"/>
        </w:rPr>
        <w:t>·</w:t>
      </w:r>
      <w:r>
        <w:rPr>
          <w:rFonts w:ascii="Times New Roman" w:hAnsi="Times New Roman"/>
          <w:color w:val="auto"/>
          <w:sz w:val="24"/>
          <w:szCs w:val="24"/>
          <w:highlight w:val="none"/>
        </w:rPr>
        <w:t>人计，</w:t>
      </w:r>
      <w:r>
        <w:rPr>
          <w:rFonts w:hint="eastAsia" w:ascii="Times New Roman" w:hAnsi="Times New Roman"/>
          <w:color w:val="auto"/>
          <w:sz w:val="24"/>
          <w:szCs w:val="24"/>
          <w:highlight w:val="none"/>
          <w:lang w:val="en-US" w:eastAsia="zh-CN"/>
        </w:rPr>
        <w:t>项目劳动定员</w:t>
      </w:r>
      <w:r>
        <w:rPr>
          <w:rFonts w:hint="eastAsia"/>
          <w:color w:val="auto"/>
          <w:sz w:val="24"/>
          <w:szCs w:val="24"/>
          <w:highlight w:val="none"/>
          <w:lang w:val="en-US" w:eastAsia="zh-CN"/>
        </w:rPr>
        <w:t>96</w:t>
      </w:r>
      <w:r>
        <w:rPr>
          <w:rFonts w:hint="eastAsia" w:ascii="Times New Roman" w:hAnsi="Times New Roman"/>
          <w:color w:val="auto"/>
          <w:sz w:val="24"/>
          <w:szCs w:val="24"/>
          <w:highlight w:val="none"/>
          <w:lang w:val="en-US" w:eastAsia="zh-CN"/>
        </w:rPr>
        <w:t>人，</w:t>
      </w:r>
      <w:r>
        <w:rPr>
          <w:rFonts w:ascii="Times New Roman" w:hAnsi="Times New Roman"/>
          <w:color w:val="auto"/>
          <w:sz w:val="24"/>
          <w:szCs w:val="24"/>
          <w:highlight w:val="none"/>
        </w:rPr>
        <w:t>则场区职工生活垃圾产生量为</w:t>
      </w:r>
      <w:r>
        <w:rPr>
          <w:rFonts w:hint="eastAsia"/>
          <w:color w:val="auto"/>
          <w:sz w:val="24"/>
          <w:szCs w:val="24"/>
          <w:highlight w:val="none"/>
          <w:lang w:val="en-US" w:eastAsia="zh-CN"/>
        </w:rPr>
        <w:t>17.52</w:t>
      </w:r>
      <w:r>
        <w:rPr>
          <w:rFonts w:ascii="Times New Roman" w:hAnsi="Times New Roman"/>
          <w:color w:val="auto"/>
          <w:sz w:val="24"/>
          <w:szCs w:val="24"/>
          <w:highlight w:val="none"/>
        </w:rPr>
        <w:t>t/a。生活垃圾由环卫部门定期收集后运往垃圾填埋场。</w:t>
      </w:r>
    </w:p>
    <w:p>
      <w:pPr>
        <w:pStyle w:val="23"/>
        <w:numPr>
          <w:ilvl w:val="0"/>
          <w:numId w:val="14"/>
        </w:numPr>
        <w:rPr>
          <w:rFonts w:hint="eastAsia"/>
          <w:color w:val="auto"/>
          <w:sz w:val="24"/>
          <w:szCs w:val="24"/>
          <w:highlight w:val="none"/>
          <w:lang w:eastAsia="zh-CN"/>
        </w:rPr>
      </w:pPr>
      <w:r>
        <w:rPr>
          <w:rFonts w:hint="eastAsia"/>
          <w:color w:val="auto"/>
          <w:sz w:val="24"/>
          <w:szCs w:val="24"/>
          <w:highlight w:val="none"/>
          <w:lang w:eastAsia="zh-CN"/>
        </w:rPr>
        <w:t>废导热油</w:t>
      </w:r>
    </w:p>
    <w:p>
      <w:pPr>
        <w:rPr>
          <w:rFonts w:hint="eastAsia"/>
          <w:color w:val="auto"/>
          <w:highlight w:val="none"/>
          <w:lang w:eastAsia="zh-CN"/>
        </w:rPr>
      </w:pPr>
      <w:r>
        <w:rPr>
          <w:rFonts w:hint="eastAsia"/>
          <w:color w:val="auto"/>
          <w:highlight w:val="none"/>
          <w:lang w:eastAsia="zh-CN"/>
        </w:rPr>
        <w:t>项目生长区病死猪无害化高温化制机运行过程中需要以导热油为介质进行加热。导热油使用一段时间后其中杂质增多，由于多次循环使用其导热性能也逐渐降低，故需要更换，更换周期为两年，根据设备厂家提供的资料，每次更换量为0.3t。废导热油按危险废物管理，属于HW08类危险废物，废物代码为900-249-08，于危险废物暂存间暂存，定期交有相应危废类别处理资质的单位安全处置，不外排。</w:t>
      </w:r>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项目固体废物产排情况及处置措施见表</w:t>
      </w:r>
      <w:r>
        <w:rPr>
          <w:rFonts w:hint="eastAsia"/>
          <w:color w:val="auto"/>
          <w:sz w:val="24"/>
          <w:szCs w:val="24"/>
          <w:highlight w:val="none"/>
          <w:lang w:val="en-US" w:eastAsia="zh-CN"/>
        </w:rPr>
        <w:t>2.12</w:t>
      </w:r>
      <w:r>
        <w:rPr>
          <w:rFonts w:ascii="Times New Roman" w:hAnsi="Times New Roman"/>
          <w:color w:val="auto"/>
          <w:sz w:val="24"/>
          <w:szCs w:val="24"/>
          <w:highlight w:val="none"/>
        </w:rPr>
        <w:t>-</w:t>
      </w:r>
      <w:r>
        <w:rPr>
          <w:rFonts w:hint="eastAsia"/>
          <w:color w:val="auto"/>
          <w:sz w:val="24"/>
          <w:szCs w:val="24"/>
          <w:highlight w:val="none"/>
          <w:lang w:val="en-US" w:eastAsia="zh-CN"/>
        </w:rPr>
        <w:t>12</w:t>
      </w:r>
      <w:r>
        <w:rPr>
          <w:rFonts w:ascii="Times New Roman" w:hAnsi="Times New Roman"/>
          <w:color w:val="auto"/>
          <w:sz w:val="24"/>
          <w:szCs w:val="24"/>
          <w:highlight w:val="none"/>
        </w:rPr>
        <w:t>。</w:t>
      </w:r>
    </w:p>
    <w:p>
      <w:pPr>
        <w:pStyle w:val="40"/>
        <w:rPr>
          <w:rFonts w:hint="eastAsia" w:cs="Times New Roman"/>
          <w:color w:val="auto"/>
          <w:highlight w:val="none"/>
          <w:lang w:val="en-US" w:eastAsia="zh-CN"/>
        </w:rPr>
      </w:pPr>
      <w:r>
        <w:rPr>
          <w:rFonts w:hint="eastAsia" w:cs="Times New Roman"/>
          <w:color w:val="auto"/>
          <w:highlight w:val="none"/>
          <w:lang w:val="en-US" w:eastAsia="zh-CN"/>
        </w:rPr>
        <w:t>表2.12-12 运营期固体废物分析结果汇总表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830"/>
        <w:gridCol w:w="450"/>
        <w:gridCol w:w="450"/>
        <w:gridCol w:w="450"/>
        <w:gridCol w:w="1057"/>
        <w:gridCol w:w="555"/>
        <w:gridCol w:w="776"/>
        <w:gridCol w:w="1197"/>
        <w:gridCol w:w="939"/>
        <w:gridCol w:w="13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序号</w:t>
            </w:r>
          </w:p>
        </w:tc>
        <w:tc>
          <w:tcPr>
            <w:tcW w:w="487"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名称</w:t>
            </w:r>
          </w:p>
        </w:tc>
        <w:tc>
          <w:tcPr>
            <w:tcW w:w="264"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属性</w:t>
            </w:r>
          </w:p>
        </w:tc>
        <w:tc>
          <w:tcPr>
            <w:tcW w:w="264"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产生工序</w:t>
            </w:r>
          </w:p>
        </w:tc>
        <w:tc>
          <w:tcPr>
            <w:tcW w:w="264"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形态</w:t>
            </w:r>
          </w:p>
        </w:tc>
        <w:tc>
          <w:tcPr>
            <w:tcW w:w="620"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危险特性鉴别方法</w:t>
            </w:r>
          </w:p>
        </w:tc>
        <w:tc>
          <w:tcPr>
            <w:tcW w:w="325"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危险特性</w:t>
            </w:r>
          </w:p>
        </w:tc>
        <w:tc>
          <w:tcPr>
            <w:tcW w:w="455"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废物类别</w:t>
            </w:r>
          </w:p>
        </w:tc>
        <w:tc>
          <w:tcPr>
            <w:tcW w:w="702"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废物代码</w:t>
            </w:r>
          </w:p>
        </w:tc>
        <w:tc>
          <w:tcPr>
            <w:tcW w:w="551"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产生量（t/a）</w:t>
            </w:r>
          </w:p>
        </w:tc>
        <w:tc>
          <w:tcPr>
            <w:tcW w:w="813"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处理（处置）措施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1</w:t>
            </w:r>
          </w:p>
        </w:tc>
        <w:tc>
          <w:tcPr>
            <w:tcW w:w="487" w:type="pct"/>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猪粪</w:t>
            </w:r>
          </w:p>
        </w:tc>
        <w:tc>
          <w:tcPr>
            <w:tcW w:w="264" w:type="pct"/>
            <w:vMerge w:val="restar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一般固废</w:t>
            </w:r>
          </w:p>
        </w:tc>
        <w:tc>
          <w:tcPr>
            <w:tcW w:w="264" w:type="pct"/>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养殖</w:t>
            </w:r>
          </w:p>
        </w:tc>
        <w:tc>
          <w:tcPr>
            <w:tcW w:w="264"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固态</w:t>
            </w:r>
          </w:p>
        </w:tc>
        <w:tc>
          <w:tcPr>
            <w:tcW w:w="620" w:type="pct"/>
            <w:vMerge w:val="restar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《国家 危险废 物名录》</w:t>
            </w:r>
          </w:p>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（2016）</w:t>
            </w:r>
          </w:p>
        </w:tc>
        <w:tc>
          <w:tcPr>
            <w:tcW w:w="325"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w:t>
            </w:r>
          </w:p>
        </w:tc>
        <w:tc>
          <w:tcPr>
            <w:tcW w:w="455"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w:t>
            </w:r>
          </w:p>
        </w:tc>
        <w:tc>
          <w:tcPr>
            <w:tcW w:w="702"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w:t>
            </w:r>
          </w:p>
        </w:tc>
        <w:tc>
          <w:tcPr>
            <w:tcW w:w="551"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5890.3</w:t>
            </w:r>
          </w:p>
        </w:tc>
        <w:tc>
          <w:tcPr>
            <w:tcW w:w="813"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发酵处理后作为有机肥基料外售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487" w:type="pct"/>
            <w:vAlign w:val="center"/>
          </w:tcPr>
          <w:p>
            <w:pPr>
              <w:spacing w:line="240" w:lineRule="auto"/>
              <w:ind w:firstLine="0" w:firstLineChars="0"/>
              <w:jc w:val="center"/>
              <w:rPr>
                <w:rFonts w:hint="eastAsia" w:cs="Times New Roman"/>
                <w:color w:val="auto"/>
                <w:sz w:val="21"/>
                <w:szCs w:val="21"/>
                <w:highlight w:val="none"/>
                <w:lang w:eastAsia="zh-CN"/>
              </w:rPr>
            </w:pPr>
            <w:r>
              <w:rPr>
                <w:rFonts w:ascii="Times New Roman" w:hAnsi="Times New Roman"/>
                <w:color w:val="auto"/>
                <w:sz w:val="21"/>
                <w:szCs w:val="21"/>
                <w:highlight w:val="none"/>
              </w:rPr>
              <w:t>沼渣</w:t>
            </w:r>
          </w:p>
        </w:tc>
        <w:tc>
          <w:tcPr>
            <w:tcW w:w="264" w:type="pct"/>
            <w:vMerge w:val="continue"/>
            <w:vAlign w:val="center"/>
          </w:tcPr>
          <w:p>
            <w:pPr>
              <w:spacing w:line="240" w:lineRule="auto"/>
              <w:ind w:firstLine="0" w:firstLineChars="0"/>
              <w:jc w:val="center"/>
              <w:rPr>
                <w:rFonts w:cs="Times New Roman"/>
                <w:color w:val="auto"/>
                <w:sz w:val="21"/>
                <w:szCs w:val="21"/>
                <w:highlight w:val="none"/>
              </w:rPr>
            </w:pPr>
          </w:p>
        </w:tc>
        <w:tc>
          <w:tcPr>
            <w:tcW w:w="264" w:type="pct"/>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厌氧发酵</w:t>
            </w:r>
          </w:p>
        </w:tc>
        <w:tc>
          <w:tcPr>
            <w:tcW w:w="264"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固态</w:t>
            </w:r>
          </w:p>
        </w:tc>
        <w:tc>
          <w:tcPr>
            <w:tcW w:w="620" w:type="pct"/>
            <w:vMerge w:val="continue"/>
            <w:vAlign w:val="center"/>
          </w:tcPr>
          <w:p>
            <w:pPr>
              <w:spacing w:line="240" w:lineRule="auto"/>
              <w:ind w:firstLine="0" w:firstLineChars="0"/>
              <w:jc w:val="center"/>
              <w:rPr>
                <w:rFonts w:hint="eastAsia" w:cs="Times New Roman"/>
                <w:color w:val="auto"/>
                <w:sz w:val="21"/>
                <w:szCs w:val="21"/>
                <w:highlight w:val="none"/>
              </w:rPr>
            </w:pPr>
          </w:p>
        </w:tc>
        <w:tc>
          <w:tcPr>
            <w:tcW w:w="325" w:type="pct"/>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455" w:type="pct"/>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02" w:type="pct"/>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51"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4124.5</w:t>
            </w:r>
          </w:p>
        </w:tc>
        <w:tc>
          <w:tcPr>
            <w:tcW w:w="813" w:type="pct"/>
            <w:vAlign w:val="center"/>
          </w:tcPr>
          <w:p>
            <w:pPr>
              <w:spacing w:line="240" w:lineRule="auto"/>
              <w:ind w:firstLine="0" w:firstLineChars="0"/>
              <w:jc w:val="center"/>
              <w:rPr>
                <w:rFonts w:hint="eastAsia" w:cs="Times New Roman"/>
                <w:color w:val="auto"/>
                <w:sz w:val="21"/>
                <w:szCs w:val="21"/>
                <w:highlight w:val="none"/>
              </w:rPr>
            </w:pPr>
            <w:r>
              <w:rPr>
                <w:rFonts w:cs="Times New Roman"/>
                <w:color w:val="auto"/>
                <w:sz w:val="21"/>
                <w:szCs w:val="21"/>
                <w:highlight w:val="none"/>
              </w:rPr>
              <w:t>发酵处理后作为有机肥基料外售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3</w:t>
            </w:r>
          </w:p>
        </w:tc>
        <w:tc>
          <w:tcPr>
            <w:tcW w:w="487" w:type="pct"/>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cs="Times New Roman"/>
                <w:color w:val="auto"/>
                <w:sz w:val="21"/>
                <w:szCs w:val="21"/>
                <w:highlight w:val="none"/>
              </w:rPr>
              <w:t>生活</w:t>
            </w:r>
            <w:r>
              <w:rPr>
                <w:rFonts w:hint="eastAsia" w:cs="Times New Roman"/>
                <w:color w:val="auto"/>
                <w:sz w:val="21"/>
                <w:szCs w:val="21"/>
                <w:highlight w:val="none"/>
                <w:lang w:eastAsia="zh-CN"/>
              </w:rPr>
              <w:t>垃圾</w:t>
            </w:r>
          </w:p>
        </w:tc>
        <w:tc>
          <w:tcPr>
            <w:tcW w:w="264" w:type="pct"/>
            <w:vMerge w:val="continue"/>
            <w:vAlign w:val="center"/>
          </w:tcPr>
          <w:p>
            <w:pPr>
              <w:spacing w:line="240" w:lineRule="auto"/>
              <w:ind w:firstLine="0" w:firstLineChars="0"/>
              <w:jc w:val="center"/>
              <w:rPr>
                <w:rFonts w:cs="Times New Roman"/>
                <w:color w:val="auto"/>
                <w:sz w:val="21"/>
                <w:szCs w:val="21"/>
                <w:highlight w:val="none"/>
              </w:rPr>
            </w:pPr>
          </w:p>
        </w:tc>
        <w:tc>
          <w:tcPr>
            <w:tcW w:w="264"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员工生活</w:t>
            </w:r>
          </w:p>
        </w:tc>
        <w:tc>
          <w:tcPr>
            <w:tcW w:w="264"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固态</w:t>
            </w:r>
          </w:p>
        </w:tc>
        <w:tc>
          <w:tcPr>
            <w:tcW w:w="620" w:type="pct"/>
            <w:vMerge w:val="continue"/>
            <w:vAlign w:val="center"/>
          </w:tcPr>
          <w:p>
            <w:pPr>
              <w:spacing w:line="240" w:lineRule="auto"/>
              <w:ind w:firstLine="0" w:firstLineChars="0"/>
              <w:jc w:val="center"/>
              <w:rPr>
                <w:rFonts w:cs="Times New Roman"/>
                <w:color w:val="auto"/>
                <w:sz w:val="21"/>
                <w:szCs w:val="21"/>
                <w:highlight w:val="none"/>
              </w:rPr>
            </w:pPr>
          </w:p>
        </w:tc>
        <w:tc>
          <w:tcPr>
            <w:tcW w:w="325"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w:t>
            </w:r>
          </w:p>
        </w:tc>
        <w:tc>
          <w:tcPr>
            <w:tcW w:w="455"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w:t>
            </w:r>
          </w:p>
        </w:tc>
        <w:tc>
          <w:tcPr>
            <w:tcW w:w="702"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w:t>
            </w:r>
          </w:p>
        </w:tc>
        <w:tc>
          <w:tcPr>
            <w:tcW w:w="551"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17.52</w:t>
            </w:r>
          </w:p>
        </w:tc>
        <w:tc>
          <w:tcPr>
            <w:tcW w:w="813" w:type="pct"/>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cs="Times New Roman"/>
                <w:color w:val="auto"/>
                <w:sz w:val="21"/>
                <w:szCs w:val="21"/>
                <w:highlight w:val="none"/>
              </w:rPr>
              <w:t>环卫部门定期</w:t>
            </w:r>
            <w:r>
              <w:rPr>
                <w:rFonts w:hint="eastAsia" w:cs="Times New Roman"/>
                <w:color w:val="auto"/>
                <w:sz w:val="21"/>
                <w:szCs w:val="21"/>
                <w:highlight w:val="none"/>
                <w:lang w:eastAsia="zh-CN"/>
              </w:rPr>
              <w:t>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487" w:type="pct"/>
            <w:vAlign w:val="center"/>
          </w:tcPr>
          <w:p>
            <w:pPr>
              <w:spacing w:line="240" w:lineRule="auto"/>
              <w:ind w:firstLine="0" w:firstLineChars="0"/>
              <w:jc w:val="center"/>
              <w:rPr>
                <w:rFonts w:hint="eastAsia" w:cs="Times New Roman"/>
                <w:color w:val="auto"/>
                <w:sz w:val="21"/>
                <w:szCs w:val="21"/>
                <w:highlight w:val="none"/>
              </w:rPr>
            </w:pPr>
            <w:r>
              <w:rPr>
                <w:rFonts w:ascii="Times New Roman" w:hAnsi="Times New Roman"/>
                <w:color w:val="auto"/>
                <w:sz w:val="21"/>
                <w:szCs w:val="21"/>
                <w:highlight w:val="none"/>
              </w:rPr>
              <w:t>废脱硫剂</w:t>
            </w:r>
          </w:p>
        </w:tc>
        <w:tc>
          <w:tcPr>
            <w:tcW w:w="264" w:type="pct"/>
            <w:vMerge w:val="continue"/>
            <w:vAlign w:val="center"/>
          </w:tcPr>
          <w:p>
            <w:pPr>
              <w:spacing w:line="240" w:lineRule="auto"/>
              <w:ind w:firstLine="0" w:firstLineChars="0"/>
              <w:jc w:val="center"/>
              <w:rPr>
                <w:rFonts w:cs="Times New Roman"/>
                <w:color w:val="auto"/>
                <w:sz w:val="21"/>
                <w:szCs w:val="21"/>
                <w:highlight w:val="none"/>
              </w:rPr>
            </w:pPr>
          </w:p>
        </w:tc>
        <w:tc>
          <w:tcPr>
            <w:tcW w:w="264" w:type="pct"/>
            <w:vAlign w:val="center"/>
          </w:tcPr>
          <w:p>
            <w:pPr>
              <w:spacing w:line="240" w:lineRule="auto"/>
              <w:ind w:firstLine="0" w:firstLineChars="0"/>
              <w:jc w:val="center"/>
              <w:rPr>
                <w:rFonts w:hint="eastAsia" w:cs="Times New Roman"/>
                <w:color w:val="auto"/>
                <w:sz w:val="21"/>
                <w:szCs w:val="21"/>
                <w:highlight w:val="none"/>
                <w:lang w:eastAsia="zh-CN"/>
              </w:rPr>
            </w:pPr>
            <w:r>
              <w:rPr>
                <w:rFonts w:hint="eastAsia" w:cs="Times New Roman"/>
                <w:color w:val="auto"/>
                <w:sz w:val="21"/>
                <w:szCs w:val="21"/>
                <w:highlight w:val="none"/>
                <w:lang w:val="en-US" w:eastAsia="zh-CN"/>
              </w:rPr>
              <w:t>沼气脱硫装置</w:t>
            </w:r>
          </w:p>
        </w:tc>
        <w:tc>
          <w:tcPr>
            <w:tcW w:w="264" w:type="pct"/>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固态</w:t>
            </w:r>
          </w:p>
        </w:tc>
        <w:tc>
          <w:tcPr>
            <w:tcW w:w="620" w:type="pct"/>
            <w:vMerge w:val="continue"/>
            <w:vAlign w:val="center"/>
          </w:tcPr>
          <w:p>
            <w:pPr>
              <w:spacing w:line="240" w:lineRule="auto"/>
              <w:ind w:firstLine="0" w:firstLineChars="0"/>
              <w:jc w:val="center"/>
              <w:rPr>
                <w:rFonts w:cs="Times New Roman"/>
                <w:color w:val="auto"/>
                <w:sz w:val="21"/>
                <w:szCs w:val="21"/>
                <w:highlight w:val="none"/>
              </w:rPr>
            </w:pPr>
          </w:p>
        </w:tc>
        <w:tc>
          <w:tcPr>
            <w:tcW w:w="325" w:type="pct"/>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455" w:type="pct"/>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02" w:type="pct"/>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51" w:type="pct"/>
            <w:vAlign w:val="center"/>
          </w:tcPr>
          <w:p>
            <w:pPr>
              <w:spacing w:line="240" w:lineRule="auto"/>
              <w:ind w:firstLine="0" w:firstLineChars="0"/>
              <w:jc w:val="center"/>
              <w:rPr>
                <w:rFonts w:hint="default" w:cs="Times New Roman"/>
                <w:color w:val="auto"/>
                <w:sz w:val="21"/>
                <w:szCs w:val="21"/>
                <w:highlight w:val="none"/>
                <w:lang w:val="en-US"/>
              </w:rPr>
            </w:pPr>
            <w:r>
              <w:rPr>
                <w:rFonts w:hint="eastAsia" w:cs="Times New Roman"/>
                <w:color w:val="auto"/>
                <w:sz w:val="21"/>
                <w:szCs w:val="21"/>
                <w:highlight w:val="none"/>
                <w:lang w:val="en-US" w:eastAsia="zh-CN"/>
              </w:rPr>
              <w:t>2.6</w:t>
            </w:r>
          </w:p>
        </w:tc>
        <w:tc>
          <w:tcPr>
            <w:tcW w:w="813" w:type="pct"/>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生产厂家统一回收处置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5</w:t>
            </w:r>
          </w:p>
        </w:tc>
        <w:tc>
          <w:tcPr>
            <w:tcW w:w="487"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病死猪尸体</w:t>
            </w:r>
          </w:p>
        </w:tc>
        <w:tc>
          <w:tcPr>
            <w:tcW w:w="264" w:type="pct"/>
            <w:vMerge w:val="continue"/>
            <w:vAlign w:val="center"/>
          </w:tcPr>
          <w:p>
            <w:pPr>
              <w:spacing w:line="240" w:lineRule="auto"/>
              <w:ind w:firstLine="0" w:firstLineChars="0"/>
              <w:jc w:val="center"/>
              <w:rPr>
                <w:rFonts w:cs="Times New Roman"/>
                <w:color w:val="auto"/>
                <w:sz w:val="21"/>
                <w:szCs w:val="21"/>
                <w:highlight w:val="none"/>
              </w:rPr>
            </w:pPr>
          </w:p>
        </w:tc>
        <w:tc>
          <w:tcPr>
            <w:tcW w:w="264"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lang w:eastAsia="zh-CN"/>
              </w:rPr>
              <w:t>养殖</w:t>
            </w:r>
          </w:p>
        </w:tc>
        <w:tc>
          <w:tcPr>
            <w:tcW w:w="264"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固态</w:t>
            </w:r>
          </w:p>
        </w:tc>
        <w:tc>
          <w:tcPr>
            <w:tcW w:w="620" w:type="pct"/>
            <w:vMerge w:val="continue"/>
            <w:vAlign w:val="center"/>
          </w:tcPr>
          <w:p>
            <w:pPr>
              <w:spacing w:line="240" w:lineRule="auto"/>
              <w:ind w:firstLine="0" w:firstLineChars="0"/>
              <w:jc w:val="center"/>
              <w:rPr>
                <w:rFonts w:cs="Times New Roman"/>
                <w:color w:val="auto"/>
                <w:sz w:val="21"/>
                <w:szCs w:val="21"/>
                <w:highlight w:val="none"/>
              </w:rPr>
            </w:pPr>
          </w:p>
        </w:tc>
        <w:tc>
          <w:tcPr>
            <w:tcW w:w="325"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w:t>
            </w:r>
          </w:p>
        </w:tc>
        <w:tc>
          <w:tcPr>
            <w:tcW w:w="455"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w:t>
            </w:r>
          </w:p>
        </w:tc>
        <w:tc>
          <w:tcPr>
            <w:tcW w:w="702"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w:t>
            </w:r>
          </w:p>
        </w:tc>
        <w:tc>
          <w:tcPr>
            <w:tcW w:w="551"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23.5</w:t>
            </w:r>
          </w:p>
        </w:tc>
        <w:tc>
          <w:tcPr>
            <w:tcW w:w="813"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送</w:t>
            </w:r>
            <w:r>
              <w:rPr>
                <w:rFonts w:hint="eastAsia" w:cs="Times New Roman"/>
                <w:color w:val="auto"/>
                <w:sz w:val="21"/>
                <w:szCs w:val="21"/>
                <w:highlight w:val="none"/>
                <w:lang w:eastAsia="zh-CN"/>
              </w:rPr>
              <w:t>本厂自建的</w:t>
            </w:r>
            <w:r>
              <w:rPr>
                <w:rFonts w:hint="eastAsia" w:cs="Times New Roman"/>
                <w:color w:val="auto"/>
                <w:sz w:val="21"/>
                <w:szCs w:val="21"/>
                <w:highlight w:val="none"/>
              </w:rPr>
              <w:t>无害化处理车间处置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6</w:t>
            </w:r>
          </w:p>
        </w:tc>
        <w:tc>
          <w:tcPr>
            <w:tcW w:w="487"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医疗废物</w:t>
            </w:r>
          </w:p>
        </w:tc>
        <w:tc>
          <w:tcPr>
            <w:tcW w:w="264" w:type="pct"/>
            <w:vMerge w:val="restar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危废</w:t>
            </w:r>
          </w:p>
        </w:tc>
        <w:tc>
          <w:tcPr>
            <w:tcW w:w="264" w:type="pct"/>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防疫</w:t>
            </w:r>
          </w:p>
        </w:tc>
        <w:tc>
          <w:tcPr>
            <w:tcW w:w="264"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固态</w:t>
            </w:r>
          </w:p>
        </w:tc>
        <w:tc>
          <w:tcPr>
            <w:tcW w:w="620" w:type="pct"/>
            <w:vMerge w:val="continue"/>
            <w:vAlign w:val="center"/>
          </w:tcPr>
          <w:p>
            <w:pPr>
              <w:spacing w:line="240" w:lineRule="auto"/>
              <w:ind w:firstLine="0" w:firstLineChars="0"/>
              <w:jc w:val="center"/>
              <w:rPr>
                <w:rFonts w:cs="Times New Roman"/>
                <w:color w:val="auto"/>
                <w:sz w:val="21"/>
                <w:szCs w:val="21"/>
                <w:highlight w:val="none"/>
              </w:rPr>
            </w:pPr>
          </w:p>
        </w:tc>
        <w:tc>
          <w:tcPr>
            <w:tcW w:w="325"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In</w:t>
            </w:r>
          </w:p>
        </w:tc>
        <w:tc>
          <w:tcPr>
            <w:tcW w:w="455"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cs="Times New Roman"/>
                <w:color w:val="auto"/>
                <w:sz w:val="21"/>
                <w:szCs w:val="21"/>
                <w:highlight w:val="none"/>
              </w:rPr>
              <w:t>HW</w:t>
            </w:r>
            <w:r>
              <w:rPr>
                <w:rFonts w:hint="eastAsia" w:cs="Times New Roman"/>
                <w:color w:val="auto"/>
                <w:sz w:val="21"/>
                <w:szCs w:val="21"/>
                <w:highlight w:val="none"/>
                <w:lang w:val="en-US" w:eastAsia="zh-CN"/>
              </w:rPr>
              <w:t>01</w:t>
            </w:r>
          </w:p>
        </w:tc>
        <w:tc>
          <w:tcPr>
            <w:tcW w:w="702"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900-001-01</w:t>
            </w:r>
          </w:p>
        </w:tc>
        <w:tc>
          <w:tcPr>
            <w:tcW w:w="551"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rPr>
              <w:t>0.</w:t>
            </w:r>
            <w:r>
              <w:rPr>
                <w:rFonts w:hint="eastAsia" w:cs="Times New Roman"/>
                <w:color w:val="auto"/>
                <w:sz w:val="21"/>
                <w:szCs w:val="21"/>
                <w:highlight w:val="none"/>
                <w:lang w:val="en-US" w:eastAsia="zh-CN"/>
              </w:rPr>
              <w:t>344</w:t>
            </w:r>
          </w:p>
        </w:tc>
        <w:tc>
          <w:tcPr>
            <w:tcW w:w="813"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交由新蔡县中绿环保有限公司处置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487" w:type="pct"/>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废导热油</w:t>
            </w:r>
          </w:p>
        </w:tc>
        <w:tc>
          <w:tcPr>
            <w:tcW w:w="264" w:type="pct"/>
            <w:vMerge w:val="continue"/>
            <w:vAlign w:val="center"/>
          </w:tcPr>
          <w:p>
            <w:pPr>
              <w:spacing w:line="240" w:lineRule="auto"/>
              <w:ind w:firstLine="0" w:firstLineChars="0"/>
              <w:jc w:val="center"/>
              <w:rPr>
                <w:rFonts w:cs="Times New Roman"/>
                <w:color w:val="auto"/>
                <w:sz w:val="21"/>
                <w:szCs w:val="21"/>
                <w:highlight w:val="none"/>
              </w:rPr>
            </w:pPr>
          </w:p>
        </w:tc>
        <w:tc>
          <w:tcPr>
            <w:tcW w:w="264" w:type="pct"/>
            <w:vAlign w:val="center"/>
          </w:tcPr>
          <w:p>
            <w:pPr>
              <w:spacing w:line="240" w:lineRule="auto"/>
              <w:ind w:firstLine="0" w:firstLineChars="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无害化</w:t>
            </w:r>
          </w:p>
        </w:tc>
        <w:tc>
          <w:tcPr>
            <w:tcW w:w="264" w:type="pct"/>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液态</w:t>
            </w:r>
          </w:p>
        </w:tc>
        <w:tc>
          <w:tcPr>
            <w:tcW w:w="620" w:type="pct"/>
            <w:vMerge w:val="continue"/>
            <w:vAlign w:val="center"/>
          </w:tcPr>
          <w:p>
            <w:pPr>
              <w:spacing w:line="240" w:lineRule="auto"/>
              <w:ind w:firstLine="0" w:firstLineChars="0"/>
              <w:jc w:val="center"/>
              <w:rPr>
                <w:rFonts w:cs="Times New Roman"/>
                <w:color w:val="auto"/>
                <w:sz w:val="21"/>
                <w:szCs w:val="21"/>
                <w:highlight w:val="none"/>
              </w:rPr>
            </w:pPr>
          </w:p>
        </w:tc>
        <w:tc>
          <w:tcPr>
            <w:tcW w:w="325"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T，I</w:t>
            </w:r>
          </w:p>
        </w:tc>
        <w:tc>
          <w:tcPr>
            <w:tcW w:w="455"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HW</w:t>
            </w:r>
            <w:r>
              <w:rPr>
                <w:rFonts w:hint="eastAsia" w:cs="Times New Roman"/>
                <w:color w:val="auto"/>
                <w:sz w:val="21"/>
                <w:szCs w:val="21"/>
                <w:highlight w:val="none"/>
                <w:lang w:val="en-US" w:eastAsia="zh-CN"/>
              </w:rPr>
              <w:t>08</w:t>
            </w:r>
          </w:p>
        </w:tc>
        <w:tc>
          <w:tcPr>
            <w:tcW w:w="702" w:type="pct"/>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900-249-08</w:t>
            </w:r>
          </w:p>
        </w:tc>
        <w:tc>
          <w:tcPr>
            <w:tcW w:w="551"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813" w:type="pct"/>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危险废物暂存间暂存，定期交有相应危废类别处理资质的单位安全处置</w:t>
            </w:r>
          </w:p>
        </w:tc>
      </w:tr>
    </w:tbl>
    <w:p>
      <w:pPr>
        <w:pStyle w:val="6"/>
        <w:keepNext w:val="0"/>
        <w:keepLines w:val="0"/>
        <w:pageBreakBefore w:val="0"/>
        <w:widowControl/>
        <w:kinsoku/>
        <w:wordWrap/>
        <w:overflowPunct/>
        <w:topLinePunct w:val="0"/>
        <w:autoSpaceDE/>
        <w:autoSpaceDN/>
        <w:bidi w:val="0"/>
        <w:adjustRightInd/>
        <w:snapToGrid/>
        <w:spacing w:line="360" w:lineRule="auto"/>
        <w:ind w:firstLine="482"/>
        <w:textAlignment w:val="auto"/>
        <w:rPr>
          <w:color w:val="auto"/>
          <w:highlight w:val="none"/>
        </w:rPr>
      </w:pPr>
      <w:r>
        <w:rPr>
          <w:rFonts w:hint="eastAsia"/>
          <w:color w:val="auto"/>
          <w:highlight w:val="none"/>
          <w:lang w:val="en-US" w:eastAsia="zh-CN"/>
        </w:rPr>
        <w:t>2</w:t>
      </w:r>
      <w:r>
        <w:rPr>
          <w:color w:val="auto"/>
          <w:highlight w:val="none"/>
        </w:rPr>
        <w:t>.</w:t>
      </w:r>
      <w:r>
        <w:rPr>
          <w:rFonts w:hint="eastAsia"/>
          <w:color w:val="auto"/>
          <w:highlight w:val="none"/>
          <w:lang w:val="en-US" w:eastAsia="zh-CN"/>
        </w:rPr>
        <w:t>11.1</w:t>
      </w:r>
      <w:r>
        <w:rPr>
          <w:rFonts w:hint="eastAsia"/>
          <w:color w:val="auto"/>
          <w:highlight w:val="none"/>
        </w:rPr>
        <w:t>.</w:t>
      </w:r>
      <w:r>
        <w:rPr>
          <w:color w:val="auto"/>
          <w:highlight w:val="none"/>
        </w:rPr>
        <w:t>4噪声</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噪声主要为猪叫声、清洗猪舍时高压水枪配套空压机、猪舍降温配套风机、粪污处理设施水泵、固液分离机、翻抛机等设备运行时产生的噪声，根据类比调查，其源强为</w:t>
      </w:r>
      <w:r>
        <w:rPr>
          <w:rFonts w:hint="eastAsia"/>
          <w:color w:val="auto"/>
          <w:sz w:val="24"/>
          <w:szCs w:val="24"/>
          <w:highlight w:val="none"/>
          <w:lang w:val="en-US" w:eastAsia="zh-CN"/>
        </w:rPr>
        <w:t>70</w:t>
      </w:r>
      <w:r>
        <w:rPr>
          <w:rFonts w:ascii="Times New Roman" w:hAnsi="Times New Roman"/>
          <w:color w:val="auto"/>
          <w:sz w:val="24"/>
          <w:szCs w:val="24"/>
          <w:highlight w:val="none"/>
        </w:rPr>
        <w:t>～90dB(A)。项目主要噪声设施源强情况见表</w:t>
      </w:r>
      <w:r>
        <w:rPr>
          <w:rFonts w:hint="eastAsia"/>
          <w:color w:val="auto"/>
          <w:sz w:val="24"/>
          <w:szCs w:val="24"/>
          <w:highlight w:val="none"/>
          <w:lang w:val="en-US" w:eastAsia="zh-CN"/>
        </w:rPr>
        <w:t>2.12</w:t>
      </w:r>
      <w:r>
        <w:rPr>
          <w:rFonts w:ascii="Times New Roman" w:hAnsi="Times New Roman"/>
          <w:color w:val="auto"/>
          <w:sz w:val="24"/>
          <w:szCs w:val="24"/>
          <w:highlight w:val="none"/>
        </w:rPr>
        <w:t>-</w:t>
      </w:r>
      <w:r>
        <w:rPr>
          <w:rFonts w:hint="eastAsia"/>
          <w:color w:val="auto"/>
          <w:sz w:val="24"/>
          <w:szCs w:val="24"/>
          <w:highlight w:val="none"/>
          <w:lang w:val="en-US" w:eastAsia="zh-CN"/>
        </w:rPr>
        <w:t>13</w:t>
      </w:r>
      <w:r>
        <w:rPr>
          <w:rFonts w:ascii="Times New Roman" w:hAnsi="Times New Roman"/>
          <w:color w:val="auto"/>
          <w:sz w:val="24"/>
          <w:szCs w:val="24"/>
          <w:highlight w:val="none"/>
        </w:rPr>
        <w:t>。</w:t>
      </w:r>
    </w:p>
    <w:p>
      <w:pPr>
        <w:pStyle w:val="40"/>
        <w:rPr>
          <w:rFonts w:hint="eastAsia" w:cs="Times New Roman"/>
          <w:color w:val="auto"/>
          <w:highlight w:val="none"/>
          <w:lang w:val="en-US" w:eastAsia="zh-CN"/>
        </w:rPr>
      </w:pPr>
      <w:r>
        <w:rPr>
          <w:rFonts w:hint="eastAsia" w:cs="Times New Roman"/>
          <w:color w:val="auto"/>
          <w:highlight w:val="none"/>
          <w:lang w:val="en-US" w:eastAsia="zh-CN"/>
        </w:rPr>
        <w:t>表2.12-13 项目主要噪声源强一览表单位：dB(A)</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515"/>
        <w:gridCol w:w="1320"/>
        <w:gridCol w:w="981"/>
        <w:gridCol w:w="981"/>
        <w:gridCol w:w="2582"/>
        <w:gridCol w:w="10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0"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污染物来源</w:t>
            </w:r>
          </w:p>
        </w:tc>
        <w:tc>
          <w:tcPr>
            <w:tcW w:w="784"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种类</w:t>
            </w:r>
          </w:p>
        </w:tc>
        <w:tc>
          <w:tcPr>
            <w:tcW w:w="58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产生方式</w:t>
            </w:r>
          </w:p>
        </w:tc>
        <w:tc>
          <w:tcPr>
            <w:tcW w:w="58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产生源强</w:t>
            </w:r>
          </w:p>
        </w:tc>
        <w:tc>
          <w:tcPr>
            <w:tcW w:w="1534"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治理措施</w:t>
            </w:r>
          </w:p>
        </w:tc>
        <w:tc>
          <w:tcPr>
            <w:tcW w:w="61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排放源强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0" w:type="pct"/>
            <w:vMerge w:val="restar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猪舍</w:t>
            </w:r>
          </w:p>
        </w:tc>
        <w:tc>
          <w:tcPr>
            <w:tcW w:w="784"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风机</w:t>
            </w:r>
          </w:p>
        </w:tc>
        <w:tc>
          <w:tcPr>
            <w:tcW w:w="58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间断</w:t>
            </w:r>
          </w:p>
        </w:tc>
        <w:tc>
          <w:tcPr>
            <w:tcW w:w="583"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1534"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隔声降噪、距离衰减</w:t>
            </w:r>
          </w:p>
        </w:tc>
        <w:tc>
          <w:tcPr>
            <w:tcW w:w="61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0" w:type="pct"/>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cs="Times New Roman"/>
                <w:color w:val="auto"/>
                <w:sz w:val="21"/>
                <w:szCs w:val="21"/>
                <w:highlight w:val="none"/>
              </w:rPr>
              <w:t>猪叫</w:t>
            </w:r>
          </w:p>
        </w:tc>
        <w:tc>
          <w:tcPr>
            <w:tcW w:w="58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rPr>
              <w:t>间断</w:t>
            </w:r>
          </w:p>
        </w:tc>
        <w:tc>
          <w:tcPr>
            <w:tcW w:w="583" w:type="pct"/>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1534"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rPr>
              <w:t>隔声降噪、距离衰减</w:t>
            </w:r>
          </w:p>
        </w:tc>
        <w:tc>
          <w:tcPr>
            <w:tcW w:w="613" w:type="pct"/>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cs="Times New Roman"/>
                <w:color w:val="auto"/>
                <w:sz w:val="21"/>
                <w:szCs w:val="21"/>
                <w:highlight w:val="none"/>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0" w:type="pct"/>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lang w:val="en-US" w:eastAsia="zh-CN"/>
              </w:rPr>
              <w:t>空压机</w:t>
            </w:r>
          </w:p>
        </w:tc>
        <w:tc>
          <w:tcPr>
            <w:tcW w:w="58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rPr>
            </w:pPr>
            <w:r>
              <w:rPr>
                <w:rFonts w:hint="eastAsia" w:cs="Times New Roman"/>
                <w:color w:val="auto"/>
                <w:sz w:val="21"/>
                <w:szCs w:val="21"/>
                <w:highlight w:val="none"/>
                <w:lang w:val="en-US" w:eastAsia="zh-CN"/>
              </w:rPr>
              <w:t>90</w:t>
            </w:r>
          </w:p>
        </w:tc>
        <w:tc>
          <w:tcPr>
            <w:tcW w:w="1534"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厂房隔声、减振</w:t>
            </w:r>
          </w:p>
        </w:tc>
        <w:tc>
          <w:tcPr>
            <w:tcW w:w="61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lang w:val="en-US" w:eastAsia="zh-CN"/>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0" w:type="pct"/>
            <w:vMerge w:val="restar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污水处理区</w:t>
            </w:r>
          </w:p>
        </w:tc>
        <w:tc>
          <w:tcPr>
            <w:tcW w:w="784"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水泵</w:t>
            </w:r>
          </w:p>
        </w:tc>
        <w:tc>
          <w:tcPr>
            <w:tcW w:w="58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75</w:t>
            </w:r>
          </w:p>
        </w:tc>
        <w:tc>
          <w:tcPr>
            <w:tcW w:w="1534" w:type="pct"/>
            <w:vMerge w:val="restar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选低噪声设备、隔声、减振</w:t>
            </w:r>
          </w:p>
        </w:tc>
        <w:tc>
          <w:tcPr>
            <w:tcW w:w="61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0" w:type="pct"/>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固液分离机</w:t>
            </w:r>
          </w:p>
        </w:tc>
        <w:tc>
          <w:tcPr>
            <w:tcW w:w="58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75</w:t>
            </w:r>
          </w:p>
        </w:tc>
        <w:tc>
          <w:tcPr>
            <w:tcW w:w="1534" w:type="pct"/>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61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0" w:type="pct"/>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翻抛机</w:t>
            </w:r>
          </w:p>
        </w:tc>
        <w:tc>
          <w:tcPr>
            <w:tcW w:w="58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间断</w:t>
            </w:r>
          </w:p>
        </w:tc>
        <w:tc>
          <w:tcPr>
            <w:tcW w:w="58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75</w:t>
            </w:r>
          </w:p>
        </w:tc>
        <w:tc>
          <w:tcPr>
            <w:tcW w:w="1534" w:type="pct"/>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61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60</w:t>
            </w:r>
          </w:p>
        </w:tc>
      </w:tr>
    </w:tbl>
    <w:p>
      <w:pPr>
        <w:pStyle w:val="4"/>
        <w:spacing w:before="132"/>
        <w:rPr>
          <w:color w:val="auto"/>
          <w:highlight w:val="none"/>
        </w:rPr>
      </w:pPr>
      <w:bookmarkStart w:id="25" w:name="_Toc28746"/>
      <w:r>
        <w:rPr>
          <w:rFonts w:hint="eastAsia"/>
          <w:color w:val="auto"/>
          <w:highlight w:val="none"/>
          <w:lang w:val="en-US" w:eastAsia="zh-CN"/>
        </w:rPr>
        <w:t>2</w:t>
      </w:r>
      <w:r>
        <w:rPr>
          <w:color w:val="auto"/>
          <w:highlight w:val="none"/>
        </w:rPr>
        <w:t>.</w:t>
      </w:r>
      <w:r>
        <w:rPr>
          <w:rFonts w:hint="eastAsia"/>
          <w:color w:val="auto"/>
          <w:highlight w:val="none"/>
          <w:lang w:val="en-US" w:eastAsia="zh-CN"/>
        </w:rPr>
        <w:t>12</w:t>
      </w:r>
      <w:r>
        <w:rPr>
          <w:rFonts w:hint="eastAsia"/>
          <w:color w:val="auto"/>
          <w:highlight w:val="none"/>
        </w:rPr>
        <w:t>全厂项目污染物环保措施及排放情况</w:t>
      </w:r>
      <w:r>
        <w:rPr>
          <w:color w:val="auto"/>
          <w:highlight w:val="none"/>
        </w:rPr>
        <w:t>汇总</w:t>
      </w:r>
      <w:bookmarkEnd w:id="25"/>
    </w:p>
    <w:p>
      <w:pPr>
        <w:ind w:firstLine="480"/>
        <w:rPr>
          <w:color w:val="auto"/>
          <w:highlight w:val="none"/>
        </w:rPr>
      </w:pPr>
      <w:r>
        <w:rPr>
          <w:rFonts w:hint="eastAsia"/>
          <w:color w:val="auto"/>
          <w:highlight w:val="none"/>
        </w:rPr>
        <w:t>全厂</w:t>
      </w:r>
      <w:r>
        <w:rPr>
          <w:color w:val="auto"/>
          <w:highlight w:val="none"/>
        </w:rPr>
        <w:t>项目</w:t>
      </w:r>
      <w:r>
        <w:rPr>
          <w:rFonts w:hint="eastAsia"/>
          <w:color w:val="auto"/>
          <w:highlight w:val="none"/>
        </w:rPr>
        <w:t>实施后</w:t>
      </w:r>
      <w:r>
        <w:rPr>
          <w:color w:val="auto"/>
          <w:highlight w:val="none"/>
        </w:rPr>
        <w:t>污染物排放及治理措施见表</w:t>
      </w:r>
      <w:r>
        <w:rPr>
          <w:rFonts w:hint="eastAsia"/>
          <w:color w:val="auto"/>
          <w:highlight w:val="none"/>
          <w:lang w:val="en-US" w:eastAsia="zh-CN"/>
        </w:rPr>
        <w:t>2</w:t>
      </w:r>
      <w:r>
        <w:rPr>
          <w:color w:val="auto"/>
          <w:highlight w:val="none"/>
        </w:rPr>
        <w:t>.</w:t>
      </w:r>
      <w:r>
        <w:rPr>
          <w:rFonts w:hint="eastAsia"/>
          <w:color w:val="auto"/>
          <w:highlight w:val="none"/>
          <w:lang w:val="en-US" w:eastAsia="zh-CN"/>
        </w:rPr>
        <w:t>12</w:t>
      </w:r>
      <w:r>
        <w:rPr>
          <w:color w:val="auto"/>
          <w:highlight w:val="none"/>
        </w:rPr>
        <w:t>-1</w:t>
      </w:r>
      <w:r>
        <w:rPr>
          <w:rFonts w:hint="eastAsia"/>
          <w:color w:val="auto"/>
          <w:highlight w:val="none"/>
          <w:lang w:val="en-US" w:eastAsia="zh-CN"/>
        </w:rPr>
        <w:t>4</w:t>
      </w:r>
      <w:r>
        <w:rPr>
          <w:color w:val="auto"/>
          <w:highlight w:val="none"/>
        </w:rPr>
        <w:t>。</w:t>
      </w:r>
    </w:p>
    <w:p>
      <w:pPr>
        <w:pStyle w:val="40"/>
        <w:jc w:val="both"/>
        <w:rPr>
          <w:color w:val="auto"/>
          <w:highlight w:val="none"/>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p>
    <w:p>
      <w:pPr>
        <w:pStyle w:val="40"/>
        <w:rPr>
          <w:rFonts w:hint="eastAsia" w:cs="Times New Roman"/>
          <w:color w:val="auto"/>
          <w:highlight w:val="none"/>
          <w:lang w:val="en-US" w:eastAsia="zh-CN"/>
        </w:rPr>
      </w:pPr>
      <w:r>
        <w:rPr>
          <w:rFonts w:hint="eastAsia" w:cs="Times New Roman"/>
          <w:color w:val="auto"/>
          <w:highlight w:val="none"/>
          <w:lang w:val="en-US" w:eastAsia="zh-CN"/>
        </w:rPr>
        <w:t>表2.12-14 项目主要污染物产排情况表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autofit"/>
        <w:tblCellMar>
          <w:top w:w="0" w:type="dxa"/>
          <w:left w:w="108" w:type="dxa"/>
          <w:bottom w:w="0" w:type="dxa"/>
          <w:right w:w="108" w:type="dxa"/>
        </w:tblCellMar>
      </w:tblPr>
      <w:tblGrid>
        <w:gridCol w:w="766"/>
        <w:gridCol w:w="1337"/>
        <w:gridCol w:w="1363"/>
        <w:gridCol w:w="1173"/>
        <w:gridCol w:w="1323"/>
        <w:gridCol w:w="1309"/>
        <w:gridCol w:w="1309"/>
        <w:gridCol w:w="1118"/>
        <w:gridCol w:w="44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2103" w:type="dxa"/>
            <w:gridSpan w:val="2"/>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项目</w:t>
            </w:r>
          </w:p>
        </w:tc>
        <w:tc>
          <w:tcPr>
            <w:tcW w:w="1363"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污染物</w:t>
            </w:r>
          </w:p>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名称</w:t>
            </w:r>
          </w:p>
        </w:tc>
        <w:tc>
          <w:tcPr>
            <w:tcW w:w="1173"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产生浓度mg/m</w:t>
            </w:r>
            <w:r>
              <w:rPr>
                <w:rFonts w:cs="Times New Roman"/>
                <w:color w:val="auto"/>
                <w:sz w:val="21"/>
                <w:szCs w:val="21"/>
                <w:highlight w:val="none"/>
                <w:vertAlign w:val="superscript"/>
                <w:lang w:val="en-US" w:eastAsia="zh-CN"/>
              </w:rPr>
              <w:t>3</w:t>
            </w:r>
          </w:p>
        </w:tc>
        <w:tc>
          <w:tcPr>
            <w:tcW w:w="1323"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产生量</w:t>
            </w:r>
          </w:p>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（t/a）</w:t>
            </w:r>
          </w:p>
        </w:tc>
        <w:tc>
          <w:tcPr>
            <w:tcW w:w="1309"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削减量</w:t>
            </w:r>
          </w:p>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（t/a）</w:t>
            </w:r>
          </w:p>
        </w:tc>
        <w:tc>
          <w:tcPr>
            <w:tcW w:w="1309"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处理后</w:t>
            </w:r>
          </w:p>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浓度mg/m</w:t>
            </w:r>
            <w:r>
              <w:rPr>
                <w:rFonts w:cs="Times New Roman"/>
                <w:color w:val="auto"/>
                <w:sz w:val="21"/>
                <w:szCs w:val="21"/>
                <w:highlight w:val="none"/>
                <w:vertAlign w:val="superscript"/>
                <w:lang w:val="en-US" w:eastAsia="zh-CN"/>
              </w:rPr>
              <w:t>3</w:t>
            </w:r>
          </w:p>
        </w:tc>
        <w:tc>
          <w:tcPr>
            <w:tcW w:w="1118"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排放量</w:t>
            </w:r>
          </w:p>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（t/a）</w:t>
            </w:r>
          </w:p>
        </w:tc>
        <w:tc>
          <w:tcPr>
            <w:tcW w:w="4476"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备注—治理措施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71" w:hRule="atLeast"/>
          <w:jc w:val="center"/>
        </w:trPr>
        <w:tc>
          <w:tcPr>
            <w:tcW w:w="766" w:type="dxa"/>
            <w:vMerge w:val="restart"/>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废气</w:t>
            </w:r>
          </w:p>
        </w:tc>
        <w:tc>
          <w:tcPr>
            <w:tcW w:w="1337" w:type="dxa"/>
            <w:vMerge w:val="restart"/>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场区</w:t>
            </w:r>
          </w:p>
        </w:tc>
        <w:tc>
          <w:tcPr>
            <w:tcW w:w="1363"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NH</w:t>
            </w:r>
            <w:r>
              <w:rPr>
                <w:rFonts w:cs="Times New Roman"/>
                <w:color w:val="auto"/>
                <w:sz w:val="21"/>
                <w:szCs w:val="21"/>
                <w:highlight w:val="none"/>
                <w:vertAlign w:val="subscript"/>
                <w:lang w:val="en-US" w:eastAsia="zh-CN"/>
              </w:rPr>
              <w:t>3</w:t>
            </w:r>
          </w:p>
        </w:tc>
        <w:tc>
          <w:tcPr>
            <w:tcW w:w="1173"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w:t>
            </w:r>
          </w:p>
        </w:tc>
        <w:tc>
          <w:tcPr>
            <w:tcW w:w="1323"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5.66</w:t>
            </w:r>
          </w:p>
        </w:tc>
        <w:tc>
          <w:tcPr>
            <w:tcW w:w="1309"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4.514</w:t>
            </w:r>
          </w:p>
        </w:tc>
        <w:tc>
          <w:tcPr>
            <w:tcW w:w="1309"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w:t>
            </w:r>
          </w:p>
        </w:tc>
        <w:tc>
          <w:tcPr>
            <w:tcW w:w="1118"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b w:val="0"/>
                <w:bCs/>
                <w:color w:val="auto"/>
                <w:sz w:val="21"/>
                <w:szCs w:val="21"/>
                <w:highlight w:val="none"/>
                <w:lang w:val="en-US" w:eastAsia="zh-CN"/>
              </w:rPr>
              <w:t>1.146</w:t>
            </w:r>
          </w:p>
        </w:tc>
        <w:tc>
          <w:tcPr>
            <w:tcW w:w="4476" w:type="dxa"/>
            <w:vMerge w:val="restart"/>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控制养殖密度、饲料添加剂、及时清粪、喷洒除臭剂、设置绿化带</w:t>
            </w:r>
            <w:r>
              <w:rPr>
                <w:rFonts w:hint="eastAsia" w:cs="Times New Roman"/>
                <w:color w:val="auto"/>
                <w:sz w:val="21"/>
                <w:szCs w:val="21"/>
                <w:highlight w:val="none"/>
                <w:lang w:val="en-US" w:eastAsia="zh-CN"/>
              </w:rPr>
              <w:t>，猪舍、无害化处理车间、固粪处理区配备除臭墙除臭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21" w:hRule="atLeast"/>
          <w:jc w:val="center"/>
        </w:trPr>
        <w:tc>
          <w:tcPr>
            <w:tcW w:w="766" w:type="dxa"/>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1337" w:type="dxa"/>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1363"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H</w:t>
            </w:r>
            <w:r>
              <w:rPr>
                <w:rFonts w:cs="Times New Roman"/>
                <w:color w:val="auto"/>
                <w:sz w:val="21"/>
                <w:szCs w:val="21"/>
                <w:highlight w:val="none"/>
                <w:vertAlign w:val="subscript"/>
                <w:lang w:val="en-US" w:eastAsia="zh-CN"/>
              </w:rPr>
              <w:t>2</w:t>
            </w:r>
            <w:r>
              <w:rPr>
                <w:rFonts w:cs="Times New Roman"/>
                <w:color w:val="auto"/>
                <w:sz w:val="21"/>
                <w:szCs w:val="21"/>
                <w:highlight w:val="none"/>
                <w:lang w:val="en-US" w:eastAsia="zh-CN"/>
              </w:rPr>
              <w:t>S</w:t>
            </w:r>
          </w:p>
        </w:tc>
        <w:tc>
          <w:tcPr>
            <w:tcW w:w="1173"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w:t>
            </w:r>
          </w:p>
        </w:tc>
        <w:tc>
          <w:tcPr>
            <w:tcW w:w="1323"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0.44</w:t>
            </w:r>
          </w:p>
        </w:tc>
        <w:tc>
          <w:tcPr>
            <w:tcW w:w="1309"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0.351</w:t>
            </w:r>
          </w:p>
        </w:tc>
        <w:tc>
          <w:tcPr>
            <w:tcW w:w="1309"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w:t>
            </w:r>
          </w:p>
        </w:tc>
        <w:tc>
          <w:tcPr>
            <w:tcW w:w="1118"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0.089</w:t>
            </w:r>
          </w:p>
        </w:tc>
        <w:tc>
          <w:tcPr>
            <w:tcW w:w="4476" w:type="dxa"/>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PrEx>
        <w:trPr>
          <w:trHeight w:val="20" w:hRule="atLeast"/>
          <w:jc w:val="center"/>
        </w:trPr>
        <w:tc>
          <w:tcPr>
            <w:tcW w:w="766" w:type="dxa"/>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1337"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食堂</w:t>
            </w:r>
          </w:p>
        </w:tc>
        <w:tc>
          <w:tcPr>
            <w:tcW w:w="1363"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油烟</w:t>
            </w:r>
          </w:p>
        </w:tc>
        <w:tc>
          <w:tcPr>
            <w:tcW w:w="1173"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ascii="Times New Roman" w:eastAsia="宋体"/>
                <w:color w:val="auto"/>
                <w:sz w:val="21"/>
                <w:highlight w:val="none"/>
                <w:lang w:val="en-US" w:eastAsia="zh-CN"/>
              </w:rPr>
              <w:t>5.9</w:t>
            </w:r>
          </w:p>
        </w:tc>
        <w:tc>
          <w:tcPr>
            <w:tcW w:w="1323"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ascii="Times New Roman" w:eastAsia="宋体"/>
                <w:color w:val="auto"/>
                <w:sz w:val="21"/>
                <w:highlight w:val="none"/>
                <w:lang w:val="en-US" w:eastAsia="zh-CN"/>
              </w:rPr>
              <w:t>0.026</w:t>
            </w:r>
          </w:p>
        </w:tc>
        <w:tc>
          <w:tcPr>
            <w:tcW w:w="1309"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0.0234</w:t>
            </w:r>
          </w:p>
        </w:tc>
        <w:tc>
          <w:tcPr>
            <w:tcW w:w="1309"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ascii="Times New Roman" w:eastAsia="宋体"/>
                <w:color w:val="auto"/>
                <w:sz w:val="21"/>
                <w:highlight w:val="none"/>
                <w:lang w:val="en-US" w:eastAsia="zh-CN"/>
              </w:rPr>
              <w:t>0.59</w:t>
            </w:r>
          </w:p>
        </w:tc>
        <w:tc>
          <w:tcPr>
            <w:tcW w:w="1118"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ascii="Times New Roman" w:eastAsia="宋体"/>
                <w:color w:val="auto"/>
                <w:sz w:val="21"/>
                <w:highlight w:val="none"/>
                <w:lang w:val="en-US" w:eastAsia="zh-CN"/>
              </w:rPr>
              <w:t>0.0026</w:t>
            </w:r>
          </w:p>
        </w:tc>
        <w:tc>
          <w:tcPr>
            <w:tcW w:w="4476"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1套处理效率为90%的油烟净化装置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PrEx>
        <w:trPr>
          <w:trHeight w:val="297" w:hRule="atLeast"/>
          <w:jc w:val="center"/>
        </w:trPr>
        <w:tc>
          <w:tcPr>
            <w:tcW w:w="766" w:type="dxa"/>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1337" w:type="dxa"/>
            <w:vMerge w:val="restar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eastAsia="宋体"/>
                <w:color w:val="auto"/>
                <w:sz w:val="21"/>
                <w:highlight w:val="none"/>
                <w:lang w:eastAsia="zh-CN"/>
              </w:rPr>
              <w:t>无害化处理车间废气</w:t>
            </w:r>
          </w:p>
        </w:tc>
        <w:tc>
          <w:tcPr>
            <w:tcW w:w="1363"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NH</w:t>
            </w:r>
            <w:r>
              <w:rPr>
                <w:rFonts w:cs="Times New Roman"/>
                <w:color w:val="auto"/>
                <w:sz w:val="21"/>
                <w:szCs w:val="21"/>
                <w:highlight w:val="none"/>
                <w:vertAlign w:val="subscript"/>
                <w:lang w:val="en-US" w:eastAsia="zh-CN"/>
              </w:rPr>
              <w:t>3</w:t>
            </w:r>
          </w:p>
        </w:tc>
        <w:tc>
          <w:tcPr>
            <w:tcW w:w="1173" w:type="dxa"/>
            <w:tcBorders>
              <w:tl2br w:val="nil"/>
              <w:tr2bl w:val="nil"/>
            </w:tcBorders>
            <w:noWrap w:val="0"/>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cs="Times New Roman"/>
                <w:color w:val="auto"/>
                <w:sz w:val="21"/>
                <w:szCs w:val="21"/>
                <w:highlight w:val="none"/>
                <w:lang w:val="en-US" w:eastAsia="zh-CN"/>
              </w:rPr>
              <w:t>—</w:t>
            </w:r>
          </w:p>
        </w:tc>
        <w:tc>
          <w:tcPr>
            <w:tcW w:w="1323"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0.004</w:t>
            </w:r>
          </w:p>
        </w:tc>
        <w:tc>
          <w:tcPr>
            <w:tcW w:w="1309"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default" w:cs="Times New Roman"/>
                <w:color w:val="auto"/>
                <w:sz w:val="21"/>
                <w:szCs w:val="21"/>
                <w:highlight w:val="none"/>
                <w:lang w:val="en-US" w:eastAsia="zh-CN"/>
              </w:rPr>
              <w:t>0.0032</w:t>
            </w:r>
          </w:p>
        </w:tc>
        <w:tc>
          <w:tcPr>
            <w:tcW w:w="1309" w:type="dxa"/>
            <w:tcBorders>
              <w:tl2br w:val="nil"/>
              <w:tr2bl w:val="nil"/>
            </w:tcBorders>
            <w:noWrap w:val="0"/>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cs="Times New Roman"/>
                <w:color w:val="auto"/>
                <w:sz w:val="21"/>
                <w:szCs w:val="21"/>
                <w:highlight w:val="none"/>
                <w:lang w:val="en-US" w:eastAsia="zh-CN"/>
              </w:rPr>
              <w:t>—</w:t>
            </w:r>
          </w:p>
        </w:tc>
        <w:tc>
          <w:tcPr>
            <w:tcW w:w="1118"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0.0008</w:t>
            </w:r>
          </w:p>
        </w:tc>
        <w:tc>
          <w:tcPr>
            <w:tcW w:w="4476" w:type="dxa"/>
            <w:vMerge w:val="restart"/>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配备除臭墙除臭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766" w:type="dxa"/>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1337" w:type="dxa"/>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1363"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H</w:t>
            </w:r>
            <w:r>
              <w:rPr>
                <w:rFonts w:cs="Times New Roman"/>
                <w:color w:val="auto"/>
                <w:sz w:val="21"/>
                <w:szCs w:val="21"/>
                <w:highlight w:val="none"/>
                <w:vertAlign w:val="subscript"/>
                <w:lang w:val="en-US" w:eastAsia="zh-CN"/>
              </w:rPr>
              <w:t>2</w:t>
            </w:r>
            <w:r>
              <w:rPr>
                <w:rFonts w:cs="Times New Roman"/>
                <w:color w:val="auto"/>
                <w:sz w:val="21"/>
                <w:szCs w:val="21"/>
                <w:highlight w:val="none"/>
                <w:lang w:val="en-US" w:eastAsia="zh-CN"/>
              </w:rPr>
              <w:t>S</w:t>
            </w:r>
          </w:p>
        </w:tc>
        <w:tc>
          <w:tcPr>
            <w:tcW w:w="1173" w:type="dxa"/>
            <w:tcBorders>
              <w:tl2br w:val="nil"/>
              <w:tr2bl w:val="nil"/>
            </w:tcBorders>
            <w:noWrap w:val="0"/>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cs="Times New Roman"/>
                <w:color w:val="auto"/>
                <w:sz w:val="21"/>
                <w:szCs w:val="21"/>
                <w:highlight w:val="none"/>
                <w:lang w:val="en-US" w:eastAsia="zh-CN"/>
              </w:rPr>
              <w:t>—</w:t>
            </w:r>
          </w:p>
        </w:tc>
        <w:tc>
          <w:tcPr>
            <w:tcW w:w="1323"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0.0001</w:t>
            </w:r>
          </w:p>
        </w:tc>
        <w:tc>
          <w:tcPr>
            <w:tcW w:w="1309"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default" w:cs="Times New Roman"/>
                <w:color w:val="auto"/>
                <w:sz w:val="21"/>
                <w:szCs w:val="21"/>
                <w:highlight w:val="none"/>
                <w:lang w:val="en-US" w:eastAsia="zh-CN"/>
              </w:rPr>
              <w:t>0.00008</w:t>
            </w:r>
          </w:p>
        </w:tc>
        <w:tc>
          <w:tcPr>
            <w:tcW w:w="1309" w:type="dxa"/>
            <w:tcBorders>
              <w:tl2br w:val="nil"/>
              <w:tr2bl w:val="nil"/>
            </w:tcBorders>
            <w:noWrap w:val="0"/>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cs="Times New Roman"/>
                <w:color w:val="auto"/>
                <w:sz w:val="21"/>
                <w:szCs w:val="21"/>
                <w:highlight w:val="none"/>
                <w:lang w:val="en-US" w:eastAsia="zh-CN"/>
              </w:rPr>
              <w:t>—</w:t>
            </w:r>
          </w:p>
        </w:tc>
        <w:tc>
          <w:tcPr>
            <w:tcW w:w="1118"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0.00002</w:t>
            </w:r>
          </w:p>
        </w:tc>
        <w:tc>
          <w:tcPr>
            <w:tcW w:w="4476" w:type="dxa"/>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766" w:type="dxa"/>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1337" w:type="dxa"/>
            <w:vMerge w:val="restart"/>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hint="eastAsia" w:cs="Times New Roman"/>
                <w:color w:val="auto"/>
                <w:sz w:val="21"/>
                <w:szCs w:val="21"/>
                <w:highlight w:val="none"/>
                <w:lang w:val="en-US" w:eastAsia="zh-CN"/>
              </w:rPr>
              <w:t>沼气锅炉燃烧</w:t>
            </w:r>
          </w:p>
        </w:tc>
        <w:tc>
          <w:tcPr>
            <w:tcW w:w="1363"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NO</w:t>
            </w:r>
            <w:r>
              <w:rPr>
                <w:rFonts w:cs="Times New Roman"/>
                <w:color w:val="auto"/>
                <w:sz w:val="21"/>
                <w:szCs w:val="21"/>
                <w:highlight w:val="none"/>
                <w:vertAlign w:val="subscript"/>
                <w:lang w:val="en-US" w:eastAsia="zh-CN"/>
              </w:rPr>
              <w:t>X</w:t>
            </w:r>
          </w:p>
        </w:tc>
        <w:tc>
          <w:tcPr>
            <w:tcW w:w="1173" w:type="dxa"/>
            <w:tcBorders>
              <w:tl2br w:val="nil"/>
              <w:tr2bl w:val="nil"/>
            </w:tcBorders>
            <w:noWrap w:val="0"/>
            <w:vAlign w:val="center"/>
          </w:tcPr>
          <w:p>
            <w:pPr>
              <w:adjustRightInd w:val="0"/>
              <w:snapToGrid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b w:val="0"/>
                <w:bCs/>
                <w:color w:val="auto"/>
                <w:sz w:val="21"/>
                <w:szCs w:val="21"/>
                <w:highlight w:val="none"/>
                <w:lang w:val="en-US" w:eastAsia="zh-CN"/>
              </w:rPr>
              <w:t>63.7</w:t>
            </w:r>
          </w:p>
        </w:tc>
        <w:tc>
          <w:tcPr>
            <w:tcW w:w="1323" w:type="dxa"/>
            <w:tcBorders>
              <w:tl2br w:val="nil"/>
              <w:tr2bl w:val="nil"/>
            </w:tcBorders>
            <w:noWrap w:val="0"/>
            <w:vAlign w:val="center"/>
          </w:tcPr>
          <w:p>
            <w:pPr>
              <w:adjustRightInd w:val="0"/>
              <w:snapToGrid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b w:val="0"/>
                <w:bCs/>
                <w:color w:val="auto"/>
                <w:sz w:val="21"/>
                <w:szCs w:val="21"/>
                <w:highlight w:val="none"/>
                <w:lang w:val="en-US" w:eastAsia="zh-CN"/>
              </w:rPr>
              <w:t>0.0006</w:t>
            </w:r>
          </w:p>
        </w:tc>
        <w:tc>
          <w:tcPr>
            <w:tcW w:w="1309"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default" w:cs="Times New Roman"/>
                <w:b w:val="0"/>
                <w:bCs/>
                <w:color w:val="auto"/>
                <w:sz w:val="21"/>
                <w:szCs w:val="21"/>
                <w:highlight w:val="none"/>
                <w:lang w:val="en-US" w:eastAsia="zh-CN"/>
              </w:rPr>
              <w:t>0.</w:t>
            </w:r>
            <w:r>
              <w:rPr>
                <w:rFonts w:hint="eastAsia" w:cs="Times New Roman"/>
                <w:b w:val="0"/>
                <w:bCs/>
                <w:color w:val="auto"/>
                <w:sz w:val="21"/>
                <w:szCs w:val="21"/>
                <w:highlight w:val="none"/>
                <w:lang w:val="en-US" w:eastAsia="zh-CN"/>
              </w:rPr>
              <w:t>0005</w:t>
            </w:r>
          </w:p>
        </w:tc>
        <w:tc>
          <w:tcPr>
            <w:tcW w:w="1309" w:type="dxa"/>
            <w:tcBorders>
              <w:tl2br w:val="nil"/>
              <w:tr2bl w:val="nil"/>
            </w:tcBorders>
            <w:noWrap w:val="0"/>
            <w:vAlign w:val="center"/>
          </w:tcPr>
          <w:p>
            <w:pPr>
              <w:adjustRightInd w:val="0"/>
              <w:snapToGrid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b w:val="0"/>
                <w:bCs/>
                <w:color w:val="auto"/>
                <w:sz w:val="21"/>
                <w:szCs w:val="21"/>
                <w:highlight w:val="none"/>
                <w:lang w:val="en-US" w:eastAsia="zh-CN"/>
              </w:rPr>
              <w:t>12.74</w:t>
            </w:r>
          </w:p>
        </w:tc>
        <w:tc>
          <w:tcPr>
            <w:tcW w:w="1118" w:type="dxa"/>
            <w:tcBorders>
              <w:tl2br w:val="nil"/>
              <w:tr2bl w:val="nil"/>
            </w:tcBorders>
            <w:noWrap w:val="0"/>
            <w:vAlign w:val="center"/>
          </w:tcPr>
          <w:p>
            <w:pPr>
              <w:adjustRightInd w:val="0"/>
              <w:snapToGrid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b w:val="0"/>
                <w:bCs/>
                <w:color w:val="auto"/>
                <w:sz w:val="21"/>
                <w:szCs w:val="21"/>
                <w:highlight w:val="none"/>
                <w:lang w:val="en-US" w:eastAsia="zh-CN"/>
              </w:rPr>
              <w:t>0.0001</w:t>
            </w:r>
          </w:p>
        </w:tc>
        <w:tc>
          <w:tcPr>
            <w:tcW w:w="4476" w:type="dxa"/>
            <w:vMerge w:val="restart"/>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rPr>
            </w:pPr>
            <w:r>
              <w:rPr>
                <w:rFonts w:hint="default" w:cs="Times New Roman"/>
                <w:color w:val="auto"/>
                <w:sz w:val="21"/>
                <w:szCs w:val="21"/>
                <w:highlight w:val="none"/>
                <w:lang w:val="en-US"/>
              </w:rPr>
              <w:t>高效低氮燃烧器+烟气二次燃烧技术+8m高排气筒排放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PrEx>
        <w:trPr>
          <w:trHeight w:val="303" w:hRule="atLeast"/>
          <w:jc w:val="center"/>
        </w:trPr>
        <w:tc>
          <w:tcPr>
            <w:tcW w:w="766" w:type="dxa"/>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1337" w:type="dxa"/>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p>
        </w:tc>
        <w:tc>
          <w:tcPr>
            <w:tcW w:w="1363"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SO</w:t>
            </w:r>
            <w:r>
              <w:rPr>
                <w:rFonts w:cs="Times New Roman"/>
                <w:color w:val="auto"/>
                <w:sz w:val="21"/>
                <w:szCs w:val="21"/>
                <w:highlight w:val="none"/>
                <w:vertAlign w:val="subscript"/>
                <w:lang w:val="en-US" w:eastAsia="zh-CN"/>
              </w:rPr>
              <w:t>2</w:t>
            </w:r>
          </w:p>
        </w:tc>
        <w:tc>
          <w:tcPr>
            <w:tcW w:w="1173" w:type="dxa"/>
            <w:tcBorders>
              <w:tl2br w:val="nil"/>
              <w:tr2bl w:val="nil"/>
            </w:tcBorders>
            <w:noWrap w:val="0"/>
            <w:vAlign w:val="center"/>
          </w:tcPr>
          <w:p>
            <w:pPr>
              <w:adjustRightInd w:val="0"/>
              <w:snapToGrid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b w:val="0"/>
                <w:bCs/>
                <w:color w:val="auto"/>
                <w:sz w:val="21"/>
                <w:szCs w:val="21"/>
                <w:highlight w:val="none"/>
                <w:lang w:val="en-US" w:eastAsia="zh-CN"/>
              </w:rPr>
              <w:t>2.54</w:t>
            </w:r>
          </w:p>
        </w:tc>
        <w:tc>
          <w:tcPr>
            <w:tcW w:w="1323" w:type="dxa"/>
            <w:tcBorders>
              <w:tl2br w:val="nil"/>
              <w:tr2bl w:val="nil"/>
            </w:tcBorders>
            <w:noWrap w:val="0"/>
            <w:vAlign w:val="center"/>
          </w:tcPr>
          <w:p>
            <w:pPr>
              <w:adjustRightInd w:val="0"/>
              <w:snapToGrid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b w:val="0"/>
                <w:bCs/>
                <w:color w:val="auto"/>
                <w:sz w:val="21"/>
                <w:szCs w:val="21"/>
                <w:highlight w:val="none"/>
                <w:lang w:val="en-US" w:eastAsia="zh-CN"/>
              </w:rPr>
              <w:t>0.00002</w:t>
            </w:r>
          </w:p>
        </w:tc>
        <w:tc>
          <w:tcPr>
            <w:tcW w:w="1309"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default" w:cs="Times New Roman"/>
                <w:b w:val="0"/>
                <w:bCs/>
                <w:color w:val="auto"/>
                <w:sz w:val="21"/>
                <w:szCs w:val="21"/>
                <w:highlight w:val="none"/>
                <w:lang w:val="en-US" w:eastAsia="zh-CN"/>
              </w:rPr>
              <w:t>0</w:t>
            </w:r>
          </w:p>
        </w:tc>
        <w:tc>
          <w:tcPr>
            <w:tcW w:w="1309" w:type="dxa"/>
            <w:tcBorders>
              <w:tl2br w:val="nil"/>
              <w:tr2bl w:val="nil"/>
            </w:tcBorders>
            <w:noWrap w:val="0"/>
            <w:vAlign w:val="center"/>
          </w:tcPr>
          <w:p>
            <w:pPr>
              <w:adjustRightInd w:val="0"/>
              <w:snapToGrid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b w:val="0"/>
                <w:bCs/>
                <w:color w:val="auto"/>
                <w:sz w:val="21"/>
                <w:szCs w:val="21"/>
                <w:highlight w:val="none"/>
                <w:lang w:val="en-US" w:eastAsia="zh-CN"/>
              </w:rPr>
              <w:t>2.54</w:t>
            </w:r>
          </w:p>
        </w:tc>
        <w:tc>
          <w:tcPr>
            <w:tcW w:w="1118" w:type="dxa"/>
            <w:tcBorders>
              <w:tl2br w:val="nil"/>
              <w:tr2bl w:val="nil"/>
            </w:tcBorders>
            <w:noWrap w:val="0"/>
            <w:vAlign w:val="center"/>
          </w:tcPr>
          <w:p>
            <w:pPr>
              <w:adjustRightInd w:val="0"/>
              <w:snapToGrid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b w:val="0"/>
                <w:bCs/>
                <w:color w:val="auto"/>
                <w:sz w:val="21"/>
                <w:szCs w:val="21"/>
                <w:highlight w:val="none"/>
                <w:lang w:val="en-US" w:eastAsia="zh-CN"/>
              </w:rPr>
              <w:t>0.00002</w:t>
            </w:r>
          </w:p>
        </w:tc>
        <w:tc>
          <w:tcPr>
            <w:tcW w:w="4476" w:type="dxa"/>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PrEx>
        <w:trPr>
          <w:trHeight w:val="20" w:hRule="atLeast"/>
          <w:jc w:val="center"/>
        </w:trPr>
        <w:tc>
          <w:tcPr>
            <w:tcW w:w="766" w:type="dxa"/>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1337" w:type="dxa"/>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p>
        </w:tc>
        <w:tc>
          <w:tcPr>
            <w:tcW w:w="1363"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1173" w:type="dxa"/>
            <w:tcBorders>
              <w:tl2br w:val="nil"/>
              <w:tr2bl w:val="nil"/>
            </w:tcBorders>
            <w:noWrap w:val="0"/>
            <w:vAlign w:val="center"/>
          </w:tcPr>
          <w:p>
            <w:pPr>
              <w:adjustRightInd w:val="0"/>
              <w:snapToGrid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b w:val="0"/>
                <w:bCs/>
                <w:color w:val="auto"/>
                <w:sz w:val="21"/>
                <w:szCs w:val="21"/>
                <w:highlight w:val="none"/>
                <w:lang w:val="en-US" w:eastAsia="zh-CN"/>
              </w:rPr>
              <w:t>4.8</w:t>
            </w:r>
          </w:p>
        </w:tc>
        <w:tc>
          <w:tcPr>
            <w:tcW w:w="1323" w:type="dxa"/>
            <w:tcBorders>
              <w:tl2br w:val="nil"/>
              <w:tr2bl w:val="nil"/>
            </w:tcBorders>
            <w:noWrap w:val="0"/>
            <w:vAlign w:val="center"/>
          </w:tcPr>
          <w:p>
            <w:pPr>
              <w:adjustRightInd w:val="0"/>
              <w:snapToGrid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b w:val="0"/>
                <w:bCs/>
                <w:color w:val="auto"/>
                <w:sz w:val="21"/>
                <w:szCs w:val="21"/>
                <w:highlight w:val="none"/>
                <w:lang w:val="en-US" w:eastAsia="zh-CN"/>
              </w:rPr>
              <w:t>0.00004</w:t>
            </w:r>
          </w:p>
        </w:tc>
        <w:tc>
          <w:tcPr>
            <w:tcW w:w="1309"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default" w:cs="Times New Roman"/>
                <w:b w:val="0"/>
                <w:bCs/>
                <w:color w:val="auto"/>
                <w:sz w:val="21"/>
                <w:szCs w:val="21"/>
                <w:highlight w:val="none"/>
                <w:lang w:val="en-US" w:eastAsia="zh-CN"/>
              </w:rPr>
              <w:t>0</w:t>
            </w:r>
          </w:p>
        </w:tc>
        <w:tc>
          <w:tcPr>
            <w:tcW w:w="1309" w:type="dxa"/>
            <w:tcBorders>
              <w:tl2br w:val="nil"/>
              <w:tr2bl w:val="nil"/>
            </w:tcBorders>
            <w:noWrap w:val="0"/>
            <w:vAlign w:val="center"/>
          </w:tcPr>
          <w:p>
            <w:pPr>
              <w:adjustRightInd w:val="0"/>
              <w:snapToGrid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b w:val="0"/>
                <w:bCs/>
                <w:color w:val="auto"/>
                <w:sz w:val="21"/>
                <w:szCs w:val="21"/>
                <w:highlight w:val="none"/>
                <w:lang w:val="en-US" w:eastAsia="zh-CN"/>
              </w:rPr>
              <w:t>4.8</w:t>
            </w:r>
          </w:p>
        </w:tc>
        <w:tc>
          <w:tcPr>
            <w:tcW w:w="1118" w:type="dxa"/>
            <w:tcBorders>
              <w:tl2br w:val="nil"/>
              <w:tr2bl w:val="nil"/>
            </w:tcBorders>
            <w:noWrap w:val="0"/>
            <w:vAlign w:val="center"/>
          </w:tcPr>
          <w:p>
            <w:pPr>
              <w:adjustRightInd w:val="0"/>
              <w:snapToGrid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b w:val="0"/>
                <w:bCs/>
                <w:color w:val="auto"/>
                <w:sz w:val="21"/>
                <w:szCs w:val="21"/>
                <w:highlight w:val="none"/>
                <w:lang w:val="en-US" w:eastAsia="zh-CN"/>
              </w:rPr>
              <w:t>0.00004</w:t>
            </w:r>
          </w:p>
        </w:tc>
        <w:tc>
          <w:tcPr>
            <w:tcW w:w="4476" w:type="dxa"/>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PrEx>
        <w:trPr>
          <w:trHeight w:val="20" w:hRule="atLeast"/>
          <w:jc w:val="center"/>
        </w:trPr>
        <w:tc>
          <w:tcPr>
            <w:tcW w:w="766" w:type="dxa"/>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1337" w:type="dxa"/>
            <w:vMerge w:val="restart"/>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hint="eastAsia" w:cs="Times New Roman"/>
                <w:color w:val="auto"/>
                <w:sz w:val="21"/>
                <w:szCs w:val="21"/>
                <w:highlight w:val="none"/>
                <w:lang w:val="en-US" w:eastAsia="zh-CN"/>
              </w:rPr>
              <w:t>火炬燃烧废气</w:t>
            </w:r>
          </w:p>
        </w:tc>
        <w:tc>
          <w:tcPr>
            <w:tcW w:w="1363" w:type="dxa"/>
            <w:tcBorders>
              <w:tl2br w:val="nil"/>
              <w:tr2bl w:val="nil"/>
            </w:tcBorders>
            <w:noWrap w:val="0"/>
            <w:vAlign w:val="center"/>
          </w:tcPr>
          <w:p>
            <w:pPr>
              <w:adjustRightInd w:val="0"/>
              <w:snapToGrid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b w:val="0"/>
                <w:bCs/>
                <w:color w:val="auto"/>
                <w:sz w:val="21"/>
                <w:szCs w:val="21"/>
                <w:highlight w:val="none"/>
              </w:rPr>
              <w:t>NO</w:t>
            </w:r>
            <w:r>
              <w:rPr>
                <w:rFonts w:hint="eastAsia" w:cs="Times New Roman"/>
                <w:b w:val="0"/>
                <w:bCs/>
                <w:color w:val="auto"/>
                <w:sz w:val="21"/>
                <w:szCs w:val="21"/>
                <w:highlight w:val="none"/>
                <w:vertAlign w:val="subscript"/>
              </w:rPr>
              <w:t>X</w:t>
            </w:r>
          </w:p>
        </w:tc>
        <w:tc>
          <w:tcPr>
            <w:tcW w:w="1173"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78.63</w:t>
            </w:r>
          </w:p>
        </w:tc>
        <w:tc>
          <w:tcPr>
            <w:tcW w:w="1323"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0.387</w:t>
            </w:r>
          </w:p>
        </w:tc>
        <w:tc>
          <w:tcPr>
            <w:tcW w:w="1309"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0.31</w:t>
            </w:r>
          </w:p>
        </w:tc>
        <w:tc>
          <w:tcPr>
            <w:tcW w:w="1309"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15.73</w:t>
            </w:r>
          </w:p>
        </w:tc>
        <w:tc>
          <w:tcPr>
            <w:tcW w:w="1118"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0.077</w:t>
            </w:r>
          </w:p>
        </w:tc>
        <w:tc>
          <w:tcPr>
            <w:tcW w:w="4476" w:type="dxa"/>
            <w:vMerge w:val="restar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3m火炬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PrEx>
        <w:trPr>
          <w:trHeight w:val="20" w:hRule="atLeast"/>
          <w:jc w:val="center"/>
        </w:trPr>
        <w:tc>
          <w:tcPr>
            <w:tcW w:w="766" w:type="dxa"/>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1337" w:type="dxa"/>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p>
        </w:tc>
        <w:tc>
          <w:tcPr>
            <w:tcW w:w="1363" w:type="dxa"/>
            <w:tcBorders>
              <w:tl2br w:val="nil"/>
              <w:tr2bl w:val="nil"/>
            </w:tcBorders>
            <w:noWrap w:val="0"/>
            <w:vAlign w:val="center"/>
          </w:tcPr>
          <w:p>
            <w:pPr>
              <w:adjustRightInd w:val="0"/>
              <w:snapToGrid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b w:val="0"/>
                <w:bCs/>
                <w:color w:val="auto"/>
                <w:sz w:val="21"/>
                <w:szCs w:val="21"/>
                <w:highlight w:val="none"/>
              </w:rPr>
              <w:t>SO</w:t>
            </w:r>
            <w:r>
              <w:rPr>
                <w:rFonts w:hint="eastAsia" w:cs="Times New Roman"/>
                <w:b w:val="0"/>
                <w:bCs/>
                <w:color w:val="auto"/>
                <w:sz w:val="21"/>
                <w:szCs w:val="21"/>
                <w:highlight w:val="none"/>
                <w:vertAlign w:val="subscript"/>
              </w:rPr>
              <w:t>2</w:t>
            </w:r>
          </w:p>
        </w:tc>
        <w:tc>
          <w:tcPr>
            <w:tcW w:w="1173"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2.85</w:t>
            </w:r>
          </w:p>
        </w:tc>
        <w:tc>
          <w:tcPr>
            <w:tcW w:w="1323"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0.014</w:t>
            </w:r>
          </w:p>
        </w:tc>
        <w:tc>
          <w:tcPr>
            <w:tcW w:w="1309"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w:t>
            </w:r>
          </w:p>
        </w:tc>
        <w:tc>
          <w:tcPr>
            <w:tcW w:w="1309"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2.85</w:t>
            </w:r>
          </w:p>
        </w:tc>
        <w:tc>
          <w:tcPr>
            <w:tcW w:w="1118"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0.014</w:t>
            </w:r>
          </w:p>
        </w:tc>
        <w:tc>
          <w:tcPr>
            <w:tcW w:w="4476" w:type="dxa"/>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PrEx>
        <w:trPr>
          <w:trHeight w:val="20" w:hRule="atLeast"/>
          <w:jc w:val="center"/>
        </w:trPr>
        <w:tc>
          <w:tcPr>
            <w:tcW w:w="766" w:type="dxa"/>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1337" w:type="dxa"/>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p>
        </w:tc>
        <w:tc>
          <w:tcPr>
            <w:tcW w:w="1363" w:type="dxa"/>
            <w:tcBorders>
              <w:tl2br w:val="nil"/>
              <w:tr2bl w:val="nil"/>
            </w:tcBorders>
            <w:noWrap w:val="0"/>
            <w:vAlign w:val="center"/>
          </w:tcPr>
          <w:p>
            <w:pPr>
              <w:adjustRightInd w:val="0"/>
              <w:snapToGrid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b w:val="0"/>
                <w:bCs/>
                <w:color w:val="auto"/>
                <w:sz w:val="21"/>
                <w:szCs w:val="21"/>
                <w:highlight w:val="none"/>
              </w:rPr>
              <w:t>颗粒物</w:t>
            </w:r>
          </w:p>
        </w:tc>
        <w:tc>
          <w:tcPr>
            <w:tcW w:w="1173"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4.8</w:t>
            </w:r>
          </w:p>
        </w:tc>
        <w:tc>
          <w:tcPr>
            <w:tcW w:w="1323"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0.024</w:t>
            </w:r>
          </w:p>
        </w:tc>
        <w:tc>
          <w:tcPr>
            <w:tcW w:w="1309"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w:t>
            </w:r>
          </w:p>
        </w:tc>
        <w:tc>
          <w:tcPr>
            <w:tcW w:w="1309"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4.8</w:t>
            </w:r>
          </w:p>
        </w:tc>
        <w:tc>
          <w:tcPr>
            <w:tcW w:w="1118"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0.024</w:t>
            </w:r>
          </w:p>
        </w:tc>
        <w:tc>
          <w:tcPr>
            <w:tcW w:w="4476" w:type="dxa"/>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PrEx>
        <w:trPr>
          <w:trHeight w:val="20" w:hRule="atLeast"/>
          <w:jc w:val="center"/>
        </w:trPr>
        <w:tc>
          <w:tcPr>
            <w:tcW w:w="2103" w:type="dxa"/>
            <w:gridSpan w:val="2"/>
            <w:vMerge w:val="restart"/>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废水</w:t>
            </w:r>
          </w:p>
        </w:tc>
        <w:tc>
          <w:tcPr>
            <w:tcW w:w="1363"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废水量</w:t>
            </w:r>
          </w:p>
        </w:tc>
        <w:tc>
          <w:tcPr>
            <w:tcW w:w="1173"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w:t>
            </w:r>
          </w:p>
        </w:tc>
        <w:tc>
          <w:tcPr>
            <w:tcW w:w="1323" w:type="dxa"/>
            <w:tcBorders>
              <w:tl2br w:val="nil"/>
              <w:tr2bl w:val="nil"/>
            </w:tcBorders>
            <w:noWrap w:val="0"/>
            <w:vAlign w:val="center"/>
          </w:tcPr>
          <w:p>
            <w:pPr>
              <w:spacing w:line="240" w:lineRule="auto"/>
              <w:ind w:firstLine="0" w:firstLineChars="0"/>
              <w:jc w:val="center"/>
              <w:rPr>
                <w:rFonts w:hint="eastAsia" w:ascii="Times New Roman" w:eastAsia="宋体"/>
                <w:color w:val="auto"/>
                <w:sz w:val="21"/>
                <w:highlight w:val="none"/>
                <w:lang w:val="en-US" w:eastAsia="zh-CN"/>
              </w:rPr>
            </w:pPr>
            <w:r>
              <w:rPr>
                <w:rFonts w:hint="default" w:ascii="Times New Roman" w:eastAsia="宋体"/>
                <w:color w:val="auto"/>
                <w:sz w:val="21"/>
                <w:highlight w:val="none"/>
                <w:lang w:val="en-US" w:eastAsia="zh-CN"/>
              </w:rPr>
              <w:t>101283.348</w:t>
            </w:r>
          </w:p>
        </w:tc>
        <w:tc>
          <w:tcPr>
            <w:tcW w:w="1309" w:type="dxa"/>
            <w:tcBorders>
              <w:tl2br w:val="nil"/>
              <w:tr2bl w:val="nil"/>
            </w:tcBorders>
            <w:noWrap w:val="0"/>
            <w:vAlign w:val="center"/>
          </w:tcPr>
          <w:p>
            <w:pPr>
              <w:adjustRightInd w:val="0"/>
              <w:snapToGrid w:val="0"/>
              <w:spacing w:line="240" w:lineRule="auto"/>
              <w:ind w:firstLine="0" w:firstLineChars="0"/>
              <w:jc w:val="center"/>
              <w:rPr>
                <w:rFonts w:hint="eastAsia" w:cs="Times New Roman"/>
                <w:b w:val="0"/>
                <w:bCs/>
                <w:color w:val="auto"/>
                <w:sz w:val="21"/>
                <w:szCs w:val="21"/>
                <w:highlight w:val="none"/>
                <w:lang w:val="en-US" w:eastAsia="zh-CN"/>
              </w:rPr>
            </w:pPr>
            <w:r>
              <w:rPr>
                <w:rFonts w:hint="default" w:cs="Times New Roman"/>
                <w:b w:val="0"/>
                <w:bCs/>
                <w:color w:val="auto"/>
                <w:sz w:val="21"/>
                <w:szCs w:val="21"/>
                <w:highlight w:val="none"/>
                <w:lang w:val="en-US" w:eastAsia="zh-CN"/>
              </w:rPr>
              <w:t>101283.348</w:t>
            </w:r>
          </w:p>
        </w:tc>
        <w:tc>
          <w:tcPr>
            <w:tcW w:w="1309" w:type="dxa"/>
            <w:tcBorders>
              <w:tl2br w:val="nil"/>
              <w:tr2bl w:val="nil"/>
            </w:tcBorders>
            <w:noWrap w:val="0"/>
            <w:vAlign w:val="center"/>
          </w:tcPr>
          <w:p>
            <w:pPr>
              <w:spacing w:line="240" w:lineRule="auto"/>
              <w:ind w:firstLine="0" w:firstLineChars="0"/>
              <w:jc w:val="center"/>
              <w:rPr>
                <w:rFonts w:hint="eastAsia" w:ascii="Times New Roman" w:eastAsia="宋体"/>
                <w:color w:val="auto"/>
                <w:sz w:val="21"/>
                <w:highlight w:val="none"/>
                <w:lang w:val="en-US" w:eastAsia="zh-CN"/>
              </w:rPr>
            </w:pPr>
            <w:r>
              <w:rPr>
                <w:rFonts w:hint="eastAsia" w:ascii="Times New Roman" w:eastAsia="宋体"/>
                <w:color w:val="auto"/>
                <w:sz w:val="21"/>
                <w:highlight w:val="none"/>
                <w:lang w:val="en-US" w:eastAsia="zh-CN"/>
              </w:rPr>
              <w:t>—</w:t>
            </w:r>
          </w:p>
        </w:tc>
        <w:tc>
          <w:tcPr>
            <w:tcW w:w="1118"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0</w:t>
            </w:r>
          </w:p>
        </w:tc>
        <w:tc>
          <w:tcPr>
            <w:tcW w:w="4476" w:type="dxa"/>
            <w:vMerge w:val="restart"/>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经</w:t>
            </w:r>
            <w:r>
              <w:rPr>
                <w:rFonts w:hint="eastAsia" w:cs="Times New Roman"/>
                <w:color w:val="auto"/>
                <w:sz w:val="21"/>
                <w:szCs w:val="21"/>
                <w:highlight w:val="none"/>
                <w:lang w:val="en-US" w:eastAsia="zh-CN"/>
              </w:rPr>
              <w:t>黑膜</w:t>
            </w:r>
            <w:r>
              <w:rPr>
                <w:rFonts w:cs="Times New Roman"/>
                <w:color w:val="auto"/>
                <w:sz w:val="21"/>
                <w:szCs w:val="21"/>
                <w:highlight w:val="none"/>
                <w:lang w:val="en-US" w:eastAsia="zh-CN"/>
              </w:rPr>
              <w:t>沼气池处理后，做农肥使用</w:t>
            </w:r>
            <w:r>
              <w:rPr>
                <w:rFonts w:hint="eastAsia" w:cs="Times New Roman"/>
                <w:color w:val="auto"/>
                <w:sz w:val="21"/>
                <w:szCs w:val="21"/>
                <w:highlight w:val="none"/>
                <w:lang w:val="en-US" w:eastAsia="zh-CN"/>
              </w:rPr>
              <w:t>，</w:t>
            </w:r>
            <w:r>
              <w:rPr>
                <w:rFonts w:cs="Times New Roman"/>
                <w:color w:val="auto"/>
                <w:sz w:val="21"/>
                <w:szCs w:val="21"/>
                <w:highlight w:val="none"/>
                <w:lang w:val="en-US" w:eastAsia="zh-CN"/>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2103" w:type="dxa"/>
            <w:gridSpan w:val="2"/>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1363"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COD</w:t>
            </w:r>
          </w:p>
        </w:tc>
        <w:tc>
          <w:tcPr>
            <w:tcW w:w="117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color w:val="auto"/>
                <w:sz w:val="21"/>
                <w:szCs w:val="21"/>
                <w:highlight w:val="none"/>
                <w:lang w:val="en-US" w:eastAsia="zh-CN"/>
              </w:rPr>
            </w:pPr>
            <w:r>
              <w:rPr>
                <w:rFonts w:hint="default" w:cs="Times New Roman"/>
                <w:bCs/>
                <w:color w:val="auto"/>
                <w:spacing w:val="2"/>
                <w:sz w:val="21"/>
                <w:highlight w:val="none"/>
                <w:lang w:val="en-US" w:eastAsia="zh-CN"/>
              </w:rPr>
              <w:t>14468.6</w:t>
            </w:r>
            <w:r>
              <w:rPr>
                <w:rFonts w:hint="eastAsia" w:cs="Times New Roman"/>
                <w:bCs/>
                <w:color w:val="auto"/>
                <w:spacing w:val="2"/>
                <w:sz w:val="21"/>
                <w:highlight w:val="none"/>
                <w:lang w:val="en-US" w:eastAsia="zh-CN"/>
              </w:rPr>
              <w:t>2</w:t>
            </w:r>
          </w:p>
        </w:tc>
        <w:tc>
          <w:tcPr>
            <w:tcW w:w="132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color w:val="auto"/>
                <w:sz w:val="21"/>
                <w:szCs w:val="21"/>
                <w:highlight w:val="none"/>
                <w:lang w:val="en-US" w:eastAsia="zh-CN"/>
              </w:rPr>
            </w:pPr>
            <w:r>
              <w:rPr>
                <w:rFonts w:hint="default" w:cs="Times New Roman"/>
                <w:bCs/>
                <w:color w:val="auto"/>
                <w:spacing w:val="2"/>
                <w:sz w:val="21"/>
                <w:highlight w:val="none"/>
                <w:lang w:val="en-US" w:eastAsia="zh-CN"/>
              </w:rPr>
              <w:t>1465.43</w:t>
            </w:r>
          </w:p>
        </w:tc>
        <w:tc>
          <w:tcPr>
            <w:tcW w:w="1309"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default" w:cs="Times New Roman"/>
                <w:b w:val="0"/>
                <w:bCs/>
                <w:color w:val="auto"/>
                <w:sz w:val="21"/>
                <w:szCs w:val="21"/>
                <w:highlight w:val="none"/>
                <w:lang w:val="en-US" w:eastAsia="zh-CN"/>
              </w:rPr>
              <w:t>1161.58</w:t>
            </w:r>
          </w:p>
        </w:tc>
        <w:tc>
          <w:tcPr>
            <w:tcW w:w="1309" w:type="dxa"/>
            <w:tcBorders>
              <w:tl2br w:val="nil"/>
              <w:tr2bl w:val="nil"/>
            </w:tcBorders>
            <w:noWrap w:val="0"/>
            <w:vAlign w:val="center"/>
          </w:tcPr>
          <w:p>
            <w:pPr>
              <w:spacing w:line="240" w:lineRule="auto"/>
              <w:ind w:right="-20" w:rightChars="0" w:firstLine="0" w:firstLineChars="0"/>
              <w:jc w:val="center"/>
              <w:rPr>
                <w:rFonts w:hint="eastAsia" w:cs="Times New Roman"/>
                <w:color w:val="auto"/>
                <w:sz w:val="21"/>
                <w:szCs w:val="21"/>
                <w:highlight w:val="none"/>
                <w:lang w:val="en-US" w:eastAsia="zh-CN"/>
              </w:rPr>
            </w:pPr>
            <w:r>
              <w:rPr>
                <w:rFonts w:hint="default" w:cs="Times New Roman"/>
                <w:bCs/>
                <w:color w:val="auto"/>
                <w:spacing w:val="2"/>
                <w:sz w:val="21"/>
                <w:highlight w:val="none"/>
                <w:lang w:val="en-US" w:eastAsia="zh-CN"/>
              </w:rPr>
              <w:t>3000</w:t>
            </w:r>
          </w:p>
        </w:tc>
        <w:tc>
          <w:tcPr>
            <w:tcW w:w="11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cs="Times New Roman"/>
                <w:color w:val="auto"/>
                <w:sz w:val="21"/>
                <w:szCs w:val="21"/>
                <w:highlight w:val="none"/>
                <w:lang w:val="en-US" w:eastAsia="zh-CN"/>
              </w:rPr>
            </w:pPr>
            <w:r>
              <w:rPr>
                <w:rFonts w:hint="default" w:cs="Times New Roman"/>
                <w:bCs/>
                <w:color w:val="auto"/>
                <w:spacing w:val="2"/>
                <w:sz w:val="21"/>
                <w:highlight w:val="none"/>
                <w:lang w:val="en-US" w:eastAsia="zh-CN"/>
              </w:rPr>
              <w:t>303.85</w:t>
            </w:r>
          </w:p>
        </w:tc>
        <w:tc>
          <w:tcPr>
            <w:tcW w:w="4476" w:type="dxa"/>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PrEx>
        <w:trPr>
          <w:trHeight w:val="20" w:hRule="atLeast"/>
          <w:jc w:val="center"/>
        </w:trPr>
        <w:tc>
          <w:tcPr>
            <w:tcW w:w="2103" w:type="dxa"/>
            <w:gridSpan w:val="2"/>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1363"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BOD</w:t>
            </w:r>
            <w:r>
              <w:rPr>
                <w:rFonts w:cs="Times New Roman"/>
                <w:color w:val="auto"/>
                <w:sz w:val="21"/>
                <w:szCs w:val="21"/>
                <w:highlight w:val="none"/>
                <w:vertAlign w:val="subscript"/>
                <w:lang w:val="en-US" w:eastAsia="zh-CN"/>
              </w:rPr>
              <w:t>5</w:t>
            </w:r>
          </w:p>
        </w:tc>
        <w:tc>
          <w:tcPr>
            <w:tcW w:w="117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color w:val="auto"/>
                <w:sz w:val="21"/>
                <w:szCs w:val="21"/>
                <w:highlight w:val="none"/>
                <w:lang w:val="en-US" w:eastAsia="zh-CN"/>
              </w:rPr>
            </w:pPr>
            <w:r>
              <w:rPr>
                <w:rFonts w:hint="default" w:cs="Times New Roman"/>
                <w:bCs/>
                <w:color w:val="auto"/>
                <w:spacing w:val="2"/>
                <w:sz w:val="21"/>
                <w:highlight w:val="none"/>
                <w:lang w:val="en-US" w:eastAsia="zh-CN"/>
              </w:rPr>
              <w:t>5788.8</w:t>
            </w:r>
            <w:r>
              <w:rPr>
                <w:rFonts w:hint="eastAsia" w:cs="Times New Roman"/>
                <w:bCs/>
                <w:color w:val="auto"/>
                <w:spacing w:val="2"/>
                <w:sz w:val="21"/>
                <w:highlight w:val="none"/>
                <w:lang w:val="en-US" w:eastAsia="zh-CN"/>
              </w:rPr>
              <w:t>1</w:t>
            </w:r>
          </w:p>
        </w:tc>
        <w:tc>
          <w:tcPr>
            <w:tcW w:w="132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color w:val="auto"/>
                <w:sz w:val="21"/>
                <w:szCs w:val="21"/>
                <w:highlight w:val="none"/>
                <w:lang w:val="en-US" w:eastAsia="zh-CN"/>
              </w:rPr>
            </w:pPr>
            <w:r>
              <w:rPr>
                <w:rFonts w:hint="default" w:cs="Times New Roman"/>
                <w:bCs/>
                <w:color w:val="auto"/>
                <w:spacing w:val="2"/>
                <w:sz w:val="21"/>
                <w:highlight w:val="none"/>
                <w:lang w:val="en-US" w:eastAsia="zh-CN"/>
              </w:rPr>
              <w:t>586.31</w:t>
            </w:r>
          </w:p>
        </w:tc>
        <w:tc>
          <w:tcPr>
            <w:tcW w:w="1309"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default" w:cs="Times New Roman"/>
                <w:b w:val="0"/>
                <w:bCs/>
                <w:color w:val="auto"/>
                <w:sz w:val="21"/>
                <w:szCs w:val="21"/>
                <w:highlight w:val="none"/>
                <w:lang w:val="en-US" w:eastAsia="zh-CN"/>
              </w:rPr>
              <w:t>444.51</w:t>
            </w:r>
          </w:p>
        </w:tc>
        <w:tc>
          <w:tcPr>
            <w:tcW w:w="1309" w:type="dxa"/>
            <w:tcBorders>
              <w:tl2br w:val="nil"/>
              <w:tr2bl w:val="nil"/>
            </w:tcBorders>
            <w:noWrap w:val="0"/>
            <w:vAlign w:val="center"/>
          </w:tcPr>
          <w:p>
            <w:pPr>
              <w:spacing w:line="240" w:lineRule="auto"/>
              <w:ind w:right="-20" w:rightChars="0" w:firstLine="0" w:firstLineChars="0"/>
              <w:jc w:val="center"/>
              <w:rPr>
                <w:rFonts w:hint="eastAsia" w:cs="Times New Roman"/>
                <w:color w:val="auto"/>
                <w:sz w:val="21"/>
                <w:szCs w:val="21"/>
                <w:highlight w:val="none"/>
                <w:lang w:val="en-US" w:eastAsia="zh-CN"/>
              </w:rPr>
            </w:pPr>
            <w:r>
              <w:rPr>
                <w:rFonts w:hint="default" w:cs="Times New Roman"/>
                <w:bCs/>
                <w:color w:val="auto"/>
                <w:spacing w:val="2"/>
                <w:sz w:val="21"/>
                <w:highlight w:val="none"/>
                <w:lang w:val="en-US" w:eastAsia="zh-CN"/>
              </w:rPr>
              <w:t>1400</w:t>
            </w:r>
          </w:p>
        </w:tc>
        <w:tc>
          <w:tcPr>
            <w:tcW w:w="11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cs="Times New Roman"/>
                <w:color w:val="auto"/>
                <w:sz w:val="21"/>
                <w:szCs w:val="21"/>
                <w:highlight w:val="none"/>
                <w:lang w:val="en-US" w:eastAsia="zh-CN"/>
              </w:rPr>
            </w:pPr>
            <w:r>
              <w:rPr>
                <w:rFonts w:hint="default" w:cs="Times New Roman"/>
                <w:bCs/>
                <w:color w:val="auto"/>
                <w:spacing w:val="2"/>
                <w:sz w:val="21"/>
                <w:highlight w:val="none"/>
                <w:lang w:val="en-US" w:eastAsia="zh-CN"/>
              </w:rPr>
              <w:t>141.</w:t>
            </w:r>
            <w:r>
              <w:rPr>
                <w:rFonts w:hint="eastAsia" w:cs="Times New Roman"/>
                <w:bCs/>
                <w:color w:val="auto"/>
                <w:spacing w:val="2"/>
                <w:sz w:val="21"/>
                <w:highlight w:val="none"/>
                <w:lang w:val="en-US" w:eastAsia="zh-CN"/>
              </w:rPr>
              <w:t>80</w:t>
            </w:r>
          </w:p>
        </w:tc>
        <w:tc>
          <w:tcPr>
            <w:tcW w:w="4476" w:type="dxa"/>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PrEx>
        <w:trPr>
          <w:trHeight w:val="20" w:hRule="atLeast"/>
          <w:jc w:val="center"/>
        </w:trPr>
        <w:tc>
          <w:tcPr>
            <w:tcW w:w="2103" w:type="dxa"/>
            <w:gridSpan w:val="2"/>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1363"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SS</w:t>
            </w:r>
          </w:p>
        </w:tc>
        <w:tc>
          <w:tcPr>
            <w:tcW w:w="117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color w:val="auto"/>
                <w:sz w:val="21"/>
                <w:szCs w:val="21"/>
                <w:highlight w:val="none"/>
                <w:lang w:val="en-US" w:eastAsia="zh-CN"/>
              </w:rPr>
            </w:pPr>
            <w:r>
              <w:rPr>
                <w:rFonts w:hint="default" w:cs="Times New Roman"/>
                <w:bCs/>
                <w:color w:val="auto"/>
                <w:spacing w:val="2"/>
                <w:sz w:val="21"/>
                <w:highlight w:val="none"/>
                <w:lang w:val="en-US" w:eastAsia="zh-CN"/>
              </w:rPr>
              <w:t>7524.73</w:t>
            </w:r>
          </w:p>
        </w:tc>
        <w:tc>
          <w:tcPr>
            <w:tcW w:w="132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color w:val="auto"/>
                <w:sz w:val="21"/>
                <w:szCs w:val="21"/>
                <w:highlight w:val="none"/>
                <w:lang w:val="en-US" w:eastAsia="zh-CN"/>
              </w:rPr>
            </w:pPr>
            <w:r>
              <w:rPr>
                <w:rFonts w:hint="default" w:cs="Times New Roman"/>
                <w:bCs/>
                <w:color w:val="auto"/>
                <w:spacing w:val="2"/>
                <w:sz w:val="21"/>
                <w:highlight w:val="none"/>
                <w:lang w:val="en-US" w:eastAsia="zh-CN"/>
              </w:rPr>
              <w:t>762.13</w:t>
            </w:r>
          </w:p>
        </w:tc>
        <w:tc>
          <w:tcPr>
            <w:tcW w:w="1309"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default" w:cs="Times New Roman"/>
                <w:b w:val="0"/>
                <w:bCs/>
                <w:color w:val="auto"/>
                <w:sz w:val="21"/>
                <w:szCs w:val="21"/>
                <w:highlight w:val="none"/>
                <w:lang w:val="en-US" w:eastAsia="zh-CN"/>
              </w:rPr>
              <w:t>559.56</w:t>
            </w:r>
          </w:p>
        </w:tc>
        <w:tc>
          <w:tcPr>
            <w:tcW w:w="1309" w:type="dxa"/>
            <w:tcBorders>
              <w:tl2br w:val="nil"/>
              <w:tr2bl w:val="nil"/>
            </w:tcBorders>
            <w:noWrap w:val="0"/>
            <w:vAlign w:val="center"/>
          </w:tcPr>
          <w:p>
            <w:pPr>
              <w:spacing w:line="240" w:lineRule="auto"/>
              <w:ind w:right="-20" w:rightChars="0" w:firstLine="0" w:firstLineChars="0"/>
              <w:jc w:val="center"/>
              <w:rPr>
                <w:rFonts w:hint="default" w:cs="Times New Roman"/>
                <w:color w:val="auto"/>
                <w:sz w:val="21"/>
                <w:szCs w:val="21"/>
                <w:highlight w:val="none"/>
                <w:lang w:val="en-US" w:eastAsia="zh-CN"/>
              </w:rPr>
            </w:pPr>
            <w:r>
              <w:rPr>
                <w:rFonts w:hint="default" w:cs="Times New Roman"/>
                <w:bCs/>
                <w:color w:val="auto"/>
                <w:spacing w:val="2"/>
                <w:sz w:val="21"/>
                <w:highlight w:val="none"/>
                <w:lang w:val="en-US" w:eastAsia="zh-CN"/>
              </w:rPr>
              <w:t>2000</w:t>
            </w:r>
          </w:p>
        </w:tc>
        <w:tc>
          <w:tcPr>
            <w:tcW w:w="11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color w:val="auto"/>
                <w:sz w:val="21"/>
                <w:szCs w:val="21"/>
                <w:highlight w:val="none"/>
                <w:lang w:val="en-US" w:eastAsia="zh-CN"/>
              </w:rPr>
            </w:pPr>
            <w:r>
              <w:rPr>
                <w:rFonts w:hint="default" w:cs="Times New Roman"/>
                <w:bCs/>
                <w:color w:val="auto"/>
                <w:spacing w:val="2"/>
                <w:sz w:val="21"/>
                <w:highlight w:val="none"/>
                <w:lang w:val="en-US" w:eastAsia="zh-CN"/>
              </w:rPr>
              <w:t>202.5</w:t>
            </w:r>
            <w:r>
              <w:rPr>
                <w:rFonts w:hint="eastAsia" w:cs="Times New Roman"/>
                <w:bCs/>
                <w:color w:val="auto"/>
                <w:spacing w:val="2"/>
                <w:sz w:val="21"/>
                <w:highlight w:val="none"/>
                <w:lang w:val="en-US" w:eastAsia="zh-CN"/>
              </w:rPr>
              <w:t>7</w:t>
            </w:r>
          </w:p>
        </w:tc>
        <w:tc>
          <w:tcPr>
            <w:tcW w:w="4476" w:type="dxa"/>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PrEx>
        <w:trPr>
          <w:trHeight w:val="20" w:hRule="atLeast"/>
          <w:jc w:val="center"/>
        </w:trPr>
        <w:tc>
          <w:tcPr>
            <w:tcW w:w="2103" w:type="dxa"/>
            <w:gridSpan w:val="2"/>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1363"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NH</w:t>
            </w:r>
            <w:r>
              <w:rPr>
                <w:rFonts w:cs="Times New Roman"/>
                <w:color w:val="auto"/>
                <w:sz w:val="21"/>
                <w:szCs w:val="21"/>
                <w:highlight w:val="none"/>
                <w:vertAlign w:val="subscript"/>
                <w:lang w:val="en-US" w:eastAsia="zh-CN"/>
              </w:rPr>
              <w:t>3</w:t>
            </w:r>
            <w:r>
              <w:rPr>
                <w:rFonts w:cs="Times New Roman"/>
                <w:color w:val="auto"/>
                <w:sz w:val="21"/>
                <w:szCs w:val="21"/>
                <w:highlight w:val="none"/>
                <w:lang w:val="en-US" w:eastAsia="zh-CN"/>
              </w:rPr>
              <w:t>-N</w:t>
            </w:r>
          </w:p>
        </w:tc>
        <w:tc>
          <w:tcPr>
            <w:tcW w:w="117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color w:val="auto"/>
                <w:sz w:val="21"/>
                <w:szCs w:val="21"/>
                <w:highlight w:val="none"/>
                <w:lang w:val="en-US" w:eastAsia="zh-CN"/>
              </w:rPr>
            </w:pPr>
            <w:r>
              <w:rPr>
                <w:rFonts w:hint="default" w:cs="Times New Roman"/>
                <w:bCs/>
                <w:color w:val="auto"/>
                <w:spacing w:val="2"/>
                <w:sz w:val="21"/>
                <w:highlight w:val="none"/>
                <w:lang w:val="en-US" w:eastAsia="zh-CN"/>
              </w:rPr>
              <w:t>964.7</w:t>
            </w:r>
            <w:r>
              <w:rPr>
                <w:rFonts w:hint="eastAsia" w:cs="Times New Roman"/>
                <w:bCs/>
                <w:color w:val="auto"/>
                <w:spacing w:val="2"/>
                <w:sz w:val="21"/>
                <w:highlight w:val="none"/>
                <w:lang w:val="en-US" w:eastAsia="zh-CN"/>
              </w:rPr>
              <w:t>2</w:t>
            </w:r>
          </w:p>
        </w:tc>
        <w:tc>
          <w:tcPr>
            <w:tcW w:w="132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color w:val="auto"/>
                <w:sz w:val="21"/>
                <w:szCs w:val="21"/>
                <w:highlight w:val="none"/>
                <w:lang w:val="en-US" w:eastAsia="zh-CN"/>
              </w:rPr>
            </w:pPr>
            <w:r>
              <w:rPr>
                <w:rFonts w:hint="default" w:cs="Times New Roman"/>
                <w:bCs/>
                <w:color w:val="auto"/>
                <w:spacing w:val="2"/>
                <w:sz w:val="21"/>
                <w:highlight w:val="none"/>
                <w:lang w:val="en-US" w:eastAsia="zh-CN"/>
              </w:rPr>
              <w:t>97.71</w:t>
            </w:r>
          </w:p>
        </w:tc>
        <w:tc>
          <w:tcPr>
            <w:tcW w:w="1309" w:type="dxa"/>
            <w:tcBorders>
              <w:tl2br w:val="nil"/>
              <w:tr2bl w:val="nil"/>
            </w:tcBorders>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default" w:cs="Times New Roman"/>
                <w:b w:val="0"/>
                <w:bCs/>
                <w:color w:val="auto"/>
                <w:sz w:val="21"/>
                <w:szCs w:val="21"/>
                <w:highlight w:val="none"/>
                <w:lang w:val="en-US" w:eastAsia="zh-CN"/>
              </w:rPr>
              <w:t>6.55</w:t>
            </w:r>
          </w:p>
        </w:tc>
        <w:tc>
          <w:tcPr>
            <w:tcW w:w="1309" w:type="dxa"/>
            <w:tcBorders>
              <w:tl2br w:val="nil"/>
              <w:tr2bl w:val="nil"/>
            </w:tcBorders>
            <w:noWrap w:val="0"/>
            <w:vAlign w:val="center"/>
          </w:tcPr>
          <w:p>
            <w:pPr>
              <w:spacing w:line="240" w:lineRule="auto"/>
              <w:ind w:right="-20" w:rightChars="0" w:firstLine="0" w:firstLineChars="0"/>
              <w:jc w:val="center"/>
              <w:rPr>
                <w:rFonts w:hint="default" w:cs="Times New Roman"/>
                <w:color w:val="auto"/>
                <w:sz w:val="21"/>
                <w:szCs w:val="21"/>
                <w:highlight w:val="none"/>
                <w:lang w:val="en-US" w:eastAsia="zh-CN"/>
              </w:rPr>
            </w:pPr>
            <w:r>
              <w:rPr>
                <w:rFonts w:hint="default" w:cs="Times New Roman"/>
                <w:bCs/>
                <w:color w:val="auto"/>
                <w:spacing w:val="2"/>
                <w:sz w:val="21"/>
                <w:highlight w:val="none"/>
                <w:lang w:val="en-US" w:eastAsia="zh-CN"/>
              </w:rPr>
              <w:t>900</w:t>
            </w:r>
          </w:p>
        </w:tc>
        <w:tc>
          <w:tcPr>
            <w:tcW w:w="11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color w:val="auto"/>
                <w:sz w:val="21"/>
                <w:szCs w:val="21"/>
                <w:highlight w:val="none"/>
                <w:lang w:val="en-US" w:eastAsia="zh-CN"/>
              </w:rPr>
            </w:pPr>
            <w:r>
              <w:rPr>
                <w:rFonts w:hint="default" w:cs="Times New Roman"/>
                <w:bCs/>
                <w:color w:val="auto"/>
                <w:spacing w:val="2"/>
                <w:sz w:val="21"/>
                <w:highlight w:val="none"/>
                <w:lang w:val="en-US" w:eastAsia="zh-CN"/>
              </w:rPr>
              <w:t>91.1</w:t>
            </w:r>
            <w:r>
              <w:rPr>
                <w:rFonts w:hint="eastAsia" w:cs="Times New Roman"/>
                <w:bCs/>
                <w:color w:val="auto"/>
                <w:spacing w:val="2"/>
                <w:sz w:val="21"/>
                <w:highlight w:val="none"/>
                <w:lang w:val="en-US" w:eastAsia="zh-CN"/>
              </w:rPr>
              <w:t>6</w:t>
            </w:r>
          </w:p>
        </w:tc>
        <w:tc>
          <w:tcPr>
            <w:tcW w:w="4476" w:type="dxa"/>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PrEx>
        <w:trPr>
          <w:trHeight w:val="20" w:hRule="atLeast"/>
          <w:jc w:val="center"/>
        </w:trPr>
        <w:tc>
          <w:tcPr>
            <w:tcW w:w="2103" w:type="dxa"/>
            <w:gridSpan w:val="2"/>
            <w:vMerge w:val="restart"/>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lang w:val="en-US" w:eastAsia="zh-CN"/>
              </w:rPr>
              <w:t>固体废物</w:t>
            </w:r>
          </w:p>
        </w:tc>
        <w:tc>
          <w:tcPr>
            <w:tcW w:w="1363"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hint="eastAsia" w:cs="Times New Roman"/>
                <w:color w:val="auto"/>
                <w:sz w:val="21"/>
                <w:szCs w:val="21"/>
                <w:highlight w:val="none"/>
                <w:lang w:eastAsia="zh-CN"/>
              </w:rPr>
              <w:t>猪粪</w:t>
            </w:r>
          </w:p>
        </w:tc>
        <w:tc>
          <w:tcPr>
            <w:tcW w:w="1173" w:type="dxa"/>
            <w:tcBorders>
              <w:tl2br w:val="nil"/>
              <w:tr2bl w:val="nil"/>
            </w:tcBorders>
            <w:noWrap w:val="0"/>
            <w:vAlign w:val="center"/>
          </w:tcPr>
          <w:p>
            <w:pPr>
              <w:spacing w:line="240" w:lineRule="auto"/>
              <w:ind w:firstLine="0" w:firstLineChars="0"/>
              <w:jc w:val="center"/>
              <w:rPr>
                <w:rFonts w:hint="default" w:ascii="Times New Roman" w:eastAsia="宋体"/>
                <w:color w:val="auto"/>
                <w:sz w:val="21"/>
                <w:highlight w:val="none"/>
                <w:lang w:val="en-US" w:eastAsia="zh-CN"/>
              </w:rPr>
            </w:pPr>
            <w:r>
              <w:rPr>
                <w:rFonts w:hint="eastAsia" w:ascii="Times New Roman" w:eastAsia="宋体"/>
                <w:color w:val="auto"/>
                <w:sz w:val="21"/>
                <w:highlight w:val="none"/>
                <w:lang w:val="en-US" w:eastAsia="zh-CN"/>
              </w:rPr>
              <w:t>—</w:t>
            </w:r>
          </w:p>
        </w:tc>
        <w:tc>
          <w:tcPr>
            <w:tcW w:w="132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5890.3</w:t>
            </w:r>
          </w:p>
        </w:tc>
        <w:tc>
          <w:tcPr>
            <w:tcW w:w="13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5890.3</w:t>
            </w:r>
          </w:p>
        </w:tc>
        <w:tc>
          <w:tcPr>
            <w:tcW w:w="1309" w:type="dxa"/>
            <w:tcBorders>
              <w:tl2br w:val="nil"/>
              <w:tr2bl w:val="nil"/>
            </w:tcBorders>
            <w:noWrap w:val="0"/>
            <w:vAlign w:val="center"/>
          </w:tcPr>
          <w:p>
            <w:pPr>
              <w:spacing w:line="240" w:lineRule="auto"/>
              <w:ind w:firstLine="0" w:firstLineChars="0"/>
              <w:jc w:val="center"/>
              <w:rPr>
                <w:rFonts w:hint="default" w:ascii="Times New Roman" w:eastAsia="宋体"/>
                <w:color w:val="auto"/>
                <w:sz w:val="21"/>
                <w:highlight w:val="none"/>
                <w:lang w:val="en-US" w:eastAsia="zh-CN"/>
              </w:rPr>
            </w:pPr>
            <w:r>
              <w:rPr>
                <w:rFonts w:hint="eastAsia" w:ascii="Times New Roman" w:eastAsia="宋体"/>
                <w:color w:val="auto"/>
                <w:sz w:val="21"/>
                <w:highlight w:val="none"/>
                <w:lang w:val="en-US" w:eastAsia="zh-CN"/>
              </w:rPr>
              <w:t>—</w:t>
            </w:r>
          </w:p>
        </w:tc>
        <w:tc>
          <w:tcPr>
            <w:tcW w:w="1118"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0</w:t>
            </w:r>
          </w:p>
        </w:tc>
        <w:tc>
          <w:tcPr>
            <w:tcW w:w="4476"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rPr>
              <w:t>发酵处理后作为有机肥基料外售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2103" w:type="dxa"/>
            <w:gridSpan w:val="2"/>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1363"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ascii="Times New Roman" w:hAnsi="Times New Roman"/>
                <w:color w:val="auto"/>
                <w:sz w:val="21"/>
                <w:szCs w:val="21"/>
                <w:highlight w:val="none"/>
              </w:rPr>
              <w:t>沼渣</w:t>
            </w:r>
          </w:p>
        </w:tc>
        <w:tc>
          <w:tcPr>
            <w:tcW w:w="1173" w:type="dxa"/>
            <w:tcBorders>
              <w:tl2br w:val="nil"/>
              <w:tr2bl w:val="nil"/>
            </w:tcBorders>
            <w:noWrap w:val="0"/>
            <w:vAlign w:val="center"/>
          </w:tcPr>
          <w:p>
            <w:pPr>
              <w:spacing w:line="240" w:lineRule="auto"/>
              <w:ind w:firstLine="0" w:firstLineChars="0"/>
              <w:jc w:val="center"/>
              <w:rPr>
                <w:rFonts w:hint="default" w:ascii="Times New Roman" w:eastAsia="宋体"/>
                <w:color w:val="auto"/>
                <w:sz w:val="21"/>
                <w:highlight w:val="none"/>
                <w:lang w:val="en-US" w:eastAsia="zh-CN"/>
              </w:rPr>
            </w:pPr>
            <w:r>
              <w:rPr>
                <w:rFonts w:hint="eastAsia" w:ascii="Times New Roman" w:eastAsia="宋体"/>
                <w:color w:val="auto"/>
                <w:sz w:val="21"/>
                <w:highlight w:val="none"/>
                <w:lang w:val="en-US" w:eastAsia="zh-CN"/>
              </w:rPr>
              <w:t>—</w:t>
            </w:r>
          </w:p>
        </w:tc>
        <w:tc>
          <w:tcPr>
            <w:tcW w:w="132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4124.5</w:t>
            </w:r>
          </w:p>
        </w:tc>
        <w:tc>
          <w:tcPr>
            <w:tcW w:w="13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4124.5</w:t>
            </w:r>
          </w:p>
        </w:tc>
        <w:tc>
          <w:tcPr>
            <w:tcW w:w="1309" w:type="dxa"/>
            <w:tcBorders>
              <w:tl2br w:val="nil"/>
              <w:tr2bl w:val="nil"/>
            </w:tcBorders>
            <w:noWrap w:val="0"/>
            <w:vAlign w:val="center"/>
          </w:tcPr>
          <w:p>
            <w:pPr>
              <w:spacing w:line="240" w:lineRule="auto"/>
              <w:ind w:firstLine="0" w:firstLineChars="0"/>
              <w:jc w:val="center"/>
              <w:rPr>
                <w:rFonts w:hint="default" w:ascii="Times New Roman" w:eastAsia="宋体"/>
                <w:color w:val="auto"/>
                <w:sz w:val="21"/>
                <w:highlight w:val="none"/>
                <w:lang w:val="en-US" w:eastAsia="zh-CN"/>
              </w:rPr>
            </w:pPr>
            <w:r>
              <w:rPr>
                <w:rFonts w:hint="eastAsia" w:ascii="Times New Roman" w:eastAsia="宋体"/>
                <w:color w:val="auto"/>
                <w:sz w:val="21"/>
                <w:highlight w:val="none"/>
                <w:lang w:val="en-US" w:eastAsia="zh-CN"/>
              </w:rPr>
              <w:t>—</w:t>
            </w:r>
          </w:p>
        </w:tc>
        <w:tc>
          <w:tcPr>
            <w:tcW w:w="1118"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0</w:t>
            </w:r>
          </w:p>
        </w:tc>
        <w:tc>
          <w:tcPr>
            <w:tcW w:w="4476"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rPr>
              <w:t>发酵处理后作为有机肥基料外售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2103" w:type="dxa"/>
            <w:gridSpan w:val="2"/>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1363"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rPr>
              <w:t>生活</w:t>
            </w:r>
            <w:r>
              <w:rPr>
                <w:rFonts w:hint="eastAsia" w:cs="Times New Roman"/>
                <w:color w:val="auto"/>
                <w:sz w:val="21"/>
                <w:szCs w:val="21"/>
                <w:highlight w:val="none"/>
                <w:lang w:eastAsia="zh-CN"/>
              </w:rPr>
              <w:t>垃圾</w:t>
            </w:r>
          </w:p>
        </w:tc>
        <w:tc>
          <w:tcPr>
            <w:tcW w:w="1173" w:type="dxa"/>
            <w:tcBorders>
              <w:tl2br w:val="nil"/>
              <w:tr2bl w:val="nil"/>
            </w:tcBorders>
            <w:noWrap w:val="0"/>
            <w:vAlign w:val="center"/>
          </w:tcPr>
          <w:p>
            <w:pPr>
              <w:spacing w:line="240" w:lineRule="auto"/>
              <w:ind w:firstLine="0" w:firstLineChars="0"/>
              <w:jc w:val="center"/>
              <w:rPr>
                <w:rFonts w:hint="default" w:ascii="Times New Roman" w:eastAsia="宋体"/>
                <w:color w:val="auto"/>
                <w:sz w:val="21"/>
                <w:highlight w:val="none"/>
                <w:lang w:val="en-US" w:eastAsia="zh-CN"/>
              </w:rPr>
            </w:pPr>
            <w:r>
              <w:rPr>
                <w:rFonts w:hint="eastAsia" w:ascii="Times New Roman" w:eastAsia="宋体"/>
                <w:color w:val="auto"/>
                <w:sz w:val="21"/>
                <w:highlight w:val="none"/>
                <w:lang w:val="en-US" w:eastAsia="zh-CN"/>
              </w:rPr>
              <w:t>—</w:t>
            </w:r>
          </w:p>
        </w:tc>
        <w:tc>
          <w:tcPr>
            <w:tcW w:w="132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17.52</w:t>
            </w:r>
          </w:p>
        </w:tc>
        <w:tc>
          <w:tcPr>
            <w:tcW w:w="13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17.52</w:t>
            </w:r>
          </w:p>
        </w:tc>
        <w:tc>
          <w:tcPr>
            <w:tcW w:w="1309" w:type="dxa"/>
            <w:tcBorders>
              <w:tl2br w:val="nil"/>
              <w:tr2bl w:val="nil"/>
            </w:tcBorders>
            <w:noWrap w:val="0"/>
            <w:vAlign w:val="center"/>
          </w:tcPr>
          <w:p>
            <w:pPr>
              <w:spacing w:line="240" w:lineRule="auto"/>
              <w:ind w:firstLine="0" w:firstLineChars="0"/>
              <w:jc w:val="center"/>
              <w:rPr>
                <w:rFonts w:hint="default" w:ascii="Times New Roman" w:eastAsia="宋体"/>
                <w:color w:val="auto"/>
                <w:sz w:val="21"/>
                <w:highlight w:val="none"/>
                <w:lang w:val="en-US" w:eastAsia="zh-CN"/>
              </w:rPr>
            </w:pPr>
            <w:r>
              <w:rPr>
                <w:rFonts w:hint="eastAsia" w:ascii="Times New Roman" w:eastAsia="宋体"/>
                <w:color w:val="auto"/>
                <w:sz w:val="21"/>
                <w:highlight w:val="none"/>
                <w:lang w:val="en-US" w:eastAsia="zh-CN"/>
              </w:rPr>
              <w:t>—</w:t>
            </w:r>
          </w:p>
        </w:tc>
        <w:tc>
          <w:tcPr>
            <w:tcW w:w="1118"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0</w:t>
            </w:r>
          </w:p>
        </w:tc>
        <w:tc>
          <w:tcPr>
            <w:tcW w:w="4476"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rPr>
              <w:t>环卫部门定期</w:t>
            </w:r>
            <w:r>
              <w:rPr>
                <w:rFonts w:hint="eastAsia" w:cs="Times New Roman"/>
                <w:color w:val="auto"/>
                <w:sz w:val="21"/>
                <w:szCs w:val="21"/>
                <w:highlight w:val="none"/>
                <w:lang w:eastAsia="zh-CN"/>
              </w:rPr>
              <w:t>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2103" w:type="dxa"/>
            <w:gridSpan w:val="2"/>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1363"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ascii="Times New Roman" w:hAnsi="Times New Roman"/>
                <w:color w:val="auto"/>
                <w:sz w:val="21"/>
                <w:szCs w:val="21"/>
                <w:highlight w:val="none"/>
              </w:rPr>
              <w:t>废脱硫剂</w:t>
            </w:r>
          </w:p>
        </w:tc>
        <w:tc>
          <w:tcPr>
            <w:tcW w:w="1173" w:type="dxa"/>
            <w:tcBorders>
              <w:tl2br w:val="nil"/>
              <w:tr2bl w:val="nil"/>
            </w:tcBorders>
            <w:noWrap w:val="0"/>
            <w:vAlign w:val="center"/>
          </w:tcPr>
          <w:p>
            <w:pPr>
              <w:spacing w:line="240" w:lineRule="auto"/>
              <w:ind w:firstLine="0" w:firstLineChars="0"/>
              <w:jc w:val="center"/>
              <w:rPr>
                <w:rFonts w:hint="eastAsia" w:ascii="Times New Roman" w:eastAsia="宋体"/>
                <w:color w:val="auto"/>
                <w:sz w:val="21"/>
                <w:highlight w:val="none"/>
                <w:lang w:val="en-US" w:eastAsia="zh-CN"/>
              </w:rPr>
            </w:pPr>
            <w:r>
              <w:rPr>
                <w:rFonts w:hint="eastAsia" w:ascii="Times New Roman" w:eastAsia="宋体"/>
                <w:color w:val="auto"/>
                <w:sz w:val="21"/>
                <w:highlight w:val="none"/>
                <w:lang w:val="en-US" w:eastAsia="zh-CN"/>
              </w:rPr>
              <w:t>—</w:t>
            </w:r>
          </w:p>
        </w:tc>
        <w:tc>
          <w:tcPr>
            <w:tcW w:w="132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2.6</w:t>
            </w:r>
          </w:p>
        </w:tc>
        <w:tc>
          <w:tcPr>
            <w:tcW w:w="13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2.6</w:t>
            </w:r>
          </w:p>
        </w:tc>
        <w:tc>
          <w:tcPr>
            <w:tcW w:w="1309" w:type="dxa"/>
            <w:tcBorders>
              <w:tl2br w:val="nil"/>
              <w:tr2bl w:val="nil"/>
            </w:tcBorders>
            <w:noWrap w:val="0"/>
            <w:vAlign w:val="center"/>
          </w:tcPr>
          <w:p>
            <w:pPr>
              <w:spacing w:line="240" w:lineRule="auto"/>
              <w:ind w:firstLine="0" w:firstLineChars="0"/>
              <w:jc w:val="center"/>
              <w:rPr>
                <w:rFonts w:hint="eastAsia" w:ascii="Times New Roman" w:eastAsia="宋体"/>
                <w:color w:val="auto"/>
                <w:sz w:val="21"/>
                <w:highlight w:val="none"/>
                <w:lang w:val="en-US" w:eastAsia="zh-CN"/>
              </w:rPr>
            </w:pPr>
            <w:r>
              <w:rPr>
                <w:rFonts w:hint="eastAsia" w:ascii="Times New Roman" w:eastAsia="宋体"/>
                <w:color w:val="auto"/>
                <w:sz w:val="21"/>
                <w:highlight w:val="none"/>
                <w:lang w:val="en-US" w:eastAsia="zh-CN"/>
              </w:rPr>
              <w:t>—</w:t>
            </w:r>
          </w:p>
        </w:tc>
        <w:tc>
          <w:tcPr>
            <w:tcW w:w="1118"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0</w:t>
            </w:r>
          </w:p>
        </w:tc>
        <w:tc>
          <w:tcPr>
            <w:tcW w:w="4476"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hint="eastAsia" w:cs="Times New Roman"/>
                <w:color w:val="auto"/>
                <w:sz w:val="21"/>
                <w:szCs w:val="21"/>
                <w:highlight w:val="none"/>
              </w:rPr>
              <w:t>生产厂家统一回收处置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2103" w:type="dxa"/>
            <w:gridSpan w:val="2"/>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1363"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hint="eastAsia" w:cs="Times New Roman"/>
                <w:color w:val="auto"/>
                <w:sz w:val="21"/>
                <w:szCs w:val="21"/>
                <w:highlight w:val="none"/>
              </w:rPr>
              <w:t>病死猪尸体</w:t>
            </w:r>
          </w:p>
        </w:tc>
        <w:tc>
          <w:tcPr>
            <w:tcW w:w="1173" w:type="dxa"/>
            <w:tcBorders>
              <w:tl2br w:val="nil"/>
              <w:tr2bl w:val="nil"/>
            </w:tcBorders>
            <w:noWrap w:val="0"/>
            <w:vAlign w:val="center"/>
          </w:tcPr>
          <w:p>
            <w:pPr>
              <w:spacing w:line="240" w:lineRule="auto"/>
              <w:ind w:firstLine="0" w:firstLineChars="0"/>
              <w:jc w:val="center"/>
              <w:rPr>
                <w:rFonts w:hint="eastAsia" w:ascii="Times New Roman" w:eastAsia="宋体"/>
                <w:color w:val="auto"/>
                <w:sz w:val="21"/>
                <w:highlight w:val="none"/>
                <w:lang w:val="en-US" w:eastAsia="zh-CN"/>
              </w:rPr>
            </w:pPr>
            <w:r>
              <w:rPr>
                <w:rFonts w:hint="eastAsia" w:ascii="Times New Roman" w:eastAsia="宋体"/>
                <w:color w:val="auto"/>
                <w:sz w:val="21"/>
                <w:highlight w:val="none"/>
                <w:lang w:val="en-US" w:eastAsia="zh-CN"/>
              </w:rPr>
              <w:t>—</w:t>
            </w:r>
          </w:p>
        </w:tc>
        <w:tc>
          <w:tcPr>
            <w:tcW w:w="132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23.5</w:t>
            </w:r>
          </w:p>
        </w:tc>
        <w:tc>
          <w:tcPr>
            <w:tcW w:w="13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20" w:rightChars="0" w:firstLine="0" w:firstLineChars="0"/>
              <w:jc w:val="center"/>
              <w:textAlignment w:val="auto"/>
              <w:rPr>
                <w:rFonts w:hint="default" w:cs="Times New Roman"/>
                <w:bCs/>
                <w:color w:val="auto"/>
                <w:spacing w:val="2"/>
                <w:sz w:val="21"/>
                <w:highlight w:val="none"/>
                <w:lang w:val="en-US" w:eastAsia="zh-CN"/>
              </w:rPr>
            </w:pPr>
            <w:r>
              <w:rPr>
                <w:rFonts w:hint="eastAsia" w:cs="Times New Roman"/>
                <w:bCs/>
                <w:color w:val="auto"/>
                <w:spacing w:val="2"/>
                <w:sz w:val="21"/>
                <w:highlight w:val="none"/>
                <w:lang w:val="en-US" w:eastAsia="zh-CN"/>
              </w:rPr>
              <w:t>23.5</w:t>
            </w:r>
          </w:p>
        </w:tc>
        <w:tc>
          <w:tcPr>
            <w:tcW w:w="1309" w:type="dxa"/>
            <w:tcBorders>
              <w:tl2br w:val="nil"/>
              <w:tr2bl w:val="nil"/>
            </w:tcBorders>
            <w:noWrap w:val="0"/>
            <w:vAlign w:val="center"/>
          </w:tcPr>
          <w:p>
            <w:pPr>
              <w:spacing w:line="240" w:lineRule="auto"/>
              <w:ind w:firstLine="0" w:firstLineChars="0"/>
              <w:jc w:val="center"/>
              <w:rPr>
                <w:rFonts w:hint="eastAsia" w:ascii="Times New Roman" w:eastAsia="宋体"/>
                <w:color w:val="auto"/>
                <w:sz w:val="21"/>
                <w:highlight w:val="none"/>
                <w:lang w:val="en-US" w:eastAsia="zh-CN"/>
              </w:rPr>
            </w:pPr>
            <w:r>
              <w:rPr>
                <w:rFonts w:hint="eastAsia" w:ascii="Times New Roman" w:eastAsia="宋体"/>
                <w:color w:val="auto"/>
                <w:sz w:val="21"/>
                <w:highlight w:val="none"/>
                <w:lang w:val="en-US" w:eastAsia="zh-CN"/>
              </w:rPr>
              <w:t>—</w:t>
            </w:r>
          </w:p>
        </w:tc>
        <w:tc>
          <w:tcPr>
            <w:tcW w:w="1118"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0</w:t>
            </w:r>
          </w:p>
        </w:tc>
        <w:tc>
          <w:tcPr>
            <w:tcW w:w="4476" w:type="dxa"/>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hint="eastAsia" w:cs="Times New Roman"/>
                <w:color w:val="auto"/>
                <w:sz w:val="21"/>
                <w:szCs w:val="21"/>
                <w:highlight w:val="none"/>
              </w:rPr>
              <w:t>送</w:t>
            </w:r>
            <w:r>
              <w:rPr>
                <w:rFonts w:hint="eastAsia" w:cs="Times New Roman"/>
                <w:color w:val="auto"/>
                <w:sz w:val="21"/>
                <w:szCs w:val="21"/>
                <w:highlight w:val="none"/>
                <w:lang w:eastAsia="zh-CN"/>
              </w:rPr>
              <w:t>本厂自建的</w:t>
            </w:r>
            <w:r>
              <w:rPr>
                <w:rFonts w:hint="eastAsia" w:cs="Times New Roman"/>
                <w:color w:val="auto"/>
                <w:sz w:val="21"/>
                <w:szCs w:val="21"/>
                <w:highlight w:val="none"/>
              </w:rPr>
              <w:t>无害化处理车间处置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2103" w:type="dxa"/>
            <w:gridSpan w:val="2"/>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1363"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医疗废物</w:t>
            </w:r>
          </w:p>
        </w:tc>
        <w:tc>
          <w:tcPr>
            <w:tcW w:w="1173" w:type="dxa"/>
            <w:tcBorders>
              <w:tl2br w:val="nil"/>
              <w:tr2bl w:val="nil"/>
            </w:tcBorders>
            <w:noWrap w:val="0"/>
            <w:vAlign w:val="center"/>
          </w:tcPr>
          <w:p>
            <w:pPr>
              <w:spacing w:line="240" w:lineRule="auto"/>
              <w:ind w:firstLine="0" w:firstLineChars="0"/>
              <w:jc w:val="center"/>
              <w:rPr>
                <w:rFonts w:hint="default" w:ascii="Times New Roman" w:eastAsia="宋体"/>
                <w:color w:val="auto"/>
                <w:sz w:val="21"/>
                <w:highlight w:val="none"/>
                <w:lang w:val="en-US" w:eastAsia="zh-CN"/>
              </w:rPr>
            </w:pPr>
            <w:r>
              <w:rPr>
                <w:rFonts w:hint="eastAsia" w:ascii="Times New Roman" w:eastAsia="宋体"/>
                <w:color w:val="auto"/>
                <w:sz w:val="21"/>
                <w:highlight w:val="none"/>
                <w:lang w:val="en-US" w:eastAsia="zh-CN"/>
              </w:rPr>
              <w:t>—</w:t>
            </w:r>
          </w:p>
        </w:tc>
        <w:tc>
          <w:tcPr>
            <w:tcW w:w="1323"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rPr>
              <w:t>0.</w:t>
            </w:r>
            <w:r>
              <w:rPr>
                <w:rFonts w:hint="eastAsia" w:cs="Times New Roman"/>
                <w:color w:val="auto"/>
                <w:sz w:val="21"/>
                <w:szCs w:val="21"/>
                <w:highlight w:val="none"/>
                <w:lang w:val="en-US" w:eastAsia="zh-CN"/>
              </w:rPr>
              <w:t>344</w:t>
            </w:r>
          </w:p>
        </w:tc>
        <w:tc>
          <w:tcPr>
            <w:tcW w:w="1309"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rPr>
              <w:t>0.</w:t>
            </w:r>
            <w:r>
              <w:rPr>
                <w:rFonts w:hint="eastAsia" w:cs="Times New Roman"/>
                <w:color w:val="auto"/>
                <w:sz w:val="21"/>
                <w:szCs w:val="21"/>
                <w:highlight w:val="none"/>
                <w:lang w:val="en-US" w:eastAsia="zh-CN"/>
              </w:rPr>
              <w:t>344</w:t>
            </w:r>
          </w:p>
        </w:tc>
        <w:tc>
          <w:tcPr>
            <w:tcW w:w="1309" w:type="dxa"/>
            <w:tcBorders>
              <w:tl2br w:val="nil"/>
              <w:tr2bl w:val="nil"/>
            </w:tcBorders>
            <w:noWrap w:val="0"/>
            <w:vAlign w:val="center"/>
          </w:tcPr>
          <w:p>
            <w:pPr>
              <w:spacing w:line="240" w:lineRule="auto"/>
              <w:ind w:firstLine="0" w:firstLineChars="0"/>
              <w:jc w:val="center"/>
              <w:rPr>
                <w:rFonts w:hint="default" w:ascii="Times New Roman" w:eastAsia="宋体"/>
                <w:color w:val="auto"/>
                <w:sz w:val="21"/>
                <w:highlight w:val="none"/>
                <w:lang w:val="en-US" w:eastAsia="zh-CN"/>
              </w:rPr>
            </w:pPr>
            <w:r>
              <w:rPr>
                <w:rFonts w:hint="eastAsia" w:ascii="Times New Roman" w:eastAsia="宋体"/>
                <w:color w:val="auto"/>
                <w:sz w:val="21"/>
                <w:highlight w:val="none"/>
                <w:lang w:val="en-US" w:eastAsia="zh-CN"/>
              </w:rPr>
              <w:t>—</w:t>
            </w:r>
          </w:p>
        </w:tc>
        <w:tc>
          <w:tcPr>
            <w:tcW w:w="1118"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0</w:t>
            </w:r>
          </w:p>
        </w:tc>
        <w:tc>
          <w:tcPr>
            <w:tcW w:w="4476"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rPr>
              <w:t>交由新蔡县中绿环保有限公司处置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jc w:val="center"/>
        </w:trPr>
        <w:tc>
          <w:tcPr>
            <w:tcW w:w="2103" w:type="dxa"/>
            <w:gridSpan w:val="2"/>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1363"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废导热油</w:t>
            </w:r>
          </w:p>
        </w:tc>
        <w:tc>
          <w:tcPr>
            <w:tcW w:w="1173" w:type="dxa"/>
            <w:tcBorders>
              <w:tl2br w:val="nil"/>
              <w:tr2bl w:val="nil"/>
            </w:tcBorders>
            <w:noWrap w:val="0"/>
            <w:vAlign w:val="center"/>
          </w:tcPr>
          <w:p>
            <w:pPr>
              <w:spacing w:line="240" w:lineRule="auto"/>
              <w:ind w:firstLine="0" w:firstLineChars="0"/>
              <w:jc w:val="center"/>
              <w:rPr>
                <w:rFonts w:hint="eastAsia" w:ascii="Times New Roman" w:eastAsia="宋体"/>
                <w:color w:val="auto"/>
                <w:sz w:val="21"/>
                <w:highlight w:val="none"/>
                <w:lang w:val="en-US" w:eastAsia="zh-CN"/>
              </w:rPr>
            </w:pPr>
            <w:r>
              <w:rPr>
                <w:rFonts w:hint="eastAsia" w:ascii="Times New Roman" w:eastAsia="宋体"/>
                <w:color w:val="auto"/>
                <w:sz w:val="21"/>
                <w:highlight w:val="none"/>
                <w:lang w:val="en-US" w:eastAsia="zh-CN"/>
              </w:rPr>
              <w:t>—</w:t>
            </w:r>
          </w:p>
        </w:tc>
        <w:tc>
          <w:tcPr>
            <w:tcW w:w="1323"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1309"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1309" w:type="dxa"/>
            <w:tcBorders>
              <w:tl2br w:val="nil"/>
              <w:tr2bl w:val="nil"/>
            </w:tcBorders>
            <w:noWrap w:val="0"/>
            <w:vAlign w:val="center"/>
          </w:tcPr>
          <w:p>
            <w:pPr>
              <w:spacing w:line="240" w:lineRule="auto"/>
              <w:ind w:firstLine="0" w:firstLineChars="0"/>
              <w:jc w:val="center"/>
              <w:rPr>
                <w:rFonts w:hint="eastAsia" w:ascii="Times New Roman" w:eastAsia="宋体"/>
                <w:color w:val="auto"/>
                <w:sz w:val="21"/>
                <w:highlight w:val="none"/>
                <w:lang w:val="en-US" w:eastAsia="zh-CN"/>
              </w:rPr>
            </w:pPr>
            <w:r>
              <w:rPr>
                <w:rFonts w:hint="eastAsia" w:ascii="Times New Roman" w:eastAsia="宋体"/>
                <w:color w:val="auto"/>
                <w:sz w:val="21"/>
                <w:highlight w:val="none"/>
                <w:lang w:val="en-US" w:eastAsia="zh-CN"/>
              </w:rPr>
              <w:t>—</w:t>
            </w:r>
          </w:p>
        </w:tc>
        <w:tc>
          <w:tcPr>
            <w:tcW w:w="1118"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0</w:t>
            </w:r>
          </w:p>
        </w:tc>
        <w:tc>
          <w:tcPr>
            <w:tcW w:w="4476"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危险废物暂存间暂存，定期交有资质单位处置</w:t>
            </w:r>
          </w:p>
        </w:tc>
      </w:tr>
    </w:tbl>
    <w:p>
      <w:pPr>
        <w:pStyle w:val="40"/>
        <w:jc w:val="both"/>
        <w:rPr>
          <w:color w:val="auto"/>
          <w:highlight w:val="none"/>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docGrid w:type="lines" w:linePitch="332" w:charSpace="0"/>
        </w:sectPr>
      </w:pPr>
    </w:p>
    <w:p>
      <w:pPr>
        <w:pStyle w:val="3"/>
        <w:spacing w:before="166" w:after="166"/>
        <w:rPr>
          <w:color w:val="auto"/>
          <w:highlight w:val="none"/>
        </w:rPr>
      </w:pPr>
      <w:bookmarkStart w:id="26" w:name="_Toc11223"/>
      <w:r>
        <w:rPr>
          <w:rFonts w:hint="eastAsia"/>
          <w:color w:val="auto"/>
          <w:highlight w:val="none"/>
          <w:lang w:val="en-US" w:eastAsia="zh-CN"/>
        </w:rPr>
        <w:t>3</w:t>
      </w:r>
      <w:r>
        <w:rPr>
          <w:rFonts w:hint="eastAsia"/>
          <w:color w:val="auto"/>
          <w:highlight w:val="none"/>
        </w:rPr>
        <w:t>环境现状调查与评价</w:t>
      </w:r>
      <w:bookmarkEnd w:id="26"/>
    </w:p>
    <w:p>
      <w:pPr>
        <w:pStyle w:val="4"/>
        <w:spacing w:before="132"/>
        <w:rPr>
          <w:color w:val="auto"/>
          <w:highlight w:val="none"/>
        </w:rPr>
      </w:pPr>
      <w:bookmarkStart w:id="27" w:name="_Toc29984"/>
      <w:r>
        <w:rPr>
          <w:rFonts w:hint="eastAsia"/>
          <w:color w:val="auto"/>
          <w:highlight w:val="none"/>
          <w:lang w:val="en-US" w:eastAsia="zh-CN"/>
        </w:rPr>
        <w:t>3</w:t>
      </w:r>
      <w:r>
        <w:rPr>
          <w:color w:val="auto"/>
          <w:highlight w:val="none"/>
        </w:rPr>
        <w:t>.1</w:t>
      </w:r>
      <w:r>
        <w:rPr>
          <w:rFonts w:hint="eastAsia"/>
          <w:color w:val="auto"/>
          <w:highlight w:val="none"/>
        </w:rPr>
        <w:t>区域自然</w:t>
      </w:r>
      <w:r>
        <w:rPr>
          <w:color w:val="auto"/>
          <w:highlight w:val="none"/>
        </w:rPr>
        <w:t>环境概况</w:t>
      </w:r>
      <w:bookmarkEnd w:id="27"/>
    </w:p>
    <w:p>
      <w:pPr>
        <w:pStyle w:val="5"/>
        <w:spacing w:before="66"/>
        <w:ind w:firstLine="0" w:firstLineChars="0"/>
        <w:rPr>
          <w:rFonts w:cs="Times New Roman"/>
          <w:color w:val="auto"/>
          <w:highlight w:val="none"/>
        </w:rPr>
      </w:pPr>
      <w:r>
        <w:rPr>
          <w:rFonts w:hint="eastAsia" w:cs="Times New Roman"/>
          <w:color w:val="auto"/>
          <w:highlight w:val="none"/>
          <w:lang w:val="en-US" w:eastAsia="zh-CN"/>
        </w:rPr>
        <w:t>3</w:t>
      </w:r>
      <w:r>
        <w:rPr>
          <w:rFonts w:cs="Times New Roman"/>
          <w:color w:val="auto"/>
          <w:highlight w:val="none"/>
        </w:rPr>
        <w:t>.1.1地理位置</w:t>
      </w:r>
    </w:p>
    <w:p>
      <w:pPr>
        <w:keepNext w:val="0"/>
        <w:keepLines w:val="0"/>
        <w:pageBreakBefore w:val="0"/>
        <w:widowControl/>
        <w:kinsoku/>
        <w:wordWrap/>
        <w:overflowPunct/>
        <w:topLinePunct w:val="0"/>
        <w:autoSpaceDE/>
        <w:autoSpaceDN/>
        <w:bidi w:val="0"/>
        <w:adjustRightInd/>
        <w:snapToGrid/>
        <w:spacing w:line="360" w:lineRule="auto"/>
        <w:ind w:firstLine="425"/>
        <w:textAlignment w:val="auto"/>
        <w:rPr>
          <w:rFonts w:hint="default" w:ascii="Times New Roman" w:hAnsi="Times New Roman" w:cs="Times New Roman"/>
          <w:color w:val="auto"/>
          <w:spacing w:val="8"/>
          <w:sz w:val="24"/>
          <w:szCs w:val="28"/>
          <w:highlight w:val="none"/>
        </w:rPr>
      </w:pPr>
      <w:bookmarkStart w:id="28" w:name="_Toc163642638"/>
      <w:bookmarkStart w:id="29" w:name="_Toc163642755"/>
      <w:bookmarkStart w:id="30" w:name="_Toc163642520"/>
      <w:r>
        <w:rPr>
          <w:rFonts w:hint="default" w:ascii="Times New Roman" w:hAnsi="Times New Roman" w:cs="Times New Roman"/>
          <w:color w:val="auto"/>
          <w:spacing w:val="8"/>
          <w:sz w:val="24"/>
          <w:szCs w:val="28"/>
          <w:highlight w:val="none"/>
        </w:rPr>
        <w:t>驻马店市位于河南省中南部，东经113°10ˊ～115°12ˊ、北纬32°18ˊ～33°35ˊ。东西长191.5km，南北宽137.5km，总面积15095km，占全省总面积的8.9%。驻马店市东接安徽省阜阳地区，西连南阳市，北靠周口市、平顶山市和漯河，南邻信阳市，现管辖遂平、西平、上蔡、平舆、新蔡、</w:t>
      </w:r>
      <w:r>
        <w:rPr>
          <w:rFonts w:hint="eastAsia" w:cs="Times New Roman"/>
          <w:color w:val="auto"/>
          <w:spacing w:val="8"/>
          <w:sz w:val="24"/>
          <w:szCs w:val="28"/>
          <w:highlight w:val="none"/>
          <w:lang w:eastAsia="zh-CN"/>
        </w:rPr>
        <w:t>平舆</w:t>
      </w:r>
      <w:r>
        <w:rPr>
          <w:rFonts w:hint="default" w:ascii="Times New Roman" w:hAnsi="Times New Roman" w:cs="Times New Roman"/>
          <w:color w:val="auto"/>
          <w:spacing w:val="8"/>
          <w:sz w:val="24"/>
          <w:szCs w:val="28"/>
          <w:highlight w:val="none"/>
        </w:rPr>
        <w:t>、泌阳、汝南、确山九县和驿城区。</w:t>
      </w:r>
    </w:p>
    <w:p>
      <w:pPr>
        <w:keepNext w:val="0"/>
        <w:keepLines w:val="0"/>
        <w:pageBreakBefore w:val="0"/>
        <w:widowControl/>
        <w:kinsoku/>
        <w:wordWrap/>
        <w:overflowPunct/>
        <w:topLinePunct w:val="0"/>
        <w:autoSpaceDE/>
        <w:autoSpaceDN/>
        <w:bidi w:val="0"/>
        <w:adjustRightInd/>
        <w:snapToGrid/>
        <w:spacing w:line="360" w:lineRule="auto"/>
        <w:ind w:firstLine="425"/>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pacing w:val="8"/>
          <w:sz w:val="24"/>
          <w:szCs w:val="28"/>
          <w:highlight w:val="none"/>
        </w:rPr>
        <w:t>平舆县位于河南省东南部，黄淮海平原腹心地带，隶属于驻马店市。地理坐标在东径114°24′~114°55′，北纬32°44′~33°10′之间，地处两省（河南、安徽）三市（驻马店、周口、阜阳）交汇处，东界新蔡县、安徽省临泉县，西连汝南县，北部和上蔡县、项城市接壤，南部和</w:t>
      </w:r>
      <w:r>
        <w:rPr>
          <w:rFonts w:hint="eastAsia" w:cs="Times New Roman"/>
          <w:color w:val="auto"/>
          <w:spacing w:val="8"/>
          <w:sz w:val="24"/>
          <w:szCs w:val="28"/>
          <w:highlight w:val="none"/>
          <w:lang w:eastAsia="zh-CN"/>
        </w:rPr>
        <w:t>平舆</w:t>
      </w:r>
      <w:r>
        <w:rPr>
          <w:rFonts w:hint="default" w:ascii="Times New Roman" w:hAnsi="Times New Roman" w:cs="Times New Roman"/>
          <w:color w:val="auto"/>
          <w:spacing w:val="8"/>
          <w:sz w:val="24"/>
          <w:szCs w:val="28"/>
          <w:highlight w:val="none"/>
        </w:rPr>
        <w:t>县相连。县城居于县域中心位置，距省会郑州市280km，距驻马店市60km，距汝南县城28km，距新蔡县城42km，距临泉县城80km，距项城县城80km，距上蔡县城62km。平舆县境东西宽46.8km，南北长45km，土地面积1282km</w:t>
      </w:r>
      <w:r>
        <w:rPr>
          <w:rFonts w:hint="default" w:ascii="Times New Roman" w:hAnsi="Times New Roman" w:cs="Times New Roman"/>
          <w:color w:val="auto"/>
          <w:spacing w:val="8"/>
          <w:sz w:val="24"/>
          <w:szCs w:val="28"/>
          <w:highlight w:val="none"/>
          <w:vertAlign w:val="superscript"/>
        </w:rPr>
        <w:t>2</w:t>
      </w:r>
      <w:r>
        <w:rPr>
          <w:rFonts w:hint="default" w:ascii="Times New Roman" w:hAnsi="Times New Roman" w:cs="Times New Roman"/>
          <w:color w:val="auto"/>
          <w:sz w:val="24"/>
          <w:highlight w:val="none"/>
        </w:rPr>
        <w:t>。</w:t>
      </w:r>
      <w:bookmarkEnd w:id="28"/>
      <w:bookmarkEnd w:id="29"/>
      <w:bookmarkEnd w:id="30"/>
    </w:p>
    <w:p>
      <w:pPr>
        <w:keepNext w:val="0"/>
        <w:keepLines w:val="0"/>
        <w:pageBreakBefore w:val="0"/>
        <w:widowControl/>
        <w:kinsoku/>
        <w:wordWrap/>
        <w:overflowPunct/>
        <w:topLinePunct w:val="0"/>
        <w:autoSpaceDE/>
        <w:autoSpaceDN/>
        <w:bidi w:val="0"/>
        <w:adjustRightInd/>
        <w:snapToGrid/>
        <w:ind w:firstLine="480"/>
        <w:textAlignment w:val="auto"/>
        <w:rPr>
          <w:rFonts w:cs="Times New Roman"/>
          <w:color w:val="auto"/>
          <w:highlight w:val="none"/>
        </w:rPr>
      </w:pPr>
      <w:r>
        <w:rPr>
          <w:rFonts w:ascii="Times New Roman" w:hAnsi="Times New Roman"/>
          <w:color w:val="auto"/>
          <w:sz w:val="24"/>
          <w:highlight w:val="none"/>
        </w:rPr>
        <w:t>本项目厂址位于</w:t>
      </w:r>
      <w:r>
        <w:rPr>
          <w:rFonts w:hint="eastAsia" w:ascii="Times New Roman" w:hAnsi="Times New Roman"/>
          <w:color w:val="auto"/>
          <w:sz w:val="24"/>
          <w:highlight w:val="none"/>
        </w:rPr>
        <w:t>平舆县庙湾</w:t>
      </w:r>
      <w:r>
        <w:rPr>
          <w:rFonts w:hint="eastAsia"/>
          <w:color w:val="auto"/>
          <w:sz w:val="24"/>
          <w:highlight w:val="none"/>
          <w:lang w:eastAsia="zh-CN"/>
        </w:rPr>
        <w:t>乡</w:t>
      </w:r>
      <w:r>
        <w:rPr>
          <w:rFonts w:hint="eastAsia" w:ascii="Times New Roman" w:hAnsi="Times New Roman"/>
          <w:color w:val="auto"/>
          <w:sz w:val="24"/>
          <w:highlight w:val="none"/>
        </w:rPr>
        <w:t>赵庄村</w:t>
      </w:r>
      <w:r>
        <w:rPr>
          <w:rFonts w:ascii="Times New Roman" w:hAnsi="Times New Roman"/>
          <w:color w:val="auto"/>
          <w:sz w:val="24"/>
          <w:highlight w:val="none"/>
        </w:rPr>
        <w:t>，</w:t>
      </w:r>
      <w:r>
        <w:rPr>
          <w:rFonts w:cs="Times New Roman"/>
          <w:color w:val="auto"/>
          <w:highlight w:val="none"/>
        </w:rPr>
        <w:t>具体地理位置详见附图</w:t>
      </w:r>
      <w:r>
        <w:rPr>
          <w:rFonts w:hint="eastAsia" w:cs="Times New Roman"/>
          <w:color w:val="auto"/>
          <w:highlight w:val="none"/>
        </w:rPr>
        <w:t>一</w:t>
      </w:r>
      <w:r>
        <w:rPr>
          <w:rFonts w:cs="Times New Roman"/>
          <w:color w:val="auto"/>
          <w:highlight w:val="none"/>
        </w:rPr>
        <w:t>。</w:t>
      </w:r>
    </w:p>
    <w:p>
      <w:pPr>
        <w:pStyle w:val="5"/>
        <w:spacing w:before="66"/>
        <w:ind w:firstLine="0" w:firstLineChars="0"/>
        <w:rPr>
          <w:color w:val="auto"/>
          <w:highlight w:val="none"/>
        </w:rPr>
      </w:pPr>
      <w:r>
        <w:rPr>
          <w:rFonts w:hint="eastAsia"/>
          <w:color w:val="auto"/>
          <w:highlight w:val="none"/>
          <w:lang w:val="en-US" w:eastAsia="zh-CN"/>
        </w:rPr>
        <w:t>3</w:t>
      </w:r>
      <w:r>
        <w:rPr>
          <w:color w:val="auto"/>
          <w:highlight w:val="none"/>
        </w:rPr>
        <w:t>.1.</w:t>
      </w:r>
      <w:r>
        <w:rPr>
          <w:rFonts w:hint="eastAsia"/>
          <w:color w:val="auto"/>
          <w:highlight w:val="none"/>
        </w:rPr>
        <w:t>2</w:t>
      </w:r>
      <w:r>
        <w:rPr>
          <w:color w:val="auto"/>
          <w:highlight w:val="none"/>
        </w:rPr>
        <w:t>地形、地貌</w:t>
      </w:r>
      <w:r>
        <w:rPr>
          <w:rFonts w:hint="eastAsia"/>
          <w:color w:val="auto"/>
          <w:highlight w:val="none"/>
        </w:rPr>
        <w:t>、地质</w:t>
      </w:r>
    </w:p>
    <w:p>
      <w:pPr>
        <w:ind w:firstLine="480"/>
        <w:rPr>
          <w:rFonts w:cs="Times New Roman"/>
          <w:color w:val="auto"/>
          <w:highlight w:val="none"/>
        </w:rPr>
      </w:pPr>
      <w:r>
        <w:rPr>
          <w:rFonts w:hint="eastAsia" w:ascii="Times New Roman" w:hAnsi="Times New Roman"/>
          <w:color w:val="auto"/>
          <w:spacing w:val="8"/>
          <w:sz w:val="24"/>
          <w:szCs w:val="28"/>
          <w:highlight w:val="none"/>
        </w:rPr>
        <w:t>平舆县地处黄淮海平原的腹心地带，地势平坦，县域西部稍高于东部，中部稍高于南北两侧，平均坡降在1/4000至1/6000之间，整个县域地貌呈现出岗地和泊洼相间的形态，县域内岗地主要分布在洪河、汝河之间和洪河左岸地区，面积约966k</w:t>
      </w:r>
      <w:r>
        <w:rPr>
          <w:rFonts w:hint="eastAsia" w:ascii="Times New Roman" w:hAnsi="Times New Roman"/>
          <w:color w:val="auto"/>
          <w:spacing w:val="8"/>
          <w:sz w:val="24"/>
          <w:szCs w:val="28"/>
          <w:highlight w:val="none"/>
          <w:vertAlign w:val="baseline"/>
        </w:rPr>
        <w:t>m</w:t>
      </w:r>
      <w:r>
        <w:rPr>
          <w:rFonts w:hint="eastAsia" w:ascii="Times New Roman" w:hAnsi="Times New Roman"/>
          <w:color w:val="auto"/>
          <w:spacing w:val="8"/>
          <w:sz w:val="24"/>
          <w:szCs w:val="28"/>
          <w:highlight w:val="none"/>
          <w:vertAlign w:val="superscript"/>
        </w:rPr>
        <w:t>2</w:t>
      </w:r>
      <w:r>
        <w:rPr>
          <w:rFonts w:hint="eastAsia" w:ascii="Times New Roman" w:hAnsi="Times New Roman"/>
          <w:color w:val="auto"/>
          <w:spacing w:val="8"/>
          <w:sz w:val="24"/>
          <w:szCs w:val="28"/>
          <w:highlight w:val="none"/>
        </w:rPr>
        <w:t>，占全县总面积的75.4%，泊洼地主要分布在洪河、汝河的一些中型支流河道两岸，面积约为316km</w:t>
      </w:r>
      <w:r>
        <w:rPr>
          <w:rFonts w:hint="eastAsia" w:ascii="Times New Roman" w:hAnsi="Times New Roman"/>
          <w:color w:val="auto"/>
          <w:spacing w:val="8"/>
          <w:sz w:val="24"/>
          <w:szCs w:val="28"/>
          <w:highlight w:val="none"/>
          <w:vertAlign w:val="superscript"/>
        </w:rPr>
        <w:t>2</w:t>
      </w:r>
      <w:r>
        <w:rPr>
          <w:rFonts w:hint="eastAsia" w:ascii="Times New Roman" w:hAnsi="Times New Roman"/>
          <w:color w:val="auto"/>
          <w:spacing w:val="8"/>
          <w:sz w:val="24"/>
          <w:szCs w:val="28"/>
          <w:highlight w:val="none"/>
        </w:rPr>
        <w:t>，占全县总面积的24.6%</w:t>
      </w:r>
      <w:r>
        <w:rPr>
          <w:rFonts w:hint="eastAsia" w:cs="Times New Roman"/>
          <w:color w:val="auto"/>
          <w:highlight w:val="none"/>
        </w:rPr>
        <w:t>。</w:t>
      </w:r>
    </w:p>
    <w:p>
      <w:pPr>
        <w:pStyle w:val="5"/>
        <w:spacing w:before="66"/>
        <w:ind w:firstLine="0" w:firstLineChars="0"/>
        <w:rPr>
          <w:color w:val="auto"/>
          <w:highlight w:val="none"/>
        </w:rPr>
      </w:pPr>
      <w:r>
        <w:rPr>
          <w:rFonts w:hint="eastAsia"/>
          <w:color w:val="auto"/>
          <w:highlight w:val="none"/>
          <w:lang w:val="en-US" w:eastAsia="zh-CN"/>
        </w:rPr>
        <w:t>3</w:t>
      </w:r>
      <w:r>
        <w:rPr>
          <w:color w:val="auto"/>
          <w:highlight w:val="none"/>
        </w:rPr>
        <w:t>.1.</w:t>
      </w:r>
      <w:r>
        <w:rPr>
          <w:rFonts w:hint="eastAsia"/>
          <w:color w:val="auto"/>
          <w:highlight w:val="none"/>
        </w:rPr>
        <w:t>3气候</w:t>
      </w:r>
      <w:r>
        <w:rPr>
          <w:color w:val="auto"/>
          <w:highlight w:val="none"/>
        </w:rPr>
        <w:t>气象</w:t>
      </w:r>
    </w:p>
    <w:p>
      <w:pPr>
        <w:keepNext w:val="0"/>
        <w:keepLines w:val="0"/>
        <w:pageBreakBefore w:val="0"/>
        <w:widowControl/>
        <w:kinsoku/>
        <w:wordWrap/>
        <w:overflowPunct/>
        <w:topLinePunct w:val="0"/>
        <w:autoSpaceDE/>
        <w:autoSpaceDN/>
        <w:bidi w:val="0"/>
        <w:adjustRightInd/>
        <w:snapToGrid/>
        <w:spacing w:line="360" w:lineRule="auto"/>
        <w:ind w:right="34" w:firstLine="512" w:firstLineChars="200"/>
        <w:textAlignment w:val="auto"/>
        <w:rPr>
          <w:rFonts w:hint="eastAsia"/>
          <w:color w:val="auto"/>
          <w:spacing w:val="8"/>
          <w:sz w:val="24"/>
          <w:szCs w:val="28"/>
          <w:highlight w:val="none"/>
          <w:lang w:eastAsia="zh-CN"/>
        </w:rPr>
      </w:pPr>
      <w:r>
        <w:rPr>
          <w:rFonts w:hint="eastAsia" w:ascii="Times New Roman" w:hAnsi="Times New Roman"/>
          <w:color w:val="auto"/>
          <w:spacing w:val="8"/>
          <w:sz w:val="24"/>
          <w:szCs w:val="28"/>
          <w:highlight w:val="none"/>
        </w:rPr>
        <w:t>平舆县属于北温带季风气候，是亚热带向暖温带过渡的地区，兼有两种气候带的特点。多年年平均温度在14.8℃，平均无霜期为229天，平均日照时数2131小时</w:t>
      </w:r>
      <w:r>
        <w:rPr>
          <w:rFonts w:hint="eastAsia"/>
          <w:color w:val="auto"/>
          <w:spacing w:val="8"/>
          <w:sz w:val="24"/>
          <w:szCs w:val="28"/>
          <w:highlight w:val="none"/>
          <w:lang w:eastAsia="zh-CN"/>
        </w:rPr>
        <w:t>，年平均降雨量893.1mm，平均风速3.4m/s，全年风向变化明显，冬季多北风或偏北风，夏季多南风或西南风，春季多东风或东南风，秋季多西风或西北风，极端最大风速20m/s。</w:t>
      </w:r>
    </w:p>
    <w:p>
      <w:pPr>
        <w:keepNext w:val="0"/>
        <w:keepLines w:val="0"/>
        <w:pageBreakBefore w:val="0"/>
        <w:widowControl/>
        <w:kinsoku/>
        <w:wordWrap/>
        <w:overflowPunct/>
        <w:topLinePunct w:val="0"/>
        <w:autoSpaceDE/>
        <w:autoSpaceDN/>
        <w:bidi w:val="0"/>
        <w:adjustRightInd/>
        <w:snapToGrid/>
        <w:spacing w:line="360" w:lineRule="auto"/>
        <w:ind w:right="34" w:firstLine="512" w:firstLineChars="200"/>
        <w:textAlignment w:val="auto"/>
        <w:rPr>
          <w:rFonts w:hint="eastAsia"/>
          <w:color w:val="auto"/>
          <w:spacing w:val="8"/>
          <w:sz w:val="24"/>
          <w:szCs w:val="28"/>
          <w:highlight w:val="none"/>
          <w:lang w:eastAsia="zh-CN"/>
        </w:rPr>
      </w:pPr>
      <w:r>
        <w:rPr>
          <w:rFonts w:hint="eastAsia"/>
          <w:color w:val="auto"/>
          <w:spacing w:val="8"/>
          <w:sz w:val="24"/>
          <w:szCs w:val="28"/>
          <w:highlight w:val="none"/>
          <w:lang w:eastAsia="zh-CN"/>
        </w:rPr>
        <w:t>根据平舆县气象局提供的资料，平舆县主要气象特征值如下：</w:t>
      </w:r>
    </w:p>
    <w:p>
      <w:pPr>
        <w:keepNext w:val="0"/>
        <w:keepLines w:val="0"/>
        <w:pageBreakBefore w:val="0"/>
        <w:widowControl/>
        <w:kinsoku/>
        <w:wordWrap/>
        <w:overflowPunct/>
        <w:topLinePunct w:val="0"/>
        <w:autoSpaceDE/>
        <w:autoSpaceDN/>
        <w:bidi w:val="0"/>
        <w:adjustRightInd/>
        <w:snapToGrid/>
        <w:spacing w:line="360" w:lineRule="auto"/>
        <w:ind w:right="34" w:firstLine="512" w:firstLineChars="200"/>
        <w:textAlignment w:val="auto"/>
        <w:rPr>
          <w:rFonts w:hint="eastAsia"/>
          <w:color w:val="auto"/>
          <w:spacing w:val="8"/>
          <w:sz w:val="24"/>
          <w:szCs w:val="28"/>
          <w:highlight w:val="none"/>
          <w:lang w:eastAsia="zh-CN"/>
        </w:rPr>
      </w:pPr>
      <w:r>
        <w:rPr>
          <w:rFonts w:hint="eastAsia"/>
          <w:color w:val="auto"/>
          <w:spacing w:val="8"/>
          <w:sz w:val="24"/>
          <w:szCs w:val="28"/>
          <w:highlight w:val="none"/>
          <w:lang w:eastAsia="zh-CN"/>
        </w:rPr>
        <w:t>气温：最高气温38.4℃，最低气温</w:t>
      </w:r>
      <w:r>
        <w:rPr>
          <w:rFonts w:hint="eastAsia"/>
          <w:color w:val="auto"/>
          <w:spacing w:val="8"/>
          <w:sz w:val="24"/>
          <w:szCs w:val="28"/>
          <w:highlight w:val="none"/>
          <w:lang w:val="en-US" w:eastAsia="zh-CN"/>
        </w:rPr>
        <w:t>-</w:t>
      </w:r>
      <w:r>
        <w:rPr>
          <w:rFonts w:hint="eastAsia"/>
          <w:color w:val="auto"/>
          <w:spacing w:val="8"/>
          <w:sz w:val="24"/>
          <w:szCs w:val="28"/>
          <w:highlight w:val="none"/>
          <w:lang w:eastAsia="zh-CN"/>
        </w:rPr>
        <w:t>10.2℃，年平均气温14.8℃；</w:t>
      </w:r>
    </w:p>
    <w:p>
      <w:pPr>
        <w:keepNext w:val="0"/>
        <w:keepLines w:val="0"/>
        <w:pageBreakBefore w:val="0"/>
        <w:widowControl/>
        <w:kinsoku/>
        <w:wordWrap/>
        <w:overflowPunct/>
        <w:topLinePunct w:val="0"/>
        <w:autoSpaceDE/>
        <w:autoSpaceDN/>
        <w:bidi w:val="0"/>
        <w:adjustRightInd/>
        <w:snapToGrid/>
        <w:spacing w:line="360" w:lineRule="auto"/>
        <w:ind w:right="34" w:firstLine="512" w:firstLineChars="200"/>
        <w:textAlignment w:val="auto"/>
        <w:rPr>
          <w:rFonts w:hint="eastAsia"/>
          <w:color w:val="auto"/>
          <w:spacing w:val="8"/>
          <w:sz w:val="24"/>
          <w:szCs w:val="28"/>
          <w:highlight w:val="none"/>
          <w:lang w:eastAsia="zh-CN"/>
        </w:rPr>
      </w:pPr>
      <w:r>
        <w:rPr>
          <w:rFonts w:hint="eastAsia"/>
          <w:color w:val="auto"/>
          <w:spacing w:val="8"/>
          <w:sz w:val="24"/>
          <w:szCs w:val="28"/>
          <w:highlight w:val="none"/>
          <w:lang w:eastAsia="zh-CN"/>
        </w:rPr>
        <w:t>降水：年平均降水量932.9mm，年最大降水量1473.2mm。</w:t>
      </w:r>
    </w:p>
    <w:p>
      <w:pPr>
        <w:keepNext w:val="0"/>
        <w:keepLines w:val="0"/>
        <w:pageBreakBefore w:val="0"/>
        <w:widowControl/>
        <w:kinsoku/>
        <w:wordWrap/>
        <w:overflowPunct/>
        <w:topLinePunct w:val="0"/>
        <w:autoSpaceDE/>
        <w:autoSpaceDN/>
        <w:bidi w:val="0"/>
        <w:adjustRightInd/>
        <w:snapToGrid/>
        <w:spacing w:line="360" w:lineRule="auto"/>
        <w:ind w:right="34" w:firstLine="512" w:firstLineChars="200"/>
        <w:textAlignment w:val="auto"/>
        <w:rPr>
          <w:rFonts w:hint="eastAsia"/>
          <w:color w:val="auto"/>
          <w:spacing w:val="8"/>
          <w:sz w:val="24"/>
          <w:szCs w:val="28"/>
          <w:highlight w:val="none"/>
          <w:lang w:eastAsia="zh-CN"/>
        </w:rPr>
      </w:pPr>
      <w:r>
        <w:rPr>
          <w:rFonts w:hint="eastAsia"/>
          <w:color w:val="auto"/>
          <w:spacing w:val="8"/>
          <w:sz w:val="24"/>
          <w:szCs w:val="28"/>
          <w:highlight w:val="none"/>
          <w:lang w:eastAsia="zh-CN"/>
        </w:rPr>
        <w:t>蒸发量：平均年蒸发量1581.11mm。</w:t>
      </w:r>
      <w:r>
        <w:rPr>
          <w:rFonts w:hint="eastAsia"/>
          <w:color w:val="auto"/>
          <w:spacing w:val="8"/>
          <w:sz w:val="24"/>
          <w:szCs w:val="28"/>
          <w:highlight w:val="none"/>
          <w:lang w:eastAsia="zh-CN"/>
        </w:rPr>
        <w:tab/>
      </w:r>
    </w:p>
    <w:p>
      <w:pPr>
        <w:keepNext w:val="0"/>
        <w:keepLines w:val="0"/>
        <w:pageBreakBefore w:val="0"/>
        <w:widowControl/>
        <w:kinsoku/>
        <w:wordWrap/>
        <w:overflowPunct/>
        <w:topLinePunct w:val="0"/>
        <w:autoSpaceDE/>
        <w:autoSpaceDN/>
        <w:bidi w:val="0"/>
        <w:adjustRightInd/>
        <w:snapToGrid/>
        <w:spacing w:line="360" w:lineRule="auto"/>
        <w:ind w:right="34" w:firstLine="512" w:firstLineChars="200"/>
        <w:textAlignment w:val="auto"/>
        <w:rPr>
          <w:rFonts w:ascii="Times New Roman" w:hAnsi="Times New Roman"/>
          <w:color w:val="auto"/>
          <w:spacing w:val="8"/>
          <w:sz w:val="24"/>
          <w:szCs w:val="28"/>
          <w:highlight w:val="none"/>
        </w:rPr>
      </w:pPr>
      <w:r>
        <w:rPr>
          <w:rFonts w:hint="eastAsia"/>
          <w:color w:val="auto"/>
          <w:spacing w:val="8"/>
          <w:sz w:val="24"/>
          <w:szCs w:val="28"/>
          <w:highlight w:val="none"/>
          <w:lang w:eastAsia="zh-CN"/>
        </w:rPr>
        <w:t>平舆县全年主导风向以北风为主。夏季盛行南风，静风频率也较高，全年平均约为14.5%。平舆县2004年风向频率玫瑰图见图</w:t>
      </w:r>
      <w:r>
        <w:rPr>
          <w:rFonts w:hint="eastAsia"/>
          <w:color w:val="auto"/>
          <w:spacing w:val="8"/>
          <w:sz w:val="24"/>
          <w:szCs w:val="28"/>
          <w:highlight w:val="none"/>
          <w:lang w:val="en-US" w:eastAsia="zh-CN"/>
        </w:rPr>
        <w:t>3-1</w:t>
      </w:r>
      <w:r>
        <w:rPr>
          <w:rFonts w:ascii="Times New Roman" w:hAnsi="Times New Roman"/>
          <w:color w:val="auto"/>
          <w:spacing w:val="8"/>
          <w:sz w:val="24"/>
          <w:szCs w:val="28"/>
          <w:highlight w:val="none"/>
        </w:rPr>
        <w:t>：</w:t>
      </w:r>
    </w:p>
    <w:p>
      <w:pPr>
        <w:pStyle w:val="2"/>
        <w:jc w:val="center"/>
        <w:rPr>
          <w:rFonts w:ascii="Times New Roman" w:hAnsi="Times New Roman"/>
          <w:color w:val="auto"/>
          <w:szCs w:val="21"/>
          <w:highlight w:val="none"/>
        </w:rPr>
      </w:pPr>
      <w:r>
        <w:rPr>
          <w:color w:val="auto"/>
          <w:highlight w:val="none"/>
        </w:rPr>
        <w:drawing>
          <wp:inline distT="0" distB="0" distL="114300" distR="114300">
            <wp:extent cx="2533650" cy="2381250"/>
            <wp:effectExtent l="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9"/>
                    <a:stretch>
                      <a:fillRect/>
                    </a:stretch>
                  </pic:blipFill>
                  <pic:spPr>
                    <a:xfrm>
                      <a:off x="0" y="0"/>
                      <a:ext cx="2533650" cy="2381250"/>
                    </a:xfrm>
                    <a:prstGeom prst="rect">
                      <a:avLst/>
                    </a:prstGeom>
                    <a:noFill/>
                    <a:ln>
                      <a:noFill/>
                    </a:ln>
                  </pic:spPr>
                </pic:pic>
              </a:graphicData>
            </a:graphic>
          </wp:inline>
        </w:drawing>
      </w:r>
    </w:p>
    <w:p>
      <w:pPr>
        <w:pStyle w:val="2"/>
        <w:jc w:val="center"/>
        <w:rPr>
          <w:rStyle w:val="43"/>
          <w:rFonts w:hint="eastAsia" w:ascii="Times New Roman" w:hAnsi="Times New Roman"/>
          <w:color w:val="auto"/>
          <w:szCs w:val="22"/>
          <w:highlight w:val="none"/>
          <w:lang w:val="en-US" w:eastAsia="zh-CN"/>
        </w:rPr>
      </w:pPr>
      <w:r>
        <w:rPr>
          <w:rStyle w:val="43"/>
          <w:rFonts w:hint="eastAsia" w:ascii="Times New Roman" w:hAnsi="Times New Roman"/>
          <w:color w:val="auto"/>
          <w:szCs w:val="22"/>
          <w:highlight w:val="none"/>
          <w:lang w:val="en-US" w:eastAsia="zh-CN"/>
        </w:rPr>
        <w:t>图3.1-1 平舆县风向频率玫瑰图</w:t>
      </w:r>
    </w:p>
    <w:p>
      <w:pPr>
        <w:pStyle w:val="5"/>
        <w:spacing w:before="66"/>
        <w:ind w:firstLine="0" w:firstLineChars="0"/>
        <w:rPr>
          <w:color w:val="auto"/>
          <w:highlight w:val="none"/>
        </w:rPr>
      </w:pPr>
      <w:r>
        <w:rPr>
          <w:rFonts w:hint="eastAsia"/>
          <w:color w:val="auto"/>
          <w:highlight w:val="none"/>
          <w:lang w:val="en-US" w:eastAsia="zh-CN"/>
        </w:rPr>
        <w:t>3</w:t>
      </w:r>
      <w:r>
        <w:rPr>
          <w:color w:val="auto"/>
          <w:highlight w:val="none"/>
        </w:rPr>
        <w:t>.1.</w:t>
      </w:r>
      <w:r>
        <w:rPr>
          <w:rFonts w:hint="eastAsia"/>
          <w:color w:val="auto"/>
          <w:highlight w:val="none"/>
        </w:rPr>
        <w:t>4水文</w:t>
      </w:r>
    </w:p>
    <w:p>
      <w:pPr>
        <w:keepNext w:val="0"/>
        <w:keepLines w:val="0"/>
        <w:pageBreakBefore w:val="0"/>
        <w:kinsoku/>
        <w:wordWrap/>
        <w:overflowPunct/>
        <w:topLinePunct w:val="0"/>
        <w:autoSpaceDE/>
        <w:autoSpaceDN/>
        <w:bidi w:val="0"/>
        <w:adjustRightInd/>
        <w:snapToGrid/>
        <w:ind w:firstLine="480"/>
        <w:textAlignment w:val="auto"/>
        <w:rPr>
          <w:rFonts w:cs="Times New Roman"/>
          <w:color w:val="auto"/>
          <w:highlight w:val="none"/>
        </w:rPr>
      </w:pPr>
      <w:r>
        <w:rPr>
          <w:rFonts w:hint="eastAsia" w:cs="Times New Roman"/>
          <w:color w:val="auto"/>
          <w:highlight w:val="none"/>
        </w:rPr>
        <w:t>1、地表水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2"/>
          <w:highlight w:val="none"/>
        </w:rPr>
      </w:pPr>
      <w:r>
        <w:rPr>
          <w:rFonts w:hint="eastAsia" w:ascii="Times New Roman" w:hAnsi="Times New Roman" w:cs="Times New Roman"/>
          <w:color w:val="auto"/>
          <w:sz w:val="24"/>
          <w:szCs w:val="22"/>
          <w:highlight w:val="none"/>
        </w:rPr>
        <w:t>平舆县河流属于淮河流域的洪河、汝河水系，另有小青河从城区流经，两河均由西向东横穿县境。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2"/>
          <w:highlight w:val="none"/>
        </w:rPr>
      </w:pPr>
      <w:r>
        <w:rPr>
          <w:rFonts w:hint="eastAsia" w:ascii="Times New Roman" w:hAnsi="Times New Roman" w:cs="Times New Roman"/>
          <w:color w:val="auto"/>
          <w:sz w:val="24"/>
          <w:szCs w:val="22"/>
          <w:highlight w:val="none"/>
        </w:rPr>
        <w:t>洪河经平舆、上蔡两县从后刘乡殷浅村入平舆县境，至新蔡县的三岔口与汝河会合，到豫皖交界处入淮河。洪河在境内流经内流经后刘、射桥、玉皇庙、庙湾、高杨店、东皇庙、杨埠、双庙九个乡，长50.2km，流域面积939km</w:t>
      </w:r>
      <w:r>
        <w:rPr>
          <w:rFonts w:hint="eastAsia" w:ascii="Times New Roman" w:hAnsi="Times New Roman" w:cs="Times New Roman"/>
          <w:color w:val="auto"/>
          <w:sz w:val="24"/>
          <w:szCs w:val="22"/>
          <w:highlight w:val="none"/>
          <w:vertAlign w:val="superscript"/>
        </w:rPr>
        <w:t>2</w:t>
      </w:r>
      <w:r>
        <w:rPr>
          <w:rFonts w:hint="eastAsia" w:cs="Times New Roman"/>
          <w:color w:val="auto"/>
          <w:sz w:val="24"/>
          <w:szCs w:val="22"/>
          <w:highlight w:val="none"/>
          <w:lang w:eastAsia="zh-CN"/>
        </w:rPr>
        <w:t>，</w:t>
      </w:r>
      <w:r>
        <w:rPr>
          <w:rFonts w:hint="eastAsia" w:ascii="Times New Roman" w:hAnsi="Times New Roman" w:cs="Times New Roman"/>
          <w:color w:val="auto"/>
          <w:sz w:val="24"/>
          <w:szCs w:val="22"/>
          <w:highlight w:val="none"/>
        </w:rPr>
        <w:t>占全县总面积的73%</w:t>
      </w:r>
      <w:r>
        <w:rPr>
          <w:rFonts w:hint="eastAsia" w:cs="Times New Roman"/>
          <w:color w:val="auto"/>
          <w:sz w:val="24"/>
          <w:szCs w:val="22"/>
          <w:highlight w:val="none"/>
          <w:lang w:eastAsia="zh-CN"/>
        </w:rPr>
        <w:t>，</w:t>
      </w:r>
      <w:r>
        <w:rPr>
          <w:rFonts w:hint="eastAsia" w:ascii="Times New Roman" w:hAnsi="Times New Roman" w:cs="Times New Roman"/>
          <w:color w:val="auto"/>
          <w:sz w:val="24"/>
          <w:szCs w:val="22"/>
          <w:highlight w:val="none"/>
        </w:rPr>
        <w:t>1975年8月10日最大流量为610m</w:t>
      </w:r>
      <w:r>
        <w:rPr>
          <w:rFonts w:hint="eastAsia" w:ascii="Times New Roman" w:hAnsi="Times New Roman" w:cs="Times New Roman"/>
          <w:color w:val="auto"/>
          <w:sz w:val="24"/>
          <w:szCs w:val="22"/>
          <w:highlight w:val="none"/>
          <w:vertAlign w:val="superscript"/>
        </w:rPr>
        <w:t>3</w:t>
      </w:r>
      <w:r>
        <w:rPr>
          <w:rFonts w:hint="eastAsia" w:ascii="Times New Roman" w:hAnsi="Times New Roman" w:cs="Times New Roman"/>
          <w:color w:val="auto"/>
          <w:sz w:val="24"/>
          <w:szCs w:val="22"/>
          <w:highlight w:val="none"/>
        </w:rPr>
        <w:t>/s,年均过水量5.43亿m</w:t>
      </w:r>
      <w:r>
        <w:rPr>
          <w:rFonts w:hint="eastAsia" w:ascii="Times New Roman" w:hAnsi="Times New Roman" w:cs="Times New Roman"/>
          <w:color w:val="auto"/>
          <w:sz w:val="24"/>
          <w:szCs w:val="22"/>
          <w:highlight w:val="none"/>
          <w:vertAlign w:val="superscript"/>
        </w:rPr>
        <w:t>3</w:t>
      </w:r>
      <w:r>
        <w:rPr>
          <w:rFonts w:hint="eastAsia" w:ascii="Times New Roman" w:hAnsi="Times New Roman" w:cs="Times New Roman"/>
          <w:color w:val="auto"/>
          <w:sz w:val="24"/>
          <w:szCs w:val="22"/>
          <w:highlight w:val="none"/>
        </w:rPr>
        <w:t>。主要支流有小青河、荆河、南马肠河、北马肠河、东草河(上游称马港)、大黄港、倪港、龙王庙港、陈寺港、小清港、崔房庄港、蔡营港等。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2"/>
          <w:highlight w:val="none"/>
        </w:rPr>
      </w:pPr>
      <w:r>
        <w:rPr>
          <w:rFonts w:hint="eastAsia" w:ascii="Times New Roman" w:hAnsi="Times New Roman" w:cs="Times New Roman"/>
          <w:color w:val="auto"/>
          <w:sz w:val="24"/>
          <w:szCs w:val="22"/>
          <w:highlight w:val="none"/>
        </w:rPr>
        <w:t>汝河，古称“汝水”，发源于泌阳县北部的王峰山区，经板桥水库、宿鸭湖水库，从老王岗乡黄湾村入平舆县境。沿老王岗乡、西洋店乡西南部边缘至蛟停湖入新蔡县境。境长20.54km，流域面积290km</w:t>
      </w:r>
      <w:r>
        <w:rPr>
          <w:rFonts w:hint="eastAsia" w:ascii="Times New Roman" w:hAnsi="Times New Roman" w:cs="Times New Roman"/>
          <w:color w:val="auto"/>
          <w:sz w:val="24"/>
          <w:szCs w:val="22"/>
          <w:highlight w:val="none"/>
          <w:vertAlign w:val="superscript"/>
        </w:rPr>
        <w:t>2</w:t>
      </w:r>
      <w:r>
        <w:rPr>
          <w:rFonts w:hint="eastAsia" w:ascii="Times New Roman" w:hAnsi="Times New Roman" w:cs="Times New Roman"/>
          <w:color w:val="auto"/>
          <w:sz w:val="24"/>
          <w:szCs w:val="22"/>
          <w:highlight w:val="none"/>
        </w:rPr>
        <w:t>。占全县总面积的22.6</w:t>
      </w:r>
      <w:r>
        <w:rPr>
          <w:rFonts w:hint="eastAsia" w:cs="Times New Roman"/>
          <w:color w:val="auto"/>
          <w:sz w:val="24"/>
          <w:szCs w:val="22"/>
          <w:highlight w:val="none"/>
          <w:lang w:val="en-US" w:eastAsia="zh-CN"/>
        </w:rPr>
        <w:t>%</w:t>
      </w:r>
      <w:r>
        <w:rPr>
          <w:rFonts w:hint="eastAsia" w:ascii="Times New Roman" w:hAnsi="Times New Roman" w:cs="Times New Roman"/>
          <w:color w:val="auto"/>
          <w:sz w:val="24"/>
          <w:szCs w:val="22"/>
          <w:highlight w:val="none"/>
        </w:rPr>
        <w:t>。50年代初</w:t>
      </w:r>
      <w:r>
        <w:rPr>
          <w:rFonts w:hint="eastAsia" w:cs="Times New Roman"/>
          <w:color w:val="auto"/>
          <w:sz w:val="24"/>
          <w:szCs w:val="22"/>
          <w:highlight w:val="none"/>
          <w:lang w:val="en-US" w:eastAsia="zh-CN"/>
        </w:rPr>
        <w:t>，</w:t>
      </w:r>
      <w:r>
        <w:rPr>
          <w:rFonts w:hint="eastAsia" w:ascii="Times New Roman" w:hAnsi="Times New Roman" w:cs="Times New Roman"/>
          <w:color w:val="auto"/>
          <w:sz w:val="24"/>
          <w:szCs w:val="22"/>
          <w:highlight w:val="none"/>
        </w:rPr>
        <w:t>最大可能过流量1850m</w:t>
      </w:r>
      <w:r>
        <w:rPr>
          <w:rFonts w:hint="eastAsia" w:ascii="Times New Roman" w:hAnsi="Times New Roman" w:cs="Times New Roman"/>
          <w:color w:val="auto"/>
          <w:sz w:val="24"/>
          <w:szCs w:val="22"/>
          <w:highlight w:val="none"/>
          <w:vertAlign w:val="superscript"/>
        </w:rPr>
        <w:t>3</w:t>
      </w:r>
      <w:r>
        <w:rPr>
          <w:rFonts w:hint="eastAsia" w:ascii="Times New Roman" w:hAnsi="Times New Roman" w:cs="Times New Roman"/>
          <w:color w:val="auto"/>
          <w:sz w:val="24"/>
          <w:szCs w:val="22"/>
          <w:highlight w:val="none"/>
        </w:rPr>
        <w:t>/s，年平均过水量3.1亿m</w:t>
      </w:r>
      <w:r>
        <w:rPr>
          <w:rFonts w:hint="eastAsia" w:ascii="Times New Roman" w:hAnsi="Times New Roman" w:cs="Times New Roman"/>
          <w:color w:val="auto"/>
          <w:sz w:val="24"/>
          <w:szCs w:val="22"/>
          <w:highlight w:val="none"/>
          <w:vertAlign w:val="superscript"/>
        </w:rPr>
        <w:t>3</w:t>
      </w:r>
      <w:r>
        <w:rPr>
          <w:rFonts w:hint="eastAsia" w:ascii="Times New Roman" w:hAnsi="Times New Roman" w:cs="Times New Roman"/>
          <w:color w:val="auto"/>
          <w:sz w:val="24"/>
          <w:szCs w:val="22"/>
          <w:highlight w:val="none"/>
        </w:rPr>
        <w:t>。支流有柳港、朱港、方良河、詹港、董港、王港、甘港、黄破港、李港、丁港、王湾港、黄李庄港、黄寨东港、李寨港、刘金店港、张竹园港、郭滩港、肖柳河等。县境内原湖泊较多，今均成坡凹地，主要有跤停湖、天水湖等。泉河为第三大河流,流经杨埠和东和店两个乡镇</w:t>
      </w:r>
      <w:r>
        <w:rPr>
          <w:rFonts w:hint="eastAsia" w:cs="Times New Roman"/>
          <w:color w:val="auto"/>
          <w:sz w:val="24"/>
          <w:szCs w:val="22"/>
          <w:highlight w:val="none"/>
          <w:lang w:eastAsia="zh-CN"/>
        </w:rPr>
        <w:t>，</w:t>
      </w:r>
      <w:r>
        <w:rPr>
          <w:rFonts w:hint="eastAsia" w:ascii="Times New Roman" w:hAnsi="Times New Roman" w:cs="Times New Roman"/>
          <w:color w:val="auto"/>
          <w:sz w:val="24"/>
          <w:szCs w:val="22"/>
          <w:highlight w:val="none"/>
        </w:rPr>
        <w:t>流域面积56.3km</w:t>
      </w:r>
      <w:r>
        <w:rPr>
          <w:rFonts w:hint="eastAsia" w:ascii="Times New Roman" w:hAnsi="Times New Roman" w:cs="Times New Roman"/>
          <w:color w:val="auto"/>
          <w:sz w:val="24"/>
          <w:szCs w:val="22"/>
          <w:highlight w:val="none"/>
          <w:vertAlign w:val="superscript"/>
        </w:rPr>
        <w:t>2</w:t>
      </w:r>
      <w:r>
        <w:rPr>
          <w:rFonts w:hint="eastAsia" w:ascii="Times New Roman" w:hAnsi="Times New Roman" w:cs="Times New Roman"/>
          <w:color w:val="auto"/>
          <w:sz w:val="24"/>
          <w:szCs w:val="2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2"/>
          <w:highlight w:val="none"/>
        </w:rPr>
      </w:pPr>
      <w:r>
        <w:rPr>
          <w:rFonts w:hint="eastAsia" w:ascii="Times New Roman" w:hAnsi="Times New Roman" w:cs="Times New Roman"/>
          <w:color w:val="auto"/>
          <w:sz w:val="24"/>
          <w:szCs w:val="22"/>
          <w:highlight w:val="none"/>
        </w:rPr>
        <w:t>平舆县水资源总量为29.247亿m</w:t>
      </w:r>
      <w:r>
        <w:rPr>
          <w:rFonts w:hint="eastAsia" w:ascii="Times New Roman" w:hAnsi="Times New Roman" w:cs="Times New Roman"/>
          <w:color w:val="auto"/>
          <w:sz w:val="24"/>
          <w:szCs w:val="22"/>
          <w:highlight w:val="none"/>
          <w:vertAlign w:val="superscript"/>
        </w:rPr>
        <w:t>3</w:t>
      </w:r>
      <w:r>
        <w:rPr>
          <w:rFonts w:hint="eastAsia" w:ascii="Times New Roman" w:hAnsi="Times New Roman" w:cs="Times New Roman"/>
          <w:color w:val="auto"/>
          <w:sz w:val="24"/>
          <w:szCs w:val="22"/>
          <w:highlight w:val="none"/>
        </w:rPr>
        <w:t>，其中地表水资源量为12.227亿m</w:t>
      </w:r>
      <w:r>
        <w:rPr>
          <w:rFonts w:hint="eastAsia" w:ascii="Times New Roman" w:hAnsi="Times New Roman" w:cs="Times New Roman"/>
          <w:color w:val="auto"/>
          <w:sz w:val="24"/>
          <w:szCs w:val="22"/>
          <w:highlight w:val="none"/>
          <w:vertAlign w:val="superscript"/>
        </w:rPr>
        <w:t>3</w:t>
      </w:r>
      <w:r>
        <w:rPr>
          <w:rFonts w:hint="eastAsia" w:ascii="Times New Roman" w:hAnsi="Times New Roman" w:cs="Times New Roman"/>
          <w:color w:val="auto"/>
          <w:sz w:val="24"/>
          <w:szCs w:val="22"/>
          <w:highlight w:val="none"/>
        </w:rPr>
        <w:t>，地下水资源量为17.02亿m</w:t>
      </w:r>
      <w:r>
        <w:rPr>
          <w:rFonts w:hint="eastAsia" w:ascii="Times New Roman" w:hAnsi="Times New Roman" w:cs="Times New Roman"/>
          <w:color w:val="auto"/>
          <w:sz w:val="24"/>
          <w:szCs w:val="22"/>
          <w:highlight w:val="none"/>
          <w:vertAlign w:val="superscript"/>
        </w:rPr>
        <w:t>3</w:t>
      </w:r>
      <w:r>
        <w:rPr>
          <w:rFonts w:hint="eastAsia" w:ascii="Times New Roman" w:hAnsi="Times New Roman" w:cs="Times New Roman"/>
          <w:color w:val="auto"/>
          <w:sz w:val="24"/>
          <w:szCs w:val="22"/>
          <w:highlight w:val="none"/>
        </w:rPr>
        <w:t>，地表水资源量大部分为过境水量，由于缺乏拦蓄工程和水质污染，可利用量很少，自产地表水可利用量为1.285亿m</w:t>
      </w:r>
      <w:r>
        <w:rPr>
          <w:rFonts w:hint="eastAsia" w:ascii="Times New Roman" w:hAnsi="Times New Roman" w:cs="Times New Roman"/>
          <w:color w:val="auto"/>
          <w:sz w:val="24"/>
          <w:szCs w:val="22"/>
          <w:highlight w:val="none"/>
          <w:vertAlign w:val="superscript"/>
        </w:rPr>
        <w:t>3</w:t>
      </w:r>
      <w:r>
        <w:rPr>
          <w:rFonts w:hint="eastAsia" w:ascii="Times New Roman" w:hAnsi="Times New Roman" w:cs="Times New Roman"/>
          <w:color w:val="auto"/>
          <w:sz w:val="24"/>
          <w:szCs w:val="22"/>
          <w:highlight w:val="none"/>
        </w:rPr>
        <w:t>；引用外水量由于宿鸭湖水库为年调节水库，加之灌溉设施落后，年均仅有0.687亿m</w:t>
      </w:r>
      <w:r>
        <w:rPr>
          <w:rFonts w:hint="eastAsia" w:ascii="Times New Roman" w:hAnsi="Times New Roman" w:cs="Times New Roman"/>
          <w:color w:val="auto"/>
          <w:sz w:val="24"/>
          <w:szCs w:val="22"/>
          <w:highlight w:val="none"/>
          <w:vertAlign w:val="superscript"/>
        </w:rPr>
        <w:t>3</w:t>
      </w:r>
      <w:r>
        <w:rPr>
          <w:rFonts w:hint="eastAsia" w:ascii="Times New Roman" w:hAnsi="Times New Roman" w:cs="Times New Roman"/>
          <w:color w:val="auto"/>
          <w:sz w:val="24"/>
          <w:szCs w:val="22"/>
          <w:highlight w:val="none"/>
        </w:rPr>
        <w:t>可用，地下水资源量可利用量为1.8738亿m</w:t>
      </w:r>
      <w:r>
        <w:rPr>
          <w:rFonts w:hint="eastAsia" w:ascii="Times New Roman" w:hAnsi="Times New Roman" w:cs="Times New Roman"/>
          <w:color w:val="auto"/>
          <w:sz w:val="24"/>
          <w:szCs w:val="22"/>
          <w:highlight w:val="none"/>
          <w:vertAlign w:val="superscript"/>
        </w:rPr>
        <w:t>3</w:t>
      </w:r>
      <w:r>
        <w:rPr>
          <w:rFonts w:hint="eastAsia" w:ascii="Times New Roman" w:hAnsi="Times New Roman" w:cs="Times New Roman"/>
          <w:color w:val="auto"/>
          <w:sz w:val="24"/>
          <w:szCs w:val="22"/>
          <w:highlight w:val="none"/>
        </w:rPr>
        <w:t>，水资源可开发利用量为3.8458亿m</w:t>
      </w:r>
      <w:r>
        <w:rPr>
          <w:rFonts w:hint="eastAsia" w:ascii="Times New Roman" w:hAnsi="Times New Roman" w:cs="Times New Roman"/>
          <w:color w:val="auto"/>
          <w:sz w:val="24"/>
          <w:szCs w:val="22"/>
          <w:highlight w:val="none"/>
          <w:vertAlign w:val="superscript"/>
        </w:rPr>
        <w:t>3</w:t>
      </w:r>
      <w:r>
        <w:rPr>
          <w:rFonts w:hint="eastAsia" w:ascii="Times New Roman" w:hAnsi="Times New Roman" w:cs="Times New Roman"/>
          <w:color w:val="auto"/>
          <w:sz w:val="24"/>
          <w:szCs w:val="22"/>
          <w:highlight w:val="none"/>
        </w:rPr>
        <w:t>，人均和亩均水资源量在全省处于中等水平。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2"/>
          <w:highlight w:val="none"/>
        </w:rPr>
      </w:pPr>
      <w:r>
        <w:rPr>
          <w:rFonts w:ascii="Times New Roman" w:hAnsi="Times New Roman" w:cs="Times New Roman"/>
          <w:color w:val="auto"/>
          <w:sz w:val="24"/>
          <w:szCs w:val="22"/>
          <w:highlight w:val="none"/>
        </w:rPr>
        <w:t>本项目距离最近的地表水体为</w:t>
      </w:r>
      <w:r>
        <w:rPr>
          <w:rFonts w:ascii="Times New Roman" w:hAnsi="Times New Roman"/>
          <w:color w:val="auto"/>
          <w:sz w:val="24"/>
          <w:szCs w:val="24"/>
          <w:highlight w:val="none"/>
        </w:rPr>
        <w:t>项目</w:t>
      </w:r>
      <w:r>
        <w:rPr>
          <w:rFonts w:hint="eastAsia"/>
          <w:color w:val="auto"/>
          <w:sz w:val="24"/>
          <w:szCs w:val="24"/>
          <w:highlight w:val="none"/>
          <w:lang w:eastAsia="zh-CN"/>
        </w:rPr>
        <w:t>南</w:t>
      </w:r>
      <w:r>
        <w:rPr>
          <w:rFonts w:ascii="Times New Roman" w:hAnsi="Times New Roman"/>
          <w:color w:val="auto"/>
          <w:sz w:val="24"/>
          <w:szCs w:val="24"/>
          <w:highlight w:val="none"/>
        </w:rPr>
        <w:t>侧</w:t>
      </w:r>
      <w:r>
        <w:rPr>
          <w:rFonts w:hint="eastAsia"/>
          <w:color w:val="auto"/>
          <w:sz w:val="24"/>
          <w:szCs w:val="24"/>
          <w:highlight w:val="none"/>
          <w:lang w:val="en-US" w:eastAsia="zh-CN"/>
        </w:rPr>
        <w:t>33</w:t>
      </w:r>
      <w:r>
        <w:rPr>
          <w:rFonts w:hint="eastAsia" w:ascii="Times New Roman" w:hAnsi="Times New Roman"/>
          <w:color w:val="auto"/>
          <w:sz w:val="24"/>
          <w:szCs w:val="24"/>
          <w:highlight w:val="none"/>
          <w:lang w:val="en-US" w:eastAsia="zh-CN"/>
        </w:rPr>
        <w:t>0</w:t>
      </w:r>
      <w:r>
        <w:rPr>
          <w:rFonts w:ascii="Times New Roman" w:hAnsi="Times New Roman"/>
          <w:color w:val="auto"/>
          <w:sz w:val="24"/>
          <w:szCs w:val="24"/>
          <w:highlight w:val="none"/>
        </w:rPr>
        <w:t>m</w:t>
      </w:r>
      <w:r>
        <w:rPr>
          <w:rFonts w:hint="eastAsia" w:ascii="Times New Roman" w:hAnsi="Times New Roman"/>
          <w:color w:val="auto"/>
          <w:sz w:val="24"/>
          <w:szCs w:val="24"/>
          <w:highlight w:val="none"/>
          <w:lang w:eastAsia="zh-CN"/>
        </w:rPr>
        <w:t>处</w:t>
      </w:r>
      <w:r>
        <w:rPr>
          <w:rFonts w:ascii="Times New Roman" w:hAnsi="Times New Roman"/>
          <w:color w:val="auto"/>
          <w:sz w:val="24"/>
          <w:szCs w:val="24"/>
          <w:highlight w:val="none"/>
        </w:rPr>
        <w:t>的</w:t>
      </w:r>
      <w:r>
        <w:rPr>
          <w:rFonts w:hint="eastAsia"/>
          <w:color w:val="auto"/>
          <w:sz w:val="24"/>
          <w:szCs w:val="24"/>
          <w:highlight w:val="none"/>
          <w:lang w:eastAsia="zh-CN"/>
        </w:rPr>
        <w:t>洪</w:t>
      </w:r>
      <w:r>
        <w:rPr>
          <w:rFonts w:hint="eastAsia" w:ascii="Times New Roman" w:hAnsi="Times New Roman"/>
          <w:color w:val="auto"/>
          <w:sz w:val="24"/>
          <w:szCs w:val="24"/>
          <w:highlight w:val="none"/>
          <w:lang w:eastAsia="zh-CN"/>
        </w:rPr>
        <w:t>河</w:t>
      </w:r>
      <w:r>
        <w:rPr>
          <w:rFonts w:ascii="Times New Roman" w:hAnsi="Times New Roman" w:cs="Times New Roman"/>
          <w:color w:val="auto"/>
          <w:sz w:val="24"/>
          <w:szCs w:val="22"/>
          <w:highlight w:val="none"/>
        </w:rPr>
        <w:t>，项目区域水体分布状况参看附图</w:t>
      </w:r>
      <w:r>
        <w:rPr>
          <w:rFonts w:hint="eastAsia" w:cs="Times New Roman"/>
          <w:color w:val="auto"/>
          <w:sz w:val="24"/>
          <w:szCs w:val="22"/>
          <w:highlight w:val="none"/>
          <w:lang w:eastAsia="zh-CN"/>
        </w:rPr>
        <w:t>五</w:t>
      </w:r>
      <w:r>
        <w:rPr>
          <w:rFonts w:ascii="Times New Roman" w:hAnsi="Times New Roman" w:cs="Times New Roman"/>
          <w:color w:val="auto"/>
          <w:sz w:val="24"/>
          <w:szCs w:val="22"/>
          <w:highlight w:val="none"/>
        </w:rPr>
        <w:t>。</w:t>
      </w:r>
    </w:p>
    <w:p>
      <w:pPr>
        <w:keepNext w:val="0"/>
        <w:keepLines w:val="0"/>
        <w:pageBreakBefore w:val="0"/>
        <w:widowControl/>
        <w:kinsoku/>
        <w:wordWrap/>
        <w:overflowPunct/>
        <w:topLinePunct w:val="0"/>
        <w:autoSpaceDE/>
        <w:autoSpaceDN/>
        <w:bidi w:val="0"/>
        <w:adjustRightInd/>
        <w:snapToGrid/>
        <w:ind w:firstLine="480"/>
        <w:textAlignment w:val="auto"/>
        <w:rPr>
          <w:rFonts w:cs="Times New Roman"/>
          <w:color w:val="auto"/>
          <w:highlight w:val="none"/>
        </w:rPr>
      </w:pPr>
      <w:r>
        <w:rPr>
          <w:rFonts w:hint="eastAsia" w:cs="Times New Roman"/>
          <w:color w:val="auto"/>
          <w:highlight w:val="none"/>
        </w:rPr>
        <w:t>（2）地下水</w:t>
      </w:r>
    </w:p>
    <w:p>
      <w:pPr>
        <w:pStyle w:val="10"/>
        <w:spacing w:line="360" w:lineRule="auto"/>
        <w:ind w:firstLine="480" w:firstLineChars="200"/>
        <w:rPr>
          <w:color w:val="auto"/>
          <w:sz w:val="24"/>
          <w:szCs w:val="22"/>
          <w:highlight w:val="none"/>
        </w:rPr>
      </w:pPr>
      <w:r>
        <w:rPr>
          <w:rFonts w:hint="eastAsia"/>
          <w:color w:val="auto"/>
          <w:sz w:val="24"/>
          <w:szCs w:val="22"/>
          <w:highlight w:val="none"/>
        </w:rPr>
        <w:t>平舆县内地下水资源丰富,水质较好，分布均匀，且利于开采利用。全县可开采利用资源总量为30720.3万t/a，现已开采1562.9万t/a，剩余可采资源为15098.12.5万t/a。水质属重碳酸盐淡水，pH值在6.8～7.4之间，没有毒物，且含有丰富的铁、锌、钾、钠等微量元素</w:t>
      </w:r>
      <w:r>
        <w:rPr>
          <w:color w:val="auto"/>
          <w:sz w:val="24"/>
          <w:szCs w:val="22"/>
          <w:highlight w:val="none"/>
        </w:rPr>
        <w:t>。</w:t>
      </w:r>
    </w:p>
    <w:p>
      <w:pPr>
        <w:pStyle w:val="5"/>
        <w:spacing w:before="66"/>
        <w:ind w:firstLine="0" w:firstLineChars="0"/>
        <w:rPr>
          <w:color w:val="auto"/>
          <w:highlight w:val="none"/>
        </w:rPr>
      </w:pPr>
      <w:bookmarkStart w:id="31" w:name="_Toc497134111"/>
      <w:r>
        <w:rPr>
          <w:rFonts w:hint="eastAsia"/>
          <w:color w:val="auto"/>
          <w:highlight w:val="none"/>
          <w:lang w:val="en-US" w:eastAsia="zh-CN"/>
        </w:rPr>
        <w:t>3</w:t>
      </w:r>
      <w:r>
        <w:rPr>
          <w:rFonts w:hint="eastAsia"/>
          <w:color w:val="auto"/>
          <w:highlight w:val="none"/>
        </w:rPr>
        <w:t>.1.</w:t>
      </w:r>
      <w:r>
        <w:rPr>
          <w:rFonts w:hint="eastAsia"/>
          <w:color w:val="auto"/>
          <w:highlight w:val="none"/>
          <w:lang w:val="en-US" w:eastAsia="zh-CN"/>
        </w:rPr>
        <w:t>5</w:t>
      </w:r>
      <w:r>
        <w:rPr>
          <w:rFonts w:hint="eastAsia"/>
          <w:color w:val="auto"/>
          <w:highlight w:val="none"/>
        </w:rPr>
        <w:t>土壤</w:t>
      </w:r>
      <w:bookmarkEnd w:id="31"/>
      <w:r>
        <w:rPr>
          <w:rFonts w:hint="eastAsia"/>
          <w:color w:val="auto"/>
          <w:highlight w:val="none"/>
        </w:rPr>
        <w:t>与植被</w:t>
      </w:r>
    </w:p>
    <w:p>
      <w:pPr>
        <w:ind w:firstLine="480"/>
        <w:rPr>
          <w:rFonts w:hint="eastAsia" w:ascii="Times New Roman" w:hAnsi="Times New Roman"/>
          <w:color w:val="auto"/>
          <w:sz w:val="24"/>
          <w:highlight w:val="none"/>
        </w:rPr>
      </w:pPr>
      <w:r>
        <w:rPr>
          <w:rFonts w:hint="eastAsia" w:ascii="Times New Roman" w:hAnsi="Times New Roman"/>
          <w:color w:val="auto"/>
          <w:sz w:val="24"/>
          <w:highlight w:val="none"/>
        </w:rPr>
        <w:t>评价区土壤主要是由黄河历代泛滥沉积形成，全区土壤类型为潮土、风沙土两个土类。其中潮土类面积最大，占全区土壤总面积的98.22%。</w:t>
      </w:r>
    </w:p>
    <w:p>
      <w:pPr>
        <w:ind w:firstLine="480"/>
        <w:rPr>
          <w:rFonts w:hint="eastAsia" w:cs="Times New Roman"/>
          <w:color w:val="auto"/>
          <w:highlight w:val="none"/>
        </w:rPr>
      </w:pPr>
      <w:r>
        <w:rPr>
          <w:rFonts w:hint="eastAsia" w:ascii="Times New Roman" w:hAnsi="Times New Roman"/>
          <w:color w:val="auto"/>
          <w:sz w:val="24"/>
          <w:highlight w:val="none"/>
        </w:rPr>
        <w:t>评价区内植被主要以人工植被为主，并有落叶阔叶林树种和绿地等。区域内以家养动物为优势种群，生物多样性组成较为简单</w:t>
      </w:r>
      <w:r>
        <w:rPr>
          <w:rFonts w:hint="eastAsia" w:cs="Times New Roman"/>
          <w:color w:val="auto"/>
          <w:highlight w:val="none"/>
        </w:rPr>
        <w:t>。</w:t>
      </w:r>
    </w:p>
    <w:p>
      <w:pPr>
        <w:pStyle w:val="5"/>
        <w:spacing w:before="66"/>
        <w:ind w:firstLine="0" w:firstLineChars="0"/>
        <w:rPr>
          <w:rFonts w:hint="eastAsia"/>
          <w:color w:val="auto"/>
          <w:highlight w:val="none"/>
          <w:lang w:eastAsia="zh-CN"/>
        </w:rPr>
      </w:pPr>
      <w:r>
        <w:rPr>
          <w:rFonts w:hint="eastAsia"/>
          <w:color w:val="auto"/>
          <w:highlight w:val="none"/>
          <w:lang w:val="en-US" w:eastAsia="zh-CN"/>
        </w:rPr>
        <w:t>3</w:t>
      </w:r>
      <w:r>
        <w:rPr>
          <w:rFonts w:hint="eastAsia"/>
          <w:color w:val="auto"/>
          <w:highlight w:val="none"/>
        </w:rPr>
        <w:t>.1.</w:t>
      </w:r>
      <w:r>
        <w:rPr>
          <w:rFonts w:hint="eastAsia"/>
          <w:color w:val="auto"/>
          <w:highlight w:val="none"/>
          <w:lang w:val="en-US" w:eastAsia="zh-CN"/>
        </w:rPr>
        <w:t>6</w:t>
      </w:r>
      <w:r>
        <w:rPr>
          <w:rFonts w:hint="eastAsia"/>
          <w:color w:val="auto"/>
          <w:highlight w:val="none"/>
          <w:lang w:eastAsia="zh-CN"/>
        </w:rPr>
        <w:t>生态环境</w:t>
      </w:r>
    </w:p>
    <w:p>
      <w:pPr>
        <w:rPr>
          <w:rFonts w:hint="eastAsia" w:ascii="Times New Roman" w:hAnsi="Times New Roman"/>
          <w:bCs/>
          <w:color w:val="auto"/>
          <w:spacing w:val="8"/>
          <w:sz w:val="24"/>
          <w:szCs w:val="28"/>
          <w:highlight w:val="none"/>
        </w:rPr>
      </w:pPr>
      <w:r>
        <w:rPr>
          <w:rFonts w:hint="eastAsia" w:ascii="Times New Roman" w:hAnsi="Times New Roman"/>
          <w:bCs/>
          <w:color w:val="auto"/>
          <w:spacing w:val="8"/>
          <w:sz w:val="24"/>
          <w:szCs w:val="28"/>
          <w:highlight w:val="none"/>
        </w:rPr>
        <w:t>平舆县为平原农业地区，植被以农作物为主，兼有少量的道路林。野生动物种类主要有麻雀、喜鹊、斑鸠、鹌鹑、黄鼠狼、野兔、稚鸡、鹰、蛇、鼠类、青蛙、刺猬等，生物多样性程度相对较低。</w:t>
      </w:r>
    </w:p>
    <w:p>
      <w:pPr>
        <w:rPr>
          <w:rFonts w:hint="eastAsia" w:ascii="Times New Roman" w:hAnsi="Times New Roman"/>
          <w:bCs/>
          <w:color w:val="auto"/>
          <w:spacing w:val="8"/>
          <w:sz w:val="24"/>
          <w:szCs w:val="28"/>
          <w:highlight w:val="none"/>
        </w:rPr>
      </w:pPr>
      <w:r>
        <w:rPr>
          <w:rFonts w:hint="eastAsia" w:ascii="Times New Roman" w:hAnsi="Times New Roman"/>
          <w:bCs/>
          <w:color w:val="auto"/>
          <w:spacing w:val="8"/>
          <w:sz w:val="24"/>
          <w:szCs w:val="28"/>
          <w:highlight w:val="none"/>
        </w:rPr>
        <w:t>项目区域植被以农作物为主，主要种植有小麦、玉米、红薯、芝麻、大豆等作物。</w:t>
      </w:r>
    </w:p>
    <w:p>
      <w:pPr>
        <w:rPr>
          <w:rFonts w:hint="eastAsia" w:eastAsia="宋体"/>
          <w:color w:val="auto"/>
          <w:highlight w:val="none"/>
          <w:lang w:eastAsia="zh-CN"/>
        </w:rPr>
      </w:pPr>
      <w:r>
        <w:rPr>
          <w:rFonts w:hint="eastAsia" w:ascii="Times New Roman" w:hAnsi="Times New Roman"/>
          <w:bCs/>
          <w:color w:val="auto"/>
          <w:spacing w:val="8"/>
          <w:sz w:val="24"/>
          <w:szCs w:val="28"/>
          <w:highlight w:val="none"/>
        </w:rPr>
        <w:t>区域内没有珍稀、濒危动物物种，动物以家禽、家畜为主；家禽以鸡、鸭、鹅为主，家畜以猪、牛、羊为主</w:t>
      </w:r>
      <w:r>
        <w:rPr>
          <w:rFonts w:hint="eastAsia" w:ascii="Times New Roman" w:hAnsi="Times New Roman"/>
          <w:bCs/>
          <w:color w:val="auto"/>
          <w:spacing w:val="8"/>
          <w:sz w:val="24"/>
          <w:szCs w:val="28"/>
          <w:highlight w:val="none"/>
          <w:lang w:eastAsia="zh-CN"/>
        </w:rPr>
        <w:t>。</w:t>
      </w:r>
    </w:p>
    <w:p>
      <w:pPr>
        <w:pStyle w:val="4"/>
        <w:spacing w:before="132"/>
        <w:rPr>
          <w:color w:val="auto"/>
          <w:highlight w:val="none"/>
        </w:rPr>
      </w:pPr>
      <w:bookmarkStart w:id="32" w:name="_Toc20642"/>
      <w:r>
        <w:rPr>
          <w:rFonts w:hint="eastAsia"/>
          <w:color w:val="auto"/>
          <w:highlight w:val="none"/>
          <w:lang w:val="en-US" w:eastAsia="zh-CN"/>
        </w:rPr>
        <w:t>3</w:t>
      </w:r>
      <w:r>
        <w:rPr>
          <w:color w:val="auto"/>
          <w:highlight w:val="none"/>
        </w:rPr>
        <w:t>.</w:t>
      </w:r>
      <w:r>
        <w:rPr>
          <w:rFonts w:hint="eastAsia"/>
          <w:color w:val="auto"/>
          <w:highlight w:val="none"/>
          <w:lang w:val="en-US" w:eastAsia="zh-CN"/>
        </w:rPr>
        <w:t>2</w:t>
      </w:r>
      <w:r>
        <w:rPr>
          <w:rFonts w:hint="eastAsia"/>
          <w:color w:val="auto"/>
          <w:highlight w:val="none"/>
        </w:rPr>
        <w:t>环境质量现状调查与评价</w:t>
      </w:r>
      <w:bookmarkEnd w:id="32"/>
    </w:p>
    <w:p>
      <w:pPr>
        <w:ind w:firstLine="480"/>
        <w:rPr>
          <w:rFonts w:cs="Times New Roman"/>
          <w:color w:val="auto"/>
          <w:highlight w:val="none"/>
        </w:rPr>
      </w:pPr>
      <w:r>
        <w:rPr>
          <w:rFonts w:cs="Times New Roman"/>
          <w:color w:val="auto"/>
          <w:highlight w:val="none"/>
        </w:rPr>
        <w:t>为了解区域环境质量现状，本次评价于</w:t>
      </w:r>
      <w:r>
        <w:rPr>
          <w:rFonts w:hint="eastAsia" w:cs="Times New Roman"/>
          <w:color w:val="auto"/>
          <w:szCs w:val="21"/>
          <w:highlight w:val="none"/>
        </w:rPr>
        <w:t>20</w:t>
      </w:r>
      <w:r>
        <w:rPr>
          <w:rFonts w:hint="eastAsia" w:cs="Times New Roman"/>
          <w:color w:val="auto"/>
          <w:szCs w:val="21"/>
          <w:highlight w:val="none"/>
          <w:lang w:val="en-US" w:eastAsia="zh-CN"/>
        </w:rPr>
        <w:t>20</w:t>
      </w:r>
      <w:r>
        <w:rPr>
          <w:rFonts w:hint="eastAsia" w:cs="Times New Roman"/>
          <w:color w:val="auto"/>
          <w:szCs w:val="21"/>
          <w:highlight w:val="none"/>
        </w:rPr>
        <w:t>年</w:t>
      </w:r>
      <w:r>
        <w:rPr>
          <w:rFonts w:hint="eastAsia" w:cs="Times New Roman"/>
          <w:color w:val="auto"/>
          <w:szCs w:val="21"/>
          <w:highlight w:val="none"/>
          <w:lang w:val="en-US" w:eastAsia="zh-CN"/>
        </w:rPr>
        <w:t>9</w:t>
      </w:r>
      <w:r>
        <w:rPr>
          <w:rFonts w:hint="eastAsia" w:cs="Times New Roman"/>
          <w:color w:val="auto"/>
          <w:szCs w:val="21"/>
          <w:highlight w:val="none"/>
        </w:rPr>
        <w:t>月</w:t>
      </w:r>
      <w:r>
        <w:rPr>
          <w:rFonts w:hint="eastAsia" w:cs="Times New Roman"/>
          <w:color w:val="auto"/>
          <w:szCs w:val="21"/>
          <w:highlight w:val="none"/>
          <w:lang w:val="en-US" w:eastAsia="zh-CN"/>
        </w:rPr>
        <w:t>1</w:t>
      </w:r>
      <w:r>
        <w:rPr>
          <w:rFonts w:hint="eastAsia" w:cs="Times New Roman"/>
          <w:color w:val="auto"/>
          <w:szCs w:val="21"/>
          <w:highlight w:val="none"/>
        </w:rPr>
        <w:t>日至20</w:t>
      </w:r>
      <w:r>
        <w:rPr>
          <w:rFonts w:hint="eastAsia" w:cs="Times New Roman"/>
          <w:color w:val="auto"/>
          <w:szCs w:val="21"/>
          <w:highlight w:val="none"/>
          <w:lang w:val="en-US" w:eastAsia="zh-CN"/>
        </w:rPr>
        <w:t>20</w:t>
      </w:r>
      <w:r>
        <w:rPr>
          <w:rFonts w:hint="eastAsia" w:cs="Times New Roman"/>
          <w:color w:val="auto"/>
          <w:szCs w:val="21"/>
          <w:highlight w:val="none"/>
        </w:rPr>
        <w:t>年</w:t>
      </w:r>
      <w:r>
        <w:rPr>
          <w:rFonts w:hint="eastAsia" w:cs="Times New Roman"/>
          <w:color w:val="auto"/>
          <w:szCs w:val="21"/>
          <w:highlight w:val="none"/>
          <w:lang w:val="en-US" w:eastAsia="zh-CN"/>
        </w:rPr>
        <w:t>9</w:t>
      </w:r>
      <w:r>
        <w:rPr>
          <w:rFonts w:hint="eastAsia" w:cs="Times New Roman"/>
          <w:color w:val="auto"/>
          <w:szCs w:val="21"/>
          <w:highlight w:val="none"/>
        </w:rPr>
        <w:t>月</w:t>
      </w:r>
      <w:r>
        <w:rPr>
          <w:rFonts w:hint="eastAsia" w:cs="Times New Roman"/>
          <w:color w:val="auto"/>
          <w:szCs w:val="21"/>
          <w:highlight w:val="none"/>
          <w:lang w:val="en-US" w:eastAsia="zh-CN"/>
        </w:rPr>
        <w:t>7</w:t>
      </w:r>
      <w:r>
        <w:rPr>
          <w:rFonts w:hint="eastAsia" w:cs="Times New Roman"/>
          <w:color w:val="auto"/>
          <w:szCs w:val="21"/>
          <w:highlight w:val="none"/>
        </w:rPr>
        <w:t>日</w:t>
      </w:r>
      <w:r>
        <w:rPr>
          <w:rFonts w:cs="Times New Roman"/>
          <w:color w:val="auto"/>
          <w:highlight w:val="none"/>
        </w:rPr>
        <w:t>委托</w:t>
      </w:r>
      <w:r>
        <w:rPr>
          <w:rFonts w:hint="eastAsia" w:cs="Times New Roman"/>
          <w:color w:val="auto"/>
          <w:highlight w:val="none"/>
          <w:lang w:eastAsia="zh-CN"/>
        </w:rPr>
        <w:t>河南申越检测技术有限公司</w:t>
      </w:r>
      <w:r>
        <w:rPr>
          <w:rFonts w:cs="Times New Roman"/>
          <w:color w:val="auto"/>
          <w:highlight w:val="none"/>
        </w:rPr>
        <w:t>对区域环境质量现状进行了检测，具体检测结果及评价见下文。</w:t>
      </w:r>
    </w:p>
    <w:p>
      <w:pPr>
        <w:pStyle w:val="5"/>
        <w:spacing w:before="66"/>
        <w:ind w:firstLine="0" w:firstLineChars="0"/>
        <w:rPr>
          <w:rFonts w:cs="Times New Roman"/>
          <w:color w:val="auto"/>
          <w:highlight w:val="none"/>
        </w:rPr>
      </w:pPr>
      <w:r>
        <w:rPr>
          <w:rFonts w:hint="eastAsia" w:cs="Times New Roman"/>
          <w:color w:val="auto"/>
          <w:highlight w:val="none"/>
          <w:lang w:val="en-US" w:eastAsia="zh-CN"/>
        </w:rPr>
        <w:t>3</w:t>
      </w:r>
      <w:r>
        <w:rPr>
          <w:rFonts w:cs="Times New Roman"/>
          <w:color w:val="auto"/>
          <w:highlight w:val="none"/>
        </w:rPr>
        <w:t>.</w:t>
      </w:r>
      <w:r>
        <w:rPr>
          <w:rFonts w:hint="eastAsia" w:cs="Times New Roman"/>
          <w:color w:val="auto"/>
          <w:highlight w:val="none"/>
          <w:lang w:val="en-US" w:eastAsia="zh-CN"/>
        </w:rPr>
        <w:t>2</w:t>
      </w:r>
      <w:r>
        <w:rPr>
          <w:rFonts w:cs="Times New Roman"/>
          <w:color w:val="auto"/>
          <w:highlight w:val="none"/>
        </w:rPr>
        <w:t>.1</w:t>
      </w:r>
      <w:r>
        <w:rPr>
          <w:rFonts w:hint="eastAsia" w:cs="Times New Roman"/>
          <w:color w:val="auto"/>
          <w:highlight w:val="none"/>
        </w:rPr>
        <w:t>大气</w:t>
      </w:r>
      <w:r>
        <w:rPr>
          <w:rFonts w:cs="Times New Roman"/>
          <w:color w:val="auto"/>
          <w:highlight w:val="none"/>
        </w:rPr>
        <w:t>环境质量现状监测与评价</w:t>
      </w:r>
    </w:p>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rPr>
      </w:pPr>
      <w:r>
        <w:rPr>
          <w:rFonts w:hint="eastAsia"/>
          <w:color w:val="auto"/>
          <w:highlight w:val="none"/>
        </w:rPr>
        <w:t>（1）2018年河南省生态环境状况公报</w:t>
      </w:r>
    </w:p>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rPr>
      </w:pPr>
      <w:r>
        <w:rPr>
          <w:rFonts w:hint="eastAsia"/>
          <w:color w:val="auto"/>
          <w:highlight w:val="none"/>
        </w:rPr>
        <w:t>根据《环境影响评价技术导则 大气环境》（HJ2.2-2018），环境空气质量现状调查优先采用国家或地方生态环境主管部门公开发布的评价基准年环境质量公告或环境质量报告中的数据或结论。</w:t>
      </w:r>
    </w:p>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rPr>
      </w:pPr>
      <w:r>
        <w:rPr>
          <w:rFonts w:hint="eastAsia"/>
          <w:color w:val="auto"/>
          <w:highlight w:val="none"/>
        </w:rPr>
        <w:t>根据《2018年河南省生态环境状况公报》，驻马店市细颗粒物（PM</w:t>
      </w:r>
      <w:r>
        <w:rPr>
          <w:rFonts w:hint="eastAsia"/>
          <w:color w:val="auto"/>
          <w:highlight w:val="none"/>
          <w:vertAlign w:val="subscript"/>
        </w:rPr>
        <w:t>2.5</w:t>
      </w:r>
      <w:r>
        <w:rPr>
          <w:rFonts w:hint="eastAsia"/>
          <w:color w:val="auto"/>
          <w:highlight w:val="none"/>
        </w:rPr>
        <w:t>）浓度年均值超过《环境空气质量标准》（GB3095-2012）二级标准；可吸入颗粒物（PM</w:t>
      </w:r>
      <w:r>
        <w:rPr>
          <w:rFonts w:hint="eastAsia"/>
          <w:color w:val="auto"/>
          <w:highlight w:val="none"/>
          <w:vertAlign w:val="subscript"/>
        </w:rPr>
        <w:t>10</w:t>
      </w:r>
      <w:r>
        <w:rPr>
          <w:rFonts w:hint="eastAsia"/>
          <w:color w:val="auto"/>
          <w:highlight w:val="none"/>
        </w:rPr>
        <w:t>）浓度年均值超过《环境空气质量标准》（GB3095-2012）二级标准；二氧化硫达到《环境空气质量标准》（GB3095-2012）一级标准；二氧化氮达到《环境空气质量标准》（GB3095-2012）二级标准；一氧化碳95百分位数浓度满足《环境空气质量标准》（GB3095-2012）二级标准；臭氧90百分位数浓度超</w:t>
      </w:r>
      <w:r>
        <w:rPr>
          <w:rFonts w:hint="eastAsia"/>
          <w:color w:val="auto"/>
          <w:highlight w:val="none"/>
          <w:lang w:eastAsia="zh-CN"/>
        </w:rPr>
        <w:t>过</w:t>
      </w:r>
      <w:r>
        <w:rPr>
          <w:rFonts w:hint="eastAsia"/>
          <w:color w:val="auto"/>
          <w:highlight w:val="none"/>
        </w:rPr>
        <w:t>《环境空气质量标准》（GB3095-2012）二级标准。</w:t>
      </w:r>
    </w:p>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rPr>
      </w:pPr>
      <w:r>
        <w:rPr>
          <w:rFonts w:hint="eastAsia"/>
          <w:color w:val="auto"/>
          <w:highlight w:val="none"/>
        </w:rPr>
        <w:t>项目所在区域环境空气为</w:t>
      </w:r>
      <w:r>
        <w:rPr>
          <w:rFonts w:hint="eastAsia"/>
          <w:color w:val="auto"/>
          <w:highlight w:val="none"/>
          <w:lang w:eastAsia="zh-CN"/>
        </w:rPr>
        <w:t>不</w:t>
      </w:r>
      <w:r>
        <w:rPr>
          <w:rFonts w:hint="eastAsia"/>
          <w:color w:val="auto"/>
          <w:highlight w:val="none"/>
        </w:rPr>
        <w:t>达标区，主要超标因子为PM</w:t>
      </w:r>
      <w:r>
        <w:rPr>
          <w:rFonts w:hint="eastAsia"/>
          <w:color w:val="auto"/>
          <w:highlight w:val="none"/>
          <w:vertAlign w:val="subscript"/>
        </w:rPr>
        <w:t>2.5</w:t>
      </w:r>
      <w:r>
        <w:rPr>
          <w:rFonts w:hint="eastAsia"/>
          <w:color w:val="auto"/>
          <w:highlight w:val="none"/>
        </w:rPr>
        <w:t>、PM</w:t>
      </w:r>
      <w:r>
        <w:rPr>
          <w:rFonts w:hint="eastAsia"/>
          <w:color w:val="auto"/>
          <w:highlight w:val="none"/>
          <w:vertAlign w:val="subscript"/>
        </w:rPr>
        <w:t>10</w:t>
      </w:r>
      <w:r>
        <w:rPr>
          <w:rFonts w:hint="eastAsia"/>
          <w:color w:val="auto"/>
          <w:highlight w:val="none"/>
        </w:rPr>
        <w:t>、臭氧。</w:t>
      </w:r>
    </w:p>
    <w:p>
      <w:pPr>
        <w:pStyle w:val="2"/>
        <w:keepNext w:val="0"/>
        <w:keepLines w:val="0"/>
        <w:pageBreakBefore w:val="0"/>
        <w:widowControl/>
        <w:kinsoku/>
        <w:wordWrap/>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（2）平舆县区域环境空气质量调查</w:t>
      </w:r>
    </w:p>
    <w:p>
      <w:pPr>
        <w:pStyle w:val="2"/>
        <w:keepNext w:val="0"/>
        <w:keepLines w:val="0"/>
        <w:pageBreakBefore w:val="0"/>
        <w:widowControl/>
        <w:kinsoku/>
        <w:wordWrap/>
        <w:overflowPunct/>
        <w:topLinePunct w:val="0"/>
        <w:autoSpaceDE/>
        <w:autoSpaceDN/>
        <w:bidi w:val="0"/>
        <w:adjustRightInd/>
        <w:snapToGrid/>
        <w:textAlignment w:val="auto"/>
        <w:rPr>
          <w:rFonts w:hint="eastAsia" w:eastAsia="宋体"/>
          <w:color w:val="auto"/>
          <w:highlight w:val="none"/>
          <w:lang w:val="en-US" w:eastAsia="zh-CN"/>
        </w:rPr>
      </w:pPr>
      <w:r>
        <w:rPr>
          <w:rFonts w:hint="eastAsia"/>
          <w:color w:val="auto"/>
          <w:highlight w:val="none"/>
          <w:lang w:val="en-US" w:eastAsia="zh-CN"/>
        </w:rPr>
        <w:t>为进一步对项目所在区域大气环境进行了解，本次评价引用平舆县环保局发布的《2018年平舆县环境状况公报》中数据，对照《环境空气质量标准》（GB3095-2012）标准中细颗粒物（PM</w:t>
      </w:r>
      <w:r>
        <w:rPr>
          <w:rFonts w:hint="eastAsia"/>
          <w:color w:val="auto"/>
          <w:highlight w:val="none"/>
          <w:vertAlign w:val="subscript"/>
          <w:lang w:val="en-US" w:eastAsia="zh-CN"/>
        </w:rPr>
        <w:t>2.5</w:t>
      </w:r>
      <w:r>
        <w:rPr>
          <w:rFonts w:hint="eastAsia"/>
          <w:color w:val="auto"/>
          <w:highlight w:val="none"/>
          <w:lang w:val="en-US" w:eastAsia="zh-CN"/>
        </w:rPr>
        <w:t>）、可吸入颗粒物（PM</w:t>
      </w:r>
      <w:r>
        <w:rPr>
          <w:rFonts w:hint="eastAsia"/>
          <w:color w:val="auto"/>
          <w:highlight w:val="none"/>
          <w:vertAlign w:val="subscript"/>
          <w:lang w:val="en-US" w:eastAsia="zh-CN"/>
        </w:rPr>
        <w:t>10</w:t>
      </w:r>
      <w:r>
        <w:rPr>
          <w:rFonts w:hint="eastAsia"/>
          <w:color w:val="auto"/>
          <w:highlight w:val="none"/>
          <w:lang w:val="en-US" w:eastAsia="zh-CN"/>
        </w:rPr>
        <w:t>）、二氧化硫、二氧化氮、一氧化碳、臭氧六项因子评价全县城市环境空气质量。二氧化硫、二氧化氮、PM</w:t>
      </w:r>
      <w:r>
        <w:rPr>
          <w:rFonts w:hint="eastAsia"/>
          <w:color w:val="auto"/>
          <w:highlight w:val="none"/>
          <w:vertAlign w:val="subscript"/>
          <w:lang w:val="en-US" w:eastAsia="zh-CN"/>
        </w:rPr>
        <w:t>2.5</w:t>
      </w:r>
      <w:r>
        <w:rPr>
          <w:rFonts w:hint="eastAsia"/>
          <w:color w:val="auto"/>
          <w:highlight w:val="none"/>
          <w:lang w:val="en-US" w:eastAsia="zh-CN"/>
        </w:rPr>
        <w:t>、PM</w:t>
      </w:r>
      <w:r>
        <w:rPr>
          <w:rFonts w:hint="eastAsia"/>
          <w:color w:val="auto"/>
          <w:highlight w:val="none"/>
          <w:vertAlign w:val="subscript"/>
          <w:lang w:val="en-US" w:eastAsia="zh-CN"/>
        </w:rPr>
        <w:t>10</w:t>
      </w:r>
      <w:r>
        <w:rPr>
          <w:rFonts w:hint="eastAsia"/>
          <w:color w:val="auto"/>
          <w:highlight w:val="none"/>
          <w:lang w:val="en-US" w:eastAsia="zh-CN"/>
        </w:rPr>
        <w:t>、一氧化碳、臭氧监测浓度及评价结果见表3.3-1。</w:t>
      </w:r>
    </w:p>
    <w:p>
      <w:pPr>
        <w:pStyle w:val="40"/>
        <w:rPr>
          <w:rFonts w:hint="eastAsia" w:ascii="Times New Roman" w:hAnsi="Times New Roman" w:eastAsia="宋体" w:cs="Times New Roman"/>
          <w:b/>
          <w:color w:val="auto"/>
          <w:kern w:val="2"/>
          <w:sz w:val="21"/>
          <w:szCs w:val="24"/>
          <w:highlight w:val="none"/>
          <w:lang w:val="en-US" w:eastAsia="zh-CN" w:bidi="ar-SA"/>
        </w:rPr>
      </w:pPr>
      <w:r>
        <w:rPr>
          <w:rFonts w:hint="eastAsia" w:ascii="Times New Roman" w:hAnsi="Times New Roman" w:eastAsia="宋体" w:cs="Times New Roman"/>
          <w:b/>
          <w:color w:val="auto"/>
          <w:kern w:val="2"/>
          <w:sz w:val="21"/>
          <w:szCs w:val="24"/>
          <w:highlight w:val="none"/>
          <w:lang w:val="en-US" w:eastAsia="zh-CN" w:bidi="ar-SA"/>
        </w:rPr>
        <w:t>表</w:t>
      </w:r>
      <w:r>
        <w:rPr>
          <w:rFonts w:hint="eastAsia" w:cs="Times New Roman"/>
          <w:b/>
          <w:color w:val="auto"/>
          <w:kern w:val="2"/>
          <w:sz w:val="21"/>
          <w:szCs w:val="24"/>
          <w:highlight w:val="none"/>
          <w:lang w:val="en-US" w:eastAsia="zh-CN" w:bidi="ar-SA"/>
        </w:rPr>
        <w:t>3</w:t>
      </w:r>
      <w:r>
        <w:rPr>
          <w:rFonts w:hint="eastAsia" w:ascii="Times New Roman" w:hAnsi="Times New Roman" w:eastAsia="宋体" w:cs="Times New Roman"/>
          <w:b/>
          <w:color w:val="auto"/>
          <w:kern w:val="2"/>
          <w:sz w:val="21"/>
          <w:szCs w:val="24"/>
          <w:highlight w:val="none"/>
          <w:lang w:val="en-US" w:eastAsia="zh-CN" w:bidi="ar-SA"/>
        </w:rPr>
        <w:t xml:space="preserve">.3-1 </w:t>
      </w:r>
      <w:r>
        <w:rPr>
          <w:rFonts w:hint="eastAsia" w:cs="Times New Roman"/>
          <w:b/>
          <w:color w:val="auto"/>
          <w:kern w:val="2"/>
          <w:sz w:val="21"/>
          <w:szCs w:val="24"/>
          <w:highlight w:val="none"/>
          <w:lang w:val="en-US" w:eastAsia="zh-CN" w:bidi="ar-SA"/>
        </w:rPr>
        <w:t xml:space="preserve"> </w:t>
      </w:r>
      <w:r>
        <w:rPr>
          <w:rFonts w:hint="eastAsia" w:ascii="Times New Roman" w:hAnsi="Times New Roman" w:eastAsia="宋体" w:cs="Times New Roman"/>
          <w:b/>
          <w:color w:val="auto"/>
          <w:kern w:val="2"/>
          <w:sz w:val="21"/>
          <w:szCs w:val="24"/>
          <w:highlight w:val="none"/>
          <w:lang w:val="en-US" w:eastAsia="zh-CN" w:bidi="ar-SA"/>
        </w:rPr>
        <w:t>2018年</w:t>
      </w:r>
      <w:r>
        <w:rPr>
          <w:rFonts w:hint="eastAsia" w:cs="Times New Roman"/>
          <w:b/>
          <w:color w:val="auto"/>
          <w:kern w:val="2"/>
          <w:sz w:val="21"/>
          <w:szCs w:val="24"/>
          <w:highlight w:val="none"/>
          <w:lang w:val="en-US" w:eastAsia="zh-CN" w:bidi="ar-SA"/>
        </w:rPr>
        <w:t>平舆</w:t>
      </w:r>
      <w:r>
        <w:rPr>
          <w:rFonts w:hint="eastAsia" w:ascii="Times New Roman" w:hAnsi="Times New Roman" w:eastAsia="宋体" w:cs="Times New Roman"/>
          <w:b/>
          <w:color w:val="auto"/>
          <w:kern w:val="2"/>
          <w:sz w:val="21"/>
          <w:szCs w:val="24"/>
          <w:highlight w:val="none"/>
          <w:lang w:val="en-US" w:eastAsia="zh-CN" w:bidi="ar-SA"/>
        </w:rPr>
        <w:t>县环境空气监测浓度及评价结果</w:t>
      </w:r>
    </w:p>
    <w:tbl>
      <w:tblPr>
        <w:tblStyle w:val="24"/>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22"/>
        <w:gridCol w:w="2155"/>
        <w:gridCol w:w="2293"/>
        <w:gridCol w:w="2210"/>
        <w:gridCol w:w="113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 w:hRule="atLeast"/>
          <w:jc w:val="center"/>
        </w:trPr>
        <w:tc>
          <w:tcPr>
            <w:tcW w:w="424"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污染物</w:t>
            </w:r>
          </w:p>
        </w:tc>
        <w:tc>
          <w:tcPr>
            <w:tcW w:w="12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年评价指标</w:t>
            </w:r>
          </w:p>
        </w:tc>
        <w:tc>
          <w:tcPr>
            <w:tcW w:w="1346"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现状浓度/（μg/m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w:t>
            </w:r>
          </w:p>
        </w:tc>
        <w:tc>
          <w:tcPr>
            <w:tcW w:w="1297"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标准值/（μg/m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w:t>
            </w:r>
          </w:p>
        </w:tc>
        <w:tc>
          <w:tcPr>
            <w:tcW w:w="6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达标情况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jc w:val="center"/>
        </w:trPr>
        <w:tc>
          <w:tcPr>
            <w:tcW w:w="424"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de-DE"/>
              </w:rPr>
              <w:t>SO</w:t>
            </w:r>
            <w:r>
              <w:rPr>
                <w:rFonts w:hint="default" w:ascii="Times New Roman" w:hAnsi="Times New Roman" w:cs="Times New Roman"/>
                <w:color w:val="auto"/>
                <w:kern w:val="0"/>
                <w:sz w:val="21"/>
                <w:szCs w:val="21"/>
                <w:highlight w:val="none"/>
                <w:vertAlign w:val="subscript"/>
                <w:lang w:val="de-DE"/>
              </w:rPr>
              <w:t>2</w:t>
            </w:r>
          </w:p>
        </w:tc>
        <w:tc>
          <w:tcPr>
            <w:tcW w:w="12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年平均质量浓度</w:t>
            </w:r>
          </w:p>
        </w:tc>
        <w:tc>
          <w:tcPr>
            <w:tcW w:w="2293" w:type="dxa"/>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66</w:t>
            </w:r>
          </w:p>
        </w:tc>
        <w:tc>
          <w:tcPr>
            <w:tcW w:w="2210" w:type="dxa"/>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60</w:t>
            </w:r>
          </w:p>
        </w:tc>
        <w:tc>
          <w:tcPr>
            <w:tcW w:w="6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eastAsia="zh-CN"/>
              </w:rPr>
              <w:t>超</w:t>
            </w:r>
            <w:r>
              <w:rPr>
                <w:rFonts w:hint="default" w:ascii="Times New Roman" w:hAnsi="Times New Roman" w:cs="Times New Roman"/>
                <w:color w:val="auto"/>
                <w:kern w:val="0"/>
                <w:sz w:val="21"/>
                <w:szCs w:val="21"/>
                <w:highlight w:val="none"/>
              </w:rPr>
              <w:t>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jc w:val="center"/>
        </w:trPr>
        <w:tc>
          <w:tcPr>
            <w:tcW w:w="424"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NO</w:t>
            </w:r>
            <w:r>
              <w:rPr>
                <w:rFonts w:hint="default" w:ascii="Times New Roman" w:hAnsi="Times New Roman" w:cs="Times New Roman"/>
                <w:color w:val="auto"/>
                <w:kern w:val="0"/>
                <w:sz w:val="21"/>
                <w:szCs w:val="21"/>
                <w:highlight w:val="none"/>
                <w:vertAlign w:val="subscript"/>
              </w:rPr>
              <w:t>2</w:t>
            </w:r>
          </w:p>
        </w:tc>
        <w:tc>
          <w:tcPr>
            <w:tcW w:w="12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年平均质量浓度</w:t>
            </w:r>
          </w:p>
        </w:tc>
        <w:tc>
          <w:tcPr>
            <w:tcW w:w="2293" w:type="dxa"/>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75</w:t>
            </w:r>
          </w:p>
        </w:tc>
        <w:tc>
          <w:tcPr>
            <w:tcW w:w="2210" w:type="dxa"/>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40</w:t>
            </w:r>
          </w:p>
        </w:tc>
        <w:tc>
          <w:tcPr>
            <w:tcW w:w="6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eastAsia="zh-CN"/>
              </w:rPr>
              <w:t>超</w:t>
            </w:r>
            <w:r>
              <w:rPr>
                <w:rFonts w:hint="default" w:ascii="Times New Roman" w:hAnsi="Times New Roman" w:cs="Times New Roman"/>
                <w:color w:val="auto"/>
                <w:kern w:val="0"/>
                <w:sz w:val="21"/>
                <w:szCs w:val="21"/>
                <w:highlight w:val="none"/>
              </w:rPr>
              <w:t>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jc w:val="center"/>
        </w:trPr>
        <w:tc>
          <w:tcPr>
            <w:tcW w:w="424"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de-DE"/>
              </w:rPr>
              <w:t>PM</w:t>
            </w:r>
            <w:r>
              <w:rPr>
                <w:rFonts w:hint="default" w:ascii="Times New Roman" w:hAnsi="Times New Roman" w:cs="Times New Roman"/>
                <w:color w:val="auto"/>
                <w:kern w:val="0"/>
                <w:sz w:val="21"/>
                <w:szCs w:val="21"/>
                <w:highlight w:val="none"/>
                <w:vertAlign w:val="subscript"/>
                <w:lang w:val="de-DE"/>
              </w:rPr>
              <w:t>10</w:t>
            </w:r>
          </w:p>
        </w:tc>
        <w:tc>
          <w:tcPr>
            <w:tcW w:w="12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年平均质量浓度</w:t>
            </w:r>
          </w:p>
        </w:tc>
        <w:tc>
          <w:tcPr>
            <w:tcW w:w="1346"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75</w:t>
            </w:r>
          </w:p>
        </w:tc>
        <w:tc>
          <w:tcPr>
            <w:tcW w:w="1297"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70</w:t>
            </w:r>
          </w:p>
        </w:tc>
        <w:tc>
          <w:tcPr>
            <w:tcW w:w="6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eastAsia="zh-CN"/>
              </w:rPr>
              <w:t>超</w:t>
            </w:r>
            <w:r>
              <w:rPr>
                <w:rFonts w:hint="default" w:ascii="Times New Roman" w:hAnsi="Times New Roman" w:cs="Times New Roman"/>
                <w:color w:val="auto"/>
                <w:kern w:val="0"/>
                <w:sz w:val="21"/>
                <w:szCs w:val="21"/>
                <w:highlight w:val="none"/>
              </w:rPr>
              <w:t>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jc w:val="center"/>
        </w:trPr>
        <w:tc>
          <w:tcPr>
            <w:tcW w:w="424"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de-DE"/>
              </w:rPr>
              <w:t>PM</w:t>
            </w:r>
            <w:r>
              <w:rPr>
                <w:rFonts w:hint="default" w:ascii="Times New Roman" w:hAnsi="Times New Roman" w:cs="Times New Roman"/>
                <w:color w:val="auto"/>
                <w:kern w:val="0"/>
                <w:sz w:val="21"/>
                <w:szCs w:val="21"/>
                <w:highlight w:val="none"/>
                <w:vertAlign w:val="subscript"/>
                <w:lang w:val="de-DE"/>
              </w:rPr>
              <w:t>2.5</w:t>
            </w:r>
          </w:p>
        </w:tc>
        <w:tc>
          <w:tcPr>
            <w:tcW w:w="12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年平均质量浓度</w:t>
            </w:r>
          </w:p>
        </w:tc>
        <w:tc>
          <w:tcPr>
            <w:tcW w:w="1346"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84</w:t>
            </w:r>
          </w:p>
        </w:tc>
        <w:tc>
          <w:tcPr>
            <w:tcW w:w="1297"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35</w:t>
            </w:r>
          </w:p>
        </w:tc>
        <w:tc>
          <w:tcPr>
            <w:tcW w:w="6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eastAsia="zh-CN"/>
              </w:rPr>
              <w:t>超</w:t>
            </w:r>
            <w:r>
              <w:rPr>
                <w:rFonts w:hint="default" w:ascii="Times New Roman" w:hAnsi="Times New Roman" w:cs="Times New Roman"/>
                <w:color w:val="auto"/>
                <w:kern w:val="0"/>
                <w:sz w:val="21"/>
                <w:szCs w:val="21"/>
                <w:highlight w:val="none"/>
              </w:rPr>
              <w:t>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jc w:val="center"/>
        </w:trPr>
        <w:tc>
          <w:tcPr>
            <w:tcW w:w="424"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CO</w:t>
            </w:r>
          </w:p>
        </w:tc>
        <w:tc>
          <w:tcPr>
            <w:tcW w:w="12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24小时平均质量浓度第95百分位数</w:t>
            </w:r>
          </w:p>
        </w:tc>
        <w:tc>
          <w:tcPr>
            <w:tcW w:w="1346"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2.7</w:t>
            </w:r>
            <w:r>
              <w:rPr>
                <w:rFonts w:hint="default" w:ascii="Times New Roman" w:hAnsi="Times New Roman" w:cs="Times New Roman"/>
                <w:color w:val="auto"/>
                <w:kern w:val="0"/>
                <w:sz w:val="21"/>
                <w:szCs w:val="21"/>
                <w:highlight w:val="none"/>
                <w:lang w:val="en-US" w:eastAsia="zh-CN"/>
              </w:rPr>
              <w:t>mg/m</w:t>
            </w:r>
            <w:r>
              <w:rPr>
                <w:rFonts w:hint="default" w:ascii="Times New Roman" w:hAnsi="Times New Roman" w:cs="Times New Roman"/>
                <w:color w:val="auto"/>
                <w:kern w:val="0"/>
                <w:sz w:val="21"/>
                <w:szCs w:val="21"/>
                <w:highlight w:val="none"/>
                <w:vertAlign w:val="superscript"/>
                <w:lang w:val="en-US" w:eastAsia="zh-CN"/>
              </w:rPr>
              <w:t>3</w:t>
            </w:r>
          </w:p>
        </w:tc>
        <w:tc>
          <w:tcPr>
            <w:tcW w:w="1297"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w:t>
            </w:r>
            <w:r>
              <w:rPr>
                <w:rFonts w:hint="default" w:ascii="Times New Roman" w:hAnsi="Times New Roman" w:cs="Times New Roman"/>
                <w:color w:val="auto"/>
                <w:kern w:val="0"/>
                <w:sz w:val="21"/>
                <w:szCs w:val="21"/>
                <w:highlight w:val="none"/>
                <w:lang w:val="en-US" w:eastAsia="zh-CN"/>
              </w:rPr>
              <w:t>.</w:t>
            </w:r>
            <w:r>
              <w:rPr>
                <w:rFonts w:hint="default" w:ascii="Times New Roman" w:hAnsi="Times New Roman" w:cs="Times New Roman"/>
                <w:color w:val="auto"/>
                <w:kern w:val="0"/>
                <w:sz w:val="21"/>
                <w:szCs w:val="21"/>
                <w:highlight w:val="none"/>
              </w:rPr>
              <w:t>0</w:t>
            </w:r>
            <w:r>
              <w:rPr>
                <w:rFonts w:hint="default" w:ascii="Times New Roman" w:hAnsi="Times New Roman" w:cs="Times New Roman"/>
                <w:color w:val="auto"/>
                <w:kern w:val="0"/>
                <w:sz w:val="21"/>
                <w:szCs w:val="21"/>
                <w:highlight w:val="none"/>
                <w:lang w:val="en-US" w:eastAsia="zh-CN"/>
              </w:rPr>
              <w:t>mg/m</w:t>
            </w:r>
            <w:r>
              <w:rPr>
                <w:rFonts w:hint="default" w:ascii="Times New Roman" w:hAnsi="Times New Roman" w:cs="Times New Roman"/>
                <w:color w:val="auto"/>
                <w:kern w:val="0"/>
                <w:sz w:val="21"/>
                <w:szCs w:val="21"/>
                <w:highlight w:val="none"/>
                <w:vertAlign w:val="superscript"/>
                <w:lang w:val="en-US" w:eastAsia="zh-CN"/>
              </w:rPr>
              <w:t>3</w:t>
            </w:r>
          </w:p>
        </w:tc>
        <w:tc>
          <w:tcPr>
            <w:tcW w:w="6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 w:hRule="atLeast"/>
          <w:jc w:val="center"/>
        </w:trPr>
        <w:tc>
          <w:tcPr>
            <w:tcW w:w="424"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O</w:t>
            </w:r>
            <w:r>
              <w:rPr>
                <w:rFonts w:hint="default" w:ascii="Times New Roman" w:hAnsi="Times New Roman" w:cs="Times New Roman"/>
                <w:color w:val="auto"/>
                <w:kern w:val="0"/>
                <w:sz w:val="21"/>
                <w:szCs w:val="21"/>
                <w:highlight w:val="none"/>
                <w:vertAlign w:val="subscript"/>
              </w:rPr>
              <w:t>3</w:t>
            </w:r>
          </w:p>
        </w:tc>
        <w:tc>
          <w:tcPr>
            <w:tcW w:w="12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8小时平均质量浓度第90百分位数</w:t>
            </w:r>
          </w:p>
        </w:tc>
        <w:tc>
          <w:tcPr>
            <w:tcW w:w="1346"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45</w:t>
            </w:r>
          </w:p>
        </w:tc>
        <w:tc>
          <w:tcPr>
            <w:tcW w:w="1297"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160</w:t>
            </w:r>
          </w:p>
        </w:tc>
        <w:tc>
          <w:tcPr>
            <w:tcW w:w="665" w:type="pct"/>
            <w:tcBorders>
              <w:tl2br w:val="nil"/>
              <w:tr2bl w:val="nil"/>
            </w:tcBorders>
            <w:noWrap w:val="0"/>
            <w:tcMar>
              <w:top w:w="15" w:type="dxa"/>
              <w:left w:w="108" w:type="dxa"/>
              <w:bottom w:w="15" w:type="dxa"/>
              <w:right w:w="108" w:type="dxa"/>
            </w:tcMar>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达标</w:t>
            </w:r>
          </w:p>
        </w:tc>
      </w:tr>
    </w:tbl>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color w:val="auto"/>
          <w:highlight w:val="none"/>
        </w:rPr>
      </w:pPr>
      <w:r>
        <w:rPr>
          <w:rFonts w:hint="eastAsia"/>
          <w:color w:val="auto"/>
          <w:highlight w:val="none"/>
        </w:rPr>
        <w:t>由上表可知，该地区的SO</w:t>
      </w:r>
      <w:r>
        <w:rPr>
          <w:rFonts w:hint="eastAsia"/>
          <w:color w:val="auto"/>
          <w:highlight w:val="none"/>
          <w:vertAlign w:val="subscript"/>
        </w:rPr>
        <w:t>2</w:t>
      </w:r>
      <w:r>
        <w:rPr>
          <w:rFonts w:hint="eastAsia"/>
          <w:color w:val="auto"/>
          <w:highlight w:val="none"/>
        </w:rPr>
        <w:t>、PM</w:t>
      </w:r>
      <w:r>
        <w:rPr>
          <w:rFonts w:hint="eastAsia"/>
          <w:color w:val="auto"/>
          <w:highlight w:val="none"/>
          <w:vertAlign w:val="subscript"/>
        </w:rPr>
        <w:t>10</w:t>
      </w:r>
      <w:r>
        <w:rPr>
          <w:rFonts w:hint="eastAsia"/>
          <w:color w:val="auto"/>
          <w:highlight w:val="none"/>
        </w:rPr>
        <w:t>、NO</w:t>
      </w:r>
      <w:r>
        <w:rPr>
          <w:rFonts w:hint="eastAsia"/>
          <w:color w:val="auto"/>
          <w:highlight w:val="none"/>
          <w:vertAlign w:val="subscript"/>
        </w:rPr>
        <w:t>2</w:t>
      </w:r>
      <w:r>
        <w:rPr>
          <w:rFonts w:hint="eastAsia"/>
          <w:color w:val="auto"/>
          <w:highlight w:val="none"/>
        </w:rPr>
        <w:t>、PM</w:t>
      </w:r>
      <w:r>
        <w:rPr>
          <w:rFonts w:hint="eastAsia"/>
          <w:color w:val="auto"/>
          <w:highlight w:val="none"/>
          <w:vertAlign w:val="subscript"/>
        </w:rPr>
        <w:t>2.5</w:t>
      </w:r>
      <w:r>
        <w:rPr>
          <w:rFonts w:hint="eastAsia"/>
          <w:color w:val="auto"/>
          <w:highlight w:val="none"/>
        </w:rPr>
        <w:t>年均浓度</w:t>
      </w:r>
      <w:r>
        <w:rPr>
          <w:rFonts w:hint="eastAsia"/>
          <w:color w:val="auto"/>
          <w:highlight w:val="none"/>
          <w:lang w:eastAsia="zh-CN"/>
        </w:rPr>
        <w:t>均出现超</w:t>
      </w:r>
      <w:r>
        <w:rPr>
          <w:rFonts w:hint="eastAsia"/>
          <w:color w:val="auto"/>
          <w:highlight w:val="none"/>
        </w:rPr>
        <w:t>标，项目所在区域属于</w:t>
      </w:r>
      <w:r>
        <w:rPr>
          <w:rFonts w:hint="eastAsia"/>
          <w:color w:val="auto"/>
          <w:highlight w:val="none"/>
          <w:lang w:eastAsia="zh-CN"/>
        </w:rPr>
        <w:t>不</w:t>
      </w:r>
      <w:r>
        <w:rPr>
          <w:rFonts w:hint="eastAsia"/>
          <w:color w:val="auto"/>
          <w:highlight w:val="none"/>
        </w:rPr>
        <w:t>达标区。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8"/>
          <w:highlight w:val="none"/>
        </w:rPr>
      </w:pPr>
      <w:r>
        <w:rPr>
          <w:rFonts w:ascii="Times New Roman" w:hAnsi="Times New Roman"/>
          <w:color w:val="auto"/>
          <w:sz w:val="24"/>
          <w:szCs w:val="28"/>
          <w:highlight w:val="none"/>
        </w:rPr>
        <w:t>为了进一步改善区域环境空气质量，驻马店市发布了2019年大气污染防治攻坚战实施方案，根据该实施方案，为有效治理大气污染，其主要采区措施如下：</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8"/>
          <w:highlight w:val="none"/>
        </w:rPr>
      </w:pPr>
      <w:r>
        <w:rPr>
          <w:rFonts w:ascii="Times New Roman" w:hAnsi="Times New Roman"/>
          <w:color w:val="auto"/>
          <w:sz w:val="24"/>
          <w:szCs w:val="28"/>
          <w:highlight w:val="none"/>
        </w:rPr>
        <w:t>1、加强工业企业用煤管理，开展秋冬季燃煤散烧治理专项检查。以秋冬采暖季为重点，开展执法检查，确保重点耗煤企业煤炭质量符合商品煤质量要求。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8"/>
          <w:highlight w:val="none"/>
        </w:rPr>
      </w:pPr>
      <w:r>
        <w:rPr>
          <w:rFonts w:ascii="Times New Roman" w:hAnsi="Times New Roman"/>
          <w:color w:val="auto"/>
          <w:sz w:val="24"/>
          <w:szCs w:val="28"/>
          <w:highlight w:val="none"/>
        </w:rPr>
        <w:t>2、扩大天然气利用规模，加快推进乡镇天然气利用工程建设；大力发展县域低风速平原风电项目，推进垃圾发电建设项目进度。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8"/>
          <w:highlight w:val="none"/>
        </w:rPr>
      </w:pPr>
      <w:r>
        <w:rPr>
          <w:rFonts w:ascii="Times New Roman" w:hAnsi="Times New Roman"/>
          <w:color w:val="auto"/>
          <w:sz w:val="24"/>
          <w:szCs w:val="28"/>
          <w:highlight w:val="none"/>
        </w:rPr>
        <w:t>3、持续打击“散、乱、污”企业，大力淘汰低效过剩产能。推进重点企业清洁生产审核。</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8"/>
          <w:highlight w:val="none"/>
        </w:rPr>
      </w:pPr>
      <w:r>
        <w:rPr>
          <w:rFonts w:ascii="Times New Roman" w:hAnsi="Times New Roman"/>
          <w:color w:val="auto"/>
          <w:sz w:val="24"/>
          <w:szCs w:val="28"/>
          <w:highlight w:val="none"/>
        </w:rPr>
        <w:t>4、坚持统筹“油、路、车”协同治理，以柴油车（机）达标排放为主线，建立健全严格的机动车和非道路移动机械全防全控环境监管制度，全链条治理柴油车（机）超标排放，明显降低污染物排放总量，促进区域空气质量明显改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8"/>
          <w:highlight w:val="none"/>
        </w:rPr>
      </w:pPr>
      <w:r>
        <w:rPr>
          <w:rFonts w:ascii="Times New Roman" w:hAnsi="Times New Roman"/>
          <w:color w:val="auto"/>
          <w:sz w:val="24"/>
          <w:szCs w:val="28"/>
          <w:highlight w:val="none"/>
        </w:rPr>
        <w:t>5、开展国省交通干线公路扬尘专项整治，全面做好普通公路清扫保洁工作，重点加强对绕城区国省干线公路的扬尘清扫清洗力度，有效减少绕城、环城国省干线公路的起尘量。</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8"/>
          <w:highlight w:val="none"/>
        </w:rPr>
      </w:pPr>
      <w:r>
        <w:rPr>
          <w:rFonts w:ascii="Times New Roman" w:hAnsi="Times New Roman"/>
          <w:color w:val="auto"/>
          <w:sz w:val="24"/>
          <w:szCs w:val="28"/>
          <w:highlight w:val="none"/>
        </w:rPr>
        <w:t>6、强化工地扬尘污染防治，严格落实施工工地“六个百分之百”、开复工验收、“三员”管理、扬尘防治预算管理等制度，开展扬尘污染防治宣教工作，对于施工扬尘，针对全市所有在建工程和拆迁工程开展一线工人的扬尘污染防治技术培训。</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8"/>
          <w:highlight w:val="none"/>
        </w:rPr>
      </w:pPr>
      <w:r>
        <w:rPr>
          <w:rFonts w:ascii="Times New Roman" w:hAnsi="Times New Roman"/>
          <w:color w:val="auto"/>
          <w:sz w:val="24"/>
          <w:szCs w:val="28"/>
          <w:highlight w:val="none"/>
        </w:rPr>
        <w:t>7、持续做好秸秆综合利用和禁烧工作，不断完善秸秆收储体系，进一步推进秸秆肥料化、饲料化、燃料化、基料化和原料化利用，加快推进秸秆综合利用产业化。</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8"/>
          <w:highlight w:val="none"/>
        </w:rPr>
      </w:pPr>
      <w:r>
        <w:rPr>
          <w:rFonts w:ascii="Times New Roman" w:hAnsi="Times New Roman"/>
          <w:color w:val="auto"/>
          <w:sz w:val="24"/>
          <w:szCs w:val="28"/>
          <w:highlight w:val="none"/>
        </w:rPr>
        <w:t>8、加强农机作业扬尘治理。加强“三夏”（夏收、夏种、夏管）、“三秋”（秋收、秋耕、秋种）农机作业指导，特别是小麦、花生收获季节，要充分利用无风天气，集中组织机械高效作业，大风天气尽量管控、减少作业，有效抑制农机作业粉尘排放。</w:t>
      </w:r>
    </w:p>
    <w:p>
      <w:pPr>
        <w:pStyle w:val="23"/>
        <w:keepNext w:val="0"/>
        <w:keepLines w:val="0"/>
        <w:pageBreakBefore w:val="0"/>
        <w:widowControl/>
        <w:kinsoku/>
        <w:wordWrap/>
        <w:overflowPunct/>
        <w:topLinePunct w:val="0"/>
        <w:autoSpaceDE/>
        <w:autoSpaceDN/>
        <w:bidi w:val="0"/>
        <w:adjustRightInd/>
        <w:snapToGrid/>
        <w:spacing w:before="0" w:beforeLines="0" w:after="0" w:afterLines="0" w:line="360" w:lineRule="auto"/>
        <w:textAlignment w:val="auto"/>
        <w:rPr>
          <w:color w:val="auto"/>
          <w:highlight w:val="none"/>
        </w:rPr>
      </w:pPr>
      <w:r>
        <w:rPr>
          <w:rFonts w:ascii="Times New Roman" w:hAnsi="Times New Roman"/>
          <w:color w:val="auto"/>
          <w:sz w:val="24"/>
          <w:szCs w:val="28"/>
          <w:highlight w:val="none"/>
        </w:rPr>
        <w:t>根据《大气污染防治攻坚战实施方案》中的相关要求，在充分采取相关治理措施的情况下，可进一步提高</w:t>
      </w:r>
      <w:r>
        <w:rPr>
          <w:rFonts w:hint="eastAsia" w:ascii="Times New Roman" w:hAnsi="Times New Roman"/>
          <w:color w:val="auto"/>
          <w:sz w:val="24"/>
          <w:szCs w:val="28"/>
          <w:highlight w:val="none"/>
          <w:lang w:eastAsia="zh-CN"/>
        </w:rPr>
        <w:t>平舆</w:t>
      </w:r>
      <w:r>
        <w:rPr>
          <w:rFonts w:hint="eastAsia" w:ascii="Times New Roman" w:hAnsi="Times New Roman"/>
          <w:color w:val="auto"/>
          <w:sz w:val="24"/>
          <w:szCs w:val="28"/>
          <w:highlight w:val="none"/>
        </w:rPr>
        <w:t>县</w:t>
      </w:r>
      <w:r>
        <w:rPr>
          <w:rFonts w:ascii="Times New Roman" w:hAnsi="Times New Roman"/>
          <w:color w:val="auto"/>
          <w:sz w:val="24"/>
          <w:szCs w:val="28"/>
          <w:highlight w:val="none"/>
        </w:rPr>
        <w:t>全年空气优良天数。确保环境空气量满足《环境空气质量标准》（GB3095－2012）中的二级标准的要求。</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）补充监测</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color w:val="auto"/>
          <w:highlight w:val="none"/>
        </w:rPr>
      </w:pPr>
      <w:r>
        <w:rPr>
          <w:rFonts w:hint="eastAsia"/>
          <w:color w:val="auto"/>
          <w:highlight w:val="none"/>
        </w:rPr>
        <w:t>本项目特征因子</w:t>
      </w:r>
      <w:r>
        <w:rPr>
          <w:rFonts w:hint="eastAsia"/>
          <w:color w:val="auto"/>
          <w:highlight w:val="none"/>
          <w:lang w:val="en-US" w:eastAsia="zh-CN"/>
        </w:rPr>
        <w:t>NH</w:t>
      </w:r>
      <w:r>
        <w:rPr>
          <w:rFonts w:hint="eastAsia"/>
          <w:color w:val="auto"/>
          <w:highlight w:val="none"/>
          <w:vertAlign w:val="subscript"/>
          <w:lang w:val="en-US" w:eastAsia="zh-CN"/>
        </w:rPr>
        <w:t>3</w:t>
      </w:r>
      <w:r>
        <w:rPr>
          <w:rFonts w:hint="eastAsia"/>
          <w:color w:val="auto"/>
          <w:highlight w:val="none"/>
        </w:rPr>
        <w:t>、</w:t>
      </w:r>
      <w:r>
        <w:rPr>
          <w:rFonts w:hint="eastAsia"/>
          <w:color w:val="auto"/>
          <w:highlight w:val="none"/>
          <w:lang w:val="en-US" w:eastAsia="zh-CN"/>
        </w:rPr>
        <w:t>H</w:t>
      </w:r>
      <w:r>
        <w:rPr>
          <w:rFonts w:hint="eastAsia"/>
          <w:color w:val="auto"/>
          <w:highlight w:val="none"/>
          <w:vertAlign w:val="subscript"/>
          <w:lang w:val="en-US" w:eastAsia="zh-CN"/>
        </w:rPr>
        <w:t>2</w:t>
      </w:r>
      <w:r>
        <w:rPr>
          <w:rFonts w:hint="eastAsia"/>
          <w:color w:val="auto"/>
          <w:highlight w:val="none"/>
          <w:lang w:val="en-US" w:eastAsia="zh-CN"/>
        </w:rPr>
        <w:t>S</w:t>
      </w:r>
      <w:r>
        <w:rPr>
          <w:rFonts w:hint="eastAsia"/>
          <w:color w:val="auto"/>
          <w:highlight w:val="none"/>
        </w:rPr>
        <w:t>委托</w:t>
      </w:r>
      <w:r>
        <w:rPr>
          <w:rFonts w:hint="eastAsia"/>
          <w:color w:val="auto"/>
          <w:highlight w:val="none"/>
          <w:lang w:eastAsia="zh-CN"/>
        </w:rPr>
        <w:t>河南申越检测技术有限公司</w:t>
      </w:r>
      <w:r>
        <w:rPr>
          <w:rFonts w:hint="eastAsia"/>
          <w:color w:val="auto"/>
          <w:highlight w:val="none"/>
        </w:rPr>
        <w:t>于</w:t>
      </w:r>
      <w:r>
        <w:rPr>
          <w:rFonts w:hint="eastAsia"/>
          <w:color w:val="auto"/>
          <w:highlight w:val="none"/>
          <w:lang w:val="en-US" w:eastAsia="zh-CN"/>
        </w:rPr>
        <w:t>2020</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1</w:t>
      </w:r>
      <w:r>
        <w:rPr>
          <w:rFonts w:hint="eastAsia"/>
          <w:color w:val="auto"/>
          <w:highlight w:val="none"/>
        </w:rPr>
        <w:t>日-20</w:t>
      </w:r>
      <w:r>
        <w:rPr>
          <w:rFonts w:hint="eastAsia"/>
          <w:color w:val="auto"/>
          <w:highlight w:val="none"/>
          <w:lang w:val="en-US" w:eastAsia="zh-CN"/>
        </w:rPr>
        <w:t>20</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7</w:t>
      </w:r>
      <w:r>
        <w:rPr>
          <w:rFonts w:hint="eastAsia"/>
          <w:color w:val="auto"/>
          <w:highlight w:val="none"/>
        </w:rPr>
        <w:t>日对本项目</w:t>
      </w:r>
      <w:r>
        <w:rPr>
          <w:rFonts w:hint="eastAsia"/>
          <w:color w:val="auto"/>
          <w:highlight w:val="none"/>
          <w:lang w:eastAsia="zh-CN"/>
        </w:rPr>
        <w:t>东</w:t>
      </w:r>
      <w:r>
        <w:rPr>
          <w:rFonts w:hint="eastAsia"/>
          <w:color w:val="auto"/>
          <w:highlight w:val="none"/>
          <w:lang w:val="en-US" w:eastAsia="zh-CN"/>
        </w:rPr>
        <w:t>北</w:t>
      </w:r>
      <w:r>
        <w:rPr>
          <w:rFonts w:hint="eastAsia"/>
          <w:color w:val="auto"/>
          <w:highlight w:val="none"/>
        </w:rPr>
        <w:t>侧</w:t>
      </w:r>
      <w:r>
        <w:rPr>
          <w:rFonts w:hint="eastAsia"/>
          <w:color w:val="auto"/>
          <w:highlight w:val="none"/>
          <w:lang w:val="en-US" w:eastAsia="zh-CN"/>
        </w:rPr>
        <w:t>420</w:t>
      </w:r>
      <w:r>
        <w:rPr>
          <w:rFonts w:hint="eastAsia"/>
          <w:color w:val="auto"/>
          <w:highlight w:val="none"/>
        </w:rPr>
        <w:t>m的</w:t>
      </w:r>
      <w:r>
        <w:rPr>
          <w:rFonts w:hint="eastAsia"/>
          <w:color w:val="auto"/>
          <w:highlight w:val="none"/>
          <w:lang w:eastAsia="zh-CN"/>
        </w:rPr>
        <w:t>吴自岐庄、西南</w:t>
      </w:r>
      <w:r>
        <w:rPr>
          <w:rFonts w:hint="eastAsia"/>
          <w:color w:val="auto"/>
          <w:highlight w:val="none"/>
        </w:rPr>
        <w:t>侧</w:t>
      </w:r>
      <w:r>
        <w:rPr>
          <w:rFonts w:hint="eastAsia"/>
          <w:color w:val="auto"/>
          <w:highlight w:val="none"/>
          <w:lang w:val="en-US" w:eastAsia="zh-CN"/>
        </w:rPr>
        <w:t>582</w:t>
      </w:r>
      <w:r>
        <w:rPr>
          <w:rFonts w:hint="eastAsia"/>
          <w:color w:val="auto"/>
          <w:highlight w:val="none"/>
        </w:rPr>
        <w:t>m的</w:t>
      </w:r>
      <w:r>
        <w:rPr>
          <w:rFonts w:hint="eastAsia"/>
          <w:color w:val="auto"/>
          <w:highlight w:val="none"/>
          <w:lang w:eastAsia="zh-CN"/>
        </w:rPr>
        <w:t>下王湾、东侧</w:t>
      </w:r>
      <w:r>
        <w:rPr>
          <w:rFonts w:hint="eastAsia"/>
          <w:color w:val="auto"/>
          <w:highlight w:val="none"/>
          <w:lang w:val="en-US" w:eastAsia="zh-CN"/>
        </w:rPr>
        <w:t>670m</w:t>
      </w:r>
      <w:r>
        <w:rPr>
          <w:rFonts w:hint="eastAsia"/>
          <w:color w:val="auto"/>
          <w:highlight w:val="none"/>
        </w:rPr>
        <w:t>的</w:t>
      </w:r>
      <w:r>
        <w:rPr>
          <w:rFonts w:hint="eastAsia"/>
          <w:color w:val="auto"/>
          <w:highlight w:val="none"/>
          <w:lang w:eastAsia="zh-CN"/>
        </w:rPr>
        <w:t>小吴庄进行了</w:t>
      </w:r>
      <w:r>
        <w:rPr>
          <w:rFonts w:hint="eastAsia"/>
          <w:color w:val="auto"/>
          <w:highlight w:val="none"/>
        </w:rPr>
        <w:t>监测，监测数据有较好的代表性。</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rPr>
        <w:t>①</w:t>
      </w:r>
      <w:r>
        <w:rPr>
          <w:rFonts w:hint="eastAsia" w:asciiTheme="minorEastAsia" w:hAnsiTheme="minorEastAsia" w:eastAsiaTheme="minorEastAsia" w:cstheme="minorEastAsia"/>
          <w:color w:val="auto"/>
          <w:highlight w:val="none"/>
          <w:lang w:eastAsia="zh-CN"/>
        </w:rPr>
        <w:t>监测点布设</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color w:val="auto"/>
          <w:highlight w:val="none"/>
        </w:rPr>
      </w:pPr>
      <w:r>
        <w:rPr>
          <w:rFonts w:hint="eastAsia"/>
          <w:color w:val="auto"/>
          <w:highlight w:val="none"/>
        </w:rPr>
        <w:t>大气</w:t>
      </w:r>
      <w:r>
        <w:rPr>
          <w:color w:val="auto"/>
          <w:highlight w:val="none"/>
        </w:rPr>
        <w:t>共设</w:t>
      </w:r>
      <w:r>
        <w:rPr>
          <w:rFonts w:hint="eastAsia"/>
          <w:color w:val="auto"/>
          <w:highlight w:val="none"/>
          <w:lang w:val="en-US" w:eastAsia="zh-CN"/>
        </w:rPr>
        <w:t>3</w:t>
      </w:r>
      <w:r>
        <w:rPr>
          <w:color w:val="auto"/>
          <w:highlight w:val="none"/>
        </w:rPr>
        <w:t>个监测</w:t>
      </w:r>
      <w:r>
        <w:rPr>
          <w:rFonts w:hint="eastAsia"/>
          <w:color w:val="auto"/>
          <w:highlight w:val="none"/>
        </w:rPr>
        <w:t>点</w:t>
      </w:r>
      <w:r>
        <w:rPr>
          <w:color w:val="auto"/>
          <w:highlight w:val="none"/>
        </w:rPr>
        <w:t>，</w:t>
      </w:r>
      <w:r>
        <w:rPr>
          <w:rFonts w:hint="eastAsia"/>
          <w:color w:val="auto"/>
          <w:highlight w:val="none"/>
        </w:rPr>
        <w:t>具体布点情况详见表</w:t>
      </w:r>
      <w:r>
        <w:rPr>
          <w:rFonts w:hint="eastAsia"/>
          <w:color w:val="auto"/>
          <w:highlight w:val="none"/>
          <w:lang w:val="en-US" w:eastAsia="zh-CN"/>
        </w:rPr>
        <w:t>3</w:t>
      </w:r>
      <w:r>
        <w:rPr>
          <w:rFonts w:hint="eastAsia"/>
          <w:color w:val="auto"/>
          <w:highlight w:val="none"/>
        </w:rPr>
        <w:t>.3</w:t>
      </w:r>
      <w:r>
        <w:rPr>
          <w:color w:val="auto"/>
          <w:highlight w:val="none"/>
        </w:rPr>
        <w:t>-</w:t>
      </w:r>
      <w:r>
        <w:rPr>
          <w:rFonts w:hint="eastAsia"/>
          <w:color w:val="auto"/>
          <w:highlight w:val="none"/>
        </w:rPr>
        <w:t>2</w:t>
      </w:r>
      <w:r>
        <w:rPr>
          <w:color w:val="auto"/>
          <w:highlight w:val="none"/>
        </w:rPr>
        <w:t>。</w:t>
      </w:r>
    </w:p>
    <w:p>
      <w:pPr>
        <w:pStyle w:val="40"/>
        <w:rPr>
          <w:rFonts w:hint="eastAsia" w:ascii="Times New Roman" w:hAnsi="Times New Roman" w:eastAsia="宋体" w:cs="Times New Roman"/>
          <w:b/>
          <w:color w:val="auto"/>
          <w:kern w:val="2"/>
          <w:sz w:val="21"/>
          <w:szCs w:val="24"/>
          <w:highlight w:val="none"/>
          <w:lang w:val="en-US" w:eastAsia="zh-CN" w:bidi="ar-SA"/>
        </w:rPr>
      </w:pPr>
      <w:r>
        <w:rPr>
          <w:rFonts w:hint="eastAsia" w:ascii="Times New Roman" w:hAnsi="Times New Roman" w:eastAsia="宋体" w:cs="Times New Roman"/>
          <w:b/>
          <w:color w:val="auto"/>
          <w:kern w:val="2"/>
          <w:sz w:val="21"/>
          <w:szCs w:val="24"/>
          <w:highlight w:val="none"/>
          <w:lang w:val="en-US" w:eastAsia="zh-CN" w:bidi="ar-SA"/>
        </w:rPr>
        <w:t>表</w:t>
      </w:r>
      <w:r>
        <w:rPr>
          <w:rFonts w:hint="eastAsia" w:cs="Times New Roman"/>
          <w:b/>
          <w:color w:val="auto"/>
          <w:kern w:val="2"/>
          <w:sz w:val="21"/>
          <w:szCs w:val="24"/>
          <w:highlight w:val="none"/>
          <w:lang w:val="en-US" w:eastAsia="zh-CN" w:bidi="ar-SA"/>
        </w:rPr>
        <w:t>3</w:t>
      </w:r>
      <w:r>
        <w:rPr>
          <w:rFonts w:hint="eastAsia" w:ascii="Times New Roman" w:hAnsi="Times New Roman" w:eastAsia="宋体" w:cs="Times New Roman"/>
          <w:b/>
          <w:color w:val="auto"/>
          <w:kern w:val="2"/>
          <w:sz w:val="21"/>
          <w:szCs w:val="24"/>
          <w:highlight w:val="none"/>
          <w:lang w:val="en-US" w:eastAsia="zh-CN" w:bidi="ar-SA"/>
        </w:rPr>
        <w:t>.3-2大气环境质量监测布点情况</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3575"/>
        <w:gridCol w:w="1152"/>
        <w:gridCol w:w="27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8" w:type="pct"/>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序号</w:t>
            </w:r>
          </w:p>
        </w:tc>
        <w:tc>
          <w:tcPr>
            <w:tcW w:w="2098" w:type="pct"/>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监测点或监测断面</w:t>
            </w:r>
          </w:p>
        </w:tc>
        <w:tc>
          <w:tcPr>
            <w:tcW w:w="676" w:type="pct"/>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点位数</w:t>
            </w:r>
          </w:p>
        </w:tc>
        <w:tc>
          <w:tcPr>
            <w:tcW w:w="1606" w:type="pct"/>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监测项目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8" w:type="pct"/>
            <w:tcBorders>
              <w:tl2br w:val="nil"/>
              <w:tr2bl w:val="nil"/>
            </w:tcBorders>
            <w:vAlign w:val="center"/>
          </w:tcPr>
          <w:p>
            <w:pPr>
              <w:widowControl/>
              <w:spacing w:line="240" w:lineRule="auto"/>
              <w:ind w:left="0" w:leftChars="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val="en-US" w:eastAsia="zh-CN"/>
              </w:rPr>
              <w:t>1</w:t>
            </w:r>
          </w:p>
        </w:tc>
        <w:tc>
          <w:tcPr>
            <w:tcW w:w="3575" w:type="dxa"/>
            <w:tcBorders>
              <w:tl2br w:val="nil"/>
              <w:tr2bl w:val="nil"/>
            </w:tcBorders>
            <w:vAlign w:val="center"/>
          </w:tcPr>
          <w:p>
            <w:pPr>
              <w:widowControl/>
              <w:spacing w:line="240" w:lineRule="auto"/>
              <w:ind w:left="0" w:leftChars="0"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吴自岐庄</w:t>
            </w:r>
          </w:p>
        </w:tc>
        <w:tc>
          <w:tcPr>
            <w:tcW w:w="676" w:type="pct"/>
            <w:vMerge w:val="restart"/>
            <w:tcBorders>
              <w:tl2br w:val="nil"/>
              <w:tr2bl w:val="nil"/>
            </w:tcBorders>
            <w:vAlign w:val="center"/>
          </w:tcPr>
          <w:p>
            <w:pPr>
              <w:widowControl/>
              <w:spacing w:line="240" w:lineRule="auto"/>
              <w:ind w:left="0" w:leftChars="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val="en-US" w:eastAsia="zh-CN"/>
              </w:rPr>
              <w:t>3</w:t>
            </w:r>
          </w:p>
        </w:tc>
        <w:tc>
          <w:tcPr>
            <w:tcW w:w="1606" w:type="pct"/>
            <w:vMerge w:val="restart"/>
            <w:tcBorders>
              <w:tl2br w:val="nil"/>
              <w:tr2bl w:val="nil"/>
            </w:tcBorders>
            <w:vAlign w:val="center"/>
          </w:tcPr>
          <w:p>
            <w:pPr>
              <w:widowControl/>
              <w:spacing w:line="240" w:lineRule="auto"/>
              <w:ind w:left="0" w:leftChars="0" w:firstLine="0" w:firstLineChars="0"/>
              <w:jc w:val="center"/>
              <w:rPr>
                <w:rFonts w:hint="eastAsia" w:ascii="Times New Roman" w:hAnsi="Times New Roman" w:eastAsia="宋体" w:cs="Times New Roman"/>
                <w:color w:val="auto"/>
                <w:kern w:val="0"/>
                <w:sz w:val="21"/>
                <w:szCs w:val="21"/>
                <w:highlight w:val="none"/>
                <w:vertAlign w:val="baseline"/>
                <w:lang w:eastAsia="zh-CN"/>
              </w:rPr>
            </w:pPr>
            <w:r>
              <w:rPr>
                <w:rFonts w:hint="eastAsia" w:ascii="Times New Roman" w:hAnsi="Times New Roman" w:cs="Times New Roman"/>
                <w:color w:val="auto"/>
                <w:kern w:val="0"/>
                <w:sz w:val="21"/>
                <w:szCs w:val="21"/>
                <w:highlight w:val="none"/>
              </w:rPr>
              <w:t>H</w:t>
            </w:r>
            <w:r>
              <w:rPr>
                <w:rFonts w:hint="eastAsia" w:ascii="Times New Roman" w:hAnsi="Times New Roman" w:cs="Times New Roman"/>
                <w:color w:val="auto"/>
                <w:kern w:val="0"/>
                <w:sz w:val="21"/>
                <w:szCs w:val="21"/>
                <w:highlight w:val="none"/>
                <w:vertAlign w:val="subscript"/>
              </w:rPr>
              <w:t>2</w:t>
            </w:r>
            <w:r>
              <w:rPr>
                <w:rFonts w:hint="eastAsia" w:ascii="Times New Roman" w:hAnsi="Times New Roman" w:cs="Times New Roman"/>
                <w:color w:val="auto"/>
                <w:kern w:val="0"/>
                <w:sz w:val="21"/>
                <w:szCs w:val="21"/>
                <w:highlight w:val="none"/>
              </w:rPr>
              <w:t>S、NH</w:t>
            </w:r>
            <w:r>
              <w:rPr>
                <w:rFonts w:hint="eastAsia" w:ascii="Times New Roman" w:hAnsi="Times New Roman" w:cs="Times New Roman"/>
                <w:color w:val="auto"/>
                <w:kern w:val="0"/>
                <w:sz w:val="21"/>
                <w:szCs w:val="21"/>
                <w:highlight w:val="none"/>
                <w:vertAlign w:val="subscript"/>
              </w:rPr>
              <w:t>3</w:t>
            </w:r>
            <w:r>
              <w:rPr>
                <w:rFonts w:hint="eastAsia" w:cs="Times New Roman"/>
                <w:color w:val="auto"/>
                <w:kern w:val="0"/>
                <w:sz w:val="21"/>
                <w:szCs w:val="21"/>
                <w:highlight w:val="none"/>
                <w:vertAlign w:val="baseline"/>
                <w:lang w:eastAsia="zh-CN"/>
              </w:rPr>
              <w:t>，</w:t>
            </w:r>
            <w:r>
              <w:rPr>
                <w:rFonts w:hint="eastAsia" w:ascii="Times New Roman" w:hAnsi="Times New Roman" w:cs="Times New Roman"/>
                <w:color w:val="auto"/>
                <w:kern w:val="0"/>
                <w:sz w:val="21"/>
                <w:szCs w:val="21"/>
                <w:highlight w:val="none"/>
                <w:vertAlign w:val="baseline"/>
              </w:rPr>
              <w:t>连续检测7天，每日检测4次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8" w:type="pct"/>
            <w:tcBorders>
              <w:tl2br w:val="nil"/>
              <w:tr2bl w:val="nil"/>
            </w:tcBorders>
            <w:vAlign w:val="center"/>
          </w:tcPr>
          <w:p>
            <w:pPr>
              <w:widowControl/>
              <w:spacing w:line="240" w:lineRule="auto"/>
              <w:ind w:left="0" w:leftChars="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val="en-US" w:eastAsia="zh-CN"/>
              </w:rPr>
              <w:t>2</w:t>
            </w:r>
          </w:p>
        </w:tc>
        <w:tc>
          <w:tcPr>
            <w:tcW w:w="3575" w:type="dxa"/>
            <w:tcBorders>
              <w:tl2br w:val="nil"/>
              <w:tr2bl w:val="nil"/>
            </w:tcBorders>
            <w:vAlign w:val="center"/>
          </w:tcPr>
          <w:p>
            <w:pPr>
              <w:widowControl/>
              <w:spacing w:line="240" w:lineRule="auto"/>
              <w:ind w:left="0" w:leftChars="0"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下王湾</w:t>
            </w:r>
          </w:p>
        </w:tc>
        <w:tc>
          <w:tcPr>
            <w:tcW w:w="676" w:type="pct"/>
            <w:vMerge w:val="continue"/>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p>
        </w:tc>
        <w:tc>
          <w:tcPr>
            <w:tcW w:w="1606" w:type="pct"/>
            <w:vMerge w:val="continue"/>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8" w:type="pct"/>
            <w:tcBorders>
              <w:tl2br w:val="nil"/>
              <w:tr2bl w:val="nil"/>
            </w:tcBorders>
            <w:vAlign w:val="center"/>
          </w:tcPr>
          <w:p>
            <w:pPr>
              <w:widowControl/>
              <w:spacing w:line="240" w:lineRule="auto"/>
              <w:ind w:left="0" w:leftChars="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w:t>
            </w:r>
          </w:p>
        </w:tc>
        <w:tc>
          <w:tcPr>
            <w:tcW w:w="3575" w:type="dxa"/>
            <w:tcBorders>
              <w:tl2br w:val="nil"/>
              <w:tr2bl w:val="nil"/>
            </w:tcBorders>
            <w:vAlign w:val="center"/>
          </w:tcPr>
          <w:p>
            <w:pPr>
              <w:widowControl/>
              <w:spacing w:line="240" w:lineRule="auto"/>
              <w:ind w:left="0" w:leftChars="0"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小吴庄</w:t>
            </w:r>
          </w:p>
        </w:tc>
        <w:tc>
          <w:tcPr>
            <w:tcW w:w="676" w:type="pct"/>
            <w:vMerge w:val="continue"/>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p>
        </w:tc>
        <w:tc>
          <w:tcPr>
            <w:tcW w:w="1606" w:type="pct"/>
            <w:vMerge w:val="continue"/>
            <w:tcBorders>
              <w:tl2br w:val="nil"/>
              <w:tr2bl w:val="nil"/>
            </w:tcBorders>
            <w:vAlign w:val="center"/>
          </w:tcPr>
          <w:p>
            <w:pPr>
              <w:widowControl/>
              <w:spacing w:line="240" w:lineRule="auto"/>
              <w:ind w:left="0" w:leftChars="0" w:firstLine="0" w:firstLineChars="0"/>
              <w:jc w:val="center"/>
              <w:rPr>
                <w:rFonts w:hint="default" w:ascii="Times New Roman" w:hAnsi="Times New Roman" w:cs="Times New Roman"/>
                <w:color w:val="auto"/>
                <w:kern w:val="0"/>
                <w:sz w:val="21"/>
                <w:szCs w:val="21"/>
                <w:highlight w:val="none"/>
              </w:rPr>
            </w:pPr>
          </w:p>
        </w:tc>
      </w:tr>
    </w:tbl>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highlight w:val="none"/>
        </w:rPr>
      </w:pPr>
      <w:r>
        <w:rPr>
          <w:rFonts w:hint="default" w:asciiTheme="minorEastAsia" w:hAnsiTheme="minorEastAsia" w:eastAsiaTheme="minorEastAsia" w:cstheme="minorEastAsia"/>
          <w:color w:val="auto"/>
          <w:highlight w:val="none"/>
        </w:rPr>
        <w:t>②</w:t>
      </w:r>
      <w:r>
        <w:rPr>
          <w:rFonts w:hint="eastAsia" w:asciiTheme="minorEastAsia" w:hAnsiTheme="minorEastAsia" w:eastAsiaTheme="minorEastAsia" w:cstheme="minorEastAsia"/>
          <w:color w:val="auto"/>
          <w:highlight w:val="none"/>
        </w:rPr>
        <w:t>监测因子及监测分析方法</w:t>
      </w:r>
    </w:p>
    <w:p>
      <w:pPr>
        <w:widowControl/>
        <w:snapToGrid w:val="0"/>
        <w:spacing w:line="500" w:lineRule="exact"/>
        <w:ind w:firstLine="480" w:firstLineChars="200"/>
        <w:rPr>
          <w:rFonts w:ascii="Times New Roman" w:hAnsi="Times New Roman" w:cs="Times New Roman"/>
          <w:color w:val="auto"/>
          <w:sz w:val="24"/>
          <w:szCs w:val="28"/>
          <w:highlight w:val="none"/>
        </w:rPr>
      </w:pPr>
      <w:r>
        <w:rPr>
          <w:rFonts w:ascii="Times New Roman" w:hAnsi="Times New Roman" w:cs="Times New Roman"/>
          <w:color w:val="auto"/>
          <w:sz w:val="24"/>
          <w:szCs w:val="28"/>
          <w:highlight w:val="none"/>
        </w:rPr>
        <w:t>根据本项目废气污染物产生情况，确定本次环境空气质量现状监测因子为</w:t>
      </w:r>
      <w:r>
        <w:rPr>
          <w:rFonts w:ascii="Times New Roman" w:hAnsi="Times New Roman" w:cs="Times New Roman"/>
          <w:color w:val="auto"/>
          <w:sz w:val="24"/>
          <w:szCs w:val="22"/>
          <w:highlight w:val="none"/>
        </w:rPr>
        <w:t>H</w:t>
      </w:r>
      <w:r>
        <w:rPr>
          <w:rFonts w:ascii="Times New Roman" w:hAnsi="Times New Roman" w:cs="Times New Roman"/>
          <w:color w:val="auto"/>
          <w:sz w:val="24"/>
          <w:szCs w:val="22"/>
          <w:highlight w:val="none"/>
          <w:vertAlign w:val="subscript"/>
        </w:rPr>
        <w:t>2</w:t>
      </w:r>
      <w:r>
        <w:rPr>
          <w:rFonts w:ascii="Times New Roman" w:hAnsi="Times New Roman" w:cs="Times New Roman"/>
          <w:color w:val="auto"/>
          <w:sz w:val="24"/>
          <w:szCs w:val="22"/>
          <w:highlight w:val="none"/>
        </w:rPr>
        <w:t>S、NH</w:t>
      </w:r>
      <w:r>
        <w:rPr>
          <w:rFonts w:ascii="Times New Roman" w:hAnsi="Times New Roman" w:cs="Times New Roman"/>
          <w:color w:val="auto"/>
          <w:sz w:val="24"/>
          <w:szCs w:val="22"/>
          <w:highlight w:val="none"/>
          <w:vertAlign w:val="subscript"/>
        </w:rPr>
        <w:t>3</w:t>
      </w:r>
      <w:r>
        <w:rPr>
          <w:rFonts w:ascii="Times New Roman" w:hAnsi="Times New Roman" w:cs="Times New Roman"/>
          <w:color w:val="auto"/>
          <w:sz w:val="24"/>
          <w:szCs w:val="22"/>
          <w:highlight w:val="none"/>
        </w:rPr>
        <w:t>同步监测风速、风向、气温、气压、总云、低云及天气状况</w:t>
      </w:r>
      <w:r>
        <w:rPr>
          <w:rFonts w:ascii="Times New Roman" w:hAnsi="Times New Roman" w:cs="Times New Roman"/>
          <w:color w:val="auto"/>
          <w:sz w:val="24"/>
          <w:szCs w:val="28"/>
          <w:highlight w:val="none"/>
        </w:rPr>
        <w:t>。监测方法见表3.3-</w:t>
      </w:r>
      <w:r>
        <w:rPr>
          <w:rFonts w:hint="eastAsia" w:ascii="Times New Roman" w:hAnsi="Times New Roman" w:cs="Times New Roman"/>
          <w:color w:val="auto"/>
          <w:sz w:val="24"/>
          <w:szCs w:val="28"/>
          <w:highlight w:val="none"/>
        </w:rPr>
        <w:t>3</w:t>
      </w:r>
      <w:r>
        <w:rPr>
          <w:rFonts w:ascii="Times New Roman" w:hAnsi="Times New Roman" w:cs="Times New Roman"/>
          <w:color w:val="auto"/>
          <w:sz w:val="24"/>
          <w:szCs w:val="28"/>
          <w:highlight w:val="none"/>
        </w:rPr>
        <w:t>。</w:t>
      </w:r>
    </w:p>
    <w:p>
      <w:pPr>
        <w:pStyle w:val="40"/>
        <w:rPr>
          <w:rFonts w:hint="eastAsia" w:ascii="Times New Roman" w:hAnsi="Times New Roman" w:eastAsia="宋体" w:cs="Times New Roman"/>
          <w:b/>
          <w:color w:val="auto"/>
          <w:kern w:val="2"/>
          <w:sz w:val="21"/>
          <w:szCs w:val="24"/>
          <w:highlight w:val="none"/>
          <w:lang w:val="en-US" w:eastAsia="zh-CN" w:bidi="ar-SA"/>
        </w:rPr>
      </w:pPr>
      <w:r>
        <w:rPr>
          <w:rFonts w:hint="eastAsia" w:ascii="Times New Roman" w:hAnsi="Times New Roman" w:eastAsia="宋体" w:cs="Times New Roman"/>
          <w:b/>
          <w:color w:val="auto"/>
          <w:kern w:val="2"/>
          <w:sz w:val="21"/>
          <w:szCs w:val="24"/>
          <w:highlight w:val="none"/>
          <w:lang w:val="en-US" w:eastAsia="zh-CN" w:bidi="ar-SA"/>
        </w:rPr>
        <w:t>表3.3-3 环境空气检测分析方法及使用仪器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3562"/>
        <w:gridCol w:w="2088"/>
        <w:gridCol w:w="17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096" w:type="dxa"/>
            <w:tcBorders>
              <w:tl2br w:val="nil"/>
              <w:tr2bl w:val="nil"/>
            </w:tcBorders>
            <w:vAlign w:val="center"/>
          </w:tcPr>
          <w:p>
            <w:pPr>
              <w:widowControl/>
              <w:spacing w:line="240" w:lineRule="auto"/>
              <w:ind w:left="0" w:leftChars="0"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检测项目</w:t>
            </w:r>
          </w:p>
        </w:tc>
        <w:tc>
          <w:tcPr>
            <w:tcW w:w="3562" w:type="dxa"/>
            <w:tcBorders>
              <w:tl2br w:val="nil"/>
              <w:tr2bl w:val="nil"/>
            </w:tcBorders>
            <w:vAlign w:val="center"/>
          </w:tcPr>
          <w:p>
            <w:pPr>
              <w:widowControl/>
              <w:spacing w:line="240" w:lineRule="auto"/>
              <w:ind w:left="0" w:leftChars="0"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检测方法</w:t>
            </w:r>
          </w:p>
        </w:tc>
        <w:tc>
          <w:tcPr>
            <w:tcW w:w="2088" w:type="dxa"/>
            <w:tcBorders>
              <w:tl2br w:val="nil"/>
              <w:tr2bl w:val="nil"/>
            </w:tcBorders>
            <w:vAlign w:val="center"/>
          </w:tcPr>
          <w:p>
            <w:pPr>
              <w:widowControl/>
              <w:spacing w:line="240" w:lineRule="auto"/>
              <w:ind w:left="0" w:leftChars="0"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使用仪器</w:t>
            </w:r>
          </w:p>
        </w:tc>
        <w:tc>
          <w:tcPr>
            <w:tcW w:w="1770" w:type="dxa"/>
            <w:tcBorders>
              <w:tl2br w:val="nil"/>
              <w:tr2bl w:val="nil"/>
            </w:tcBorders>
            <w:vAlign w:val="center"/>
          </w:tcPr>
          <w:p>
            <w:pPr>
              <w:widowControl/>
              <w:spacing w:line="240" w:lineRule="auto"/>
              <w:ind w:left="0" w:leftChars="0"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6"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NH</w:t>
            </w:r>
            <w:r>
              <w:rPr>
                <w:rFonts w:hint="eastAsia" w:ascii="Times New Roman" w:hAnsi="Times New Roman" w:eastAsia="宋体" w:cs="Times New Roman"/>
                <w:color w:val="auto"/>
                <w:kern w:val="0"/>
                <w:sz w:val="21"/>
                <w:szCs w:val="21"/>
                <w:highlight w:val="none"/>
                <w:vertAlign w:val="subscript"/>
                <w:lang w:val="en-US" w:eastAsia="zh-CN"/>
              </w:rPr>
              <w:t>3</w:t>
            </w:r>
          </w:p>
        </w:tc>
        <w:tc>
          <w:tcPr>
            <w:tcW w:w="3562"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《环境空气 氨的测定 次氯酸钠-水杨酸分光光度法》</w:t>
            </w:r>
          </w:p>
        </w:tc>
        <w:tc>
          <w:tcPr>
            <w:tcW w:w="2088" w:type="dxa"/>
            <w:tcBorders>
              <w:tl2br w:val="nil"/>
              <w:tr2bl w:val="nil"/>
            </w:tcBorders>
            <w:vAlign w:val="center"/>
          </w:tcPr>
          <w:p>
            <w:pPr>
              <w:widowControl/>
              <w:spacing w:line="240" w:lineRule="auto"/>
              <w:ind w:left="0" w:leftChars="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紫外可见分光光度计  T6新世纪</w:t>
            </w:r>
          </w:p>
        </w:tc>
        <w:tc>
          <w:tcPr>
            <w:tcW w:w="1770" w:type="dxa"/>
            <w:tcBorders>
              <w:tl2br w:val="nil"/>
              <w:tr2bl w:val="nil"/>
            </w:tcBorders>
            <w:vAlign w:val="center"/>
          </w:tcPr>
          <w:p>
            <w:pPr>
              <w:widowControl/>
              <w:spacing w:line="240" w:lineRule="auto"/>
              <w:ind w:left="0" w:leftChars="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0.004mg/m</w:t>
            </w:r>
            <w:r>
              <w:rPr>
                <w:rFonts w:hint="default" w:ascii="Times New Roman" w:hAnsi="Times New Roman" w:eastAsia="宋体" w:cs="Times New Roman"/>
                <w:color w:val="auto"/>
                <w:kern w:val="0"/>
                <w:sz w:val="21"/>
                <w:szCs w:val="21"/>
                <w:highlight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6"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H</w:t>
            </w:r>
            <w:r>
              <w:rPr>
                <w:rFonts w:hint="eastAsia" w:ascii="Times New Roman" w:hAnsi="Times New Roman" w:eastAsia="宋体" w:cs="Times New Roman"/>
                <w:color w:val="auto"/>
                <w:kern w:val="0"/>
                <w:sz w:val="21"/>
                <w:szCs w:val="21"/>
                <w:highlight w:val="none"/>
                <w:vertAlign w:val="subscript"/>
                <w:lang w:val="en-US" w:eastAsia="zh-CN"/>
              </w:rPr>
              <w:t>2</w:t>
            </w:r>
            <w:r>
              <w:rPr>
                <w:rFonts w:hint="eastAsia" w:ascii="Times New Roman" w:hAnsi="Times New Roman" w:eastAsia="宋体" w:cs="Times New Roman"/>
                <w:color w:val="auto"/>
                <w:kern w:val="0"/>
                <w:sz w:val="21"/>
                <w:szCs w:val="21"/>
                <w:highlight w:val="none"/>
                <w:lang w:val="en-US" w:eastAsia="zh-CN"/>
              </w:rPr>
              <w:t>S</w:t>
            </w:r>
          </w:p>
        </w:tc>
        <w:tc>
          <w:tcPr>
            <w:tcW w:w="3562"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《亚甲基蓝分光光度法 空气与废气检测分析方法》</w:t>
            </w:r>
          </w:p>
        </w:tc>
        <w:tc>
          <w:tcPr>
            <w:tcW w:w="2088"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紫外可见分光光度计  T6新世纪</w:t>
            </w:r>
          </w:p>
        </w:tc>
        <w:tc>
          <w:tcPr>
            <w:tcW w:w="1770"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0.001mg/m</w:t>
            </w:r>
            <w:r>
              <w:rPr>
                <w:rFonts w:hint="default" w:ascii="Times New Roman" w:hAnsi="Times New Roman" w:eastAsia="宋体" w:cs="Times New Roman"/>
                <w:color w:val="auto"/>
                <w:kern w:val="0"/>
                <w:sz w:val="21"/>
                <w:szCs w:val="21"/>
                <w:highlight w:val="none"/>
                <w:vertAlign w:val="superscript"/>
                <w:lang w:val="en-US" w:eastAsia="zh-CN"/>
              </w:rPr>
              <w:t>3</w:t>
            </w:r>
          </w:p>
        </w:tc>
      </w:tr>
    </w:tbl>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highlight w:val="none"/>
        </w:rPr>
      </w:pPr>
      <w:r>
        <w:rPr>
          <w:rFonts w:hint="default" w:asciiTheme="minorEastAsia" w:hAnsiTheme="minorEastAsia" w:eastAsiaTheme="minorEastAsia" w:cstheme="minorEastAsia"/>
          <w:color w:val="auto"/>
          <w:highlight w:val="none"/>
        </w:rPr>
        <w:t>③</w:t>
      </w:r>
      <w:r>
        <w:rPr>
          <w:rFonts w:hint="eastAsia" w:asciiTheme="minorEastAsia" w:hAnsiTheme="minorEastAsia" w:eastAsiaTheme="minorEastAsia" w:cstheme="minorEastAsia"/>
          <w:color w:val="auto"/>
          <w:highlight w:val="none"/>
        </w:rPr>
        <w:t>监测时间</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监测时间为</w:t>
      </w:r>
      <w:r>
        <w:rPr>
          <w:rFonts w:hint="default" w:ascii="Times New Roman" w:hAnsi="Times New Roman" w:cs="Times New Roman" w:eastAsiaTheme="minorEastAsia"/>
          <w:color w:val="auto"/>
          <w:highlight w:val="none"/>
          <w:lang w:val="en-US" w:eastAsia="zh-CN"/>
        </w:rPr>
        <w:t>2020</w:t>
      </w:r>
      <w:r>
        <w:rPr>
          <w:rFonts w:hint="default" w:ascii="Times New Roman" w:hAnsi="Times New Roman" w:cs="Times New Roman" w:eastAsiaTheme="minorEastAsia"/>
          <w:color w:val="auto"/>
          <w:highlight w:val="none"/>
        </w:rPr>
        <w:t>年</w:t>
      </w:r>
      <w:r>
        <w:rPr>
          <w:rFonts w:hint="eastAsia" w:cs="Times New Roman" w:eastAsiaTheme="minorEastAsia"/>
          <w:color w:val="auto"/>
          <w:highlight w:val="none"/>
          <w:lang w:val="en-US" w:eastAsia="zh-CN"/>
        </w:rPr>
        <w:t>9</w:t>
      </w:r>
      <w:r>
        <w:rPr>
          <w:rFonts w:hint="default" w:ascii="Times New Roman" w:hAnsi="Times New Roman" w:cs="Times New Roman" w:eastAsiaTheme="minorEastAsia"/>
          <w:color w:val="auto"/>
          <w:highlight w:val="none"/>
        </w:rPr>
        <w:t>月</w:t>
      </w:r>
      <w:r>
        <w:rPr>
          <w:rFonts w:hint="eastAsia" w:cs="Times New Roman" w:eastAsiaTheme="minorEastAsia"/>
          <w:color w:val="auto"/>
          <w:highlight w:val="none"/>
          <w:lang w:val="en-US" w:eastAsia="zh-CN"/>
        </w:rPr>
        <w:t>1</w:t>
      </w:r>
      <w:r>
        <w:rPr>
          <w:rFonts w:hint="default" w:ascii="Times New Roman" w:hAnsi="Times New Roman" w:cs="Times New Roman" w:eastAsiaTheme="minorEastAsia"/>
          <w:color w:val="auto"/>
          <w:highlight w:val="none"/>
        </w:rPr>
        <w:t>日-20</w:t>
      </w:r>
      <w:r>
        <w:rPr>
          <w:rFonts w:hint="default" w:ascii="Times New Roman" w:hAnsi="Times New Roman" w:cs="Times New Roman" w:eastAsiaTheme="minorEastAsia"/>
          <w:color w:val="auto"/>
          <w:highlight w:val="none"/>
          <w:lang w:val="en-US" w:eastAsia="zh-CN"/>
        </w:rPr>
        <w:t>20</w:t>
      </w:r>
      <w:r>
        <w:rPr>
          <w:rFonts w:hint="default" w:ascii="Times New Roman" w:hAnsi="Times New Roman" w:cs="Times New Roman" w:eastAsiaTheme="minorEastAsia"/>
          <w:color w:val="auto"/>
          <w:highlight w:val="none"/>
        </w:rPr>
        <w:t>年</w:t>
      </w:r>
      <w:r>
        <w:rPr>
          <w:rFonts w:hint="eastAsia" w:cs="Times New Roman" w:eastAsiaTheme="minorEastAsia"/>
          <w:color w:val="auto"/>
          <w:highlight w:val="none"/>
          <w:lang w:val="en-US" w:eastAsia="zh-CN"/>
        </w:rPr>
        <w:t>9</w:t>
      </w:r>
      <w:r>
        <w:rPr>
          <w:rFonts w:hint="default" w:ascii="Times New Roman" w:hAnsi="Times New Roman" w:cs="Times New Roman" w:eastAsiaTheme="minorEastAsia"/>
          <w:color w:val="auto"/>
          <w:highlight w:val="none"/>
        </w:rPr>
        <w:t>月</w:t>
      </w:r>
      <w:r>
        <w:rPr>
          <w:rFonts w:hint="eastAsia" w:cs="Times New Roman" w:eastAsiaTheme="minorEastAsia"/>
          <w:color w:val="auto"/>
          <w:highlight w:val="none"/>
          <w:lang w:val="en-US" w:eastAsia="zh-CN"/>
        </w:rPr>
        <w:t>7</w:t>
      </w:r>
      <w:r>
        <w:rPr>
          <w:rFonts w:hint="default" w:ascii="Times New Roman" w:hAnsi="Times New Roman" w:cs="Times New Roman" w:eastAsiaTheme="minorEastAsia"/>
          <w:color w:val="auto"/>
          <w:highlight w:val="none"/>
        </w:rPr>
        <w:t>日。</w:t>
      </w:r>
    </w:p>
    <w:p>
      <w:pPr>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b/>
          <w:bCs/>
          <w:color w:val="auto"/>
          <w:sz w:val="24"/>
          <w:highlight w:val="none"/>
        </w:rPr>
      </w:pPr>
      <w:r>
        <w:rPr>
          <w:rFonts w:hint="eastAsia" w:ascii="宋体" w:hAnsi="宋体" w:eastAsia="宋体" w:cs="宋体"/>
          <w:color w:val="auto"/>
          <w:highlight w:val="none"/>
        </w:rPr>
        <w:t>④</w:t>
      </w:r>
      <w:r>
        <w:rPr>
          <w:rFonts w:ascii="Times New Roman" w:hAnsi="Times New Roman"/>
          <w:b w:val="0"/>
          <w:bCs w:val="0"/>
          <w:color w:val="auto"/>
          <w:sz w:val="24"/>
          <w:highlight w:val="none"/>
        </w:rPr>
        <w:t>评价因子和评价方法</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评价因子采用单因子污染指数法进行评价。具体公式为：</w:t>
      </w:r>
    </w:p>
    <w:p>
      <w:pPr>
        <w:keepNext w:val="0"/>
        <w:keepLines w:val="0"/>
        <w:pageBreakBefore w:val="0"/>
        <w:kinsoku/>
        <w:wordWrap/>
        <w:overflowPunct/>
        <w:topLinePunct w:val="0"/>
        <w:autoSpaceDE/>
        <w:autoSpaceDN/>
        <w:bidi w:val="0"/>
        <w:adjustRightInd/>
        <w:snapToGrid/>
        <w:spacing w:line="360" w:lineRule="auto"/>
        <w:ind w:firstLine="570"/>
        <w:jc w:val="center"/>
        <w:textAlignment w:val="auto"/>
        <w:rPr>
          <w:rFonts w:ascii="Times New Roman" w:hAnsi="Times New Roman"/>
          <w:color w:val="auto"/>
          <w:sz w:val="24"/>
          <w:highlight w:val="none"/>
        </w:rPr>
      </w:pPr>
      <w:r>
        <w:rPr>
          <w:rFonts w:ascii="Times New Roman" w:hAnsi="Times New Roman"/>
          <w:color w:val="auto"/>
          <w:sz w:val="24"/>
          <w:highlight w:val="none"/>
        </w:rPr>
        <w:t>Pi = Ci / Coi</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式中：Pi—i种污染物的污染指数，无量纲；</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 xml:space="preserve">          Ci—i种污染物的实测浓度，mg/m</w:t>
      </w:r>
      <w:r>
        <w:rPr>
          <w:rFonts w:ascii="Times New Roman" w:hAnsi="Times New Roman"/>
          <w:color w:val="auto"/>
          <w:sz w:val="24"/>
          <w:highlight w:val="none"/>
          <w:vertAlign w:val="superscript"/>
        </w:rPr>
        <w:t>3</w:t>
      </w:r>
      <w:r>
        <w:rPr>
          <w:rFonts w:ascii="Times New Roman" w:hAnsi="Times New Roman"/>
          <w:color w:val="auto"/>
          <w:sz w:val="24"/>
          <w:highlight w:val="none"/>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 xml:space="preserve">          Coi—i种污染物的评价标准值，mg/m</w:t>
      </w:r>
      <w:r>
        <w:rPr>
          <w:rFonts w:ascii="Times New Roman" w:hAnsi="Times New Roman"/>
          <w:color w:val="auto"/>
          <w:sz w:val="24"/>
          <w:highlight w:val="none"/>
          <w:vertAlign w:val="superscript"/>
        </w:rPr>
        <w:t>3</w:t>
      </w:r>
      <w:r>
        <w:rPr>
          <w:rFonts w:ascii="Times New Roman" w:hAnsi="Times New Roman"/>
          <w:color w:val="auto"/>
          <w:sz w:val="24"/>
          <w:highlight w:val="none"/>
        </w:rPr>
        <w:t>。</w:t>
      </w:r>
    </w:p>
    <w:p>
      <w:pPr>
        <w:pStyle w:val="23"/>
        <w:keepNext w:val="0"/>
        <w:keepLines w:val="0"/>
        <w:pageBreakBefore w:val="0"/>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⑤评价标准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2"/>
          <w:highlight w:val="none"/>
        </w:rPr>
      </w:pPr>
      <w:r>
        <w:rPr>
          <w:rFonts w:ascii="Times New Roman" w:hAnsi="Times New Roman" w:cs="Times New Roman"/>
          <w:color w:val="auto"/>
          <w:sz w:val="24"/>
          <w:szCs w:val="22"/>
          <w:highlight w:val="none"/>
        </w:rPr>
        <w:t>根据《环境影响评价技术导则 大气环境（HJ2.2-2018）》中附录D的最高允许浓度限值，评价执行标准具体见表3.3-</w:t>
      </w:r>
      <w:r>
        <w:rPr>
          <w:rFonts w:hint="eastAsia" w:cs="Times New Roman"/>
          <w:color w:val="auto"/>
          <w:sz w:val="24"/>
          <w:szCs w:val="22"/>
          <w:highlight w:val="none"/>
          <w:lang w:val="en-US" w:eastAsia="zh-CN"/>
        </w:rPr>
        <w:t>4</w:t>
      </w:r>
      <w:r>
        <w:rPr>
          <w:rFonts w:ascii="Times New Roman" w:hAnsi="Times New Roman" w:cs="Times New Roman"/>
          <w:color w:val="auto"/>
          <w:sz w:val="24"/>
          <w:szCs w:val="22"/>
          <w:highlight w:val="none"/>
        </w:rPr>
        <w:t>。</w:t>
      </w:r>
    </w:p>
    <w:p>
      <w:pPr>
        <w:adjustRightInd w:val="0"/>
        <w:snapToGrid w:val="0"/>
        <w:spacing w:line="240" w:lineRule="auto"/>
        <w:ind w:firstLine="0" w:firstLineChars="0"/>
        <w:jc w:val="center"/>
        <w:rPr>
          <w:rFonts w:hint="eastAsia" w:ascii="Times New Roman" w:hAnsi="Times New Roman" w:eastAsia="宋体" w:cs="Times New Roman"/>
          <w:b/>
          <w:color w:val="auto"/>
          <w:kern w:val="2"/>
          <w:sz w:val="21"/>
          <w:szCs w:val="24"/>
          <w:highlight w:val="none"/>
          <w:lang w:val="en-US" w:eastAsia="zh-CN" w:bidi="ar-SA"/>
        </w:rPr>
      </w:pPr>
      <w:r>
        <w:rPr>
          <w:rFonts w:hint="eastAsia" w:ascii="Times New Roman" w:hAnsi="Times New Roman" w:eastAsia="宋体" w:cs="Times New Roman"/>
          <w:b/>
          <w:color w:val="auto"/>
          <w:kern w:val="2"/>
          <w:sz w:val="21"/>
          <w:szCs w:val="24"/>
          <w:highlight w:val="none"/>
          <w:lang w:val="en-US" w:eastAsia="zh-CN" w:bidi="ar-SA"/>
        </w:rPr>
        <w:t>表3.3-4 环境空气质量标准</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89"/>
        <w:gridCol w:w="1856"/>
        <w:gridCol w:w="1618"/>
        <w:gridCol w:w="31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09" w:type="pct"/>
            <w:noWrap/>
            <w:vAlign w:val="center"/>
          </w:tcPr>
          <w:p>
            <w:pPr>
              <w:widowControl w:val="0"/>
              <w:adjustRightInd w:val="0"/>
              <w:snapToGrid w:val="0"/>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污染物名称</w:t>
            </w:r>
          </w:p>
        </w:tc>
        <w:tc>
          <w:tcPr>
            <w:tcW w:w="1090" w:type="pct"/>
            <w:noWrap/>
            <w:vAlign w:val="center"/>
          </w:tcPr>
          <w:p>
            <w:pPr>
              <w:widowControl w:val="0"/>
              <w:adjustRightInd w:val="0"/>
              <w:snapToGrid w:val="0"/>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取值时间</w:t>
            </w:r>
          </w:p>
        </w:tc>
        <w:tc>
          <w:tcPr>
            <w:tcW w:w="950" w:type="pct"/>
            <w:noWrap/>
            <w:vAlign w:val="center"/>
          </w:tcPr>
          <w:p>
            <w:pPr>
              <w:widowControl w:val="0"/>
              <w:adjustRightInd w:val="0"/>
              <w:snapToGrid w:val="0"/>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单位</w:t>
            </w:r>
          </w:p>
        </w:tc>
        <w:tc>
          <w:tcPr>
            <w:tcW w:w="1849" w:type="pct"/>
            <w:noWrap/>
            <w:vAlign w:val="center"/>
          </w:tcPr>
          <w:p>
            <w:pPr>
              <w:widowControl w:val="0"/>
              <w:adjustRightInd w:val="0"/>
              <w:snapToGrid w:val="0"/>
              <w:spacing w:line="240" w:lineRule="auto"/>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109" w:type="pct"/>
            <w:noWrap/>
            <w:vAlign w:val="center"/>
          </w:tcPr>
          <w:p>
            <w:pPr>
              <w:widowControl w:val="0"/>
              <w:adjustRightInd w:val="0"/>
              <w:snapToGrid w:val="0"/>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H</w:t>
            </w:r>
            <w:r>
              <w:rPr>
                <w:rFonts w:ascii="Times New Roman" w:hAnsi="Times New Roman" w:cs="Times New Roman"/>
                <w:color w:val="auto"/>
                <w:sz w:val="21"/>
                <w:szCs w:val="21"/>
                <w:highlight w:val="none"/>
                <w:vertAlign w:val="subscript"/>
              </w:rPr>
              <w:t>2</w:t>
            </w:r>
            <w:r>
              <w:rPr>
                <w:rFonts w:ascii="Times New Roman" w:hAnsi="Times New Roman" w:cs="Times New Roman"/>
                <w:color w:val="auto"/>
                <w:sz w:val="21"/>
                <w:szCs w:val="21"/>
                <w:highlight w:val="none"/>
              </w:rPr>
              <w:t>S</w:t>
            </w:r>
          </w:p>
        </w:tc>
        <w:tc>
          <w:tcPr>
            <w:tcW w:w="1090" w:type="pct"/>
            <w:noWrap/>
            <w:vAlign w:val="center"/>
          </w:tcPr>
          <w:p>
            <w:pPr>
              <w:widowControl w:val="0"/>
              <w:adjustRightInd w:val="0"/>
              <w:snapToGrid w:val="0"/>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一次值</w:t>
            </w:r>
          </w:p>
        </w:tc>
        <w:tc>
          <w:tcPr>
            <w:tcW w:w="950" w:type="pct"/>
            <w:noWrap/>
            <w:vAlign w:val="center"/>
          </w:tcPr>
          <w:p>
            <w:pPr>
              <w:widowControl w:val="0"/>
              <w:adjustRightInd w:val="0"/>
              <w:snapToGrid w:val="0"/>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mg/m</w:t>
            </w:r>
            <w:r>
              <w:rPr>
                <w:rFonts w:ascii="Times New Roman" w:hAnsi="Times New Roman" w:cs="Times New Roman"/>
                <w:color w:val="auto"/>
                <w:sz w:val="21"/>
                <w:szCs w:val="21"/>
                <w:highlight w:val="none"/>
                <w:vertAlign w:val="superscript"/>
              </w:rPr>
              <w:t>3</w:t>
            </w:r>
          </w:p>
        </w:tc>
        <w:tc>
          <w:tcPr>
            <w:tcW w:w="1849" w:type="pct"/>
            <w:noWrap/>
            <w:vAlign w:val="center"/>
          </w:tcPr>
          <w:p>
            <w:pPr>
              <w:widowControl w:val="0"/>
              <w:adjustRightInd w:val="0"/>
              <w:snapToGrid w:val="0"/>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109" w:type="pct"/>
            <w:noWrap/>
            <w:vAlign w:val="center"/>
          </w:tcPr>
          <w:p>
            <w:pPr>
              <w:widowControl w:val="0"/>
              <w:adjustRightInd w:val="0"/>
              <w:snapToGrid w:val="0"/>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NH</w:t>
            </w:r>
            <w:r>
              <w:rPr>
                <w:rFonts w:ascii="Times New Roman" w:hAnsi="Times New Roman" w:cs="Times New Roman"/>
                <w:color w:val="auto"/>
                <w:sz w:val="21"/>
                <w:szCs w:val="21"/>
                <w:highlight w:val="none"/>
                <w:vertAlign w:val="subscript"/>
              </w:rPr>
              <w:t>3</w:t>
            </w:r>
          </w:p>
        </w:tc>
        <w:tc>
          <w:tcPr>
            <w:tcW w:w="1090" w:type="pct"/>
            <w:noWrap/>
            <w:vAlign w:val="center"/>
          </w:tcPr>
          <w:p>
            <w:pPr>
              <w:widowControl w:val="0"/>
              <w:adjustRightInd w:val="0"/>
              <w:snapToGrid w:val="0"/>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一次值</w:t>
            </w:r>
          </w:p>
        </w:tc>
        <w:tc>
          <w:tcPr>
            <w:tcW w:w="950" w:type="pct"/>
            <w:noWrap/>
            <w:vAlign w:val="center"/>
          </w:tcPr>
          <w:p>
            <w:pPr>
              <w:widowControl w:val="0"/>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mg/m</w:t>
            </w:r>
            <w:r>
              <w:rPr>
                <w:rFonts w:ascii="Times New Roman" w:hAnsi="Times New Roman" w:cs="Times New Roman"/>
                <w:color w:val="auto"/>
                <w:sz w:val="21"/>
                <w:szCs w:val="21"/>
                <w:highlight w:val="none"/>
                <w:vertAlign w:val="superscript"/>
              </w:rPr>
              <w:t>3</w:t>
            </w:r>
          </w:p>
        </w:tc>
        <w:tc>
          <w:tcPr>
            <w:tcW w:w="1849" w:type="pct"/>
            <w:noWrap/>
            <w:vAlign w:val="center"/>
          </w:tcPr>
          <w:p>
            <w:pPr>
              <w:widowControl w:val="0"/>
              <w:adjustRightInd w:val="0"/>
              <w:snapToGrid w:val="0"/>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0.20</w:t>
            </w:r>
          </w:p>
        </w:tc>
      </w:tr>
    </w:tbl>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heme="minorEastAsia" w:hAnsiTheme="minorEastAsia" w:eastAsiaTheme="minorEastAsia" w:cstheme="minorEastAsia"/>
          <w:color w:val="auto"/>
          <w:highlight w:val="none"/>
        </w:rPr>
      </w:pPr>
      <w:r>
        <w:rPr>
          <w:rFonts w:hint="eastAsia" w:ascii="宋体" w:hAnsi="宋体" w:eastAsia="宋体" w:cs="宋体"/>
          <w:color w:val="auto"/>
          <w:highlight w:val="none"/>
        </w:rPr>
        <w:t>⑥</w:t>
      </w:r>
      <w:r>
        <w:rPr>
          <w:rFonts w:hint="default" w:asciiTheme="minorEastAsia" w:hAnsiTheme="minorEastAsia" w:eastAsiaTheme="minorEastAsia" w:cstheme="minorEastAsia"/>
          <w:color w:val="auto"/>
          <w:highlight w:val="none"/>
        </w:rPr>
        <w:t>监测结果统计与评价</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具体监测结果如下：</w:t>
      </w:r>
    </w:p>
    <w:p>
      <w:pPr>
        <w:adjustRightInd w:val="0"/>
        <w:snapToGrid w:val="0"/>
        <w:spacing w:line="240" w:lineRule="auto"/>
        <w:ind w:firstLine="0" w:firstLineChars="0"/>
        <w:jc w:val="center"/>
        <w:rPr>
          <w:rFonts w:hint="eastAsia" w:ascii="Times New Roman" w:hAnsi="Times New Roman" w:eastAsia="宋体" w:cs="Times New Roman"/>
          <w:b/>
          <w:color w:val="auto"/>
          <w:kern w:val="2"/>
          <w:sz w:val="21"/>
          <w:szCs w:val="24"/>
          <w:highlight w:val="none"/>
          <w:vertAlign w:val="superscript"/>
          <w:lang w:val="en-US" w:eastAsia="zh-CN" w:bidi="ar-SA"/>
        </w:rPr>
      </w:pPr>
      <w:r>
        <w:rPr>
          <w:rFonts w:hint="eastAsia" w:ascii="Times New Roman" w:hAnsi="Times New Roman" w:eastAsia="宋体" w:cs="Times New Roman"/>
          <w:b/>
          <w:color w:val="auto"/>
          <w:kern w:val="2"/>
          <w:sz w:val="21"/>
          <w:szCs w:val="24"/>
          <w:highlight w:val="none"/>
          <w:lang w:val="en-US" w:eastAsia="zh-CN" w:bidi="ar-SA"/>
        </w:rPr>
        <w:t>表</w:t>
      </w:r>
      <w:r>
        <w:rPr>
          <w:rFonts w:hint="eastAsia" w:cs="Times New Roman"/>
          <w:b/>
          <w:color w:val="auto"/>
          <w:kern w:val="2"/>
          <w:sz w:val="21"/>
          <w:szCs w:val="24"/>
          <w:highlight w:val="none"/>
          <w:lang w:val="en-US" w:eastAsia="zh-CN" w:bidi="ar-SA"/>
        </w:rPr>
        <w:t>3</w:t>
      </w:r>
      <w:r>
        <w:rPr>
          <w:rFonts w:hint="eastAsia" w:ascii="Times New Roman" w:hAnsi="Times New Roman" w:eastAsia="宋体" w:cs="Times New Roman"/>
          <w:b/>
          <w:color w:val="auto"/>
          <w:kern w:val="2"/>
          <w:sz w:val="21"/>
          <w:szCs w:val="24"/>
          <w:highlight w:val="none"/>
          <w:lang w:val="en-US" w:eastAsia="zh-CN" w:bidi="ar-SA"/>
        </w:rPr>
        <w:t>.3-</w:t>
      </w:r>
      <w:r>
        <w:rPr>
          <w:rFonts w:hint="eastAsia" w:cs="Times New Roman"/>
          <w:b/>
          <w:color w:val="auto"/>
          <w:kern w:val="2"/>
          <w:sz w:val="21"/>
          <w:szCs w:val="24"/>
          <w:highlight w:val="none"/>
          <w:lang w:val="en-US" w:eastAsia="zh-CN" w:bidi="ar-SA"/>
        </w:rPr>
        <w:t xml:space="preserve">5 </w:t>
      </w:r>
      <w:r>
        <w:rPr>
          <w:rFonts w:hint="eastAsia" w:ascii="Times New Roman" w:hAnsi="Times New Roman" w:eastAsia="宋体" w:cs="Times New Roman"/>
          <w:b/>
          <w:color w:val="auto"/>
          <w:kern w:val="2"/>
          <w:sz w:val="21"/>
          <w:szCs w:val="24"/>
          <w:highlight w:val="none"/>
          <w:lang w:val="en-US" w:eastAsia="zh-CN" w:bidi="ar-SA"/>
        </w:rPr>
        <w:t xml:space="preserve">环境空气质量现状评价结果  </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5"/>
        <w:gridCol w:w="696"/>
        <w:gridCol w:w="1238"/>
        <w:gridCol w:w="1177"/>
        <w:gridCol w:w="895"/>
        <w:gridCol w:w="819"/>
        <w:gridCol w:w="1486"/>
        <w:gridCol w:w="15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05" w:type="dxa"/>
            <w:noWrap/>
            <w:vAlign w:val="center"/>
          </w:tcPr>
          <w:p>
            <w:pPr>
              <w:widowControl/>
              <w:spacing w:line="240" w:lineRule="auto"/>
              <w:ind w:left="0" w:leftChars="0" w:firstLine="0" w:firstLineChars="0"/>
              <w:jc w:val="center"/>
              <w:rPr>
                <w:rFonts w:ascii="Times New Roman" w:hAnsi="Times New Roman" w:cs="Times New Roman"/>
                <w:b w:val="0"/>
                <w:bCs/>
                <w:color w:val="auto"/>
                <w:sz w:val="21"/>
                <w:szCs w:val="21"/>
                <w:highlight w:val="none"/>
              </w:rPr>
            </w:pPr>
            <w:r>
              <w:rPr>
                <w:rFonts w:hint="eastAsia" w:ascii="Times New Roman" w:hAnsi="Times New Roman" w:cs="Times New Roman"/>
                <w:color w:val="auto"/>
                <w:kern w:val="0"/>
                <w:sz w:val="21"/>
                <w:szCs w:val="21"/>
                <w:highlight w:val="none"/>
              </w:rPr>
              <w:t>监测点位</w:t>
            </w:r>
          </w:p>
        </w:tc>
        <w:tc>
          <w:tcPr>
            <w:tcW w:w="696" w:type="dxa"/>
            <w:noWrap/>
            <w:vAlign w:val="center"/>
          </w:tcPr>
          <w:p>
            <w:pPr>
              <w:widowControl/>
              <w:spacing w:line="240" w:lineRule="auto"/>
              <w:ind w:left="0" w:leftChars="0" w:firstLine="0" w:firstLineChars="0"/>
              <w:jc w:val="center"/>
              <w:rPr>
                <w:rFonts w:ascii="Times New Roman" w:hAnsi="Times New Roman" w:cs="Times New Roman"/>
                <w:b w:val="0"/>
                <w:bCs/>
                <w:color w:val="auto"/>
                <w:sz w:val="21"/>
                <w:szCs w:val="21"/>
                <w:highlight w:val="none"/>
              </w:rPr>
            </w:pPr>
            <w:r>
              <w:rPr>
                <w:rFonts w:hint="eastAsia" w:ascii="Times New Roman" w:hAnsi="Times New Roman" w:cs="Times New Roman"/>
                <w:color w:val="auto"/>
                <w:kern w:val="0"/>
                <w:sz w:val="21"/>
                <w:szCs w:val="21"/>
                <w:highlight w:val="none"/>
              </w:rPr>
              <w:t>监测项目</w:t>
            </w:r>
          </w:p>
        </w:tc>
        <w:tc>
          <w:tcPr>
            <w:tcW w:w="1238" w:type="dxa"/>
            <w:noWrap/>
            <w:vAlign w:val="center"/>
          </w:tcPr>
          <w:p>
            <w:pPr>
              <w:widowControl/>
              <w:spacing w:line="240" w:lineRule="auto"/>
              <w:ind w:left="0" w:leftChars="0" w:firstLine="0" w:firstLineChars="0"/>
              <w:jc w:val="center"/>
              <w:rPr>
                <w:rFonts w:ascii="Times New Roman" w:hAnsi="Times New Roman" w:cs="Times New Roman"/>
                <w:b w:val="0"/>
                <w:bCs/>
                <w:color w:val="auto"/>
                <w:sz w:val="21"/>
                <w:szCs w:val="21"/>
                <w:highlight w:val="none"/>
              </w:rPr>
            </w:pPr>
            <w:r>
              <w:rPr>
                <w:rFonts w:hint="eastAsia" w:ascii="Times New Roman" w:hAnsi="Times New Roman" w:cs="Times New Roman"/>
                <w:color w:val="auto"/>
                <w:kern w:val="0"/>
                <w:sz w:val="21"/>
                <w:szCs w:val="21"/>
                <w:highlight w:val="none"/>
              </w:rPr>
              <w:t>测值范围（mg/m</w:t>
            </w:r>
            <w:r>
              <w:rPr>
                <w:rFonts w:hint="eastAsia" w:ascii="Times New Roman" w:hAnsi="Times New Roman" w:cs="Times New Roman"/>
                <w:color w:val="auto"/>
                <w:kern w:val="0"/>
                <w:sz w:val="21"/>
                <w:szCs w:val="21"/>
                <w:highlight w:val="none"/>
                <w:vertAlign w:val="superscript"/>
              </w:rPr>
              <w:t>3</w:t>
            </w:r>
            <w:r>
              <w:rPr>
                <w:rFonts w:hint="eastAsia" w:ascii="Times New Roman" w:hAnsi="Times New Roman" w:cs="Times New Roman"/>
                <w:color w:val="auto"/>
                <w:kern w:val="0"/>
                <w:sz w:val="21"/>
                <w:szCs w:val="21"/>
                <w:highlight w:val="none"/>
              </w:rPr>
              <w:t>）</w:t>
            </w:r>
          </w:p>
        </w:tc>
        <w:tc>
          <w:tcPr>
            <w:tcW w:w="1177" w:type="dxa"/>
            <w:noWrap/>
            <w:vAlign w:val="center"/>
          </w:tcPr>
          <w:p>
            <w:pPr>
              <w:widowControl/>
              <w:spacing w:line="240" w:lineRule="auto"/>
              <w:ind w:left="0" w:leftChars="0" w:firstLine="0" w:firstLineChars="0"/>
              <w:jc w:val="center"/>
              <w:rPr>
                <w:rFonts w:ascii="Times New Roman" w:hAnsi="Times New Roman" w:cs="Times New Roman"/>
                <w:b w:val="0"/>
                <w:bCs/>
                <w:color w:val="auto"/>
                <w:sz w:val="21"/>
                <w:szCs w:val="21"/>
                <w:highlight w:val="none"/>
              </w:rPr>
            </w:pPr>
            <w:r>
              <w:rPr>
                <w:rFonts w:hint="eastAsia" w:ascii="Times New Roman" w:hAnsi="Times New Roman" w:cs="Times New Roman"/>
                <w:color w:val="auto"/>
                <w:kern w:val="0"/>
                <w:sz w:val="21"/>
                <w:szCs w:val="21"/>
                <w:highlight w:val="none"/>
              </w:rPr>
              <w:t>评价标准（mg/m</w:t>
            </w:r>
            <w:r>
              <w:rPr>
                <w:rFonts w:hint="eastAsia" w:ascii="Times New Roman" w:hAnsi="Times New Roman" w:cs="Times New Roman"/>
                <w:color w:val="auto"/>
                <w:kern w:val="0"/>
                <w:sz w:val="21"/>
                <w:szCs w:val="21"/>
                <w:highlight w:val="none"/>
                <w:vertAlign w:val="superscript"/>
              </w:rPr>
              <w:t>3</w:t>
            </w:r>
            <w:r>
              <w:rPr>
                <w:rFonts w:hint="eastAsia" w:ascii="Times New Roman" w:hAnsi="Times New Roman" w:cs="Times New Roman"/>
                <w:color w:val="auto"/>
                <w:kern w:val="0"/>
                <w:sz w:val="21"/>
                <w:szCs w:val="21"/>
                <w:highlight w:val="none"/>
              </w:rPr>
              <w:t>）</w:t>
            </w:r>
          </w:p>
        </w:tc>
        <w:tc>
          <w:tcPr>
            <w:tcW w:w="895" w:type="dxa"/>
            <w:noWrap/>
            <w:vAlign w:val="center"/>
          </w:tcPr>
          <w:p>
            <w:pPr>
              <w:widowControl/>
              <w:spacing w:line="240" w:lineRule="auto"/>
              <w:ind w:left="0" w:leftChars="0" w:firstLine="0" w:firstLineChars="0"/>
              <w:jc w:val="center"/>
              <w:rPr>
                <w:rFonts w:hint="eastAsia"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超标率</w:t>
            </w:r>
          </w:p>
          <w:p>
            <w:pPr>
              <w:widowControl/>
              <w:spacing w:line="240" w:lineRule="auto"/>
              <w:ind w:left="0" w:leftChars="0" w:firstLine="0" w:firstLineChars="0"/>
              <w:jc w:val="center"/>
              <w:rPr>
                <w:rFonts w:hint="eastAsia"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w:t>
            </w:r>
          </w:p>
        </w:tc>
        <w:tc>
          <w:tcPr>
            <w:tcW w:w="819" w:type="dxa"/>
            <w:noWrap/>
            <w:vAlign w:val="center"/>
          </w:tcPr>
          <w:p>
            <w:pPr>
              <w:widowControl/>
              <w:spacing w:line="240" w:lineRule="auto"/>
              <w:ind w:left="0" w:leftChars="0" w:firstLine="0" w:firstLineChars="0"/>
              <w:jc w:val="center"/>
              <w:rPr>
                <w:rFonts w:hint="eastAsia"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达标</w:t>
            </w:r>
          </w:p>
          <w:p>
            <w:pPr>
              <w:widowControl/>
              <w:spacing w:line="240" w:lineRule="auto"/>
              <w:ind w:left="0" w:leftChars="0" w:firstLine="0" w:firstLineChars="0"/>
              <w:jc w:val="center"/>
              <w:rPr>
                <w:rFonts w:hint="eastAsia"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情况</w:t>
            </w:r>
          </w:p>
        </w:tc>
        <w:tc>
          <w:tcPr>
            <w:tcW w:w="1486" w:type="dxa"/>
            <w:noWrap/>
            <w:vAlign w:val="center"/>
          </w:tcPr>
          <w:p>
            <w:pPr>
              <w:widowControl/>
              <w:spacing w:line="240" w:lineRule="auto"/>
              <w:ind w:left="0" w:leftChars="0" w:firstLine="0" w:firstLineChars="0"/>
              <w:jc w:val="center"/>
              <w:rPr>
                <w:rFonts w:hint="eastAsia"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标准指数范围</w:t>
            </w:r>
          </w:p>
        </w:tc>
        <w:tc>
          <w:tcPr>
            <w:tcW w:w="1500" w:type="dxa"/>
            <w:noWrap/>
            <w:vAlign w:val="center"/>
          </w:tcPr>
          <w:p>
            <w:pPr>
              <w:widowControl/>
              <w:spacing w:line="240" w:lineRule="auto"/>
              <w:ind w:left="0" w:leftChars="0" w:firstLine="0" w:firstLineChars="0"/>
              <w:jc w:val="center"/>
              <w:rPr>
                <w:rFonts w:hint="eastAsia"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最大质量浓度值占标率（%）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705" w:type="dxa"/>
            <w:vMerge w:val="restart"/>
            <w:noWrap/>
            <w:vAlign w:val="center"/>
          </w:tcPr>
          <w:p>
            <w:pPr>
              <w:widowControl/>
              <w:spacing w:line="240" w:lineRule="auto"/>
              <w:ind w:left="0" w:leftChars="0" w:firstLine="0" w:firstLineChars="0"/>
              <w:jc w:val="center"/>
              <w:rPr>
                <w:rFonts w:ascii="Times New Roman" w:hAnsi="Times New Roman" w:cs="Times New Roman"/>
                <w:color w:val="auto"/>
                <w:sz w:val="21"/>
                <w:szCs w:val="21"/>
                <w:highlight w:val="none"/>
              </w:rPr>
            </w:pPr>
            <w:r>
              <w:rPr>
                <w:rFonts w:hint="eastAsia" w:cs="Times New Roman"/>
                <w:color w:val="auto"/>
                <w:kern w:val="0"/>
                <w:sz w:val="21"/>
                <w:szCs w:val="21"/>
                <w:highlight w:val="none"/>
                <w:lang w:val="en-US" w:eastAsia="zh-CN"/>
              </w:rPr>
              <w:t>吴自岐庄</w:t>
            </w:r>
          </w:p>
        </w:tc>
        <w:tc>
          <w:tcPr>
            <w:tcW w:w="696" w:type="dxa"/>
            <w:noWrap/>
            <w:vAlign w:val="center"/>
          </w:tcPr>
          <w:p>
            <w:pPr>
              <w:widowControl w:val="0"/>
              <w:adjustRightInd w:val="0"/>
              <w:snapToGrid w:val="0"/>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H</w:t>
            </w:r>
            <w:r>
              <w:rPr>
                <w:rFonts w:ascii="Times New Roman" w:hAnsi="Times New Roman" w:cs="Times New Roman"/>
                <w:color w:val="auto"/>
                <w:sz w:val="21"/>
                <w:szCs w:val="21"/>
                <w:highlight w:val="none"/>
                <w:vertAlign w:val="subscript"/>
              </w:rPr>
              <w:t>2</w:t>
            </w:r>
            <w:r>
              <w:rPr>
                <w:rFonts w:ascii="Times New Roman" w:hAnsi="Times New Roman" w:cs="Times New Roman"/>
                <w:color w:val="auto"/>
                <w:sz w:val="21"/>
                <w:szCs w:val="21"/>
                <w:highlight w:val="none"/>
              </w:rPr>
              <w:t>S</w:t>
            </w:r>
          </w:p>
        </w:tc>
        <w:tc>
          <w:tcPr>
            <w:tcW w:w="1238" w:type="dxa"/>
            <w:noWrap/>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bCs/>
                <w:color w:val="auto"/>
                <w:sz w:val="21"/>
                <w:szCs w:val="21"/>
                <w:highlight w:val="none"/>
                <w:lang w:val="en-US" w:eastAsia="zh-CN"/>
              </w:rPr>
              <w:t>0.003-0.005</w:t>
            </w:r>
          </w:p>
        </w:tc>
        <w:tc>
          <w:tcPr>
            <w:tcW w:w="1177" w:type="dxa"/>
            <w:noWrap/>
            <w:vAlign w:val="center"/>
          </w:tcPr>
          <w:p>
            <w:pPr>
              <w:widowControl/>
              <w:spacing w:line="240" w:lineRule="auto"/>
              <w:ind w:left="0" w:leftChars="0"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kern w:val="0"/>
                <w:sz w:val="21"/>
                <w:szCs w:val="21"/>
                <w:highlight w:val="none"/>
              </w:rPr>
              <w:t>0.01</w:t>
            </w:r>
          </w:p>
        </w:tc>
        <w:tc>
          <w:tcPr>
            <w:tcW w:w="895" w:type="dxa"/>
            <w:noWrap/>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819" w:type="dxa"/>
            <w:noWrap/>
            <w:vAlign w:val="center"/>
          </w:tcPr>
          <w:p>
            <w:pPr>
              <w:widowControl w:val="0"/>
              <w:adjustRightInd w:val="0"/>
              <w:snapToGrid w:val="0"/>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bCs/>
                <w:color w:val="auto"/>
                <w:sz w:val="21"/>
                <w:szCs w:val="21"/>
                <w:highlight w:val="none"/>
              </w:rPr>
              <w:t>达标</w:t>
            </w:r>
          </w:p>
        </w:tc>
        <w:tc>
          <w:tcPr>
            <w:tcW w:w="1486" w:type="dxa"/>
            <w:noWrap/>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0.3-0.5</w:t>
            </w:r>
          </w:p>
        </w:tc>
        <w:tc>
          <w:tcPr>
            <w:tcW w:w="1500" w:type="dxa"/>
            <w:noWrap/>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05" w:type="dxa"/>
            <w:vMerge w:val="continue"/>
            <w:noWrap/>
            <w:vAlign w:val="center"/>
          </w:tcPr>
          <w:p>
            <w:pPr>
              <w:widowControl w:val="0"/>
              <w:adjustRightInd w:val="0"/>
              <w:snapToGrid w:val="0"/>
              <w:spacing w:line="240" w:lineRule="auto"/>
              <w:ind w:firstLine="0" w:firstLineChars="0"/>
              <w:jc w:val="center"/>
              <w:rPr>
                <w:rFonts w:ascii="Times New Roman" w:hAnsi="Times New Roman" w:cs="Times New Roman"/>
                <w:color w:val="auto"/>
                <w:sz w:val="21"/>
                <w:szCs w:val="21"/>
                <w:highlight w:val="none"/>
              </w:rPr>
            </w:pPr>
          </w:p>
        </w:tc>
        <w:tc>
          <w:tcPr>
            <w:tcW w:w="696" w:type="dxa"/>
            <w:noWrap/>
            <w:vAlign w:val="center"/>
          </w:tcPr>
          <w:p>
            <w:pPr>
              <w:widowControl w:val="0"/>
              <w:adjustRightInd w:val="0"/>
              <w:snapToGrid w:val="0"/>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NH</w:t>
            </w:r>
            <w:r>
              <w:rPr>
                <w:rFonts w:ascii="Times New Roman" w:hAnsi="Times New Roman" w:cs="Times New Roman"/>
                <w:color w:val="auto"/>
                <w:sz w:val="21"/>
                <w:szCs w:val="21"/>
                <w:highlight w:val="none"/>
                <w:vertAlign w:val="subscript"/>
              </w:rPr>
              <w:t>3</w:t>
            </w:r>
          </w:p>
        </w:tc>
        <w:tc>
          <w:tcPr>
            <w:tcW w:w="1238" w:type="dxa"/>
            <w:noWrap/>
            <w:vAlign w:val="center"/>
          </w:tcPr>
          <w:p>
            <w:pPr>
              <w:widowControl w:val="0"/>
              <w:spacing w:line="240" w:lineRule="auto"/>
              <w:ind w:firstLine="0" w:firstLineChars="0"/>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0.015-0.024</w:t>
            </w:r>
          </w:p>
        </w:tc>
        <w:tc>
          <w:tcPr>
            <w:tcW w:w="1177" w:type="dxa"/>
            <w:noWrap/>
            <w:vAlign w:val="center"/>
          </w:tcPr>
          <w:p>
            <w:pPr>
              <w:widowControl/>
              <w:spacing w:line="240" w:lineRule="auto"/>
              <w:ind w:left="0" w:leftChars="0"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kern w:val="0"/>
                <w:sz w:val="21"/>
                <w:szCs w:val="21"/>
                <w:highlight w:val="none"/>
              </w:rPr>
              <w:t>0.20</w:t>
            </w:r>
          </w:p>
        </w:tc>
        <w:tc>
          <w:tcPr>
            <w:tcW w:w="895" w:type="dxa"/>
            <w:noWrap/>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819" w:type="dxa"/>
            <w:noWrap/>
            <w:vAlign w:val="center"/>
          </w:tcPr>
          <w:p>
            <w:pPr>
              <w:widowControl w:val="0"/>
              <w:adjustRightInd w:val="0"/>
              <w:snapToGrid w:val="0"/>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bCs/>
                <w:color w:val="auto"/>
                <w:sz w:val="21"/>
                <w:szCs w:val="21"/>
                <w:highlight w:val="none"/>
              </w:rPr>
              <w:t>达标</w:t>
            </w:r>
          </w:p>
        </w:tc>
        <w:tc>
          <w:tcPr>
            <w:tcW w:w="1486" w:type="dxa"/>
            <w:noWrap/>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0.075-0.12</w:t>
            </w:r>
          </w:p>
        </w:tc>
        <w:tc>
          <w:tcPr>
            <w:tcW w:w="1500" w:type="dxa"/>
            <w:noWrap/>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05" w:type="dxa"/>
            <w:vMerge w:val="restart"/>
            <w:noWrap/>
            <w:vAlign w:val="center"/>
          </w:tcPr>
          <w:p>
            <w:pPr>
              <w:widowControl/>
              <w:spacing w:line="240" w:lineRule="auto"/>
              <w:ind w:left="0" w:leftChars="0"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kern w:val="0"/>
                <w:sz w:val="21"/>
                <w:szCs w:val="21"/>
                <w:highlight w:val="none"/>
                <w:lang w:val="en-US" w:eastAsia="zh-CN"/>
              </w:rPr>
              <w:t>下王湾</w:t>
            </w:r>
          </w:p>
        </w:tc>
        <w:tc>
          <w:tcPr>
            <w:tcW w:w="696" w:type="dxa"/>
            <w:noWrap/>
            <w:vAlign w:val="center"/>
          </w:tcPr>
          <w:p>
            <w:pPr>
              <w:widowControl w:val="0"/>
              <w:adjustRightInd w:val="0"/>
              <w:snapToGrid w:val="0"/>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H</w:t>
            </w:r>
            <w:r>
              <w:rPr>
                <w:rFonts w:ascii="Times New Roman" w:hAnsi="Times New Roman" w:cs="Times New Roman"/>
                <w:color w:val="auto"/>
                <w:sz w:val="21"/>
                <w:szCs w:val="21"/>
                <w:highlight w:val="none"/>
                <w:vertAlign w:val="subscript"/>
              </w:rPr>
              <w:t>2</w:t>
            </w:r>
            <w:r>
              <w:rPr>
                <w:rFonts w:ascii="Times New Roman" w:hAnsi="Times New Roman" w:cs="Times New Roman"/>
                <w:color w:val="auto"/>
                <w:sz w:val="21"/>
                <w:szCs w:val="21"/>
                <w:highlight w:val="none"/>
              </w:rPr>
              <w:t>S</w:t>
            </w:r>
          </w:p>
        </w:tc>
        <w:tc>
          <w:tcPr>
            <w:tcW w:w="1238" w:type="dxa"/>
            <w:noWrap/>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bCs/>
                <w:color w:val="auto"/>
                <w:sz w:val="21"/>
                <w:szCs w:val="21"/>
                <w:highlight w:val="none"/>
                <w:lang w:val="en-US" w:eastAsia="zh-CN"/>
              </w:rPr>
              <w:t>0.003</w:t>
            </w:r>
          </w:p>
        </w:tc>
        <w:tc>
          <w:tcPr>
            <w:tcW w:w="1177" w:type="dxa"/>
            <w:noWrap/>
            <w:vAlign w:val="center"/>
          </w:tcPr>
          <w:p>
            <w:pPr>
              <w:widowControl/>
              <w:spacing w:line="240" w:lineRule="auto"/>
              <w:ind w:left="0" w:leftChars="0"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kern w:val="0"/>
                <w:sz w:val="21"/>
                <w:szCs w:val="21"/>
                <w:highlight w:val="none"/>
              </w:rPr>
              <w:t>0.01</w:t>
            </w:r>
          </w:p>
        </w:tc>
        <w:tc>
          <w:tcPr>
            <w:tcW w:w="895" w:type="dxa"/>
            <w:noWrap/>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819" w:type="dxa"/>
            <w:noWrap/>
            <w:vAlign w:val="center"/>
          </w:tcPr>
          <w:p>
            <w:pPr>
              <w:widowControl w:val="0"/>
              <w:adjustRightInd w:val="0"/>
              <w:snapToGrid w:val="0"/>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bCs/>
                <w:color w:val="auto"/>
                <w:sz w:val="21"/>
                <w:szCs w:val="21"/>
                <w:highlight w:val="none"/>
              </w:rPr>
              <w:t>达标</w:t>
            </w:r>
          </w:p>
        </w:tc>
        <w:tc>
          <w:tcPr>
            <w:tcW w:w="1486" w:type="dxa"/>
            <w:noWrap/>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1500" w:type="dxa"/>
            <w:noWrap/>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05" w:type="dxa"/>
            <w:vMerge w:val="continue"/>
            <w:noWrap/>
            <w:vAlign w:val="center"/>
          </w:tcPr>
          <w:p>
            <w:pPr>
              <w:widowControl w:val="0"/>
              <w:adjustRightInd w:val="0"/>
              <w:snapToGrid w:val="0"/>
              <w:spacing w:line="240" w:lineRule="auto"/>
              <w:ind w:firstLine="0" w:firstLineChars="0"/>
              <w:jc w:val="center"/>
              <w:rPr>
                <w:rFonts w:ascii="Times New Roman" w:hAnsi="Times New Roman" w:cs="Times New Roman"/>
                <w:color w:val="auto"/>
                <w:sz w:val="21"/>
                <w:szCs w:val="21"/>
                <w:highlight w:val="none"/>
              </w:rPr>
            </w:pPr>
          </w:p>
        </w:tc>
        <w:tc>
          <w:tcPr>
            <w:tcW w:w="696" w:type="dxa"/>
            <w:noWrap/>
            <w:vAlign w:val="center"/>
          </w:tcPr>
          <w:p>
            <w:pPr>
              <w:widowControl w:val="0"/>
              <w:adjustRightInd w:val="0"/>
              <w:snapToGrid w:val="0"/>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NH</w:t>
            </w:r>
            <w:r>
              <w:rPr>
                <w:rFonts w:ascii="Times New Roman" w:hAnsi="Times New Roman" w:cs="Times New Roman"/>
                <w:color w:val="auto"/>
                <w:sz w:val="21"/>
                <w:szCs w:val="21"/>
                <w:highlight w:val="none"/>
                <w:vertAlign w:val="subscript"/>
              </w:rPr>
              <w:t>3</w:t>
            </w:r>
          </w:p>
        </w:tc>
        <w:tc>
          <w:tcPr>
            <w:tcW w:w="1238" w:type="dxa"/>
            <w:noWrap/>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0.014-0.022</w:t>
            </w:r>
          </w:p>
        </w:tc>
        <w:tc>
          <w:tcPr>
            <w:tcW w:w="1177" w:type="dxa"/>
            <w:noWrap/>
            <w:vAlign w:val="center"/>
          </w:tcPr>
          <w:p>
            <w:pPr>
              <w:widowControl/>
              <w:spacing w:line="240" w:lineRule="auto"/>
              <w:ind w:left="0" w:leftChars="0"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kern w:val="0"/>
                <w:sz w:val="21"/>
                <w:szCs w:val="21"/>
                <w:highlight w:val="none"/>
              </w:rPr>
              <w:t>0.20</w:t>
            </w:r>
          </w:p>
        </w:tc>
        <w:tc>
          <w:tcPr>
            <w:tcW w:w="895" w:type="dxa"/>
            <w:noWrap/>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819" w:type="dxa"/>
            <w:noWrap/>
            <w:vAlign w:val="center"/>
          </w:tcPr>
          <w:p>
            <w:pPr>
              <w:widowControl w:val="0"/>
              <w:adjustRightInd w:val="0"/>
              <w:snapToGrid w:val="0"/>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bCs/>
                <w:color w:val="auto"/>
                <w:sz w:val="21"/>
                <w:szCs w:val="21"/>
                <w:highlight w:val="none"/>
              </w:rPr>
              <w:t>达标</w:t>
            </w:r>
          </w:p>
        </w:tc>
        <w:tc>
          <w:tcPr>
            <w:tcW w:w="1486" w:type="dxa"/>
            <w:noWrap/>
            <w:vAlign w:val="center"/>
          </w:tcPr>
          <w:p>
            <w:pPr>
              <w:widowControl w:val="0"/>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0.07-0.11</w:t>
            </w:r>
          </w:p>
        </w:tc>
        <w:tc>
          <w:tcPr>
            <w:tcW w:w="1500" w:type="dxa"/>
            <w:noWrap/>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05" w:type="dxa"/>
            <w:vMerge w:val="restart"/>
            <w:noWrap/>
            <w:vAlign w:val="center"/>
          </w:tcPr>
          <w:p>
            <w:pPr>
              <w:widowControl/>
              <w:spacing w:line="240" w:lineRule="auto"/>
              <w:ind w:left="0" w:leftChars="0" w:firstLine="0" w:firstLineChars="0"/>
              <w:jc w:val="center"/>
              <w:rPr>
                <w:rFonts w:ascii="Times New Roman" w:hAnsi="Times New Roman" w:cs="Times New Roman"/>
                <w:color w:val="auto"/>
                <w:sz w:val="21"/>
                <w:szCs w:val="21"/>
                <w:highlight w:val="none"/>
              </w:rPr>
            </w:pPr>
            <w:r>
              <w:rPr>
                <w:rFonts w:hint="eastAsia" w:cs="Times New Roman"/>
                <w:color w:val="auto"/>
                <w:kern w:val="0"/>
                <w:sz w:val="21"/>
                <w:szCs w:val="21"/>
                <w:highlight w:val="none"/>
                <w:lang w:val="en-US" w:eastAsia="zh-CN"/>
              </w:rPr>
              <w:t>小吴庄</w:t>
            </w:r>
          </w:p>
        </w:tc>
        <w:tc>
          <w:tcPr>
            <w:tcW w:w="696" w:type="dxa"/>
            <w:noWrap/>
            <w:vAlign w:val="center"/>
          </w:tcPr>
          <w:p>
            <w:pPr>
              <w:widowControl w:val="0"/>
              <w:adjustRightInd w:val="0"/>
              <w:snapToGrid w:val="0"/>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H</w:t>
            </w:r>
            <w:r>
              <w:rPr>
                <w:rFonts w:ascii="Times New Roman" w:hAnsi="Times New Roman" w:cs="Times New Roman"/>
                <w:color w:val="auto"/>
                <w:sz w:val="21"/>
                <w:szCs w:val="21"/>
                <w:highlight w:val="none"/>
                <w:vertAlign w:val="subscript"/>
              </w:rPr>
              <w:t>2</w:t>
            </w:r>
            <w:r>
              <w:rPr>
                <w:rFonts w:ascii="Times New Roman" w:hAnsi="Times New Roman" w:cs="Times New Roman"/>
                <w:color w:val="auto"/>
                <w:sz w:val="21"/>
                <w:szCs w:val="21"/>
                <w:highlight w:val="none"/>
              </w:rPr>
              <w:t>S</w:t>
            </w:r>
          </w:p>
        </w:tc>
        <w:tc>
          <w:tcPr>
            <w:tcW w:w="1238" w:type="dxa"/>
            <w:noWrap/>
            <w:vAlign w:val="center"/>
          </w:tcPr>
          <w:p>
            <w:pPr>
              <w:widowControl w:val="0"/>
              <w:spacing w:line="240" w:lineRule="auto"/>
              <w:ind w:firstLine="0" w:firstLineChars="0"/>
              <w:jc w:val="center"/>
              <w:rPr>
                <w:rFonts w:ascii="Times New Roman" w:hAnsi="Times New Roman" w:cs="Times New Roman"/>
                <w:color w:val="auto"/>
                <w:sz w:val="21"/>
                <w:szCs w:val="21"/>
                <w:highlight w:val="none"/>
              </w:rPr>
            </w:pPr>
            <w:r>
              <w:rPr>
                <w:rFonts w:hint="eastAsia"/>
                <w:bCs/>
                <w:color w:val="auto"/>
                <w:sz w:val="21"/>
                <w:szCs w:val="21"/>
                <w:highlight w:val="none"/>
                <w:lang w:val="en-US" w:eastAsia="zh-CN"/>
              </w:rPr>
              <w:t>0.003-0.005</w:t>
            </w:r>
          </w:p>
        </w:tc>
        <w:tc>
          <w:tcPr>
            <w:tcW w:w="1177" w:type="dxa"/>
            <w:noWrap/>
            <w:vAlign w:val="center"/>
          </w:tcPr>
          <w:p>
            <w:pPr>
              <w:widowControl/>
              <w:spacing w:line="240" w:lineRule="auto"/>
              <w:ind w:left="0" w:leftChars="0"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kern w:val="0"/>
                <w:sz w:val="21"/>
                <w:szCs w:val="21"/>
                <w:highlight w:val="none"/>
              </w:rPr>
              <w:t>0.01</w:t>
            </w:r>
          </w:p>
        </w:tc>
        <w:tc>
          <w:tcPr>
            <w:tcW w:w="895" w:type="dxa"/>
            <w:noWrap/>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819" w:type="dxa"/>
            <w:noWrap/>
            <w:vAlign w:val="center"/>
          </w:tcPr>
          <w:p>
            <w:pPr>
              <w:widowControl w:val="0"/>
              <w:adjustRightInd w:val="0"/>
              <w:snapToGrid w:val="0"/>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bCs/>
                <w:color w:val="auto"/>
                <w:sz w:val="21"/>
                <w:szCs w:val="21"/>
                <w:highlight w:val="none"/>
              </w:rPr>
              <w:t>达标</w:t>
            </w:r>
          </w:p>
        </w:tc>
        <w:tc>
          <w:tcPr>
            <w:tcW w:w="1486" w:type="dxa"/>
            <w:noWrap/>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0.3-0.5</w:t>
            </w:r>
          </w:p>
        </w:tc>
        <w:tc>
          <w:tcPr>
            <w:tcW w:w="1500" w:type="dxa"/>
            <w:noWrap/>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05" w:type="dxa"/>
            <w:vMerge w:val="continue"/>
            <w:noWrap/>
            <w:vAlign w:val="center"/>
          </w:tcPr>
          <w:p>
            <w:pPr>
              <w:widowControl w:val="0"/>
              <w:adjustRightInd w:val="0"/>
              <w:snapToGrid w:val="0"/>
              <w:spacing w:line="240" w:lineRule="auto"/>
              <w:ind w:firstLine="0" w:firstLineChars="0"/>
              <w:jc w:val="center"/>
              <w:rPr>
                <w:rFonts w:ascii="Times New Roman" w:hAnsi="Times New Roman" w:cs="Times New Roman"/>
                <w:color w:val="auto"/>
                <w:sz w:val="21"/>
                <w:szCs w:val="21"/>
                <w:highlight w:val="none"/>
              </w:rPr>
            </w:pPr>
          </w:p>
        </w:tc>
        <w:tc>
          <w:tcPr>
            <w:tcW w:w="696" w:type="dxa"/>
            <w:noWrap/>
            <w:vAlign w:val="center"/>
          </w:tcPr>
          <w:p>
            <w:pPr>
              <w:widowControl w:val="0"/>
              <w:adjustRightInd w:val="0"/>
              <w:snapToGrid w:val="0"/>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NH</w:t>
            </w:r>
            <w:r>
              <w:rPr>
                <w:rFonts w:ascii="Times New Roman" w:hAnsi="Times New Roman" w:cs="Times New Roman"/>
                <w:color w:val="auto"/>
                <w:sz w:val="21"/>
                <w:szCs w:val="21"/>
                <w:highlight w:val="none"/>
                <w:vertAlign w:val="subscript"/>
              </w:rPr>
              <w:t>3</w:t>
            </w:r>
          </w:p>
        </w:tc>
        <w:tc>
          <w:tcPr>
            <w:tcW w:w="1238" w:type="dxa"/>
            <w:noWrap/>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0.014-0.025</w:t>
            </w:r>
          </w:p>
        </w:tc>
        <w:tc>
          <w:tcPr>
            <w:tcW w:w="1177" w:type="dxa"/>
            <w:noWrap/>
            <w:vAlign w:val="center"/>
          </w:tcPr>
          <w:p>
            <w:pPr>
              <w:widowControl/>
              <w:spacing w:line="240" w:lineRule="auto"/>
              <w:ind w:left="0" w:leftChars="0"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kern w:val="0"/>
                <w:sz w:val="21"/>
                <w:szCs w:val="21"/>
                <w:highlight w:val="none"/>
              </w:rPr>
              <w:t>0.20</w:t>
            </w:r>
          </w:p>
        </w:tc>
        <w:tc>
          <w:tcPr>
            <w:tcW w:w="895" w:type="dxa"/>
            <w:noWrap/>
            <w:vAlign w:val="center"/>
          </w:tcPr>
          <w:p>
            <w:pPr>
              <w:widowControl w:val="0"/>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819" w:type="dxa"/>
            <w:noWrap/>
            <w:vAlign w:val="center"/>
          </w:tcPr>
          <w:p>
            <w:pPr>
              <w:widowControl w:val="0"/>
              <w:adjustRightInd w:val="0"/>
              <w:snapToGrid w:val="0"/>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bCs/>
                <w:color w:val="auto"/>
                <w:sz w:val="21"/>
                <w:szCs w:val="21"/>
                <w:highlight w:val="none"/>
              </w:rPr>
              <w:t>达标</w:t>
            </w:r>
          </w:p>
        </w:tc>
        <w:tc>
          <w:tcPr>
            <w:tcW w:w="1486" w:type="dxa"/>
            <w:noWrap/>
            <w:vAlign w:val="center"/>
          </w:tcPr>
          <w:p>
            <w:pPr>
              <w:widowControl w:val="0"/>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0.07-0.125</w:t>
            </w:r>
          </w:p>
        </w:tc>
        <w:tc>
          <w:tcPr>
            <w:tcW w:w="1500" w:type="dxa"/>
            <w:noWrap/>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12.5%</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color w:val="auto"/>
          <w:highlight w:val="none"/>
        </w:rPr>
      </w:pPr>
      <w:r>
        <w:rPr>
          <w:color w:val="auto"/>
          <w:highlight w:val="none"/>
        </w:rPr>
        <w:t>由表</w:t>
      </w:r>
      <w:r>
        <w:rPr>
          <w:rFonts w:hint="eastAsia"/>
          <w:color w:val="auto"/>
          <w:highlight w:val="none"/>
          <w:lang w:val="en-US" w:eastAsia="zh-CN"/>
        </w:rPr>
        <w:t>3</w:t>
      </w:r>
      <w:r>
        <w:rPr>
          <w:rFonts w:hint="eastAsia"/>
          <w:color w:val="auto"/>
          <w:highlight w:val="none"/>
        </w:rPr>
        <w:t>.3-</w:t>
      </w:r>
      <w:r>
        <w:rPr>
          <w:rFonts w:hint="eastAsia"/>
          <w:color w:val="auto"/>
          <w:highlight w:val="none"/>
          <w:lang w:val="en-US" w:eastAsia="zh-CN"/>
        </w:rPr>
        <w:t>5</w:t>
      </w:r>
      <w:r>
        <w:rPr>
          <w:color w:val="auto"/>
          <w:highlight w:val="none"/>
        </w:rPr>
        <w:t>可</w:t>
      </w:r>
      <w:r>
        <w:rPr>
          <w:rFonts w:hint="eastAsia"/>
          <w:color w:val="auto"/>
          <w:highlight w:val="none"/>
        </w:rPr>
        <w:t>知</w:t>
      </w:r>
      <w:r>
        <w:rPr>
          <w:color w:val="auto"/>
          <w:highlight w:val="none"/>
        </w:rPr>
        <w:t>，区域环境空气质量良好，监测期间</w:t>
      </w:r>
      <w:r>
        <w:rPr>
          <w:rFonts w:hint="eastAsia" w:ascii="Times New Roman" w:hAnsi="Times New Roman"/>
          <w:color w:val="auto"/>
          <w:sz w:val="24"/>
          <w:szCs w:val="28"/>
          <w:highlight w:val="none"/>
        </w:rPr>
        <w:t>项目周围敏感点</w:t>
      </w:r>
      <w:r>
        <w:rPr>
          <w:rFonts w:hint="eastAsia"/>
          <w:color w:val="auto"/>
          <w:highlight w:val="none"/>
          <w:lang w:eastAsia="zh-CN"/>
        </w:rPr>
        <w:t>吴自岐庄、下王湾、小吴庄</w:t>
      </w:r>
      <w:r>
        <w:rPr>
          <w:rFonts w:hint="eastAsia" w:ascii="Times New Roman" w:hAnsi="Times New Roman"/>
          <w:color w:val="auto"/>
          <w:sz w:val="24"/>
          <w:szCs w:val="28"/>
          <w:highlight w:val="none"/>
        </w:rPr>
        <w:t>环境空气中</w:t>
      </w:r>
      <w:r>
        <w:rPr>
          <w:rFonts w:ascii="Times New Roman" w:hAnsi="Times New Roman"/>
          <w:color w:val="auto"/>
          <w:sz w:val="24"/>
          <w:szCs w:val="28"/>
          <w:highlight w:val="none"/>
        </w:rPr>
        <w:t>NH</w:t>
      </w:r>
      <w:r>
        <w:rPr>
          <w:rFonts w:ascii="Times New Roman" w:hAnsi="Times New Roman"/>
          <w:color w:val="auto"/>
          <w:sz w:val="24"/>
          <w:szCs w:val="28"/>
          <w:highlight w:val="none"/>
          <w:vertAlign w:val="subscript"/>
        </w:rPr>
        <w:t>3</w:t>
      </w:r>
      <w:r>
        <w:rPr>
          <w:rFonts w:ascii="Times New Roman" w:hAnsi="Times New Roman"/>
          <w:color w:val="auto"/>
          <w:sz w:val="24"/>
          <w:szCs w:val="28"/>
          <w:highlight w:val="none"/>
        </w:rPr>
        <w:t>和H</w:t>
      </w:r>
      <w:r>
        <w:rPr>
          <w:rFonts w:ascii="Times New Roman" w:hAnsi="Times New Roman"/>
          <w:color w:val="auto"/>
          <w:sz w:val="24"/>
          <w:szCs w:val="28"/>
          <w:highlight w:val="none"/>
          <w:vertAlign w:val="subscript"/>
        </w:rPr>
        <w:t>2</w:t>
      </w:r>
      <w:r>
        <w:rPr>
          <w:rFonts w:ascii="Times New Roman" w:hAnsi="Times New Roman"/>
          <w:color w:val="auto"/>
          <w:sz w:val="24"/>
          <w:szCs w:val="28"/>
          <w:highlight w:val="none"/>
        </w:rPr>
        <w:t>S小时平均浓度值均符合《环境影响评价技术导则 大气环境（HJ2.2-2018）》中附录D中有害物质的最高允许浓度</w:t>
      </w:r>
      <w:r>
        <w:rPr>
          <w:rFonts w:hint="eastAsia"/>
          <w:color w:val="auto"/>
          <w:highlight w:val="none"/>
        </w:rPr>
        <w:t>。</w:t>
      </w:r>
    </w:p>
    <w:p>
      <w:pPr>
        <w:pStyle w:val="5"/>
        <w:spacing w:before="66"/>
        <w:ind w:firstLine="0" w:firstLineChars="0"/>
        <w:rPr>
          <w:rFonts w:cs="Times New Roman"/>
          <w:color w:val="auto"/>
          <w:highlight w:val="none"/>
        </w:rPr>
      </w:pPr>
      <w:r>
        <w:rPr>
          <w:rFonts w:hint="eastAsia" w:cs="Times New Roman"/>
          <w:color w:val="auto"/>
          <w:highlight w:val="none"/>
          <w:lang w:val="en-US" w:eastAsia="zh-CN"/>
        </w:rPr>
        <w:t>3</w:t>
      </w:r>
      <w:r>
        <w:rPr>
          <w:rFonts w:cs="Times New Roman"/>
          <w:color w:val="auto"/>
          <w:highlight w:val="none"/>
        </w:rPr>
        <w:t>.</w:t>
      </w:r>
      <w:r>
        <w:rPr>
          <w:rFonts w:hint="eastAsia" w:cs="Times New Roman"/>
          <w:color w:val="auto"/>
          <w:highlight w:val="none"/>
          <w:lang w:val="en-US" w:eastAsia="zh-CN"/>
        </w:rPr>
        <w:t>2</w:t>
      </w:r>
      <w:r>
        <w:rPr>
          <w:rFonts w:cs="Times New Roman"/>
          <w:color w:val="auto"/>
          <w:highlight w:val="none"/>
        </w:rPr>
        <w:t>.2地表水环境质量现状监测与评价</w:t>
      </w:r>
    </w:p>
    <w:p>
      <w:pPr>
        <w:ind w:firstLine="480"/>
        <w:rPr>
          <w:rFonts w:cs="Times New Roman"/>
          <w:color w:val="auto"/>
          <w:highlight w:val="none"/>
        </w:rPr>
      </w:pPr>
      <w:r>
        <w:rPr>
          <w:rFonts w:cs="Times New Roman"/>
          <w:color w:val="auto"/>
          <w:highlight w:val="none"/>
        </w:rPr>
        <w:t>（1）监测因子和监测断面</w:t>
      </w:r>
    </w:p>
    <w:p>
      <w:pPr>
        <w:ind w:firstLine="480"/>
        <w:rPr>
          <w:rFonts w:cs="Times New Roman"/>
          <w:color w:val="auto"/>
          <w:highlight w:val="none"/>
        </w:rPr>
      </w:pPr>
      <w:r>
        <w:rPr>
          <w:rFonts w:hint="eastAsia" w:cs="Times New Roman"/>
          <w:color w:val="auto"/>
          <w:highlight w:val="none"/>
        </w:rPr>
        <w:t>为了解项目区域的地表水环境质量现状，</w:t>
      </w:r>
      <w:r>
        <w:rPr>
          <w:rFonts w:hint="eastAsia"/>
          <w:color w:val="auto"/>
          <w:highlight w:val="none"/>
          <w:lang w:eastAsia="zh-CN"/>
        </w:rPr>
        <w:t>河南申越检测技术有限公司</w:t>
      </w:r>
      <w:r>
        <w:rPr>
          <w:rFonts w:hint="eastAsia"/>
          <w:color w:val="auto"/>
          <w:highlight w:val="none"/>
        </w:rPr>
        <w:t>于</w:t>
      </w:r>
      <w:r>
        <w:rPr>
          <w:rFonts w:hint="eastAsia" w:ascii="Times New Roman" w:eastAsia="宋体"/>
          <w:color w:val="auto"/>
          <w:highlight w:val="none"/>
          <w:lang w:val="en-US" w:eastAsia="zh-CN"/>
        </w:rPr>
        <w:t>2020</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1</w:t>
      </w:r>
      <w:r>
        <w:rPr>
          <w:rFonts w:hint="eastAsia"/>
          <w:color w:val="auto"/>
          <w:highlight w:val="none"/>
        </w:rPr>
        <w:t>日-20</w:t>
      </w:r>
      <w:r>
        <w:rPr>
          <w:rFonts w:hint="eastAsia" w:ascii="Times New Roman" w:eastAsia="宋体"/>
          <w:color w:val="auto"/>
          <w:highlight w:val="none"/>
          <w:lang w:val="en-US" w:eastAsia="zh-CN"/>
        </w:rPr>
        <w:t>20</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3</w:t>
      </w:r>
      <w:r>
        <w:rPr>
          <w:rFonts w:hint="eastAsia"/>
          <w:color w:val="auto"/>
          <w:highlight w:val="none"/>
        </w:rPr>
        <w:t>日对本项目南侧洪河沿项目上游500米</w:t>
      </w:r>
      <w:r>
        <w:rPr>
          <w:rFonts w:hint="eastAsia"/>
          <w:color w:val="auto"/>
          <w:highlight w:val="none"/>
          <w:lang w:eastAsia="zh-CN"/>
        </w:rPr>
        <w:t>、</w:t>
      </w:r>
      <w:r>
        <w:rPr>
          <w:rFonts w:hint="eastAsia"/>
          <w:color w:val="auto"/>
          <w:highlight w:val="none"/>
        </w:rPr>
        <w:t>洪河沿项目下游500米</w:t>
      </w:r>
      <w:r>
        <w:rPr>
          <w:rFonts w:hint="eastAsia" w:eastAsia="宋体"/>
          <w:color w:val="auto"/>
          <w:highlight w:val="none"/>
          <w:lang w:eastAsia="zh-CN"/>
        </w:rPr>
        <w:t>进行了</w:t>
      </w:r>
      <w:r>
        <w:rPr>
          <w:rFonts w:hint="eastAsia"/>
          <w:color w:val="auto"/>
          <w:highlight w:val="none"/>
        </w:rPr>
        <w:t>监测，监测数据有较好的代表性</w:t>
      </w:r>
      <w:r>
        <w:rPr>
          <w:rFonts w:hint="eastAsia" w:cs="Times New Roman"/>
          <w:color w:val="auto"/>
          <w:highlight w:val="none"/>
        </w:rPr>
        <w:t>。</w:t>
      </w:r>
    </w:p>
    <w:p>
      <w:pPr>
        <w:ind w:firstLine="480"/>
        <w:rPr>
          <w:rFonts w:cs="Times New Roman"/>
          <w:color w:val="auto"/>
          <w:highlight w:val="none"/>
        </w:rPr>
      </w:pPr>
      <w:r>
        <w:rPr>
          <w:rFonts w:cs="Times New Roman"/>
          <w:color w:val="auto"/>
          <w:highlight w:val="none"/>
        </w:rPr>
        <w:t>地表水共设</w:t>
      </w:r>
      <w:r>
        <w:rPr>
          <w:rFonts w:hint="eastAsia" w:cs="Times New Roman"/>
          <w:color w:val="auto"/>
          <w:highlight w:val="none"/>
        </w:rPr>
        <w:t>2</w:t>
      </w:r>
      <w:r>
        <w:rPr>
          <w:rFonts w:cs="Times New Roman"/>
          <w:color w:val="auto"/>
          <w:highlight w:val="none"/>
        </w:rPr>
        <w:t>个监测断面，详见表</w:t>
      </w:r>
      <w:r>
        <w:rPr>
          <w:rFonts w:hint="eastAsia"/>
          <w:color w:val="auto"/>
          <w:highlight w:val="none"/>
          <w:lang w:val="en-US" w:eastAsia="zh-CN"/>
        </w:rPr>
        <w:t>3</w:t>
      </w:r>
      <w:r>
        <w:rPr>
          <w:rFonts w:hint="eastAsia"/>
          <w:color w:val="auto"/>
          <w:highlight w:val="none"/>
        </w:rPr>
        <w:t>.3-</w:t>
      </w:r>
      <w:r>
        <w:rPr>
          <w:rFonts w:hint="eastAsia"/>
          <w:color w:val="auto"/>
          <w:highlight w:val="none"/>
          <w:lang w:val="en-US" w:eastAsia="zh-CN"/>
        </w:rPr>
        <w:t>6</w:t>
      </w:r>
      <w:r>
        <w:rPr>
          <w:rFonts w:cs="Times New Roman"/>
          <w:color w:val="auto"/>
          <w:highlight w:val="none"/>
        </w:rPr>
        <w:t>。</w:t>
      </w:r>
    </w:p>
    <w:p>
      <w:pPr>
        <w:pStyle w:val="40"/>
        <w:rPr>
          <w:rFonts w:hint="eastAsia" w:ascii="Times New Roman" w:hAnsi="Times New Roman" w:eastAsia="宋体" w:cs="Times New Roman"/>
          <w:b/>
          <w:color w:val="auto"/>
          <w:kern w:val="2"/>
          <w:sz w:val="21"/>
          <w:szCs w:val="24"/>
          <w:highlight w:val="none"/>
          <w:lang w:val="en-US" w:eastAsia="zh-CN" w:bidi="ar-SA"/>
        </w:rPr>
      </w:pPr>
      <w:r>
        <w:rPr>
          <w:rFonts w:hint="eastAsia" w:ascii="Times New Roman" w:hAnsi="Times New Roman" w:eastAsia="宋体" w:cs="Times New Roman"/>
          <w:b/>
          <w:color w:val="auto"/>
          <w:kern w:val="2"/>
          <w:sz w:val="21"/>
          <w:szCs w:val="24"/>
          <w:highlight w:val="none"/>
          <w:lang w:val="en-US" w:eastAsia="zh-CN" w:bidi="ar-SA"/>
        </w:rPr>
        <w:t>表</w:t>
      </w:r>
      <w:r>
        <w:rPr>
          <w:rFonts w:hint="eastAsia" w:cs="Times New Roman"/>
          <w:b/>
          <w:color w:val="auto"/>
          <w:kern w:val="2"/>
          <w:sz w:val="21"/>
          <w:szCs w:val="24"/>
          <w:highlight w:val="none"/>
          <w:lang w:val="en-US" w:eastAsia="zh-CN" w:bidi="ar-SA"/>
        </w:rPr>
        <w:t>3</w:t>
      </w:r>
      <w:r>
        <w:rPr>
          <w:rFonts w:hint="eastAsia" w:ascii="Times New Roman" w:hAnsi="Times New Roman" w:eastAsia="宋体" w:cs="Times New Roman"/>
          <w:b/>
          <w:color w:val="auto"/>
          <w:kern w:val="2"/>
          <w:sz w:val="21"/>
          <w:szCs w:val="24"/>
          <w:highlight w:val="none"/>
          <w:lang w:val="en-US" w:eastAsia="zh-CN" w:bidi="ar-SA"/>
        </w:rPr>
        <w:t>.3-</w:t>
      </w:r>
      <w:r>
        <w:rPr>
          <w:rFonts w:hint="eastAsia" w:cs="Times New Roman"/>
          <w:b/>
          <w:color w:val="auto"/>
          <w:kern w:val="2"/>
          <w:sz w:val="21"/>
          <w:szCs w:val="24"/>
          <w:highlight w:val="none"/>
          <w:lang w:val="en-US" w:eastAsia="zh-CN" w:bidi="ar-SA"/>
        </w:rPr>
        <w:t xml:space="preserve">6 </w:t>
      </w:r>
      <w:r>
        <w:rPr>
          <w:rFonts w:hint="eastAsia" w:ascii="Times New Roman" w:hAnsi="Times New Roman" w:eastAsia="宋体" w:cs="Times New Roman"/>
          <w:b/>
          <w:color w:val="auto"/>
          <w:kern w:val="2"/>
          <w:sz w:val="21"/>
          <w:szCs w:val="24"/>
          <w:highlight w:val="none"/>
          <w:lang w:val="en-US" w:eastAsia="zh-CN" w:bidi="ar-SA"/>
        </w:rPr>
        <w:t>地表水环境质量监测布点情况</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85" w:type="dxa"/>
          <w:left w:w="108" w:type="dxa"/>
          <w:bottom w:w="85" w:type="dxa"/>
          <w:right w:w="108" w:type="dxa"/>
        </w:tblCellMar>
      </w:tblPr>
      <w:tblGrid>
        <w:gridCol w:w="860"/>
        <w:gridCol w:w="1923"/>
        <w:gridCol w:w="1712"/>
        <w:gridCol w:w="1414"/>
        <w:gridCol w:w="26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373" w:hRule="atLeast"/>
        </w:trPr>
        <w:tc>
          <w:tcPr>
            <w:tcW w:w="505"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编号</w:t>
            </w:r>
          </w:p>
        </w:tc>
        <w:tc>
          <w:tcPr>
            <w:tcW w:w="1129"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eastAsia="zh-CN"/>
              </w:rPr>
              <w:t>地表水体</w:t>
            </w:r>
          </w:p>
        </w:tc>
        <w:tc>
          <w:tcPr>
            <w:tcW w:w="1005"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取水位置</w:t>
            </w:r>
          </w:p>
        </w:tc>
        <w:tc>
          <w:tcPr>
            <w:tcW w:w="830"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检测频率</w:t>
            </w:r>
          </w:p>
        </w:tc>
        <w:tc>
          <w:tcPr>
            <w:tcW w:w="1529"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检测因子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780" w:hRule="atLeast"/>
        </w:trPr>
        <w:tc>
          <w:tcPr>
            <w:tcW w:w="505" w:type="pct"/>
            <w:vMerge w:val="restar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1</w:t>
            </w:r>
          </w:p>
        </w:tc>
        <w:tc>
          <w:tcPr>
            <w:tcW w:w="1129" w:type="pct"/>
            <w:vMerge w:val="restar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auto"/>
                <w:kern w:val="0"/>
                <w:sz w:val="21"/>
                <w:szCs w:val="21"/>
                <w:highlight w:val="none"/>
              </w:rPr>
            </w:pPr>
            <w:r>
              <w:rPr>
                <w:rFonts w:hint="eastAsia" w:cs="Times New Roman"/>
                <w:color w:val="auto"/>
                <w:kern w:val="0"/>
                <w:sz w:val="21"/>
                <w:szCs w:val="21"/>
                <w:highlight w:val="none"/>
                <w:lang w:eastAsia="zh-CN"/>
              </w:rPr>
              <w:t>洪</w:t>
            </w:r>
            <w:r>
              <w:rPr>
                <w:rFonts w:hint="eastAsia" w:ascii="Times New Roman" w:hAnsi="Times New Roman" w:cs="Times New Roman"/>
                <w:color w:val="auto"/>
                <w:kern w:val="0"/>
                <w:sz w:val="21"/>
                <w:szCs w:val="21"/>
                <w:highlight w:val="none"/>
              </w:rPr>
              <w:t>河</w:t>
            </w:r>
          </w:p>
        </w:tc>
        <w:tc>
          <w:tcPr>
            <w:tcW w:w="1005"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南侧洪河沿项目上游500米</w:t>
            </w:r>
          </w:p>
        </w:tc>
        <w:tc>
          <w:tcPr>
            <w:tcW w:w="830" w:type="pct"/>
            <w:vMerge w:val="restar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检测</w:t>
            </w:r>
            <w:r>
              <w:rPr>
                <w:rFonts w:hint="eastAsia" w:cs="Times New Roman"/>
                <w:color w:val="auto"/>
                <w:kern w:val="0"/>
                <w:sz w:val="21"/>
                <w:szCs w:val="21"/>
                <w:highlight w:val="none"/>
                <w:lang w:val="en-US" w:eastAsia="zh-CN"/>
              </w:rPr>
              <w:t>3</w:t>
            </w:r>
            <w:r>
              <w:rPr>
                <w:rFonts w:hint="eastAsia" w:ascii="Times New Roman" w:hAnsi="Times New Roman" w:cs="Times New Roman"/>
                <w:color w:val="auto"/>
                <w:kern w:val="0"/>
                <w:sz w:val="21"/>
                <w:szCs w:val="21"/>
                <w:highlight w:val="none"/>
              </w:rPr>
              <w:t>天，每天采样1次</w:t>
            </w:r>
          </w:p>
        </w:tc>
        <w:tc>
          <w:tcPr>
            <w:tcW w:w="1529" w:type="pct"/>
            <w:vMerge w:val="restar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pH、COD、BOD</w:t>
            </w:r>
            <w:r>
              <w:rPr>
                <w:rFonts w:hint="eastAsia" w:ascii="Times New Roman" w:hAnsi="Times New Roman" w:cs="Times New Roman"/>
                <w:color w:val="auto"/>
                <w:kern w:val="0"/>
                <w:sz w:val="21"/>
                <w:szCs w:val="21"/>
                <w:highlight w:val="none"/>
                <w:vertAlign w:val="subscript"/>
              </w:rPr>
              <w:t>5</w:t>
            </w:r>
            <w:r>
              <w:rPr>
                <w:rFonts w:hint="eastAsia" w:ascii="Times New Roman" w:hAnsi="Times New Roman" w:cs="Times New Roman"/>
                <w:color w:val="auto"/>
                <w:kern w:val="0"/>
                <w:sz w:val="21"/>
                <w:szCs w:val="21"/>
                <w:highlight w:val="none"/>
              </w:rPr>
              <w:t>、NH</w:t>
            </w:r>
            <w:r>
              <w:rPr>
                <w:rFonts w:hint="eastAsia" w:ascii="Times New Roman" w:hAnsi="Times New Roman" w:cs="Times New Roman"/>
                <w:color w:val="auto"/>
                <w:kern w:val="0"/>
                <w:sz w:val="21"/>
                <w:szCs w:val="21"/>
                <w:highlight w:val="none"/>
                <w:vertAlign w:val="subscript"/>
              </w:rPr>
              <w:t>3</w:t>
            </w:r>
            <w:r>
              <w:rPr>
                <w:rFonts w:hint="eastAsia" w:ascii="Times New Roman" w:hAnsi="Times New Roman" w:cs="Times New Roman"/>
                <w:color w:val="auto"/>
                <w:kern w:val="0"/>
                <w:sz w:val="21"/>
                <w:szCs w:val="21"/>
                <w:highlight w:val="none"/>
              </w:rPr>
              <w:t>-N、总磷、总氮、粪大肠菌群，同时记录河流流速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822" w:hRule="atLeast"/>
        </w:trPr>
        <w:tc>
          <w:tcPr>
            <w:tcW w:w="505" w:type="pct"/>
            <w:vMerge w:val="continue"/>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auto"/>
                <w:kern w:val="0"/>
                <w:sz w:val="21"/>
                <w:szCs w:val="21"/>
                <w:highlight w:val="none"/>
              </w:rPr>
            </w:pPr>
          </w:p>
        </w:tc>
        <w:tc>
          <w:tcPr>
            <w:tcW w:w="1129" w:type="pct"/>
            <w:vMerge w:val="continue"/>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auto"/>
                <w:kern w:val="0"/>
                <w:sz w:val="21"/>
                <w:szCs w:val="21"/>
                <w:highlight w:val="none"/>
              </w:rPr>
            </w:pPr>
          </w:p>
        </w:tc>
        <w:tc>
          <w:tcPr>
            <w:tcW w:w="1005"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洪河沿项目下游500米</w:t>
            </w:r>
          </w:p>
        </w:tc>
        <w:tc>
          <w:tcPr>
            <w:tcW w:w="830" w:type="pct"/>
            <w:vMerge w:val="continue"/>
            <w:tcBorders>
              <w:tl2br w:val="nil"/>
              <w:tr2bl w:val="nil"/>
            </w:tcBorders>
            <w:noWrap w:val="0"/>
            <w:vAlign w:val="top"/>
          </w:tcPr>
          <w:p>
            <w:pPr>
              <w:rPr>
                <w:color w:val="auto"/>
                <w:sz w:val="21"/>
                <w:szCs w:val="21"/>
                <w:highlight w:val="none"/>
              </w:rPr>
            </w:pPr>
          </w:p>
        </w:tc>
        <w:tc>
          <w:tcPr>
            <w:tcW w:w="1529" w:type="pct"/>
            <w:vMerge w:val="continue"/>
            <w:tcBorders>
              <w:tl2br w:val="nil"/>
              <w:tr2bl w:val="nil"/>
            </w:tcBorders>
            <w:noWrap w:val="0"/>
            <w:vAlign w:val="center"/>
          </w:tcPr>
          <w:p>
            <w:pPr>
              <w:rPr>
                <w:color w:val="auto"/>
                <w:sz w:val="21"/>
                <w:szCs w:val="21"/>
                <w:highlight w:val="none"/>
              </w:rPr>
            </w:pPr>
          </w:p>
        </w:tc>
      </w:tr>
    </w:tbl>
    <w:p>
      <w:pPr>
        <w:keepNext w:val="0"/>
        <w:keepLines w:val="0"/>
        <w:pageBreakBefore w:val="0"/>
        <w:widowControl/>
        <w:kinsoku/>
        <w:wordWrap/>
        <w:overflowPunct/>
        <w:topLinePunct w:val="0"/>
        <w:autoSpaceDE/>
        <w:autoSpaceDN/>
        <w:bidi w:val="0"/>
        <w:adjustRightInd/>
        <w:snapToGrid/>
        <w:ind w:firstLine="480"/>
        <w:textAlignment w:val="auto"/>
        <w:rPr>
          <w:rFonts w:hint="eastAsia" w:eastAsia="宋体"/>
          <w:color w:val="auto"/>
          <w:highlight w:val="none"/>
          <w:lang w:eastAsia="zh-CN"/>
        </w:rPr>
      </w:pPr>
      <w:r>
        <w:rPr>
          <w:rFonts w:hint="eastAsia"/>
          <w:color w:val="auto"/>
          <w:highlight w:val="none"/>
        </w:rPr>
        <w:t>（2）</w:t>
      </w:r>
      <w:r>
        <w:rPr>
          <w:color w:val="auto"/>
          <w:highlight w:val="none"/>
        </w:rPr>
        <w:t>监测时间</w:t>
      </w:r>
      <w:r>
        <w:rPr>
          <w:rFonts w:hint="eastAsia"/>
          <w:color w:val="auto"/>
          <w:highlight w:val="none"/>
          <w:lang w:eastAsia="zh-CN"/>
        </w:rPr>
        <w:t>、</w:t>
      </w:r>
      <w:r>
        <w:rPr>
          <w:color w:val="auto"/>
          <w:highlight w:val="none"/>
        </w:rPr>
        <w:t>频次</w:t>
      </w:r>
    </w:p>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rPr>
      </w:pPr>
      <w:r>
        <w:rPr>
          <w:rFonts w:hint="eastAsia"/>
          <w:color w:val="auto"/>
          <w:highlight w:val="none"/>
        </w:rPr>
        <w:t>监测时间为</w:t>
      </w:r>
      <w:r>
        <w:rPr>
          <w:rFonts w:hint="eastAsia" w:ascii="Times New Roman" w:eastAsia="宋体"/>
          <w:color w:val="auto"/>
          <w:highlight w:val="none"/>
          <w:lang w:val="en-US" w:eastAsia="zh-CN"/>
        </w:rPr>
        <w:t>2020</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1</w:t>
      </w:r>
      <w:r>
        <w:rPr>
          <w:rFonts w:hint="eastAsia"/>
          <w:color w:val="auto"/>
          <w:highlight w:val="none"/>
        </w:rPr>
        <w:t>日-20</w:t>
      </w:r>
      <w:r>
        <w:rPr>
          <w:rFonts w:hint="eastAsia" w:ascii="Times New Roman" w:eastAsia="宋体"/>
          <w:color w:val="auto"/>
          <w:highlight w:val="none"/>
          <w:lang w:val="en-US" w:eastAsia="zh-CN"/>
        </w:rPr>
        <w:t>20</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3</w:t>
      </w:r>
      <w:r>
        <w:rPr>
          <w:rFonts w:hint="eastAsia"/>
          <w:color w:val="auto"/>
          <w:highlight w:val="none"/>
        </w:rPr>
        <w:t>日，连续监测</w:t>
      </w:r>
      <w:r>
        <w:rPr>
          <w:rFonts w:hint="eastAsia"/>
          <w:color w:val="auto"/>
          <w:highlight w:val="none"/>
          <w:lang w:val="en-US" w:eastAsia="zh-CN"/>
        </w:rPr>
        <w:t>3</w:t>
      </w:r>
      <w:r>
        <w:rPr>
          <w:rFonts w:hint="eastAsia"/>
          <w:color w:val="auto"/>
          <w:highlight w:val="none"/>
        </w:rPr>
        <w:t>天，每天采样一次。</w:t>
      </w:r>
    </w:p>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分析方法</w:t>
      </w:r>
    </w:p>
    <w:p>
      <w:pPr>
        <w:pStyle w:val="40"/>
        <w:rPr>
          <w:rFonts w:hint="eastAsia" w:ascii="Times New Roman" w:hAnsi="Times New Roman" w:eastAsia="宋体" w:cs="Times New Roman"/>
          <w:b/>
          <w:color w:val="auto"/>
          <w:kern w:val="2"/>
          <w:sz w:val="21"/>
          <w:szCs w:val="24"/>
          <w:highlight w:val="none"/>
          <w:lang w:val="en-US" w:eastAsia="zh-CN" w:bidi="ar-SA"/>
        </w:rPr>
      </w:pPr>
      <w:r>
        <w:rPr>
          <w:rFonts w:hint="eastAsia" w:ascii="Times New Roman" w:hAnsi="Times New Roman" w:eastAsia="宋体" w:cs="Times New Roman"/>
          <w:b/>
          <w:color w:val="auto"/>
          <w:kern w:val="2"/>
          <w:sz w:val="21"/>
          <w:szCs w:val="24"/>
          <w:highlight w:val="none"/>
          <w:lang w:val="en-US" w:eastAsia="zh-CN" w:bidi="ar-SA"/>
        </w:rPr>
        <w:t>表3.3-</w:t>
      </w:r>
      <w:r>
        <w:rPr>
          <w:rFonts w:hint="eastAsia" w:cs="Times New Roman"/>
          <w:b/>
          <w:color w:val="auto"/>
          <w:kern w:val="2"/>
          <w:sz w:val="21"/>
          <w:szCs w:val="24"/>
          <w:highlight w:val="none"/>
          <w:lang w:val="en-US" w:eastAsia="zh-CN" w:bidi="ar-SA"/>
        </w:rPr>
        <w:t xml:space="preserve">7 </w:t>
      </w:r>
      <w:r>
        <w:rPr>
          <w:rFonts w:hint="eastAsia" w:ascii="Times New Roman" w:hAnsi="Times New Roman" w:eastAsia="宋体" w:cs="Times New Roman"/>
          <w:b/>
          <w:color w:val="auto"/>
          <w:kern w:val="2"/>
          <w:sz w:val="21"/>
          <w:szCs w:val="24"/>
          <w:highlight w:val="none"/>
          <w:lang w:val="en-US" w:eastAsia="zh-CN" w:bidi="ar-SA"/>
        </w:rPr>
        <w:t>地表水环境质量监测布点情况</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85" w:type="dxa"/>
          <w:left w:w="108" w:type="dxa"/>
          <w:bottom w:w="85" w:type="dxa"/>
          <w:right w:w="108" w:type="dxa"/>
        </w:tblCellMar>
      </w:tblPr>
      <w:tblGrid>
        <w:gridCol w:w="1431"/>
        <w:gridCol w:w="2173"/>
        <w:gridCol w:w="1921"/>
        <w:gridCol w:w="29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373" w:hRule="atLeast"/>
        </w:trPr>
        <w:tc>
          <w:tcPr>
            <w:tcW w:w="840"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检测项目</w:t>
            </w:r>
          </w:p>
        </w:tc>
        <w:tc>
          <w:tcPr>
            <w:tcW w:w="1276"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检测方法</w:t>
            </w:r>
          </w:p>
        </w:tc>
        <w:tc>
          <w:tcPr>
            <w:tcW w:w="1128"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使用仪器</w:t>
            </w:r>
          </w:p>
        </w:tc>
        <w:tc>
          <w:tcPr>
            <w:tcW w:w="1754" w:type="pct"/>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780" w:hRule="atLeast"/>
        </w:trPr>
        <w:tc>
          <w:tcPr>
            <w:tcW w:w="8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pH</w:t>
            </w:r>
          </w:p>
        </w:tc>
        <w:tc>
          <w:tcPr>
            <w:tcW w:w="217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《水质 pH值的测定 玻璃电极法》</w:t>
            </w:r>
          </w:p>
        </w:tc>
        <w:tc>
          <w:tcPr>
            <w:tcW w:w="192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pH计PHS-3C</w:t>
            </w:r>
          </w:p>
        </w:tc>
        <w:tc>
          <w:tcPr>
            <w:tcW w:w="29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822" w:hRule="atLeast"/>
        </w:trPr>
        <w:tc>
          <w:tcPr>
            <w:tcW w:w="8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氨氮</w:t>
            </w:r>
          </w:p>
        </w:tc>
        <w:tc>
          <w:tcPr>
            <w:tcW w:w="217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《水质 氨氮的测定 纳氏试剂分光光度法》</w:t>
            </w:r>
          </w:p>
        </w:tc>
        <w:tc>
          <w:tcPr>
            <w:tcW w:w="192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紫外可见分光光度计  T6新世纪</w:t>
            </w:r>
          </w:p>
        </w:tc>
        <w:tc>
          <w:tcPr>
            <w:tcW w:w="29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0.025</w:t>
            </w:r>
            <w:r>
              <w:rPr>
                <w:rFonts w:hint="default" w:ascii="Times New Roman" w:hAnsi="Times New Roman" w:eastAsia="宋体" w:cs="Times New Roman"/>
                <w:color w:val="auto"/>
                <w:sz w:val="21"/>
                <w:szCs w:val="21"/>
                <w:highlight w:val="none"/>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822" w:hRule="atLeast"/>
        </w:trPr>
        <w:tc>
          <w:tcPr>
            <w:tcW w:w="8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五日生化需氧量</w:t>
            </w:r>
          </w:p>
        </w:tc>
        <w:tc>
          <w:tcPr>
            <w:tcW w:w="2173" w:type="dxa"/>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《水质 五日生化需氧量（BOD</w:t>
            </w:r>
            <w:r>
              <w:rPr>
                <w:rFonts w:hint="default" w:ascii="Times New Roman" w:hAnsi="Times New Roman" w:eastAsia="宋体" w:cs="Times New Roman"/>
                <w:color w:val="auto"/>
                <w:kern w:val="0"/>
                <w:sz w:val="21"/>
                <w:szCs w:val="21"/>
                <w:highlight w:val="none"/>
                <w:vertAlign w:val="subscript"/>
                <w:lang w:val="en-US" w:eastAsia="zh-CN"/>
              </w:rPr>
              <w:t>5</w:t>
            </w:r>
            <w:r>
              <w:rPr>
                <w:rFonts w:hint="default" w:ascii="Times New Roman" w:hAnsi="Times New Roman" w:eastAsia="宋体" w:cs="Times New Roman"/>
                <w:color w:val="auto"/>
                <w:kern w:val="0"/>
                <w:sz w:val="21"/>
                <w:szCs w:val="21"/>
                <w:highlight w:val="none"/>
                <w:lang w:val="en-US" w:eastAsia="zh-CN"/>
              </w:rPr>
              <w:t>）的测定 稀释与接种法》</w:t>
            </w:r>
          </w:p>
        </w:tc>
        <w:tc>
          <w:tcPr>
            <w:tcW w:w="1921" w:type="dxa"/>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恒温恒湿培养箱HWS-80</w:t>
            </w:r>
          </w:p>
        </w:tc>
        <w:tc>
          <w:tcPr>
            <w:tcW w:w="2988" w:type="dxa"/>
            <w:tcBorders>
              <w:tl2br w:val="nil"/>
              <w:tr2bl w:val="nil"/>
            </w:tcBorders>
            <w:noWrap w:val="0"/>
            <w:vAlign w:val="center"/>
          </w:tcPr>
          <w:p>
            <w:pPr>
              <w:widowControl/>
              <w:spacing w:line="240" w:lineRule="auto"/>
              <w:ind w:left="0" w:leftChars="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822" w:hRule="atLeast"/>
        </w:trPr>
        <w:tc>
          <w:tcPr>
            <w:tcW w:w="8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highlight w:val="none"/>
              </w:rPr>
            </w:pPr>
            <w:r>
              <w:rPr>
                <w:rFonts w:hint="eastAsia" w:cs="Times New Roman"/>
                <w:color w:val="auto"/>
                <w:sz w:val="21"/>
                <w:szCs w:val="21"/>
                <w:highlight w:val="none"/>
              </w:rPr>
              <w:t>总磷</w:t>
            </w:r>
          </w:p>
        </w:tc>
        <w:tc>
          <w:tcPr>
            <w:tcW w:w="217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eastAsia" w:ascii="Times New Roman" w:hAnsi="Times New Roman" w:cs="Times New Roman"/>
                <w:color w:val="auto"/>
                <w:kern w:val="0"/>
                <w:sz w:val="21"/>
                <w:szCs w:val="21"/>
                <w:highlight w:val="none"/>
              </w:rPr>
            </w:pPr>
            <w:r>
              <w:rPr>
                <w:rFonts w:hint="default" w:ascii="Times New Roman" w:hAnsi="Times New Roman" w:eastAsia="宋体" w:cs="Times New Roman"/>
                <w:snapToGrid/>
                <w:color w:val="auto"/>
                <w:kern w:val="2"/>
                <w:sz w:val="21"/>
                <w:szCs w:val="21"/>
                <w:highlight w:val="none"/>
                <w:lang w:val="en-US" w:eastAsia="zh-CN" w:bidi="ar"/>
              </w:rPr>
              <w:t>《</w:t>
            </w:r>
            <w:r>
              <w:rPr>
                <w:rFonts w:hint="default" w:ascii="Times New Roman" w:hAnsi="Times New Roman" w:eastAsia="宋体" w:cs="Times New Roman"/>
                <w:color w:val="auto"/>
                <w:sz w:val="21"/>
                <w:szCs w:val="21"/>
                <w:highlight w:val="none"/>
                <w:lang w:eastAsia="zh-CN"/>
              </w:rPr>
              <w:t xml:space="preserve">水质 </w:t>
            </w:r>
            <w:r>
              <w:rPr>
                <w:rFonts w:hint="default" w:ascii="Times New Roman" w:hAnsi="Times New Roman" w:cs="Times New Roman"/>
                <w:color w:val="auto"/>
                <w:sz w:val="21"/>
                <w:szCs w:val="21"/>
                <w:highlight w:val="none"/>
                <w:lang w:eastAsia="zh-CN"/>
              </w:rPr>
              <w:t>总磷的测定</w:t>
            </w:r>
            <w:r>
              <w:rPr>
                <w:rFonts w:hint="default" w:ascii="Times New Roman" w:hAnsi="Times New Roman" w:cs="Times New Roman"/>
                <w:color w:val="auto"/>
                <w:sz w:val="21"/>
                <w:szCs w:val="21"/>
                <w:highlight w:val="none"/>
                <w:lang w:val="en-US" w:eastAsia="zh-CN"/>
              </w:rPr>
              <w:t xml:space="preserve"> 钼酸铵分光光度法</w:t>
            </w:r>
            <w:r>
              <w:rPr>
                <w:rFonts w:hint="default" w:ascii="Times New Roman" w:hAnsi="Times New Roman" w:eastAsia="宋体" w:cs="Times New Roman"/>
                <w:snapToGrid/>
                <w:color w:val="auto"/>
                <w:kern w:val="2"/>
                <w:sz w:val="21"/>
                <w:szCs w:val="21"/>
                <w:highlight w:val="none"/>
                <w:lang w:val="en-US" w:eastAsia="zh-CN" w:bidi="ar"/>
              </w:rPr>
              <w:t>》</w:t>
            </w:r>
          </w:p>
        </w:tc>
        <w:tc>
          <w:tcPr>
            <w:tcW w:w="192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eastAsia"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rPr>
              <w:t>紫外可见分光光度计  T6新世纪</w:t>
            </w:r>
          </w:p>
        </w:tc>
        <w:tc>
          <w:tcPr>
            <w:tcW w:w="29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eastAsia"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0.01</w:t>
            </w:r>
            <w:r>
              <w:rPr>
                <w:rFonts w:hint="default" w:ascii="Times New Roman" w:hAnsi="Times New Roman" w:eastAsia="宋体" w:cs="Times New Roman"/>
                <w:color w:val="auto"/>
                <w:sz w:val="21"/>
                <w:szCs w:val="21"/>
                <w:highlight w:val="none"/>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822" w:hRule="atLeast"/>
        </w:trPr>
        <w:tc>
          <w:tcPr>
            <w:tcW w:w="84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eastAsia" w:ascii="Times New Roman" w:hAnsi="Times New Roman" w:eastAsia="宋体" w:cs="Times New Roman"/>
                <w:snapToGrid/>
                <w:color w:val="auto"/>
                <w:kern w:val="2"/>
                <w:sz w:val="21"/>
                <w:szCs w:val="21"/>
                <w:highlight w:val="none"/>
                <w:lang w:val="en-US" w:eastAsia="zh-CN" w:bidi="ar"/>
              </w:rPr>
            </w:pPr>
            <w:r>
              <w:rPr>
                <w:rFonts w:hint="eastAsia" w:ascii="Times New Roman" w:hAnsi="Times New Roman" w:eastAsia="宋体" w:cs="Times New Roman"/>
                <w:snapToGrid/>
                <w:color w:val="auto"/>
                <w:kern w:val="2"/>
                <w:sz w:val="21"/>
                <w:szCs w:val="21"/>
                <w:highlight w:val="none"/>
                <w:lang w:val="en-US" w:eastAsia="zh-CN" w:bidi="ar"/>
              </w:rPr>
              <w:t>粪大肠菌群</w:t>
            </w:r>
          </w:p>
        </w:tc>
        <w:tc>
          <w:tcPr>
            <w:tcW w:w="217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eastAsia" w:ascii="Times New Roman" w:hAnsi="Times New Roman" w:eastAsia="宋体" w:cs="Times New Roman"/>
                <w:snapToGrid/>
                <w:color w:val="auto"/>
                <w:kern w:val="2"/>
                <w:sz w:val="21"/>
                <w:szCs w:val="21"/>
                <w:highlight w:val="none"/>
                <w:lang w:val="en-US" w:eastAsia="zh-CN" w:bidi="ar"/>
              </w:rPr>
            </w:pPr>
            <w:r>
              <w:rPr>
                <w:rFonts w:hint="default" w:ascii="Times New Roman" w:hAnsi="Times New Roman" w:eastAsia="宋体" w:cs="Times New Roman"/>
                <w:snapToGrid/>
                <w:color w:val="auto"/>
                <w:kern w:val="2"/>
                <w:sz w:val="21"/>
                <w:szCs w:val="21"/>
                <w:highlight w:val="none"/>
                <w:lang w:val="en-US" w:eastAsia="zh-CN" w:bidi="ar"/>
              </w:rPr>
              <w:t>《水质 粪大肠菌群的测定 滤膜法》</w:t>
            </w:r>
          </w:p>
        </w:tc>
        <w:tc>
          <w:tcPr>
            <w:tcW w:w="192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eastAsia" w:ascii="Times New Roman" w:hAnsi="Times New Roman" w:eastAsia="宋体" w:cs="Times New Roman"/>
                <w:snapToGrid/>
                <w:color w:val="auto"/>
                <w:kern w:val="2"/>
                <w:sz w:val="21"/>
                <w:szCs w:val="21"/>
                <w:highlight w:val="none"/>
                <w:lang w:val="en-US" w:eastAsia="zh-CN" w:bidi="ar"/>
              </w:rPr>
            </w:pPr>
            <w:r>
              <w:rPr>
                <w:rFonts w:hint="default" w:ascii="Times New Roman" w:hAnsi="Times New Roman" w:eastAsia="宋体" w:cs="Times New Roman"/>
                <w:snapToGrid/>
                <w:color w:val="auto"/>
                <w:kern w:val="2"/>
                <w:sz w:val="21"/>
                <w:szCs w:val="21"/>
                <w:highlight w:val="none"/>
                <w:lang w:val="en-US" w:eastAsia="zh-CN" w:bidi="ar"/>
              </w:rPr>
              <w:t>电热恒温培养箱DH-500</w:t>
            </w:r>
          </w:p>
        </w:tc>
        <w:tc>
          <w:tcPr>
            <w:tcW w:w="298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eastAsia" w:ascii="Times New Roman" w:hAnsi="Times New Roman" w:eastAsia="宋体" w:cs="Times New Roman"/>
                <w:snapToGrid/>
                <w:color w:val="auto"/>
                <w:kern w:val="2"/>
                <w:sz w:val="21"/>
                <w:szCs w:val="21"/>
                <w:highlight w:val="none"/>
                <w:lang w:val="en-US" w:eastAsia="zh-CN" w:bidi="ar"/>
              </w:rPr>
            </w:pPr>
            <w:r>
              <w:rPr>
                <w:rFonts w:hint="default" w:ascii="Times New Roman" w:hAnsi="Times New Roman" w:eastAsia="宋体" w:cs="Times New Roman"/>
                <w:snapToGrid/>
                <w:color w:val="auto"/>
                <w:kern w:val="2"/>
                <w:sz w:val="21"/>
                <w:szCs w:val="21"/>
                <w:highlight w:val="none"/>
                <w:lang w:val="en-US" w:eastAsia="zh-CN" w:bidi="ar"/>
              </w:rPr>
              <w:t>10 CFU/L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822" w:hRule="atLeast"/>
        </w:trPr>
        <w:tc>
          <w:tcPr>
            <w:tcW w:w="8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总氮</w:t>
            </w:r>
          </w:p>
        </w:tc>
        <w:tc>
          <w:tcPr>
            <w:tcW w:w="217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《水质 总氮的测定 碱性过硫酸钾消解紫外分光光度法》</w:t>
            </w:r>
          </w:p>
        </w:tc>
        <w:tc>
          <w:tcPr>
            <w:tcW w:w="192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紫外可见分光光度计  T6新世纪</w:t>
            </w:r>
          </w:p>
        </w:tc>
        <w:tc>
          <w:tcPr>
            <w:tcW w:w="29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822" w:hRule="atLeast"/>
        </w:trPr>
        <w:tc>
          <w:tcPr>
            <w:tcW w:w="840"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化学需氧量</w:t>
            </w:r>
          </w:p>
        </w:tc>
        <w:tc>
          <w:tcPr>
            <w:tcW w:w="2173"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《水质 化学需氧量的测定 重铬酸盐法》</w:t>
            </w:r>
          </w:p>
        </w:tc>
        <w:tc>
          <w:tcPr>
            <w:tcW w:w="1921"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988"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4mg/L</w:t>
            </w:r>
          </w:p>
        </w:tc>
      </w:tr>
    </w:tbl>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4</w:t>
      </w:r>
      <w:r>
        <w:rPr>
          <w:rFonts w:hint="eastAsia"/>
          <w:color w:val="auto"/>
          <w:sz w:val="24"/>
          <w:highlight w:val="none"/>
          <w:lang w:eastAsia="zh-CN"/>
        </w:rPr>
        <w:t>）</w:t>
      </w:r>
      <w:r>
        <w:rPr>
          <w:rFonts w:ascii="Times New Roman" w:hAnsi="Times New Roman"/>
          <w:color w:val="auto"/>
          <w:sz w:val="24"/>
          <w:highlight w:val="none"/>
        </w:rPr>
        <w:t>评价方法</w:t>
      </w:r>
    </w:p>
    <w:p>
      <w:pPr>
        <w:spacing w:line="50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采用标准指数法，一般公式如下：</w:t>
      </w:r>
    </w:p>
    <w:p>
      <w:pPr>
        <w:tabs>
          <w:tab w:val="left" w:pos="2716"/>
        </w:tabs>
        <w:spacing w:line="360" w:lineRule="auto"/>
        <w:ind w:firstLine="480"/>
        <w:jc w:val="center"/>
        <w:rPr>
          <w:rFonts w:ascii="Times New Roman" w:hAnsi="Times New Roman"/>
          <w:color w:val="auto"/>
          <w:sz w:val="24"/>
          <w:highlight w:val="none"/>
        </w:rPr>
      </w:pPr>
      <w:r>
        <w:rPr>
          <w:rFonts w:ascii="Times New Roman" w:hAnsi="Times New Roman"/>
          <w:color w:val="auto"/>
          <w:position w:val="-32"/>
          <w:sz w:val="24"/>
          <w:highlight w:val="none"/>
        </w:rPr>
        <w:object>
          <v:shape id="_x0000_i1025" o:spt="75" type="#_x0000_t75" style="height:36.85pt;width:53.15pt;" o:ole="t" filled="f" o:preferrelative="t" stroked="f" coordsize="21600,21600">
            <v:path/>
            <v:fill on="f" focussize="0,0"/>
            <v:stroke on="f"/>
            <v:imagedata r:id="rId31" o:title=""/>
            <o:lock v:ext="edit" aspectratio="t"/>
            <w10:wrap type="none"/>
            <w10:anchorlock/>
          </v:shape>
          <o:OLEObject Type="Embed" ProgID="Equation.3" ShapeID="_x0000_i1025" DrawAspect="Content" ObjectID="_1468075729" r:id="rId30">
            <o:LockedField>false</o:LockedField>
          </o:OLEObject>
        </w:object>
      </w:r>
    </w:p>
    <w:p>
      <w:pPr>
        <w:tabs>
          <w:tab w:val="left" w:pos="2716"/>
        </w:tabs>
        <w:spacing w:line="360" w:lineRule="auto"/>
        <w:ind w:firstLine="480"/>
        <w:rPr>
          <w:rFonts w:ascii="Times New Roman" w:hAnsi="Times New Roman"/>
          <w:color w:val="auto"/>
          <w:sz w:val="24"/>
          <w:highlight w:val="none"/>
        </w:rPr>
      </w:pPr>
      <w:r>
        <w:rPr>
          <w:rFonts w:ascii="Times New Roman" w:hAnsi="Times New Roman"/>
          <w:color w:val="auto"/>
          <w:sz w:val="24"/>
          <w:highlight w:val="none"/>
        </w:rPr>
        <w:t>对于pH标准指数采用如下公式计算。</w:t>
      </w:r>
    </w:p>
    <w:p>
      <w:pPr>
        <w:tabs>
          <w:tab w:val="left" w:pos="2716"/>
        </w:tabs>
        <w:spacing w:line="360" w:lineRule="auto"/>
        <w:ind w:firstLine="480"/>
        <w:rPr>
          <w:rFonts w:ascii="Times New Roman" w:hAnsi="Times New Roman"/>
          <w:color w:val="auto"/>
          <w:sz w:val="24"/>
          <w:highlight w:val="none"/>
        </w:rPr>
      </w:pPr>
      <w:r>
        <w:rPr>
          <w:rFonts w:ascii="Times New Roman" w:hAnsi="Times New Roman"/>
          <w:color w:val="auto"/>
          <w:sz w:val="24"/>
          <w:highlight w:val="none"/>
        </w:rPr>
        <w:t>pH标准指数计算公式：</w:t>
      </w:r>
    </w:p>
    <w:p>
      <w:pPr>
        <w:tabs>
          <w:tab w:val="left" w:pos="2716"/>
        </w:tabs>
        <w:spacing w:line="360" w:lineRule="auto"/>
        <w:ind w:firstLine="480"/>
        <w:jc w:val="center"/>
        <w:rPr>
          <w:rFonts w:ascii="Times New Roman" w:hAnsi="Times New Roman"/>
          <w:color w:val="auto"/>
          <w:sz w:val="24"/>
          <w:highlight w:val="none"/>
        </w:rPr>
      </w:pPr>
      <w:r>
        <w:rPr>
          <w:rFonts w:ascii="Times New Roman" w:hAnsi="Times New Roman"/>
          <w:color w:val="auto"/>
          <w:position w:val="-30"/>
          <w:sz w:val="24"/>
          <w:highlight w:val="none"/>
        </w:rPr>
        <w:object>
          <v:shape id="_x0000_i1026" o:spt="75" type="#_x0000_t75" style="height:36pt;width:151.7pt;" o:ole="t" filled="f" o:preferrelative="t" stroked="f" coordsize="21600,21600">
            <v:path/>
            <v:fill on="f" focussize="0,0"/>
            <v:stroke on="f"/>
            <v:imagedata r:id="rId33" o:title=""/>
            <o:lock v:ext="edit" aspectratio="t"/>
            <w10:wrap type="none"/>
            <w10:anchorlock/>
          </v:shape>
          <o:OLEObject Type="Embed" ProgID="Equations" ShapeID="_x0000_i1026" DrawAspect="Content" ObjectID="_1468075730" r:id="rId32">
            <o:LockedField>false</o:LockedField>
          </o:OLEObject>
        </w:object>
      </w:r>
    </w:p>
    <w:p>
      <w:pPr>
        <w:tabs>
          <w:tab w:val="left" w:pos="2716"/>
        </w:tabs>
        <w:spacing w:line="360" w:lineRule="auto"/>
        <w:ind w:firstLine="480"/>
        <w:jc w:val="center"/>
        <w:rPr>
          <w:rFonts w:ascii="Times New Roman" w:hAnsi="Times New Roman"/>
          <w:color w:val="auto"/>
          <w:sz w:val="24"/>
          <w:highlight w:val="none"/>
        </w:rPr>
      </w:pPr>
      <w:r>
        <w:rPr>
          <w:rFonts w:ascii="Times New Roman" w:hAnsi="Times New Roman"/>
          <w:color w:val="auto"/>
          <w:position w:val="-30"/>
          <w:sz w:val="24"/>
          <w:highlight w:val="none"/>
        </w:rPr>
        <w:object>
          <v:shape id="_x0000_i1027" o:spt="75" type="#_x0000_t75" style="height:36pt;width:151.7pt;" o:ole="t" filled="f" o:preferrelative="t" stroked="f" coordsize="21600,21600">
            <v:path/>
            <v:fill on="f" focussize="0,0"/>
            <v:stroke on="f"/>
            <v:imagedata r:id="rId35" o:title=""/>
            <o:lock v:ext="edit" aspectratio="t"/>
            <w10:wrap type="none"/>
            <w10:anchorlock/>
          </v:shape>
          <o:OLEObject Type="Embed" ProgID="Equations" ShapeID="_x0000_i1027" DrawAspect="Content" ObjectID="_1468075731" r:id="rId34">
            <o:LockedField>false</o:LockedField>
          </o:OLEObject>
        </w:object>
      </w:r>
    </w:p>
    <w:p>
      <w:pPr>
        <w:tabs>
          <w:tab w:val="left" w:pos="2716"/>
        </w:tabs>
        <w:spacing w:line="360" w:lineRule="auto"/>
        <w:ind w:firstLine="480"/>
        <w:rPr>
          <w:rFonts w:ascii="Times New Roman" w:hAnsi="Times New Roman"/>
          <w:color w:val="auto"/>
          <w:sz w:val="24"/>
          <w:highlight w:val="none"/>
        </w:rPr>
      </w:pPr>
      <w:r>
        <w:rPr>
          <w:rFonts w:ascii="Times New Roman" w:hAnsi="Times New Roman"/>
          <w:color w:val="auto"/>
          <w:sz w:val="24"/>
          <w:highlight w:val="none"/>
        </w:rPr>
        <w:t>式中：S</w:t>
      </w:r>
      <w:r>
        <w:rPr>
          <w:rFonts w:ascii="Times New Roman" w:hAnsi="Times New Roman"/>
          <w:color w:val="auto"/>
          <w:sz w:val="24"/>
          <w:highlight w:val="none"/>
          <w:vertAlign w:val="subscript"/>
        </w:rPr>
        <w:t>i,j</w:t>
      </w:r>
      <w:r>
        <w:rPr>
          <w:rFonts w:ascii="Times New Roman" w:hAnsi="Times New Roman"/>
          <w:color w:val="auto"/>
          <w:sz w:val="24"/>
          <w:highlight w:val="none"/>
        </w:rPr>
        <w:t>——单项目水质参数i在j点的标准指数；</w:t>
      </w:r>
    </w:p>
    <w:p>
      <w:pPr>
        <w:tabs>
          <w:tab w:val="left" w:pos="2716"/>
        </w:tabs>
        <w:spacing w:line="360" w:lineRule="auto"/>
        <w:ind w:firstLine="1200" w:firstLineChars="500"/>
        <w:rPr>
          <w:rFonts w:ascii="Times New Roman" w:hAnsi="Times New Roman"/>
          <w:color w:val="auto"/>
          <w:sz w:val="24"/>
          <w:highlight w:val="none"/>
        </w:rPr>
      </w:pPr>
      <w:r>
        <w:rPr>
          <w:rFonts w:ascii="Times New Roman" w:hAnsi="Times New Roman"/>
          <w:color w:val="auto"/>
          <w:sz w:val="24"/>
          <w:highlight w:val="none"/>
        </w:rPr>
        <w:t>C</w:t>
      </w:r>
      <w:r>
        <w:rPr>
          <w:rFonts w:ascii="Times New Roman" w:hAnsi="Times New Roman"/>
          <w:color w:val="auto"/>
          <w:sz w:val="24"/>
          <w:highlight w:val="none"/>
          <w:vertAlign w:val="subscript"/>
        </w:rPr>
        <w:t>i,j</w:t>
      </w:r>
      <w:r>
        <w:rPr>
          <w:rFonts w:ascii="Times New Roman" w:hAnsi="Times New Roman"/>
          <w:color w:val="auto"/>
          <w:sz w:val="24"/>
          <w:highlight w:val="none"/>
        </w:rPr>
        <w:t>——单项目水质参数i在j点的实际浓度；</w:t>
      </w:r>
    </w:p>
    <w:p>
      <w:pPr>
        <w:tabs>
          <w:tab w:val="left" w:pos="2716"/>
        </w:tabs>
        <w:spacing w:line="360" w:lineRule="auto"/>
        <w:ind w:firstLine="1200" w:firstLineChars="500"/>
        <w:rPr>
          <w:rFonts w:ascii="Times New Roman" w:hAnsi="Times New Roman"/>
          <w:color w:val="auto"/>
          <w:sz w:val="24"/>
          <w:highlight w:val="none"/>
        </w:rPr>
      </w:pPr>
      <w:r>
        <w:rPr>
          <w:rFonts w:ascii="Times New Roman" w:hAnsi="Times New Roman"/>
          <w:color w:val="auto"/>
          <w:sz w:val="24"/>
          <w:highlight w:val="none"/>
        </w:rPr>
        <w:t>C</w:t>
      </w:r>
      <w:r>
        <w:rPr>
          <w:rFonts w:ascii="Times New Roman" w:hAnsi="Times New Roman"/>
          <w:color w:val="auto"/>
          <w:sz w:val="24"/>
          <w:highlight w:val="none"/>
          <w:vertAlign w:val="subscript"/>
        </w:rPr>
        <w:t>si</w:t>
      </w:r>
      <w:r>
        <w:rPr>
          <w:rFonts w:ascii="Times New Roman" w:hAnsi="Times New Roman"/>
          <w:color w:val="auto"/>
          <w:sz w:val="24"/>
          <w:highlight w:val="none"/>
        </w:rPr>
        <w:t>——项目水质参数i在j点的评价标准；</w:t>
      </w:r>
    </w:p>
    <w:p>
      <w:pPr>
        <w:tabs>
          <w:tab w:val="left" w:pos="2716"/>
        </w:tabs>
        <w:spacing w:line="360" w:lineRule="auto"/>
        <w:ind w:firstLine="1200" w:firstLineChars="500"/>
        <w:rPr>
          <w:rFonts w:ascii="Times New Roman" w:hAnsi="Times New Roman"/>
          <w:color w:val="auto"/>
          <w:sz w:val="24"/>
          <w:highlight w:val="none"/>
        </w:rPr>
      </w:pPr>
      <w:r>
        <w:rPr>
          <w:rFonts w:ascii="Times New Roman" w:hAnsi="Times New Roman"/>
          <w:color w:val="auto"/>
          <w:sz w:val="24"/>
          <w:highlight w:val="none"/>
        </w:rPr>
        <w:t>pH</w:t>
      </w:r>
      <w:r>
        <w:rPr>
          <w:rFonts w:ascii="Times New Roman" w:hAnsi="Times New Roman"/>
          <w:color w:val="auto"/>
          <w:sz w:val="24"/>
          <w:highlight w:val="none"/>
          <w:vertAlign w:val="subscript"/>
        </w:rPr>
        <w:t>sd</w:t>
      </w:r>
      <w:r>
        <w:rPr>
          <w:rFonts w:ascii="Times New Roman" w:hAnsi="Times New Roman"/>
          <w:color w:val="auto"/>
          <w:sz w:val="24"/>
          <w:highlight w:val="none"/>
        </w:rPr>
        <w:t>——pH标准规定的下限值；</w:t>
      </w:r>
    </w:p>
    <w:p>
      <w:pPr>
        <w:tabs>
          <w:tab w:val="left" w:pos="2716"/>
        </w:tabs>
        <w:spacing w:line="360" w:lineRule="auto"/>
        <w:ind w:firstLine="1200" w:firstLineChars="500"/>
        <w:rPr>
          <w:rFonts w:hint="eastAsia" w:ascii="Times New Roman" w:hAnsi="Times New Roman" w:eastAsia="宋体"/>
          <w:b/>
          <w:color w:val="auto"/>
          <w:sz w:val="24"/>
          <w:highlight w:val="none"/>
          <w:u w:val="single"/>
          <w:lang w:eastAsia="zh-CN"/>
        </w:rPr>
      </w:pPr>
      <w:r>
        <w:rPr>
          <w:rFonts w:ascii="Times New Roman" w:hAnsi="Times New Roman"/>
          <w:color w:val="auto"/>
          <w:sz w:val="24"/>
          <w:highlight w:val="none"/>
        </w:rPr>
        <w:t>pH</w:t>
      </w:r>
      <w:r>
        <w:rPr>
          <w:rFonts w:ascii="Times New Roman" w:hAnsi="Times New Roman"/>
          <w:color w:val="auto"/>
          <w:sz w:val="24"/>
          <w:highlight w:val="none"/>
          <w:vertAlign w:val="subscript"/>
        </w:rPr>
        <w:t>su</w:t>
      </w:r>
      <w:r>
        <w:rPr>
          <w:rFonts w:ascii="Times New Roman" w:hAnsi="Times New Roman"/>
          <w:color w:val="auto"/>
          <w:sz w:val="24"/>
          <w:highlight w:val="none"/>
        </w:rPr>
        <w:t>——pH标准规定的上限</w:t>
      </w:r>
      <w:r>
        <w:rPr>
          <w:rFonts w:hint="eastAsia" w:ascii="Times New Roman" w:hAnsi="Times New Roman"/>
          <w:color w:val="auto"/>
          <w:sz w:val="24"/>
          <w:highlight w:val="none"/>
          <w:lang w:eastAsia="zh-CN"/>
        </w:rPr>
        <w:t>值。</w:t>
      </w:r>
    </w:p>
    <w:p>
      <w:pPr>
        <w:pStyle w:val="23"/>
        <w:keepNext w:val="0"/>
        <w:keepLines w:val="0"/>
        <w:pageBreakBefore w:val="0"/>
        <w:kinsoku/>
        <w:wordWrap/>
        <w:overflowPunct/>
        <w:topLinePunct w:val="0"/>
        <w:bidi w:val="0"/>
        <w:adjustRightInd/>
        <w:snapToGrid/>
        <w:spacing w:before="0" w:beforeLines="0" w:after="0" w:afterLines="0" w:line="360" w:lineRule="auto"/>
        <w:ind w:firstLine="480" w:firstLineChars="200"/>
        <w:jc w:val="both"/>
        <w:textAlignment w:val="auto"/>
        <w:rPr>
          <w:rFonts w:ascii="Times New Roman" w:hAnsi="Times New Roman"/>
          <w:color w:val="auto"/>
          <w:sz w:val="24"/>
          <w:szCs w:val="24"/>
          <w:highlight w:val="none"/>
        </w:rPr>
      </w:pPr>
      <w:r>
        <w:rPr>
          <w:rFonts w:ascii="Times New Roman" w:hAnsi="Times New Roman"/>
          <w:color w:val="auto"/>
          <w:sz w:val="24"/>
          <w:szCs w:val="24"/>
          <w:highlight w:val="none"/>
        </w:rPr>
        <w:t>水质参数的标准指数＞1，表明该水质超过了规定水质标准，已不能满足使用要求。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color w:val="auto"/>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color w:val="auto"/>
          <w:highlight w:val="none"/>
        </w:rPr>
        <w:t>监测结果统计与评价</w:t>
      </w:r>
    </w:p>
    <w:p>
      <w:pPr>
        <w:pStyle w:val="40"/>
        <w:rPr>
          <w:rFonts w:hint="eastAsia"/>
          <w:color w:val="auto"/>
          <w:highlight w:val="none"/>
        </w:rPr>
      </w:pPr>
      <w:r>
        <w:rPr>
          <w:rFonts w:hint="eastAsia"/>
          <w:color w:val="auto"/>
          <w:highlight w:val="none"/>
        </w:rPr>
        <w:t>表</w:t>
      </w:r>
      <w:r>
        <w:rPr>
          <w:rFonts w:hint="eastAsia"/>
          <w:color w:val="auto"/>
          <w:highlight w:val="none"/>
          <w:lang w:val="en-US" w:eastAsia="zh-CN"/>
        </w:rPr>
        <w:t>3</w:t>
      </w:r>
      <w:r>
        <w:rPr>
          <w:rFonts w:hint="eastAsia"/>
          <w:color w:val="auto"/>
          <w:highlight w:val="none"/>
        </w:rPr>
        <w:t>.3-</w:t>
      </w:r>
      <w:r>
        <w:rPr>
          <w:rFonts w:hint="eastAsia"/>
          <w:color w:val="auto"/>
          <w:highlight w:val="none"/>
          <w:lang w:val="en-US" w:eastAsia="zh-CN"/>
        </w:rPr>
        <w:t>8</w:t>
      </w:r>
      <w:r>
        <w:rPr>
          <w:color w:val="auto"/>
          <w:highlight w:val="none"/>
        </w:rPr>
        <w:t>地表水监测结果统计</w:t>
      </w:r>
      <w:r>
        <w:rPr>
          <w:rFonts w:hint="eastAsia"/>
          <w:color w:val="auto"/>
          <w:highlight w:val="none"/>
        </w:rPr>
        <w:t xml:space="preserve">  </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545"/>
        <w:gridCol w:w="1604"/>
        <w:gridCol w:w="1410"/>
        <w:gridCol w:w="1206"/>
        <w:gridCol w:w="970"/>
        <w:gridCol w:w="10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名称</w:t>
            </w:r>
          </w:p>
        </w:tc>
        <w:tc>
          <w:tcPr>
            <w:tcW w:w="1624"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监测项目</w:t>
            </w:r>
          </w:p>
        </w:tc>
        <w:tc>
          <w:tcPr>
            <w:tcW w:w="1287"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监测</w:t>
            </w:r>
            <w:r>
              <w:rPr>
                <w:rFonts w:hint="eastAsia" w:ascii="Times New Roman" w:hAnsi="Times New Roman" w:cs="Times New Roman"/>
                <w:color w:val="auto"/>
                <w:kern w:val="0"/>
                <w:sz w:val="21"/>
                <w:szCs w:val="21"/>
                <w:highlight w:val="none"/>
              </w:rPr>
              <w:t>值范围</w:t>
            </w:r>
          </w:p>
        </w:tc>
        <w:tc>
          <w:tcPr>
            <w:tcW w:w="1441"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标准指数</w:t>
            </w:r>
            <w:r>
              <w:rPr>
                <w:rFonts w:hint="eastAsia" w:ascii="Times New Roman" w:hAnsi="Times New Roman" w:cs="Times New Roman"/>
                <w:color w:val="auto"/>
                <w:kern w:val="0"/>
                <w:sz w:val="21"/>
                <w:szCs w:val="21"/>
                <w:highlight w:val="none"/>
              </w:rPr>
              <w:t>范围</w:t>
            </w:r>
          </w:p>
        </w:tc>
        <w:tc>
          <w:tcPr>
            <w:tcW w:w="1275"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超标率（%）</w:t>
            </w:r>
          </w:p>
        </w:tc>
        <w:tc>
          <w:tcPr>
            <w:tcW w:w="1019"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lang w:eastAsia="zh-CN"/>
              </w:rPr>
              <w:t>最大</w:t>
            </w:r>
            <w:r>
              <w:rPr>
                <w:rFonts w:hint="eastAsia" w:cs="Times New Roman"/>
                <w:color w:val="auto"/>
                <w:sz w:val="21"/>
                <w:szCs w:val="21"/>
                <w:highlight w:val="none"/>
              </w:rPr>
              <w:t>超标倍数</w:t>
            </w:r>
          </w:p>
        </w:tc>
        <w:tc>
          <w:tcPr>
            <w:tcW w:w="1143"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restar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南侧洪河沿项目上游500米</w:t>
            </w:r>
          </w:p>
        </w:tc>
        <w:tc>
          <w:tcPr>
            <w:tcW w:w="1624"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pH</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7.38</w:t>
            </w:r>
            <w:r>
              <w:rPr>
                <w:rFonts w:hint="eastAsia" w:cs="Times New Roman"/>
                <w:color w:val="auto"/>
                <w:sz w:val="21"/>
                <w:szCs w:val="21"/>
                <w:highlight w:val="none"/>
              </w:rPr>
              <w:t>-</w:t>
            </w:r>
            <w:r>
              <w:rPr>
                <w:rFonts w:hint="eastAsia" w:cs="Times New Roman"/>
                <w:color w:val="auto"/>
                <w:sz w:val="21"/>
                <w:szCs w:val="21"/>
                <w:highlight w:val="none"/>
                <w:lang w:val="en-US" w:eastAsia="zh-CN"/>
              </w:rPr>
              <w:t>7.56</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0.23-0.39</w:t>
            </w:r>
          </w:p>
        </w:tc>
        <w:tc>
          <w:tcPr>
            <w:tcW w:w="1275" w:type="dxa"/>
            <w:tcBorders>
              <w:tl2br w:val="nil"/>
              <w:tr2bl w:val="nil"/>
            </w:tcBorders>
            <w:noWrap w:val="0"/>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0</w:t>
            </w:r>
          </w:p>
        </w:tc>
        <w:tc>
          <w:tcPr>
            <w:tcW w:w="1019"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化学需氧量(mg/L）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w:t>
            </w:r>
            <w:r>
              <w:rPr>
                <w:rFonts w:hint="eastAsia" w:cs="Times New Roman"/>
                <w:color w:val="auto"/>
                <w:sz w:val="21"/>
                <w:szCs w:val="21"/>
                <w:highlight w:val="none"/>
              </w:rPr>
              <w:t>-</w:t>
            </w:r>
            <w:r>
              <w:rPr>
                <w:rFonts w:hint="eastAsia" w:cs="Times New Roman"/>
                <w:color w:val="auto"/>
                <w:sz w:val="21"/>
                <w:szCs w:val="21"/>
                <w:highlight w:val="none"/>
                <w:lang w:val="en-US" w:eastAsia="zh-CN"/>
              </w:rPr>
              <w:t>15</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0.55-0.75</w:t>
            </w:r>
          </w:p>
        </w:tc>
        <w:tc>
          <w:tcPr>
            <w:tcW w:w="1275"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019"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default" w:cs="Times New Roman"/>
                <w:color w:val="auto"/>
                <w:sz w:val="21"/>
                <w:szCs w:val="21"/>
                <w:highlight w:val="no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氨氮（mg/L）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0.865</w:t>
            </w:r>
            <w:r>
              <w:rPr>
                <w:rFonts w:hint="eastAsia" w:cs="Times New Roman"/>
                <w:color w:val="auto"/>
                <w:sz w:val="21"/>
                <w:szCs w:val="21"/>
                <w:highlight w:val="none"/>
              </w:rPr>
              <w:t>-</w:t>
            </w:r>
            <w:r>
              <w:rPr>
                <w:rFonts w:hint="eastAsia" w:cs="Times New Roman"/>
                <w:color w:val="auto"/>
                <w:sz w:val="21"/>
                <w:szCs w:val="21"/>
                <w:highlight w:val="none"/>
                <w:lang w:val="en-US" w:eastAsia="zh-CN"/>
              </w:rPr>
              <w:t>0.954</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0.865-0.954</w:t>
            </w:r>
          </w:p>
        </w:tc>
        <w:tc>
          <w:tcPr>
            <w:tcW w:w="1275"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019"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143"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default" w:cs="Times New Roman"/>
                <w:color w:val="auto"/>
                <w:sz w:val="21"/>
                <w:szCs w:val="21"/>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总磷（mg/L）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0.33</w:t>
            </w:r>
            <w:r>
              <w:rPr>
                <w:rFonts w:hint="eastAsia" w:cs="Times New Roman"/>
                <w:color w:val="auto"/>
                <w:sz w:val="21"/>
                <w:szCs w:val="21"/>
                <w:highlight w:val="none"/>
              </w:rPr>
              <w:t>-</w:t>
            </w:r>
            <w:r>
              <w:rPr>
                <w:rFonts w:hint="eastAsia" w:cs="Times New Roman"/>
                <w:color w:val="auto"/>
                <w:sz w:val="21"/>
                <w:szCs w:val="21"/>
                <w:highlight w:val="none"/>
                <w:lang w:val="en-US" w:eastAsia="zh-CN"/>
              </w:rPr>
              <w:t>0.38</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1.65-1.9</w:t>
            </w:r>
          </w:p>
        </w:tc>
        <w:tc>
          <w:tcPr>
            <w:tcW w:w="1275"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019"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0.9</w:t>
            </w:r>
          </w:p>
        </w:tc>
        <w:tc>
          <w:tcPr>
            <w:tcW w:w="1143"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default" w:cs="Times New Roman"/>
                <w:color w:val="auto"/>
                <w:sz w:val="21"/>
                <w:szCs w:val="21"/>
                <w:highlight w:val="none"/>
                <w:lang w:val="en-US" w:eastAsia="zh-CN"/>
              </w:rPr>
              <w:t>≤</w:t>
            </w:r>
            <w:r>
              <w:rPr>
                <w:rFonts w:hint="eastAsia" w:cs="Times New Roman"/>
                <w:color w:val="auto"/>
                <w:sz w:val="21"/>
                <w:szCs w:val="21"/>
                <w:highlight w:val="none"/>
                <w:lang w:val="en-US" w:eastAsia="zh-CN"/>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五日生化需氧量（mg/L）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3.1-3.4</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0.775-0.85</w:t>
            </w:r>
          </w:p>
        </w:tc>
        <w:tc>
          <w:tcPr>
            <w:tcW w:w="1275" w:type="dxa"/>
            <w:tcBorders>
              <w:tl2br w:val="nil"/>
              <w:tr2bl w:val="nil"/>
            </w:tcBorders>
            <w:noWrap w:val="0"/>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0</w:t>
            </w:r>
          </w:p>
        </w:tc>
        <w:tc>
          <w:tcPr>
            <w:tcW w:w="1019"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143"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default" w:cs="Times New Roman"/>
                <w:color w:val="auto"/>
                <w:sz w:val="21"/>
                <w:szCs w:val="21"/>
                <w:highlight w:val="none"/>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粪大肠菌群（个/L）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lang w:val="en-US" w:eastAsia="zh-CN"/>
              </w:rPr>
              <w:t>1.6</w:t>
            </w:r>
            <w:r>
              <w:rPr>
                <w:rFonts w:hint="default" w:ascii="Times New Roman" w:hAnsi="Times New Roman" w:cs="Times New Roman"/>
                <w:color w:val="auto"/>
                <w:kern w:val="0"/>
                <w:sz w:val="21"/>
                <w:szCs w:val="21"/>
                <w:highlight w:val="none"/>
                <w:lang w:bidi="ar"/>
              </w:rPr>
              <w:t>×10</w:t>
            </w:r>
            <w:r>
              <w:rPr>
                <w:rFonts w:hint="eastAsia" w:ascii="Times New Roman" w:hAnsi="Times New Roman" w:cs="Times New Roman"/>
                <w:color w:val="auto"/>
                <w:kern w:val="0"/>
                <w:sz w:val="21"/>
                <w:szCs w:val="21"/>
                <w:highlight w:val="none"/>
                <w:vertAlign w:val="superscript"/>
                <w:lang w:val="en-US" w:eastAsia="zh-CN" w:bidi="ar"/>
              </w:rPr>
              <w:t>3</w:t>
            </w:r>
            <w:r>
              <w:rPr>
                <w:rFonts w:hint="eastAsia" w:ascii="Times New Roman" w:hAnsi="Times New Roman" w:cs="Times New Roman"/>
                <w:color w:val="auto"/>
                <w:kern w:val="0"/>
                <w:sz w:val="21"/>
                <w:szCs w:val="21"/>
                <w:highlight w:val="none"/>
                <w:vertAlign w:val="baseline"/>
                <w:lang w:val="en-US" w:eastAsia="zh-CN" w:bidi="ar"/>
              </w:rPr>
              <w:t>-</w:t>
            </w:r>
            <w:r>
              <w:rPr>
                <w:rFonts w:hint="eastAsia" w:ascii="Times New Roman" w:hAnsi="Times New Roman" w:eastAsia="宋体" w:cs="Times New Roman"/>
                <w:b w:val="0"/>
                <w:bCs w:val="0"/>
                <w:color w:val="auto"/>
                <w:sz w:val="21"/>
                <w:szCs w:val="21"/>
                <w:highlight w:val="none"/>
                <w:lang w:val="en-US" w:eastAsia="zh-CN"/>
              </w:rPr>
              <w:t>1.8</w:t>
            </w:r>
            <w:r>
              <w:rPr>
                <w:rFonts w:hint="default" w:ascii="Times New Roman" w:hAnsi="Times New Roman" w:cs="Times New Roman"/>
                <w:color w:val="auto"/>
                <w:kern w:val="0"/>
                <w:sz w:val="21"/>
                <w:szCs w:val="21"/>
                <w:highlight w:val="none"/>
                <w:lang w:bidi="ar"/>
              </w:rPr>
              <w:t>×10</w:t>
            </w:r>
            <w:r>
              <w:rPr>
                <w:rFonts w:hint="eastAsia" w:ascii="Times New Roman" w:hAnsi="Times New Roman" w:cs="Times New Roman"/>
                <w:color w:val="auto"/>
                <w:kern w:val="0"/>
                <w:sz w:val="21"/>
                <w:szCs w:val="21"/>
                <w:highlight w:val="none"/>
                <w:vertAlign w:val="superscript"/>
                <w:lang w:val="en-US" w:eastAsia="zh-CN" w:bidi="ar"/>
              </w:rPr>
              <w:t>3</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0.16-0.18</w:t>
            </w:r>
          </w:p>
        </w:tc>
        <w:tc>
          <w:tcPr>
            <w:tcW w:w="1275" w:type="dxa"/>
            <w:tcBorders>
              <w:tl2br w:val="nil"/>
              <w:tr2bl w:val="nil"/>
            </w:tcBorders>
            <w:noWrap w:val="0"/>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0</w:t>
            </w:r>
          </w:p>
        </w:tc>
        <w:tc>
          <w:tcPr>
            <w:tcW w:w="1019"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总氮（mg/L）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1.61-1.84</w:t>
            </w:r>
          </w:p>
        </w:tc>
        <w:tc>
          <w:tcPr>
            <w:tcW w:w="1441"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rPr>
            </w:pPr>
            <w:r>
              <w:rPr>
                <w:rFonts w:hint="eastAsia" w:cs="Times New Roman"/>
                <w:color w:val="auto"/>
                <w:sz w:val="21"/>
                <w:szCs w:val="21"/>
                <w:highlight w:val="none"/>
                <w:lang w:val="en-US" w:eastAsia="zh-CN"/>
              </w:rPr>
              <w:t>1.61-1.84</w:t>
            </w:r>
          </w:p>
        </w:tc>
        <w:tc>
          <w:tcPr>
            <w:tcW w:w="1275"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019"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0.84</w:t>
            </w:r>
          </w:p>
        </w:tc>
        <w:tc>
          <w:tcPr>
            <w:tcW w:w="1143"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default" w:cs="Times New Roman"/>
                <w:color w:val="auto"/>
                <w:sz w:val="21"/>
                <w:szCs w:val="21"/>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restar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kern w:val="0"/>
                <w:sz w:val="21"/>
                <w:szCs w:val="21"/>
                <w:highlight w:val="none"/>
                <w:lang w:eastAsia="zh-CN"/>
              </w:rPr>
              <w:t>洪河沿项目下游500米</w:t>
            </w:r>
          </w:p>
        </w:tc>
        <w:tc>
          <w:tcPr>
            <w:tcW w:w="1624"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pH</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7.64</w:t>
            </w:r>
            <w:r>
              <w:rPr>
                <w:rFonts w:hint="eastAsia" w:cs="Times New Roman"/>
                <w:color w:val="auto"/>
                <w:sz w:val="21"/>
                <w:szCs w:val="21"/>
                <w:highlight w:val="none"/>
              </w:rPr>
              <w:t>-</w:t>
            </w:r>
            <w:r>
              <w:rPr>
                <w:rFonts w:hint="eastAsia" w:cs="Times New Roman"/>
                <w:color w:val="auto"/>
                <w:sz w:val="21"/>
                <w:szCs w:val="21"/>
                <w:highlight w:val="none"/>
                <w:lang w:val="en-US" w:eastAsia="zh-CN"/>
              </w:rPr>
              <w:t>7.83</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0.47-0.71</w:t>
            </w:r>
          </w:p>
        </w:tc>
        <w:tc>
          <w:tcPr>
            <w:tcW w:w="1275" w:type="dxa"/>
            <w:tcBorders>
              <w:tl2br w:val="nil"/>
              <w:tr2bl w:val="nil"/>
            </w:tcBorders>
            <w:noWrap w:val="0"/>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0</w:t>
            </w:r>
          </w:p>
        </w:tc>
        <w:tc>
          <w:tcPr>
            <w:tcW w:w="1019"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lang w:val="en-US" w:eastAsia="zh-CN"/>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化学需氧量(mg/L）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r>
              <w:rPr>
                <w:rFonts w:hint="eastAsia" w:cs="Times New Roman"/>
                <w:color w:val="auto"/>
                <w:sz w:val="21"/>
                <w:szCs w:val="21"/>
                <w:highlight w:val="none"/>
              </w:rPr>
              <w:t>-</w:t>
            </w:r>
            <w:r>
              <w:rPr>
                <w:rFonts w:hint="eastAsia" w:cs="Times New Roman"/>
                <w:color w:val="auto"/>
                <w:sz w:val="21"/>
                <w:szCs w:val="21"/>
                <w:highlight w:val="none"/>
                <w:lang w:val="en-US" w:eastAsia="zh-CN"/>
              </w:rPr>
              <w:t>19</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0.75-0.95</w:t>
            </w:r>
          </w:p>
        </w:tc>
        <w:tc>
          <w:tcPr>
            <w:tcW w:w="1275"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019"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143"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default" w:cs="Times New Roman"/>
                <w:color w:val="auto"/>
                <w:sz w:val="21"/>
                <w:szCs w:val="21"/>
                <w:highlight w:val="no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氨氮（mg/L）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1.36</w:t>
            </w:r>
            <w:r>
              <w:rPr>
                <w:rFonts w:hint="eastAsia" w:cs="Times New Roman"/>
                <w:color w:val="auto"/>
                <w:sz w:val="21"/>
                <w:szCs w:val="21"/>
                <w:highlight w:val="none"/>
              </w:rPr>
              <w:t>-</w:t>
            </w:r>
            <w:r>
              <w:rPr>
                <w:rFonts w:hint="eastAsia" w:cs="Times New Roman"/>
                <w:color w:val="auto"/>
                <w:sz w:val="21"/>
                <w:szCs w:val="21"/>
                <w:highlight w:val="none"/>
                <w:lang w:val="en-US" w:eastAsia="zh-CN"/>
              </w:rPr>
              <w:t>1.49</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1.36-1.49</w:t>
            </w:r>
          </w:p>
        </w:tc>
        <w:tc>
          <w:tcPr>
            <w:tcW w:w="1275"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019"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0.49</w:t>
            </w:r>
          </w:p>
        </w:tc>
        <w:tc>
          <w:tcPr>
            <w:tcW w:w="1143"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default" w:cs="Times New Roman"/>
                <w:color w:val="auto"/>
                <w:sz w:val="21"/>
                <w:szCs w:val="21"/>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总磷（mg/L）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0.45</w:t>
            </w:r>
            <w:r>
              <w:rPr>
                <w:rFonts w:hint="eastAsia" w:cs="Times New Roman"/>
                <w:color w:val="auto"/>
                <w:sz w:val="21"/>
                <w:szCs w:val="21"/>
                <w:highlight w:val="none"/>
              </w:rPr>
              <w:t>-</w:t>
            </w:r>
            <w:r>
              <w:rPr>
                <w:rFonts w:hint="eastAsia" w:cs="Times New Roman"/>
                <w:color w:val="auto"/>
                <w:sz w:val="21"/>
                <w:szCs w:val="21"/>
                <w:highlight w:val="none"/>
                <w:lang w:val="en-US" w:eastAsia="zh-CN"/>
              </w:rPr>
              <w:t>0.52</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2.25-2.6</w:t>
            </w:r>
          </w:p>
        </w:tc>
        <w:tc>
          <w:tcPr>
            <w:tcW w:w="1275"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019"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1143"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default" w:cs="Times New Roman"/>
                <w:color w:val="auto"/>
                <w:sz w:val="21"/>
                <w:szCs w:val="21"/>
                <w:highlight w:val="none"/>
                <w:lang w:val="en-US" w:eastAsia="zh-CN"/>
              </w:rPr>
              <w:t>≤</w:t>
            </w:r>
            <w:r>
              <w:rPr>
                <w:rFonts w:hint="eastAsia" w:cs="Times New Roman"/>
                <w:color w:val="auto"/>
                <w:sz w:val="21"/>
                <w:szCs w:val="21"/>
                <w:highlight w:val="none"/>
                <w:lang w:val="en-US" w:eastAsia="zh-CN"/>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五日生化需氧量（mg/L）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3.7-4.3</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0.925-1.075</w:t>
            </w:r>
          </w:p>
        </w:tc>
        <w:tc>
          <w:tcPr>
            <w:tcW w:w="1275"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33.3%</w:t>
            </w:r>
          </w:p>
        </w:tc>
        <w:tc>
          <w:tcPr>
            <w:tcW w:w="1019"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0.075</w:t>
            </w:r>
          </w:p>
        </w:tc>
        <w:tc>
          <w:tcPr>
            <w:tcW w:w="1143"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default" w:cs="Times New Roman"/>
                <w:color w:val="auto"/>
                <w:sz w:val="21"/>
                <w:szCs w:val="21"/>
                <w:highlight w:val="none"/>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粪大肠菌群（个/L）</w:t>
            </w:r>
          </w:p>
        </w:tc>
        <w:tc>
          <w:tcPr>
            <w:tcW w:w="1287"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2.7</w:t>
            </w:r>
            <w:r>
              <w:rPr>
                <w:rFonts w:hint="default" w:ascii="Times New Roman" w:hAnsi="Times New Roman" w:cs="Times New Roman"/>
                <w:color w:val="auto"/>
                <w:kern w:val="0"/>
                <w:sz w:val="21"/>
                <w:szCs w:val="21"/>
                <w:highlight w:val="none"/>
                <w:lang w:bidi="ar"/>
              </w:rPr>
              <w:t>×10</w:t>
            </w:r>
            <w:r>
              <w:rPr>
                <w:rFonts w:hint="eastAsia" w:ascii="Times New Roman" w:hAnsi="Times New Roman" w:cs="Times New Roman"/>
                <w:color w:val="auto"/>
                <w:kern w:val="0"/>
                <w:sz w:val="21"/>
                <w:szCs w:val="21"/>
                <w:highlight w:val="none"/>
                <w:vertAlign w:val="superscript"/>
                <w:lang w:val="en-US" w:eastAsia="zh-CN" w:bidi="ar"/>
              </w:rPr>
              <w:t>3</w:t>
            </w:r>
            <w:r>
              <w:rPr>
                <w:rFonts w:hint="eastAsia" w:ascii="Times New Roman" w:hAnsi="Times New Roman" w:cs="Times New Roman"/>
                <w:color w:val="auto"/>
                <w:kern w:val="0"/>
                <w:sz w:val="21"/>
                <w:szCs w:val="21"/>
                <w:highlight w:val="none"/>
                <w:vertAlign w:val="baseline"/>
                <w:lang w:val="en-US" w:eastAsia="zh-CN" w:bidi="ar"/>
              </w:rPr>
              <w:t>-</w:t>
            </w:r>
            <w:r>
              <w:rPr>
                <w:rFonts w:hint="eastAsia" w:ascii="Times New Roman" w:hAnsi="Times New Roman" w:eastAsia="宋体" w:cs="Times New Roman"/>
                <w:b w:val="0"/>
                <w:bCs w:val="0"/>
                <w:color w:val="auto"/>
                <w:sz w:val="21"/>
                <w:szCs w:val="21"/>
                <w:highlight w:val="none"/>
                <w:lang w:val="en-US" w:eastAsia="zh-CN"/>
              </w:rPr>
              <w:t>3.4</w:t>
            </w:r>
            <w:r>
              <w:rPr>
                <w:rFonts w:hint="default" w:ascii="Times New Roman" w:hAnsi="Times New Roman" w:cs="Times New Roman"/>
                <w:color w:val="auto"/>
                <w:kern w:val="0"/>
                <w:sz w:val="21"/>
                <w:szCs w:val="21"/>
                <w:highlight w:val="none"/>
                <w:lang w:bidi="ar"/>
              </w:rPr>
              <w:t>×10</w:t>
            </w:r>
            <w:r>
              <w:rPr>
                <w:rFonts w:hint="eastAsia" w:ascii="Times New Roman" w:hAnsi="Times New Roman" w:cs="Times New Roman"/>
                <w:color w:val="auto"/>
                <w:kern w:val="0"/>
                <w:sz w:val="21"/>
                <w:szCs w:val="21"/>
                <w:highlight w:val="none"/>
                <w:vertAlign w:val="superscript"/>
                <w:lang w:val="en-US" w:eastAsia="zh-CN" w:bidi="ar"/>
              </w:rPr>
              <w:t>3</w:t>
            </w:r>
          </w:p>
        </w:tc>
        <w:tc>
          <w:tcPr>
            <w:tcW w:w="1441"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0.27-0.34</w:t>
            </w:r>
          </w:p>
        </w:tc>
        <w:tc>
          <w:tcPr>
            <w:tcW w:w="1275" w:type="dxa"/>
            <w:tcBorders>
              <w:tl2br w:val="nil"/>
              <w:tr2bl w:val="nil"/>
            </w:tcBorders>
            <w:noWrap w:val="0"/>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0</w:t>
            </w:r>
          </w:p>
        </w:tc>
        <w:tc>
          <w:tcPr>
            <w:tcW w:w="1019"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1143"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lang w:val="en-US" w:eastAsia="zh-CN"/>
              </w:rPr>
              <w:t>10000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1624"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总氮（mg/L）</w:t>
            </w:r>
          </w:p>
        </w:tc>
        <w:tc>
          <w:tcPr>
            <w:tcW w:w="1287"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1.93-2.02</w:t>
            </w:r>
          </w:p>
        </w:tc>
        <w:tc>
          <w:tcPr>
            <w:tcW w:w="1441"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rPr>
            </w:pPr>
            <w:r>
              <w:rPr>
                <w:rFonts w:hint="eastAsia" w:cs="Times New Roman"/>
                <w:color w:val="auto"/>
                <w:sz w:val="21"/>
                <w:szCs w:val="21"/>
                <w:highlight w:val="none"/>
                <w:lang w:val="en-US" w:eastAsia="zh-CN"/>
              </w:rPr>
              <w:t>1.93-2.02</w:t>
            </w:r>
          </w:p>
        </w:tc>
        <w:tc>
          <w:tcPr>
            <w:tcW w:w="1275"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019"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1.02</w:t>
            </w:r>
          </w:p>
        </w:tc>
        <w:tc>
          <w:tcPr>
            <w:tcW w:w="1143"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default" w:cs="Times New Roman"/>
                <w:color w:val="auto"/>
                <w:sz w:val="21"/>
                <w:szCs w:val="21"/>
                <w:highlight w:val="none"/>
                <w:lang w:val="en-US" w:eastAsia="zh-CN"/>
              </w:rPr>
              <w:t>≤1.0</w:t>
            </w:r>
          </w:p>
        </w:tc>
      </w:tr>
    </w:tbl>
    <w:p>
      <w:pPr>
        <w:ind w:left="0" w:leftChars="0" w:firstLine="480" w:firstLineChars="200"/>
        <w:rPr>
          <w:rFonts w:hint="eastAsia"/>
          <w:color w:val="auto"/>
          <w:highlight w:val="none"/>
          <w:lang w:eastAsia="zh-CN"/>
        </w:rPr>
      </w:pPr>
      <w:r>
        <w:rPr>
          <w:rFonts w:hint="eastAsia"/>
          <w:color w:val="auto"/>
          <w:highlight w:val="none"/>
        </w:rPr>
        <w:t>由表3.3-</w:t>
      </w:r>
      <w:r>
        <w:rPr>
          <w:rFonts w:hint="eastAsia"/>
          <w:color w:val="auto"/>
          <w:highlight w:val="none"/>
          <w:lang w:val="en-US" w:eastAsia="zh-CN"/>
        </w:rPr>
        <w:t>8</w:t>
      </w:r>
      <w:r>
        <w:rPr>
          <w:rFonts w:hint="eastAsia"/>
          <w:color w:val="auto"/>
          <w:highlight w:val="none"/>
        </w:rPr>
        <w:t>统计结果可知，</w:t>
      </w:r>
      <w:r>
        <w:rPr>
          <w:rFonts w:hint="eastAsia"/>
          <w:color w:val="auto"/>
          <w:highlight w:val="none"/>
          <w:lang w:eastAsia="zh-CN"/>
        </w:rPr>
        <w:t>五日生化需氧量</w:t>
      </w:r>
      <w:r>
        <w:rPr>
          <w:rFonts w:hint="eastAsia"/>
          <w:color w:val="auto"/>
          <w:highlight w:val="none"/>
        </w:rPr>
        <w:t>、氨氮、总</w:t>
      </w:r>
      <w:r>
        <w:rPr>
          <w:rFonts w:hint="eastAsia"/>
          <w:color w:val="auto"/>
          <w:highlight w:val="none"/>
          <w:lang w:eastAsia="zh-CN"/>
        </w:rPr>
        <w:t>氮、总磷</w:t>
      </w:r>
      <w:r>
        <w:rPr>
          <w:rFonts w:hint="eastAsia"/>
          <w:color w:val="auto"/>
          <w:highlight w:val="none"/>
        </w:rPr>
        <w:t>浓度出现超标，其他各监测因子均符合《地表水环境质量标准》（GB3838-2002）Ⅲ类标准要求。</w:t>
      </w:r>
      <w:r>
        <w:rPr>
          <w:rFonts w:hint="eastAsia"/>
          <w:color w:val="auto"/>
          <w:highlight w:val="none"/>
          <w:lang w:eastAsia="zh-CN"/>
        </w:rPr>
        <w:t>根据现场踏勘，其超标原因主要是由于洪河沿河接纳了大量的污水造成的，洪河两岸村庄居民污水未经处理直接排入洪河，河流两岸农田施肥随雨水流入洪河。</w:t>
      </w:r>
    </w:p>
    <w:p>
      <w:pPr>
        <w:ind w:left="0" w:leftChars="0" w:firstLine="480" w:firstLineChars="200"/>
        <w:rPr>
          <w:rFonts w:hint="eastAsia"/>
          <w:color w:val="auto"/>
          <w:highlight w:val="none"/>
        </w:rPr>
      </w:pPr>
      <w:r>
        <w:rPr>
          <w:rFonts w:hint="eastAsia"/>
          <w:color w:val="auto"/>
          <w:highlight w:val="none"/>
          <w:lang w:eastAsia="zh-CN"/>
        </w:rPr>
        <w:t>由于</w:t>
      </w:r>
      <w:r>
        <w:rPr>
          <w:rFonts w:hint="eastAsia"/>
          <w:color w:val="auto"/>
          <w:highlight w:val="none"/>
        </w:rPr>
        <w:t>本项目无废水排放，因此不会对地表水体产生影响。</w:t>
      </w:r>
    </w:p>
    <w:p>
      <w:pPr>
        <w:pStyle w:val="5"/>
        <w:spacing w:before="66"/>
        <w:ind w:firstLine="0" w:firstLineChars="0"/>
        <w:rPr>
          <w:rFonts w:cs="Times New Roman"/>
          <w:color w:val="auto"/>
          <w:highlight w:val="none"/>
        </w:rPr>
      </w:pPr>
      <w:r>
        <w:rPr>
          <w:rFonts w:hint="eastAsia" w:cs="Times New Roman"/>
          <w:color w:val="auto"/>
          <w:highlight w:val="none"/>
          <w:lang w:val="en-US" w:eastAsia="zh-CN"/>
        </w:rPr>
        <w:t>3</w:t>
      </w:r>
      <w:r>
        <w:rPr>
          <w:rFonts w:cs="Times New Roman"/>
          <w:color w:val="auto"/>
          <w:highlight w:val="none"/>
        </w:rPr>
        <w:t>.</w:t>
      </w:r>
      <w:r>
        <w:rPr>
          <w:rFonts w:hint="eastAsia" w:cs="Times New Roman"/>
          <w:color w:val="auto"/>
          <w:highlight w:val="none"/>
          <w:lang w:val="en-US" w:eastAsia="zh-CN"/>
        </w:rPr>
        <w:t>2</w:t>
      </w:r>
      <w:r>
        <w:rPr>
          <w:rFonts w:cs="Times New Roman"/>
          <w:color w:val="auto"/>
          <w:highlight w:val="none"/>
        </w:rPr>
        <w:t>.3地下水环境质量现状监测与评价</w:t>
      </w:r>
    </w:p>
    <w:p>
      <w:pPr>
        <w:keepNext w:val="0"/>
        <w:keepLines w:val="0"/>
        <w:pageBreakBefore w:val="0"/>
        <w:widowControl/>
        <w:kinsoku/>
        <w:wordWrap/>
        <w:overflowPunct/>
        <w:topLinePunct w:val="0"/>
        <w:autoSpaceDE/>
        <w:autoSpaceDN/>
        <w:bidi w:val="0"/>
        <w:adjustRightInd/>
        <w:snapToGrid/>
        <w:ind w:firstLine="480"/>
        <w:textAlignment w:val="auto"/>
        <w:rPr>
          <w:rFonts w:cs="Times New Roman"/>
          <w:color w:val="auto"/>
          <w:highlight w:val="none"/>
        </w:rPr>
      </w:pPr>
      <w:r>
        <w:rPr>
          <w:rFonts w:cs="Times New Roman"/>
          <w:color w:val="auto"/>
          <w:highlight w:val="none"/>
        </w:rPr>
        <w:t>（1）监测因子和监测断面</w:t>
      </w:r>
    </w:p>
    <w:p>
      <w:pPr>
        <w:keepNext w:val="0"/>
        <w:keepLines w:val="0"/>
        <w:pageBreakBefore w:val="0"/>
        <w:widowControl/>
        <w:kinsoku/>
        <w:wordWrap/>
        <w:overflowPunct/>
        <w:topLinePunct w:val="0"/>
        <w:autoSpaceDE/>
        <w:autoSpaceDN/>
        <w:bidi w:val="0"/>
        <w:adjustRightInd/>
        <w:snapToGrid/>
        <w:ind w:firstLine="480"/>
        <w:textAlignment w:val="auto"/>
        <w:rPr>
          <w:rFonts w:cs="Times New Roman"/>
          <w:color w:val="auto"/>
          <w:highlight w:val="none"/>
        </w:rPr>
      </w:pPr>
      <w:r>
        <w:rPr>
          <w:rFonts w:hint="eastAsia"/>
          <w:color w:val="auto"/>
          <w:highlight w:val="none"/>
          <w:lang w:eastAsia="zh-CN"/>
        </w:rPr>
        <w:t>河南申越检测技术有限公司</w:t>
      </w:r>
      <w:r>
        <w:rPr>
          <w:rFonts w:hint="eastAsia"/>
          <w:color w:val="auto"/>
          <w:highlight w:val="none"/>
        </w:rPr>
        <w:t>于</w:t>
      </w:r>
      <w:r>
        <w:rPr>
          <w:rFonts w:hint="eastAsia" w:ascii="Times New Roman" w:eastAsia="宋体"/>
          <w:color w:val="auto"/>
          <w:highlight w:val="none"/>
          <w:lang w:val="en-US" w:eastAsia="zh-CN"/>
        </w:rPr>
        <w:t>2020</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1</w:t>
      </w:r>
      <w:r>
        <w:rPr>
          <w:rFonts w:hint="eastAsia"/>
          <w:color w:val="auto"/>
          <w:highlight w:val="none"/>
        </w:rPr>
        <w:t>日-20</w:t>
      </w:r>
      <w:r>
        <w:rPr>
          <w:rFonts w:hint="eastAsia" w:ascii="Times New Roman" w:eastAsia="宋体"/>
          <w:color w:val="auto"/>
          <w:highlight w:val="none"/>
          <w:lang w:val="en-US" w:eastAsia="zh-CN"/>
        </w:rPr>
        <w:t>20</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2</w:t>
      </w:r>
      <w:r>
        <w:rPr>
          <w:rFonts w:hint="eastAsia"/>
          <w:color w:val="auto"/>
          <w:highlight w:val="none"/>
        </w:rPr>
        <w:t>日对本项目</w:t>
      </w:r>
      <w:r>
        <w:rPr>
          <w:rFonts w:hint="eastAsia"/>
          <w:color w:val="auto"/>
          <w:highlight w:val="none"/>
          <w:lang w:eastAsia="zh-CN"/>
        </w:rPr>
        <w:t>地下水</w:t>
      </w:r>
      <w:r>
        <w:rPr>
          <w:rFonts w:hint="eastAsia" w:eastAsia="宋体"/>
          <w:color w:val="auto"/>
          <w:highlight w:val="none"/>
          <w:lang w:eastAsia="zh-CN"/>
        </w:rPr>
        <w:t>进行了</w:t>
      </w:r>
      <w:r>
        <w:rPr>
          <w:rFonts w:hint="eastAsia"/>
          <w:color w:val="auto"/>
          <w:highlight w:val="none"/>
        </w:rPr>
        <w:t>监测</w:t>
      </w:r>
      <w:r>
        <w:rPr>
          <w:rFonts w:hint="eastAsia" w:cs="Times New Roman"/>
          <w:color w:val="auto"/>
          <w:highlight w:val="none"/>
        </w:rPr>
        <w:t>，监测数据有较好的代表性。</w:t>
      </w:r>
    </w:p>
    <w:p>
      <w:pPr>
        <w:keepNext w:val="0"/>
        <w:keepLines w:val="0"/>
        <w:pageBreakBefore w:val="0"/>
        <w:widowControl/>
        <w:kinsoku/>
        <w:wordWrap/>
        <w:overflowPunct/>
        <w:topLinePunct w:val="0"/>
        <w:autoSpaceDE/>
        <w:autoSpaceDN/>
        <w:bidi w:val="0"/>
        <w:adjustRightInd/>
        <w:snapToGrid/>
        <w:ind w:firstLine="480"/>
        <w:textAlignment w:val="auto"/>
        <w:rPr>
          <w:rFonts w:cs="Times New Roman"/>
          <w:color w:val="auto"/>
          <w:highlight w:val="none"/>
        </w:rPr>
      </w:pPr>
      <w:r>
        <w:rPr>
          <w:rFonts w:cs="Times New Roman"/>
          <w:color w:val="auto"/>
          <w:highlight w:val="none"/>
        </w:rPr>
        <w:t>地</w:t>
      </w:r>
      <w:r>
        <w:rPr>
          <w:rFonts w:hint="eastAsia" w:cs="Times New Roman"/>
          <w:color w:val="auto"/>
          <w:highlight w:val="none"/>
        </w:rPr>
        <w:t>下</w:t>
      </w:r>
      <w:r>
        <w:rPr>
          <w:rFonts w:cs="Times New Roman"/>
          <w:color w:val="auto"/>
          <w:highlight w:val="none"/>
        </w:rPr>
        <w:t>水共设</w:t>
      </w:r>
      <w:r>
        <w:rPr>
          <w:rFonts w:hint="eastAsia" w:cs="Times New Roman"/>
          <w:color w:val="auto"/>
          <w:highlight w:val="none"/>
        </w:rPr>
        <w:t>3</w:t>
      </w:r>
      <w:r>
        <w:rPr>
          <w:rFonts w:cs="Times New Roman"/>
          <w:color w:val="auto"/>
          <w:highlight w:val="none"/>
        </w:rPr>
        <w:t>个</w:t>
      </w:r>
      <w:r>
        <w:rPr>
          <w:rFonts w:hint="eastAsia" w:cs="Times New Roman"/>
          <w:color w:val="auto"/>
          <w:highlight w:val="none"/>
          <w:lang w:eastAsia="zh-CN"/>
        </w:rPr>
        <w:t>水质</w:t>
      </w:r>
      <w:r>
        <w:rPr>
          <w:rFonts w:cs="Times New Roman"/>
          <w:color w:val="auto"/>
          <w:highlight w:val="none"/>
        </w:rPr>
        <w:t>监测</w:t>
      </w:r>
      <w:r>
        <w:rPr>
          <w:rFonts w:hint="eastAsia" w:cs="Times New Roman"/>
          <w:color w:val="auto"/>
          <w:highlight w:val="none"/>
        </w:rPr>
        <w:t>点位</w:t>
      </w:r>
      <w:r>
        <w:rPr>
          <w:rFonts w:cs="Times New Roman"/>
          <w:color w:val="auto"/>
          <w:highlight w:val="none"/>
        </w:rPr>
        <w:t>，详见表</w:t>
      </w:r>
      <w:r>
        <w:rPr>
          <w:rFonts w:hint="eastAsia" w:cs="Times New Roman"/>
          <w:color w:val="auto"/>
          <w:highlight w:val="none"/>
          <w:lang w:val="en-US" w:eastAsia="zh-CN"/>
        </w:rPr>
        <w:t>3</w:t>
      </w:r>
      <w:r>
        <w:rPr>
          <w:rFonts w:hint="eastAsia" w:cs="Times New Roman"/>
          <w:color w:val="auto"/>
          <w:highlight w:val="none"/>
        </w:rPr>
        <w:t>.3</w:t>
      </w:r>
      <w:r>
        <w:rPr>
          <w:rFonts w:cs="Times New Roman"/>
          <w:color w:val="auto"/>
          <w:highlight w:val="none"/>
        </w:rPr>
        <w:t>-</w:t>
      </w:r>
      <w:r>
        <w:rPr>
          <w:rFonts w:hint="eastAsia" w:cs="Times New Roman"/>
          <w:color w:val="auto"/>
          <w:highlight w:val="none"/>
          <w:lang w:val="en-US" w:eastAsia="zh-CN"/>
        </w:rPr>
        <w:t>9</w:t>
      </w:r>
      <w:r>
        <w:rPr>
          <w:rFonts w:cs="Times New Roman"/>
          <w:color w:val="auto"/>
          <w:highlight w:val="none"/>
        </w:rPr>
        <w:t>。</w:t>
      </w:r>
    </w:p>
    <w:p>
      <w:pPr>
        <w:pStyle w:val="40"/>
        <w:rPr>
          <w:rFonts w:cs="Times New Roman"/>
          <w:color w:val="auto"/>
          <w:highlight w:val="none"/>
        </w:rPr>
      </w:pPr>
      <w:r>
        <w:rPr>
          <w:rFonts w:hint="eastAsia" w:cs="Times New Roman"/>
          <w:color w:val="auto"/>
          <w:highlight w:val="none"/>
        </w:rPr>
        <w:t>表</w:t>
      </w:r>
      <w:r>
        <w:rPr>
          <w:rFonts w:hint="eastAsia" w:cs="Times New Roman"/>
          <w:color w:val="auto"/>
          <w:highlight w:val="none"/>
          <w:lang w:val="en-US" w:eastAsia="zh-CN"/>
        </w:rPr>
        <w:t>3</w:t>
      </w:r>
      <w:r>
        <w:rPr>
          <w:rFonts w:hint="eastAsia" w:cs="Times New Roman"/>
          <w:color w:val="auto"/>
          <w:highlight w:val="none"/>
        </w:rPr>
        <w:t>.3-</w:t>
      </w:r>
      <w:r>
        <w:rPr>
          <w:rFonts w:hint="eastAsia" w:cs="Times New Roman"/>
          <w:color w:val="auto"/>
          <w:highlight w:val="none"/>
          <w:lang w:val="en-US" w:eastAsia="zh-CN"/>
        </w:rPr>
        <w:t xml:space="preserve">9 </w:t>
      </w:r>
      <w:r>
        <w:rPr>
          <w:rFonts w:hint="eastAsia" w:cs="Times New Roman"/>
          <w:color w:val="auto"/>
          <w:highlight w:val="none"/>
        </w:rPr>
        <w:t>地下水</w:t>
      </w:r>
      <w:r>
        <w:rPr>
          <w:rFonts w:cs="Times New Roman"/>
          <w:color w:val="auto"/>
          <w:highlight w:val="none"/>
        </w:rPr>
        <w:t>水</w:t>
      </w:r>
      <w:r>
        <w:rPr>
          <w:rFonts w:hint="eastAsia" w:cs="Times New Roman"/>
          <w:color w:val="auto"/>
          <w:highlight w:val="none"/>
          <w:lang w:eastAsia="zh-CN"/>
        </w:rPr>
        <w:t>质</w:t>
      </w:r>
      <w:r>
        <w:rPr>
          <w:rFonts w:cs="Times New Roman"/>
          <w:color w:val="auto"/>
          <w:highlight w:val="none"/>
        </w:rPr>
        <w:t>监测</w:t>
      </w:r>
      <w:r>
        <w:rPr>
          <w:rFonts w:hint="eastAsia" w:cs="Times New Roman"/>
          <w:color w:val="auto"/>
          <w:highlight w:val="none"/>
        </w:rPr>
        <w:t>方案</w:t>
      </w:r>
    </w:p>
    <w:tbl>
      <w:tblPr>
        <w:tblStyle w:val="24"/>
        <w:tblW w:w="829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3"/>
        <w:gridCol w:w="2699"/>
        <w:gridCol w:w="47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3" w:type="dxa"/>
            <w:tcBorders>
              <w:tl2br w:val="nil"/>
              <w:tr2bl w:val="nil"/>
            </w:tcBorders>
            <w:vAlign w:val="center"/>
          </w:tcPr>
          <w:p>
            <w:pPr>
              <w:spacing w:line="240" w:lineRule="auto"/>
              <w:ind w:firstLine="0" w:firstLineChars="0"/>
              <w:jc w:val="center"/>
              <w:rPr>
                <w:rFonts w:hint="eastAsia" w:cs="Times New Roman"/>
                <w:b/>
                <w:bCs/>
                <w:color w:val="auto"/>
                <w:sz w:val="21"/>
                <w:szCs w:val="21"/>
                <w:highlight w:val="none"/>
              </w:rPr>
            </w:pPr>
            <w:r>
              <w:rPr>
                <w:rFonts w:hint="eastAsia" w:cs="Times New Roman"/>
                <w:b/>
                <w:bCs/>
                <w:color w:val="auto"/>
                <w:sz w:val="21"/>
                <w:szCs w:val="21"/>
                <w:highlight w:val="none"/>
              </w:rPr>
              <w:t>编号</w:t>
            </w:r>
          </w:p>
        </w:tc>
        <w:tc>
          <w:tcPr>
            <w:tcW w:w="2699" w:type="dxa"/>
            <w:tcBorders>
              <w:tl2br w:val="nil"/>
              <w:tr2bl w:val="nil"/>
            </w:tcBorders>
            <w:vAlign w:val="center"/>
          </w:tcPr>
          <w:p>
            <w:pPr>
              <w:spacing w:line="240" w:lineRule="auto"/>
              <w:ind w:firstLine="0" w:firstLineChars="0"/>
              <w:jc w:val="center"/>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点位</w:t>
            </w:r>
          </w:p>
        </w:tc>
        <w:tc>
          <w:tcPr>
            <w:tcW w:w="4739" w:type="dxa"/>
            <w:tcBorders>
              <w:tl2br w:val="nil"/>
              <w:tr2bl w:val="nil"/>
            </w:tcBorders>
            <w:vAlign w:val="center"/>
          </w:tcPr>
          <w:p>
            <w:pPr>
              <w:pStyle w:val="42"/>
              <w:spacing w:line="240" w:lineRule="auto"/>
              <w:ind w:firstLine="0" w:firstLineChars="0"/>
              <w:rPr>
                <w:b/>
                <w:bCs/>
                <w:color w:val="auto"/>
                <w:kern w:val="2"/>
                <w:highlight w:val="none"/>
              </w:rPr>
            </w:pPr>
            <w:r>
              <w:rPr>
                <w:rFonts w:hint="eastAsia"/>
                <w:b/>
                <w:bCs/>
                <w:color w:val="auto"/>
                <w:kern w:val="2"/>
                <w:highlight w:val="none"/>
              </w:rPr>
              <w:t>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53" w:type="dxa"/>
            <w:tcBorders>
              <w:tl2br w:val="nil"/>
              <w:tr2bl w:val="nil"/>
            </w:tcBorders>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1</w:t>
            </w:r>
          </w:p>
        </w:tc>
        <w:tc>
          <w:tcPr>
            <w:tcW w:w="2699" w:type="dxa"/>
            <w:tcBorders>
              <w:tl2br w:val="nil"/>
              <w:tr2bl w:val="nil"/>
            </w:tcBorders>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吴自岐庄</w:t>
            </w:r>
          </w:p>
        </w:tc>
        <w:tc>
          <w:tcPr>
            <w:tcW w:w="4739" w:type="dxa"/>
            <w:vMerge w:val="restart"/>
            <w:tcBorders>
              <w:tl2br w:val="nil"/>
              <w:tr2bl w:val="nil"/>
            </w:tcBorders>
            <w:vAlign w:val="center"/>
          </w:tcPr>
          <w:p>
            <w:pPr>
              <w:spacing w:line="300" w:lineRule="exact"/>
              <w:ind w:left="0" w:leftChars="0" w:firstLine="0" w:firstLineChars="0"/>
              <w:jc w:val="both"/>
              <w:rPr>
                <w:rFonts w:hint="eastAsia"/>
                <w:color w:val="auto"/>
                <w:sz w:val="21"/>
                <w:szCs w:val="21"/>
                <w:highlight w:val="none"/>
              </w:rPr>
            </w:pPr>
            <w:r>
              <w:rPr>
                <w:rFonts w:hint="eastAsia"/>
                <w:color w:val="auto"/>
                <w:sz w:val="21"/>
                <w:szCs w:val="21"/>
                <w:highlight w:val="none"/>
              </w:rPr>
              <w:t>K</w:t>
            </w:r>
            <w:r>
              <w:rPr>
                <w:rFonts w:hint="eastAsia"/>
                <w:color w:val="auto"/>
                <w:sz w:val="21"/>
                <w:szCs w:val="21"/>
                <w:highlight w:val="none"/>
                <w:vertAlign w:val="superscript"/>
              </w:rPr>
              <w:t>+</w:t>
            </w:r>
            <w:r>
              <w:rPr>
                <w:rFonts w:hint="eastAsia"/>
                <w:color w:val="auto"/>
                <w:sz w:val="21"/>
                <w:szCs w:val="21"/>
                <w:highlight w:val="none"/>
              </w:rPr>
              <w:t>、Na</w:t>
            </w:r>
            <w:r>
              <w:rPr>
                <w:rFonts w:hint="eastAsia"/>
                <w:color w:val="auto"/>
                <w:sz w:val="21"/>
                <w:szCs w:val="21"/>
                <w:highlight w:val="none"/>
                <w:vertAlign w:val="superscript"/>
              </w:rPr>
              <w:t>+</w:t>
            </w:r>
            <w:r>
              <w:rPr>
                <w:rFonts w:hint="eastAsia"/>
                <w:color w:val="auto"/>
                <w:sz w:val="21"/>
                <w:szCs w:val="21"/>
                <w:highlight w:val="none"/>
              </w:rPr>
              <w:t>、Ca</w:t>
            </w:r>
            <w:r>
              <w:rPr>
                <w:rFonts w:hint="eastAsia"/>
                <w:color w:val="auto"/>
                <w:sz w:val="21"/>
                <w:szCs w:val="21"/>
                <w:highlight w:val="none"/>
                <w:vertAlign w:val="superscript"/>
              </w:rPr>
              <w:t>2+</w:t>
            </w:r>
            <w:r>
              <w:rPr>
                <w:rFonts w:hint="eastAsia"/>
                <w:color w:val="auto"/>
                <w:sz w:val="21"/>
                <w:szCs w:val="21"/>
                <w:highlight w:val="none"/>
              </w:rPr>
              <w:t>、Mg</w:t>
            </w:r>
            <w:r>
              <w:rPr>
                <w:rFonts w:hint="eastAsia"/>
                <w:color w:val="auto"/>
                <w:sz w:val="21"/>
                <w:szCs w:val="21"/>
                <w:highlight w:val="none"/>
                <w:vertAlign w:val="superscript"/>
              </w:rPr>
              <w:t>2+</w:t>
            </w:r>
            <w:r>
              <w:rPr>
                <w:rFonts w:hint="eastAsia"/>
                <w:color w:val="auto"/>
                <w:sz w:val="21"/>
                <w:szCs w:val="21"/>
                <w:highlight w:val="none"/>
              </w:rPr>
              <w:t>、CO</w:t>
            </w:r>
            <w:r>
              <w:rPr>
                <w:rFonts w:hint="eastAsia"/>
                <w:color w:val="auto"/>
                <w:sz w:val="21"/>
                <w:szCs w:val="21"/>
                <w:highlight w:val="none"/>
                <w:vertAlign w:val="subscript"/>
              </w:rPr>
              <w:t>3</w:t>
            </w:r>
            <w:r>
              <w:rPr>
                <w:rFonts w:hint="eastAsia"/>
                <w:color w:val="auto"/>
                <w:sz w:val="21"/>
                <w:szCs w:val="21"/>
                <w:highlight w:val="none"/>
                <w:vertAlign w:val="superscript"/>
              </w:rPr>
              <w:t>2—</w:t>
            </w:r>
            <w:r>
              <w:rPr>
                <w:rFonts w:hint="eastAsia"/>
                <w:color w:val="auto"/>
                <w:sz w:val="21"/>
                <w:szCs w:val="21"/>
                <w:highlight w:val="none"/>
              </w:rPr>
              <w:t>、HCO</w:t>
            </w:r>
            <w:r>
              <w:rPr>
                <w:rFonts w:hint="eastAsia"/>
                <w:color w:val="auto"/>
                <w:sz w:val="21"/>
                <w:szCs w:val="21"/>
                <w:highlight w:val="none"/>
                <w:vertAlign w:val="subscript"/>
              </w:rPr>
              <w:t>3</w:t>
            </w:r>
            <w:r>
              <w:rPr>
                <w:rFonts w:hint="eastAsia"/>
                <w:color w:val="auto"/>
                <w:sz w:val="21"/>
                <w:szCs w:val="21"/>
                <w:highlight w:val="none"/>
                <w:vertAlign w:val="superscript"/>
              </w:rPr>
              <w:t>—</w:t>
            </w:r>
            <w:r>
              <w:rPr>
                <w:rFonts w:hint="eastAsia"/>
                <w:color w:val="auto"/>
                <w:sz w:val="21"/>
                <w:szCs w:val="21"/>
                <w:highlight w:val="none"/>
              </w:rPr>
              <w:t>、Cl</w:t>
            </w:r>
            <w:r>
              <w:rPr>
                <w:rFonts w:hint="eastAsia"/>
                <w:color w:val="auto"/>
                <w:sz w:val="21"/>
                <w:szCs w:val="21"/>
                <w:highlight w:val="none"/>
                <w:vertAlign w:val="superscript"/>
              </w:rPr>
              <w:t>—</w:t>
            </w:r>
            <w:r>
              <w:rPr>
                <w:rFonts w:hint="eastAsia"/>
                <w:color w:val="auto"/>
                <w:sz w:val="21"/>
                <w:szCs w:val="21"/>
                <w:highlight w:val="none"/>
              </w:rPr>
              <w:t>、</w:t>
            </w:r>
          </w:p>
          <w:p>
            <w:pPr>
              <w:spacing w:line="300" w:lineRule="exact"/>
              <w:ind w:left="0" w:leftChars="0" w:firstLine="0" w:firstLineChars="0"/>
              <w:jc w:val="both"/>
              <w:rPr>
                <w:color w:val="auto"/>
                <w:kern w:val="2"/>
                <w:highlight w:val="none"/>
              </w:rPr>
            </w:pPr>
            <w:r>
              <w:rPr>
                <w:rFonts w:hint="eastAsia"/>
                <w:color w:val="auto"/>
                <w:sz w:val="21"/>
                <w:szCs w:val="21"/>
                <w:highlight w:val="none"/>
              </w:rPr>
              <w:t>SO</w:t>
            </w:r>
            <w:r>
              <w:rPr>
                <w:rFonts w:hint="eastAsia"/>
                <w:color w:val="auto"/>
                <w:sz w:val="21"/>
                <w:szCs w:val="21"/>
                <w:highlight w:val="none"/>
                <w:vertAlign w:val="subscript"/>
              </w:rPr>
              <w:t>4</w:t>
            </w:r>
            <w:r>
              <w:rPr>
                <w:rFonts w:hint="eastAsia"/>
                <w:color w:val="auto"/>
                <w:sz w:val="21"/>
                <w:szCs w:val="21"/>
                <w:highlight w:val="none"/>
                <w:vertAlign w:val="superscript"/>
              </w:rPr>
              <w:t>2—</w:t>
            </w:r>
            <w:r>
              <w:rPr>
                <w:rFonts w:hint="eastAsia"/>
                <w:color w:val="auto"/>
                <w:sz w:val="21"/>
                <w:szCs w:val="21"/>
                <w:highlight w:val="none"/>
                <w:vertAlign w:val="baseline"/>
                <w:lang w:eastAsia="zh-CN"/>
              </w:rPr>
              <w:t>、</w:t>
            </w:r>
            <w:r>
              <w:rPr>
                <w:rFonts w:hint="eastAsia"/>
                <w:color w:val="auto"/>
                <w:sz w:val="21"/>
                <w:szCs w:val="21"/>
                <w:highlight w:val="none"/>
              </w:rPr>
              <w:t>pH、氨氮、硝酸盐、亚硝酸盐、挥发性酚类、氰化物、砷、汞、六价铬、总硬度、铅、氟化物、镉、铁、铜、溶解性总固体、耗氧量、总大肠菌群以及菌落总数、水位、井深、水温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53" w:type="dxa"/>
            <w:tcBorders>
              <w:tl2br w:val="nil"/>
              <w:tr2bl w:val="nil"/>
            </w:tcBorders>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2</w:t>
            </w:r>
          </w:p>
        </w:tc>
        <w:tc>
          <w:tcPr>
            <w:tcW w:w="2699" w:type="dxa"/>
            <w:tcBorders>
              <w:tl2br w:val="nil"/>
              <w:tr2bl w:val="nil"/>
            </w:tcBorders>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下王湾</w:t>
            </w:r>
          </w:p>
        </w:tc>
        <w:tc>
          <w:tcPr>
            <w:tcW w:w="4739" w:type="dxa"/>
            <w:vMerge w:val="continue"/>
            <w:tcBorders>
              <w:tl2br w:val="nil"/>
              <w:tr2bl w:val="nil"/>
            </w:tcBorders>
            <w:vAlign w:val="center"/>
          </w:tcPr>
          <w:p>
            <w:pPr>
              <w:pStyle w:val="42"/>
              <w:spacing w:line="240" w:lineRule="auto"/>
              <w:ind w:firstLine="420"/>
              <w:rPr>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3" w:type="dxa"/>
            <w:tcBorders>
              <w:tl2br w:val="nil"/>
              <w:tr2bl w:val="nil"/>
            </w:tcBorders>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3</w:t>
            </w:r>
          </w:p>
        </w:tc>
        <w:tc>
          <w:tcPr>
            <w:tcW w:w="2699" w:type="dxa"/>
            <w:tcBorders>
              <w:tl2br w:val="nil"/>
              <w:tr2bl w:val="nil"/>
            </w:tcBorders>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小吴庄</w:t>
            </w:r>
          </w:p>
        </w:tc>
        <w:tc>
          <w:tcPr>
            <w:tcW w:w="4739" w:type="dxa"/>
            <w:vMerge w:val="continue"/>
            <w:tcBorders>
              <w:tl2br w:val="nil"/>
              <w:tr2bl w:val="nil"/>
            </w:tcBorders>
            <w:vAlign w:val="center"/>
          </w:tcPr>
          <w:p>
            <w:pPr>
              <w:pStyle w:val="42"/>
              <w:spacing w:line="240" w:lineRule="auto"/>
              <w:ind w:firstLine="420"/>
              <w:rPr>
                <w:color w:val="auto"/>
                <w:kern w:val="2"/>
                <w:highlight w:val="none"/>
              </w:rPr>
            </w:pPr>
          </w:p>
        </w:tc>
      </w:tr>
    </w:tbl>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color w:val="auto"/>
          <w:highlight w:val="none"/>
        </w:rPr>
      </w:pPr>
      <w:r>
        <w:rPr>
          <w:color w:val="auto"/>
          <w:highlight w:val="none"/>
        </w:rPr>
        <w:t>（</w:t>
      </w:r>
      <w:r>
        <w:rPr>
          <w:rFonts w:hint="eastAsia"/>
          <w:color w:val="auto"/>
          <w:highlight w:val="none"/>
        </w:rPr>
        <w:t>2</w:t>
      </w:r>
      <w:r>
        <w:rPr>
          <w:color w:val="auto"/>
          <w:highlight w:val="none"/>
        </w:rPr>
        <w:t>）监测时间</w:t>
      </w:r>
      <w:r>
        <w:rPr>
          <w:rFonts w:hint="eastAsia"/>
          <w:color w:val="auto"/>
          <w:highlight w:val="none"/>
          <w:lang w:eastAsia="zh-CN"/>
        </w:rPr>
        <w:t>、</w:t>
      </w:r>
      <w:r>
        <w:rPr>
          <w:color w:val="auto"/>
          <w:highlight w:val="none"/>
        </w:rPr>
        <w:t>频次</w:t>
      </w:r>
      <w:r>
        <w:rPr>
          <w:rFonts w:ascii="Times New Roman" w:hAnsi="Times New Roman"/>
          <w:color w:val="auto"/>
          <w:sz w:val="24"/>
          <w:highlight w:val="none"/>
        </w:rPr>
        <w:t>及分析方法</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color w:val="auto"/>
          <w:highlight w:val="none"/>
        </w:rPr>
      </w:pPr>
      <w:r>
        <w:rPr>
          <w:rFonts w:hint="eastAsia"/>
          <w:color w:val="auto"/>
          <w:highlight w:val="none"/>
        </w:rPr>
        <w:t>监测时间为2020年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1</w:t>
      </w:r>
      <w:r>
        <w:rPr>
          <w:rFonts w:hint="eastAsia"/>
          <w:color w:val="auto"/>
          <w:highlight w:val="none"/>
        </w:rPr>
        <w:t>日-2020年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2</w:t>
      </w:r>
      <w:r>
        <w:rPr>
          <w:rFonts w:hint="eastAsia"/>
          <w:color w:val="auto"/>
          <w:highlight w:val="none"/>
        </w:rPr>
        <w:t>日，连续监测</w:t>
      </w:r>
      <w:r>
        <w:rPr>
          <w:rFonts w:hint="eastAsia"/>
          <w:color w:val="auto"/>
          <w:highlight w:val="none"/>
          <w:lang w:val="en-US" w:eastAsia="zh-CN"/>
        </w:rPr>
        <w:t>2</w:t>
      </w:r>
      <w:r>
        <w:rPr>
          <w:rFonts w:hint="eastAsia"/>
          <w:color w:val="auto"/>
          <w:highlight w:val="none"/>
        </w:rPr>
        <w:t>天，每天采样一次。同时记录测点坐标。</w:t>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eastAsia"/>
          <w:color w:val="auto"/>
          <w:highlight w:val="none"/>
        </w:rPr>
      </w:pPr>
      <w:r>
        <w:rPr>
          <w:rFonts w:hint="eastAsia"/>
          <w:color w:val="auto"/>
          <w:highlight w:val="none"/>
        </w:rPr>
        <w:t>分析方法：水样的采集、保存按《生活饮用水标准检验方法水样的采集和保存》（GB/T5750.2-2006）进行，分析方法按照《生活饮用水标准检验方法》（GB/T5750.4、5750.5、5750.7、5750.8－2006）中相关规定的监测方法进行。</w:t>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）评价方法</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auto"/>
          <w:sz w:val="24"/>
          <w:highlight w:val="none"/>
        </w:rPr>
      </w:pPr>
      <w:r>
        <w:rPr>
          <w:rFonts w:ascii="Times New Roman" w:hAnsi="Times New Roman"/>
          <w:color w:val="auto"/>
          <w:sz w:val="24"/>
          <w:highlight w:val="none"/>
        </w:rPr>
        <w:t>采用单项标准指数法对各评价因子进行单项水质参数评价，计算方法如下：</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auto"/>
          <w:sz w:val="24"/>
          <w:highlight w:val="none"/>
        </w:rPr>
      </w:pPr>
      <w:r>
        <w:rPr>
          <w:rFonts w:ascii="Times New Roman" w:hAnsi="Times New Roman"/>
          <w:color w:val="auto"/>
          <w:sz w:val="24"/>
          <w:highlight w:val="none"/>
        </w:rPr>
        <w:t xml:space="preserve">                  P</w:t>
      </w:r>
      <w:r>
        <w:rPr>
          <w:rFonts w:ascii="Times New Roman" w:hAnsi="Times New Roman"/>
          <w:color w:val="auto"/>
          <w:sz w:val="24"/>
          <w:highlight w:val="none"/>
          <w:vertAlign w:val="subscript"/>
        </w:rPr>
        <w:t>i</w:t>
      </w:r>
      <w:r>
        <w:rPr>
          <w:rFonts w:ascii="Times New Roman" w:hAnsi="Times New Roman"/>
          <w:color w:val="auto"/>
          <w:sz w:val="24"/>
          <w:highlight w:val="none"/>
        </w:rPr>
        <w:t>=C</w:t>
      </w:r>
      <w:r>
        <w:rPr>
          <w:rFonts w:ascii="Times New Roman" w:hAnsi="Times New Roman"/>
          <w:color w:val="auto"/>
          <w:sz w:val="24"/>
          <w:highlight w:val="none"/>
          <w:vertAlign w:val="subscript"/>
        </w:rPr>
        <w:t>i</w:t>
      </w:r>
      <w:r>
        <w:rPr>
          <w:rFonts w:ascii="Times New Roman" w:hAnsi="Times New Roman"/>
          <w:color w:val="auto"/>
          <w:sz w:val="24"/>
          <w:highlight w:val="none"/>
        </w:rPr>
        <w:t>/C</w:t>
      </w:r>
      <w:r>
        <w:rPr>
          <w:rFonts w:ascii="Times New Roman" w:hAnsi="Times New Roman"/>
          <w:color w:val="auto"/>
          <w:sz w:val="24"/>
          <w:highlight w:val="none"/>
          <w:vertAlign w:val="subscript"/>
        </w:rPr>
        <w:t>si</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auto"/>
          <w:sz w:val="24"/>
          <w:highlight w:val="none"/>
        </w:rPr>
      </w:pPr>
      <w:r>
        <w:rPr>
          <w:rFonts w:ascii="Times New Roman" w:hAnsi="Times New Roman"/>
          <w:color w:val="auto"/>
          <w:sz w:val="24"/>
          <w:highlight w:val="none"/>
        </w:rPr>
        <w:t>式中：P</w:t>
      </w:r>
      <w:r>
        <w:rPr>
          <w:rFonts w:ascii="Times New Roman" w:hAnsi="Times New Roman"/>
          <w:color w:val="auto"/>
          <w:sz w:val="24"/>
          <w:highlight w:val="none"/>
          <w:vertAlign w:val="subscript"/>
        </w:rPr>
        <w:t>i</w:t>
      </w:r>
      <w:r>
        <w:rPr>
          <w:rFonts w:ascii="Times New Roman" w:hAnsi="Times New Roman"/>
          <w:color w:val="auto"/>
          <w:sz w:val="24"/>
          <w:highlight w:val="none"/>
        </w:rPr>
        <w:t>——第i个水质因子的标准指数，无量纲；</w:t>
      </w:r>
    </w:p>
    <w:p>
      <w:pPr>
        <w:spacing w:line="500" w:lineRule="exact"/>
        <w:ind w:firstLine="482"/>
        <w:rPr>
          <w:rFonts w:ascii="Times New Roman" w:hAnsi="Times New Roman"/>
          <w:color w:val="auto"/>
          <w:sz w:val="24"/>
          <w:highlight w:val="none"/>
        </w:rPr>
      </w:pPr>
      <w:r>
        <w:rPr>
          <w:rFonts w:ascii="Times New Roman" w:hAnsi="Times New Roman"/>
          <w:color w:val="auto"/>
          <w:sz w:val="24"/>
          <w:highlight w:val="none"/>
        </w:rPr>
        <w:t xml:space="preserve">          Ci</w:t>
      </w:r>
      <w:r>
        <w:rPr>
          <w:rFonts w:ascii="Times New Roman" w:hAnsi="Times New Roman"/>
          <w:color w:val="auto"/>
          <w:sz w:val="24"/>
          <w:highlight w:val="none"/>
          <w:vertAlign w:val="subscript"/>
        </w:rPr>
        <w:t>j</w:t>
      </w:r>
      <w:r>
        <w:rPr>
          <w:rFonts w:ascii="Times New Roman" w:hAnsi="Times New Roman"/>
          <w:color w:val="auto"/>
          <w:sz w:val="24"/>
          <w:highlight w:val="none"/>
        </w:rPr>
        <w:t>——第i个水质因子的监测浓度（mg/L）；</w:t>
      </w:r>
    </w:p>
    <w:p>
      <w:pPr>
        <w:spacing w:line="500" w:lineRule="exact"/>
        <w:ind w:firstLine="482"/>
        <w:rPr>
          <w:rFonts w:ascii="Times New Roman" w:hAnsi="Times New Roman"/>
          <w:color w:val="auto"/>
          <w:sz w:val="24"/>
          <w:highlight w:val="none"/>
        </w:rPr>
      </w:pPr>
      <w:r>
        <w:rPr>
          <w:rFonts w:ascii="Times New Roman" w:hAnsi="Times New Roman"/>
          <w:color w:val="auto"/>
          <w:sz w:val="24"/>
          <w:highlight w:val="none"/>
        </w:rPr>
        <w:t xml:space="preserve">          C</w:t>
      </w:r>
      <w:r>
        <w:rPr>
          <w:rFonts w:ascii="Times New Roman" w:hAnsi="Times New Roman"/>
          <w:color w:val="auto"/>
          <w:sz w:val="24"/>
          <w:highlight w:val="none"/>
          <w:vertAlign w:val="subscript"/>
        </w:rPr>
        <w:t>si</w:t>
      </w:r>
      <w:r>
        <w:rPr>
          <w:rFonts w:ascii="Times New Roman" w:hAnsi="Times New Roman"/>
          <w:color w:val="auto"/>
          <w:sz w:val="24"/>
          <w:highlight w:val="none"/>
        </w:rPr>
        <w:t>——第i个水质因子的标准限值（mg/L)。</w:t>
      </w:r>
    </w:p>
    <w:p>
      <w:pPr>
        <w:spacing w:line="500" w:lineRule="exact"/>
        <w:ind w:firstLine="482"/>
        <w:rPr>
          <w:rFonts w:ascii="Times New Roman" w:hAnsi="Times New Roman"/>
          <w:color w:val="auto"/>
          <w:sz w:val="24"/>
          <w:highlight w:val="none"/>
        </w:rPr>
      </w:pPr>
      <w:r>
        <w:rPr>
          <w:rFonts w:ascii="Times New Roman" w:hAnsi="Times New Roman"/>
          <w:color w:val="auto"/>
          <w:sz w:val="24"/>
          <w:highlight w:val="none"/>
        </w:rPr>
        <w:t xml:space="preserve">    pH的标准指数为：</w:t>
      </w:r>
    </w:p>
    <w:p>
      <w:pPr>
        <w:spacing w:line="500" w:lineRule="exact"/>
        <w:ind w:firstLine="482"/>
        <w:jc w:val="center"/>
        <w:rPr>
          <w:rFonts w:ascii="Times New Roman" w:hAnsi="Times New Roman"/>
          <w:color w:val="auto"/>
          <w:sz w:val="24"/>
          <w:highlight w:val="none"/>
        </w:rPr>
      </w:pPr>
      <w:r>
        <w:rPr>
          <w:rFonts w:ascii="Times New Roman" w:hAnsi="Times New Roman"/>
          <w:color w:val="auto"/>
          <w:sz w:val="24"/>
          <w:highlight w:val="none"/>
        </w:rPr>
        <w:t>S</w:t>
      </w:r>
      <w:r>
        <w:rPr>
          <w:rFonts w:ascii="Times New Roman" w:hAnsi="Times New Roman"/>
          <w:color w:val="auto"/>
          <w:sz w:val="24"/>
          <w:highlight w:val="none"/>
          <w:vertAlign w:val="subscript"/>
        </w:rPr>
        <w:t>pH,j</w:t>
      </w:r>
      <w:r>
        <w:rPr>
          <w:rFonts w:ascii="Times New Roman" w:hAnsi="Times New Roman"/>
          <w:color w:val="auto"/>
          <w:sz w:val="24"/>
          <w:highlight w:val="none"/>
        </w:rPr>
        <w:t>=(7.0-pH</w:t>
      </w:r>
      <w:r>
        <w:rPr>
          <w:rFonts w:ascii="Times New Roman" w:hAnsi="Times New Roman"/>
          <w:color w:val="auto"/>
          <w:sz w:val="24"/>
          <w:highlight w:val="none"/>
          <w:vertAlign w:val="subscript"/>
        </w:rPr>
        <w:t>j</w:t>
      </w:r>
      <w:r>
        <w:rPr>
          <w:rFonts w:ascii="Times New Roman" w:hAnsi="Times New Roman"/>
          <w:color w:val="auto"/>
          <w:sz w:val="24"/>
          <w:highlight w:val="none"/>
        </w:rPr>
        <w:t>)/(7.0-pH</w:t>
      </w:r>
      <w:r>
        <w:rPr>
          <w:rFonts w:ascii="Times New Roman" w:hAnsi="Times New Roman"/>
          <w:color w:val="auto"/>
          <w:sz w:val="24"/>
          <w:highlight w:val="none"/>
          <w:vertAlign w:val="subscript"/>
        </w:rPr>
        <w:t>sd</w:t>
      </w:r>
      <w:r>
        <w:rPr>
          <w:rFonts w:ascii="Times New Roman" w:hAnsi="Times New Roman"/>
          <w:color w:val="auto"/>
          <w:sz w:val="24"/>
          <w:highlight w:val="none"/>
        </w:rPr>
        <w:t>)     (pH</w:t>
      </w:r>
      <w:r>
        <w:rPr>
          <w:rFonts w:ascii="Times New Roman" w:hAnsi="Times New Roman"/>
          <w:color w:val="auto"/>
          <w:sz w:val="24"/>
          <w:highlight w:val="none"/>
          <w:vertAlign w:val="subscript"/>
        </w:rPr>
        <w:t>i</w:t>
      </w:r>
      <w:r>
        <w:rPr>
          <w:rFonts w:ascii="Times New Roman" w:hAnsi="Times New Roman"/>
          <w:color w:val="auto"/>
          <w:sz w:val="24"/>
          <w:highlight w:val="none"/>
        </w:rPr>
        <w:t>≤7.0时)</w:t>
      </w:r>
    </w:p>
    <w:p>
      <w:pPr>
        <w:spacing w:line="500" w:lineRule="exact"/>
        <w:ind w:firstLine="482"/>
        <w:jc w:val="center"/>
        <w:rPr>
          <w:rFonts w:ascii="Times New Roman" w:hAnsi="Times New Roman"/>
          <w:color w:val="auto"/>
          <w:sz w:val="24"/>
          <w:highlight w:val="none"/>
        </w:rPr>
      </w:pPr>
      <w:r>
        <w:rPr>
          <w:rFonts w:ascii="Times New Roman" w:hAnsi="Times New Roman"/>
          <w:color w:val="auto"/>
          <w:sz w:val="24"/>
          <w:highlight w:val="none"/>
        </w:rPr>
        <w:t>S</w:t>
      </w:r>
      <w:r>
        <w:rPr>
          <w:rFonts w:ascii="Times New Roman" w:hAnsi="Times New Roman"/>
          <w:color w:val="auto"/>
          <w:sz w:val="24"/>
          <w:highlight w:val="none"/>
          <w:vertAlign w:val="subscript"/>
        </w:rPr>
        <w:t>pH,j</w:t>
      </w:r>
      <w:r>
        <w:rPr>
          <w:rFonts w:ascii="Times New Roman" w:hAnsi="Times New Roman"/>
          <w:color w:val="auto"/>
          <w:sz w:val="24"/>
          <w:highlight w:val="none"/>
        </w:rPr>
        <w:t>=(pH</w:t>
      </w:r>
      <w:r>
        <w:rPr>
          <w:rFonts w:ascii="Times New Roman" w:hAnsi="Times New Roman"/>
          <w:color w:val="auto"/>
          <w:sz w:val="24"/>
          <w:highlight w:val="none"/>
          <w:vertAlign w:val="subscript"/>
        </w:rPr>
        <w:t>j</w:t>
      </w:r>
      <w:r>
        <w:rPr>
          <w:rFonts w:ascii="Times New Roman" w:hAnsi="Times New Roman"/>
          <w:color w:val="auto"/>
          <w:sz w:val="24"/>
          <w:highlight w:val="none"/>
        </w:rPr>
        <w:t>-7.0)/(pH</w:t>
      </w:r>
      <w:r>
        <w:rPr>
          <w:rFonts w:ascii="Times New Roman" w:hAnsi="Times New Roman"/>
          <w:color w:val="auto"/>
          <w:sz w:val="24"/>
          <w:highlight w:val="none"/>
          <w:vertAlign w:val="subscript"/>
        </w:rPr>
        <w:t>su</w:t>
      </w:r>
      <w:r>
        <w:rPr>
          <w:rFonts w:ascii="Times New Roman" w:hAnsi="Times New Roman"/>
          <w:color w:val="auto"/>
          <w:sz w:val="24"/>
          <w:highlight w:val="none"/>
        </w:rPr>
        <w:t>-7.0)     (pH</w:t>
      </w:r>
      <w:r>
        <w:rPr>
          <w:rFonts w:ascii="Times New Roman" w:hAnsi="Times New Roman"/>
          <w:color w:val="auto"/>
          <w:sz w:val="24"/>
          <w:highlight w:val="none"/>
          <w:vertAlign w:val="subscript"/>
        </w:rPr>
        <w:t>i</w:t>
      </w:r>
      <w:r>
        <w:rPr>
          <w:rFonts w:ascii="Times New Roman" w:hAnsi="Times New Roman"/>
          <w:color w:val="auto"/>
          <w:sz w:val="24"/>
          <w:highlight w:val="none"/>
        </w:rPr>
        <w:t>＞7.0时)</w:t>
      </w:r>
    </w:p>
    <w:p>
      <w:pPr>
        <w:spacing w:line="500" w:lineRule="exact"/>
        <w:ind w:firstLine="482"/>
        <w:rPr>
          <w:rFonts w:ascii="Times New Roman" w:hAnsi="Times New Roman"/>
          <w:color w:val="auto"/>
          <w:sz w:val="24"/>
          <w:highlight w:val="none"/>
        </w:rPr>
      </w:pPr>
      <w:r>
        <w:rPr>
          <w:rFonts w:ascii="Times New Roman" w:hAnsi="Times New Roman"/>
          <w:color w:val="auto"/>
          <w:sz w:val="24"/>
          <w:highlight w:val="none"/>
        </w:rPr>
        <w:t>式中：S</w:t>
      </w:r>
      <w:r>
        <w:rPr>
          <w:rFonts w:ascii="Times New Roman" w:hAnsi="Times New Roman"/>
          <w:color w:val="auto"/>
          <w:sz w:val="24"/>
          <w:highlight w:val="none"/>
          <w:vertAlign w:val="subscript"/>
        </w:rPr>
        <w:t>pH,j</w:t>
      </w:r>
      <w:r>
        <w:rPr>
          <w:rFonts w:ascii="Times New Roman" w:hAnsi="Times New Roman"/>
          <w:color w:val="auto"/>
          <w:sz w:val="24"/>
          <w:highlight w:val="none"/>
        </w:rPr>
        <w:t>——第j点pH的标准指数；</w:t>
      </w:r>
    </w:p>
    <w:p>
      <w:pPr>
        <w:spacing w:line="500" w:lineRule="exact"/>
        <w:ind w:firstLine="482"/>
        <w:rPr>
          <w:rFonts w:ascii="Times New Roman" w:hAnsi="Times New Roman"/>
          <w:color w:val="auto"/>
          <w:sz w:val="24"/>
          <w:highlight w:val="none"/>
        </w:rPr>
      </w:pPr>
      <w:r>
        <w:rPr>
          <w:rFonts w:ascii="Times New Roman" w:hAnsi="Times New Roman"/>
          <w:color w:val="auto"/>
          <w:sz w:val="24"/>
          <w:highlight w:val="none"/>
        </w:rPr>
        <w:t xml:space="preserve">      pH</w:t>
      </w:r>
      <w:r>
        <w:rPr>
          <w:rFonts w:ascii="Times New Roman" w:hAnsi="Times New Roman"/>
          <w:color w:val="auto"/>
          <w:sz w:val="24"/>
          <w:highlight w:val="none"/>
          <w:vertAlign w:val="subscript"/>
        </w:rPr>
        <w:t>j</w:t>
      </w:r>
      <w:r>
        <w:rPr>
          <w:rFonts w:ascii="Times New Roman" w:hAnsi="Times New Roman"/>
          <w:color w:val="auto"/>
          <w:sz w:val="24"/>
          <w:highlight w:val="none"/>
        </w:rPr>
        <w:t>——第j点的监测值；</w:t>
      </w:r>
    </w:p>
    <w:p>
      <w:pPr>
        <w:spacing w:line="500" w:lineRule="exact"/>
        <w:ind w:firstLine="482"/>
        <w:rPr>
          <w:rFonts w:ascii="Times New Roman" w:hAnsi="Times New Roman"/>
          <w:color w:val="auto"/>
          <w:sz w:val="24"/>
          <w:highlight w:val="none"/>
        </w:rPr>
      </w:pPr>
      <w:r>
        <w:rPr>
          <w:rFonts w:ascii="Times New Roman" w:hAnsi="Times New Roman"/>
          <w:color w:val="auto"/>
          <w:sz w:val="24"/>
          <w:highlight w:val="none"/>
        </w:rPr>
        <w:t xml:space="preserve">      pH</w:t>
      </w:r>
      <w:r>
        <w:rPr>
          <w:rFonts w:ascii="Times New Roman" w:hAnsi="Times New Roman"/>
          <w:color w:val="auto"/>
          <w:sz w:val="24"/>
          <w:highlight w:val="none"/>
          <w:vertAlign w:val="subscript"/>
        </w:rPr>
        <w:t>su</w:t>
      </w:r>
      <w:r>
        <w:rPr>
          <w:rFonts w:ascii="Times New Roman" w:hAnsi="Times New Roman"/>
          <w:color w:val="auto"/>
          <w:sz w:val="24"/>
          <w:highlight w:val="none"/>
        </w:rPr>
        <w:t>、pH</w:t>
      </w:r>
      <w:r>
        <w:rPr>
          <w:rFonts w:ascii="Times New Roman" w:hAnsi="Times New Roman"/>
          <w:color w:val="auto"/>
          <w:sz w:val="24"/>
          <w:highlight w:val="none"/>
          <w:vertAlign w:val="subscript"/>
        </w:rPr>
        <w:t>sd</w:t>
      </w:r>
      <w:r>
        <w:rPr>
          <w:rFonts w:ascii="Times New Roman" w:hAnsi="Times New Roman"/>
          <w:color w:val="auto"/>
          <w:sz w:val="24"/>
          <w:highlight w:val="none"/>
        </w:rPr>
        <w:t>——pH标准限值的上、下限值。</w:t>
      </w:r>
    </w:p>
    <w:p>
      <w:pPr>
        <w:pStyle w:val="2"/>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）评价标准</w:t>
      </w:r>
    </w:p>
    <w:p>
      <w:pPr>
        <w:pStyle w:val="2"/>
        <w:rPr>
          <w:rFonts w:hint="eastAsia"/>
          <w:color w:val="auto"/>
          <w:highlight w:val="none"/>
          <w:lang w:eastAsia="zh-CN"/>
        </w:rPr>
      </w:pPr>
      <w:r>
        <w:rPr>
          <w:rFonts w:hint="eastAsia"/>
          <w:color w:val="auto"/>
          <w:highlight w:val="none"/>
          <w:lang w:eastAsia="zh-CN"/>
        </w:rPr>
        <w:t>地下水水质现状评价执行《地下水质量标准》（GB/T 14848-2017）中的III类标准，根据《环境影响评价技术导则—地下水环境》（HJ 610-2016）要求对地下水因子进行监测。</w:t>
      </w:r>
    </w:p>
    <w:p>
      <w:pPr>
        <w:ind w:firstLine="480"/>
        <w:rPr>
          <w:color w:val="auto"/>
          <w:highlight w:val="none"/>
        </w:rPr>
      </w:pPr>
      <w:r>
        <w:rPr>
          <w:color w:val="auto"/>
          <w:highlight w:val="none"/>
        </w:rPr>
        <w:t>（</w:t>
      </w:r>
      <w:r>
        <w:rPr>
          <w:rFonts w:hint="eastAsia"/>
          <w:color w:val="auto"/>
          <w:highlight w:val="none"/>
          <w:lang w:val="en-US" w:eastAsia="zh-CN"/>
        </w:rPr>
        <w:t>5</w:t>
      </w:r>
      <w:r>
        <w:rPr>
          <w:color w:val="auto"/>
          <w:highlight w:val="none"/>
        </w:rPr>
        <w:t>）监测结果统计与评价</w:t>
      </w:r>
    </w:p>
    <w:p>
      <w:pPr>
        <w:ind w:firstLine="480"/>
        <w:rPr>
          <w:rFonts w:cs="Times New Roman"/>
          <w:color w:val="auto"/>
          <w:kern w:val="0"/>
          <w:highlight w:val="none"/>
        </w:rPr>
      </w:pPr>
      <w:r>
        <w:rPr>
          <w:rFonts w:cs="Times New Roman"/>
          <w:color w:val="auto"/>
          <w:kern w:val="0"/>
          <w:highlight w:val="none"/>
        </w:rPr>
        <w:t>区域地</w:t>
      </w:r>
      <w:r>
        <w:rPr>
          <w:rFonts w:hint="eastAsia" w:cs="Times New Roman"/>
          <w:color w:val="auto"/>
          <w:kern w:val="0"/>
          <w:highlight w:val="none"/>
        </w:rPr>
        <w:t>下</w:t>
      </w:r>
      <w:r>
        <w:rPr>
          <w:rFonts w:cs="Times New Roman"/>
          <w:color w:val="auto"/>
          <w:kern w:val="0"/>
          <w:highlight w:val="none"/>
        </w:rPr>
        <w:t>水</w:t>
      </w:r>
      <w:r>
        <w:rPr>
          <w:rFonts w:hint="eastAsia" w:cs="Times New Roman"/>
          <w:color w:val="auto"/>
          <w:kern w:val="0"/>
          <w:highlight w:val="none"/>
        </w:rPr>
        <w:t>水位</w:t>
      </w:r>
      <w:r>
        <w:rPr>
          <w:rFonts w:cs="Times New Roman"/>
          <w:color w:val="auto"/>
          <w:kern w:val="0"/>
          <w:highlight w:val="none"/>
        </w:rPr>
        <w:t>监测结果统计见表</w:t>
      </w:r>
      <w:r>
        <w:rPr>
          <w:rFonts w:hint="eastAsia" w:cs="Times New Roman"/>
          <w:color w:val="auto"/>
          <w:kern w:val="0"/>
          <w:highlight w:val="none"/>
          <w:lang w:val="en-US" w:eastAsia="zh-CN"/>
        </w:rPr>
        <w:t>3</w:t>
      </w:r>
      <w:r>
        <w:rPr>
          <w:rFonts w:hint="eastAsia" w:cs="Times New Roman"/>
          <w:color w:val="auto"/>
          <w:kern w:val="0"/>
          <w:highlight w:val="none"/>
        </w:rPr>
        <w:t>.3-</w:t>
      </w:r>
      <w:r>
        <w:rPr>
          <w:rFonts w:hint="eastAsia" w:cs="Times New Roman"/>
          <w:color w:val="auto"/>
          <w:kern w:val="0"/>
          <w:highlight w:val="none"/>
          <w:lang w:val="en-US" w:eastAsia="zh-CN"/>
        </w:rPr>
        <w:t>10</w:t>
      </w:r>
      <w:r>
        <w:rPr>
          <w:rFonts w:hint="eastAsia" w:cs="Times New Roman"/>
          <w:color w:val="auto"/>
          <w:kern w:val="0"/>
          <w:highlight w:val="none"/>
        </w:rPr>
        <w:t>。</w:t>
      </w:r>
      <w:r>
        <w:rPr>
          <w:color w:val="auto"/>
          <w:highlight w:val="none"/>
        </w:rPr>
        <w:t>地下水环境质量监测及评价结果见表</w:t>
      </w:r>
      <w:r>
        <w:rPr>
          <w:rFonts w:hint="eastAsia"/>
          <w:color w:val="auto"/>
          <w:highlight w:val="none"/>
          <w:lang w:val="en-US" w:eastAsia="zh-CN"/>
        </w:rPr>
        <w:t>3</w:t>
      </w:r>
      <w:r>
        <w:rPr>
          <w:rFonts w:hint="eastAsia"/>
          <w:color w:val="auto"/>
          <w:highlight w:val="none"/>
        </w:rPr>
        <w:t>.3-</w:t>
      </w:r>
      <w:r>
        <w:rPr>
          <w:rFonts w:hint="eastAsia"/>
          <w:color w:val="auto"/>
          <w:highlight w:val="none"/>
          <w:lang w:val="en-US" w:eastAsia="zh-CN"/>
        </w:rPr>
        <w:t>11</w:t>
      </w:r>
      <w:r>
        <w:rPr>
          <w:color w:val="auto"/>
          <w:highlight w:val="none"/>
        </w:rPr>
        <w:t>。从表中的监测数据可知，</w:t>
      </w:r>
      <w:r>
        <w:rPr>
          <w:rFonts w:hint="eastAsia"/>
          <w:color w:val="auto"/>
          <w:highlight w:val="none"/>
          <w:lang w:eastAsia="zh-CN"/>
        </w:rPr>
        <w:t>各监测点位的</w:t>
      </w:r>
      <w:r>
        <w:rPr>
          <w:rFonts w:hint="eastAsia" w:cs="Times New Roman"/>
          <w:color w:val="auto"/>
          <w:kern w:val="0"/>
          <w:highlight w:val="none"/>
        </w:rPr>
        <w:t>监测因子均能达到《地下水质量标准》（GB/T14848-2017）Ⅲ类水质要求。</w:t>
      </w:r>
      <w:bookmarkStart w:id="33" w:name="_Toc11082"/>
    </w:p>
    <w:p>
      <w:pPr>
        <w:pStyle w:val="40"/>
        <w:rPr>
          <w:color w:val="auto"/>
          <w:highlight w:val="none"/>
        </w:rPr>
      </w:pPr>
      <w:r>
        <w:rPr>
          <w:rFonts w:hint="eastAsia"/>
          <w:color w:val="auto"/>
          <w:highlight w:val="none"/>
        </w:rPr>
        <w:t>表</w:t>
      </w:r>
      <w:r>
        <w:rPr>
          <w:rFonts w:hint="eastAsia"/>
          <w:color w:val="auto"/>
          <w:highlight w:val="none"/>
          <w:lang w:val="en-US" w:eastAsia="zh-CN"/>
        </w:rPr>
        <w:t>3</w:t>
      </w:r>
      <w:r>
        <w:rPr>
          <w:rFonts w:hint="eastAsia"/>
          <w:color w:val="auto"/>
          <w:highlight w:val="none"/>
        </w:rPr>
        <w:t>.3-</w:t>
      </w:r>
      <w:r>
        <w:rPr>
          <w:rFonts w:hint="eastAsia"/>
          <w:color w:val="auto"/>
          <w:highlight w:val="none"/>
          <w:lang w:val="en-US" w:eastAsia="zh-CN"/>
        </w:rPr>
        <w:t xml:space="preserve">10 </w:t>
      </w:r>
      <w:r>
        <w:rPr>
          <w:rFonts w:hint="eastAsia"/>
          <w:color w:val="auto"/>
          <w:highlight w:val="none"/>
        </w:rPr>
        <w:t>水位监测点情况表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29"/>
        <w:gridCol w:w="2129"/>
        <w:gridCol w:w="21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25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采样时间</w:t>
            </w:r>
          </w:p>
        </w:tc>
        <w:tc>
          <w:tcPr>
            <w:tcW w:w="125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采样位置</w:t>
            </w:r>
          </w:p>
        </w:tc>
        <w:tc>
          <w:tcPr>
            <w:tcW w:w="125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水位（米）</w:t>
            </w:r>
          </w:p>
        </w:tc>
        <w:tc>
          <w:tcPr>
            <w:tcW w:w="125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井深（米）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250" w:type="pct"/>
            <w:vMerge w:val="restart"/>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2020.9.1</w:t>
            </w:r>
          </w:p>
        </w:tc>
        <w:tc>
          <w:tcPr>
            <w:tcW w:w="2129"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吴自岐庄</w:t>
            </w:r>
          </w:p>
        </w:tc>
        <w:tc>
          <w:tcPr>
            <w:tcW w:w="2129"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13</w:t>
            </w:r>
          </w:p>
        </w:tc>
        <w:tc>
          <w:tcPr>
            <w:tcW w:w="2129"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250"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2129"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下王湾</w:t>
            </w:r>
          </w:p>
        </w:tc>
        <w:tc>
          <w:tcPr>
            <w:tcW w:w="2129"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2129"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250"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2129"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小吴庄</w:t>
            </w:r>
          </w:p>
        </w:tc>
        <w:tc>
          <w:tcPr>
            <w:tcW w:w="2129"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c>
          <w:tcPr>
            <w:tcW w:w="2129"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250" w:type="pct"/>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2020.9.1</w:t>
            </w:r>
          </w:p>
        </w:tc>
        <w:tc>
          <w:tcPr>
            <w:tcW w:w="1250"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东王湾</w:t>
            </w:r>
          </w:p>
        </w:tc>
        <w:tc>
          <w:tcPr>
            <w:tcW w:w="2129"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2129"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250" w:type="pct"/>
            <w:vMerge w:val="continue"/>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250"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大吴庄</w:t>
            </w:r>
          </w:p>
        </w:tc>
        <w:tc>
          <w:tcPr>
            <w:tcW w:w="2129"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2129"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250" w:type="pct"/>
            <w:vMerge w:val="continue"/>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250"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赵庄</w:t>
            </w:r>
          </w:p>
        </w:tc>
        <w:tc>
          <w:tcPr>
            <w:tcW w:w="2129"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2129"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130</w:t>
            </w:r>
          </w:p>
        </w:tc>
      </w:tr>
    </w:tbl>
    <w:p>
      <w:pPr>
        <w:pStyle w:val="40"/>
        <w:rPr>
          <w:rFonts w:hint="eastAsia"/>
          <w:color w:val="auto"/>
          <w:highlight w:val="none"/>
        </w:rPr>
      </w:pPr>
      <w:r>
        <w:rPr>
          <w:rFonts w:hint="eastAsia"/>
          <w:color w:val="auto"/>
          <w:highlight w:val="none"/>
        </w:rPr>
        <w:t>表</w:t>
      </w:r>
      <w:r>
        <w:rPr>
          <w:rFonts w:hint="eastAsia"/>
          <w:color w:val="auto"/>
          <w:highlight w:val="none"/>
          <w:lang w:val="en-US" w:eastAsia="zh-CN"/>
        </w:rPr>
        <w:t>3</w:t>
      </w:r>
      <w:r>
        <w:rPr>
          <w:rFonts w:hint="eastAsia"/>
          <w:color w:val="auto"/>
          <w:highlight w:val="none"/>
        </w:rPr>
        <w:t>.3-</w:t>
      </w:r>
      <w:r>
        <w:rPr>
          <w:rFonts w:hint="eastAsia"/>
          <w:color w:val="auto"/>
          <w:highlight w:val="none"/>
          <w:lang w:val="en-US" w:eastAsia="zh-CN"/>
        </w:rPr>
        <w:t xml:space="preserve">11 </w:t>
      </w:r>
      <w:r>
        <w:rPr>
          <w:rFonts w:hint="eastAsia"/>
          <w:color w:val="auto"/>
          <w:highlight w:val="none"/>
        </w:rPr>
        <w:t>地下水水质监测统计及评价结果表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710"/>
        <w:gridCol w:w="1272"/>
        <w:gridCol w:w="1427"/>
        <w:gridCol w:w="1261"/>
        <w:gridCol w:w="1005"/>
        <w:gridCol w:w="11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名称</w:t>
            </w: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监测项目</w:t>
            </w:r>
          </w:p>
        </w:tc>
        <w:tc>
          <w:tcPr>
            <w:tcW w:w="75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监测值</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标准指数</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超标率（%）</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lang w:eastAsia="zh-CN"/>
              </w:rPr>
              <w:t>最大</w:t>
            </w:r>
            <w:r>
              <w:rPr>
                <w:rFonts w:hint="eastAsia" w:cs="Times New Roman"/>
                <w:color w:val="auto"/>
                <w:sz w:val="21"/>
                <w:szCs w:val="21"/>
                <w:highlight w:val="none"/>
              </w:rPr>
              <w:t>超标倍数</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restar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lang w:val="en-US" w:eastAsia="zh-CN"/>
              </w:rPr>
              <w:t>吴自岐庄</w:t>
            </w: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K</w:t>
            </w:r>
            <w:r>
              <w:rPr>
                <w:rFonts w:hint="eastAsia" w:cs="Times New Roman"/>
                <w:color w:val="auto"/>
                <w:sz w:val="21"/>
                <w:szCs w:val="21"/>
                <w:highlight w:val="none"/>
                <w:vertAlign w:val="superscript"/>
              </w:rPr>
              <w:t>+</w:t>
            </w:r>
            <w:r>
              <w:rPr>
                <w:rFonts w:hint="eastAsia" w:cs="Times New Roman"/>
                <w:color w:val="auto"/>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0.73</w:t>
            </w:r>
            <w:r>
              <w:rPr>
                <w:rFonts w:hint="eastAsia" w:cs="Times New Roman"/>
                <w:color w:val="auto"/>
                <w:sz w:val="21"/>
                <w:szCs w:val="21"/>
                <w:highlight w:val="none"/>
              </w:rPr>
              <w:t>-</w:t>
            </w:r>
            <w:r>
              <w:rPr>
                <w:rFonts w:hint="eastAsia" w:cs="Times New Roman"/>
                <w:color w:val="auto"/>
                <w:sz w:val="21"/>
                <w:szCs w:val="21"/>
                <w:highlight w:val="none"/>
                <w:lang w:val="en-US" w:eastAsia="zh-CN"/>
              </w:rPr>
              <w:t>0.75</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Na</w:t>
            </w:r>
            <w:r>
              <w:rPr>
                <w:rFonts w:hint="eastAsia" w:cs="Times New Roman"/>
                <w:color w:val="auto"/>
                <w:sz w:val="21"/>
                <w:szCs w:val="21"/>
                <w:highlight w:val="none"/>
                <w:vertAlign w:val="superscript"/>
              </w:rPr>
              <w:t>+</w:t>
            </w:r>
            <w:r>
              <w:rPr>
                <w:rFonts w:hint="eastAsia" w:cs="Times New Roman"/>
                <w:color w:val="auto"/>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41.2-41.8</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Ca</w:t>
            </w:r>
            <w:r>
              <w:rPr>
                <w:rFonts w:hint="eastAsia" w:cs="Times New Roman"/>
                <w:color w:val="auto"/>
                <w:sz w:val="21"/>
                <w:szCs w:val="21"/>
                <w:highlight w:val="none"/>
                <w:vertAlign w:val="superscript"/>
              </w:rPr>
              <w:t>2+</w:t>
            </w:r>
            <w:r>
              <w:rPr>
                <w:rFonts w:hint="eastAsia" w:cs="Times New Roman"/>
                <w:color w:val="auto"/>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12.2-12.6</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Mg</w:t>
            </w:r>
            <w:r>
              <w:rPr>
                <w:rFonts w:hint="eastAsia" w:cs="Times New Roman"/>
                <w:color w:val="auto"/>
                <w:sz w:val="21"/>
                <w:szCs w:val="21"/>
                <w:highlight w:val="none"/>
                <w:vertAlign w:val="superscript"/>
              </w:rPr>
              <w:t>2+</w:t>
            </w:r>
            <w:r>
              <w:rPr>
                <w:rFonts w:hint="eastAsia" w:cs="Times New Roman"/>
                <w:color w:val="auto"/>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1.21-1.24</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CO</w:t>
            </w:r>
            <w:r>
              <w:rPr>
                <w:rFonts w:hint="eastAsia" w:cs="Times New Roman"/>
                <w:color w:val="auto"/>
                <w:sz w:val="21"/>
                <w:szCs w:val="21"/>
                <w:highlight w:val="none"/>
                <w:vertAlign w:val="subscript"/>
              </w:rPr>
              <w:t>3</w:t>
            </w:r>
            <w:r>
              <w:rPr>
                <w:rFonts w:hint="eastAsia" w:cs="Times New Roman"/>
                <w:color w:val="auto"/>
                <w:sz w:val="21"/>
                <w:szCs w:val="21"/>
                <w:highlight w:val="none"/>
                <w:vertAlign w:val="superscript"/>
              </w:rPr>
              <w:t>2-</w:t>
            </w:r>
            <w:r>
              <w:rPr>
                <w:rFonts w:hint="eastAsia" w:cs="Times New Roman"/>
                <w:color w:val="auto"/>
                <w:sz w:val="21"/>
                <w:szCs w:val="21"/>
                <w:highlight w:val="none"/>
              </w:rPr>
              <w:t>(mmol/L)</w:t>
            </w:r>
          </w:p>
        </w:tc>
        <w:tc>
          <w:tcPr>
            <w:tcW w:w="75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HCO</w:t>
            </w:r>
            <w:r>
              <w:rPr>
                <w:rFonts w:hint="eastAsia" w:cs="Times New Roman"/>
                <w:color w:val="auto"/>
                <w:sz w:val="21"/>
                <w:szCs w:val="21"/>
                <w:highlight w:val="none"/>
                <w:vertAlign w:val="subscript"/>
              </w:rPr>
              <w:t>3</w:t>
            </w:r>
            <w:r>
              <w:rPr>
                <w:rFonts w:hint="eastAsia" w:cs="Times New Roman"/>
                <w:color w:val="auto"/>
                <w:sz w:val="21"/>
                <w:szCs w:val="21"/>
                <w:highlight w:val="none"/>
                <w:vertAlign w:val="superscript"/>
              </w:rPr>
              <w:t>-</w:t>
            </w:r>
            <w:r>
              <w:rPr>
                <w:rFonts w:hint="eastAsia" w:cs="Times New Roman"/>
                <w:color w:val="auto"/>
                <w:sz w:val="21"/>
                <w:szCs w:val="21"/>
                <w:highlight w:val="none"/>
              </w:rPr>
              <w:t>(mmol/L)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5.42-5.46</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vertAlign w:val="baseline"/>
                <w:lang w:val="en-US" w:eastAsia="zh-CN"/>
              </w:rPr>
              <w:t>Cl</w:t>
            </w:r>
            <w:r>
              <w:rPr>
                <w:rFonts w:hint="eastAsia" w:cs="Times New Roman"/>
                <w:color w:val="auto"/>
                <w:sz w:val="21"/>
                <w:szCs w:val="21"/>
                <w:highlight w:val="none"/>
                <w:vertAlign w:val="superscript"/>
              </w:rPr>
              <w:t>-</w:t>
            </w:r>
            <w:r>
              <w:rPr>
                <w:rFonts w:hint="eastAsia" w:cs="Times New Roman"/>
                <w:color w:val="auto"/>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18.9-19.3</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SO</w:t>
            </w:r>
            <w:r>
              <w:rPr>
                <w:rFonts w:hint="eastAsia" w:cs="Times New Roman"/>
                <w:color w:val="auto"/>
                <w:sz w:val="21"/>
                <w:szCs w:val="21"/>
                <w:highlight w:val="none"/>
                <w:vertAlign w:val="subscript"/>
              </w:rPr>
              <w:t>4</w:t>
            </w:r>
            <w:r>
              <w:rPr>
                <w:rFonts w:hint="eastAsia" w:cs="Times New Roman"/>
                <w:color w:val="auto"/>
                <w:sz w:val="21"/>
                <w:szCs w:val="21"/>
                <w:highlight w:val="none"/>
                <w:vertAlign w:val="superscript"/>
              </w:rPr>
              <w:t>2-</w:t>
            </w:r>
            <w:r>
              <w:rPr>
                <w:rFonts w:hint="eastAsia" w:cs="Times New Roman"/>
                <w:color w:val="auto"/>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rPr>
            </w:pPr>
            <w:r>
              <w:rPr>
                <w:rFonts w:hint="eastAsia" w:cs="Times New Roman"/>
                <w:color w:val="auto"/>
                <w:sz w:val="21"/>
                <w:szCs w:val="21"/>
                <w:highlight w:val="none"/>
                <w:lang w:val="en-US" w:eastAsia="zh-CN"/>
              </w:rPr>
              <w:t>21.4</w:t>
            </w:r>
            <w:r>
              <w:rPr>
                <w:rFonts w:hint="eastAsia" w:cs="Times New Roman"/>
                <w:color w:val="auto"/>
                <w:sz w:val="21"/>
                <w:szCs w:val="21"/>
                <w:highlight w:val="none"/>
              </w:rPr>
              <w:t>-</w:t>
            </w:r>
            <w:r>
              <w:rPr>
                <w:rFonts w:hint="eastAsia" w:cs="Times New Roman"/>
                <w:color w:val="auto"/>
                <w:sz w:val="21"/>
                <w:szCs w:val="21"/>
                <w:highlight w:val="none"/>
                <w:lang w:val="en-US" w:eastAsia="zh-CN"/>
              </w:rPr>
              <w:t>21.8</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氟化物（mg/L）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0.36</w:t>
            </w:r>
            <w:r>
              <w:rPr>
                <w:rFonts w:hint="eastAsia" w:cs="Times New Roman"/>
                <w:color w:val="auto"/>
                <w:sz w:val="21"/>
                <w:szCs w:val="21"/>
                <w:highlight w:val="none"/>
              </w:rPr>
              <w:t>-</w:t>
            </w:r>
            <w:r>
              <w:rPr>
                <w:rFonts w:hint="eastAsia" w:cs="Times New Roman"/>
                <w:color w:val="auto"/>
                <w:sz w:val="21"/>
                <w:szCs w:val="21"/>
                <w:highlight w:val="none"/>
                <w:lang w:val="en-US" w:eastAsia="zh-CN"/>
              </w:rPr>
              <w:t>0.41</w:t>
            </w:r>
          </w:p>
        </w:tc>
        <w:tc>
          <w:tcPr>
            <w:tcW w:w="846"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0.36-0.41</w:t>
            </w:r>
          </w:p>
        </w:tc>
        <w:tc>
          <w:tcPr>
            <w:tcW w:w="748"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98"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挥发性酚类（mg/L）</w:t>
            </w:r>
          </w:p>
        </w:tc>
        <w:tc>
          <w:tcPr>
            <w:tcW w:w="75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硝酸盐（mg/L）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rPr>
              <w:t>1.</w:t>
            </w:r>
            <w:r>
              <w:rPr>
                <w:rFonts w:hint="eastAsia" w:cs="Times New Roman"/>
                <w:color w:val="auto"/>
                <w:sz w:val="21"/>
                <w:szCs w:val="21"/>
                <w:highlight w:val="none"/>
                <w:lang w:val="en-US" w:eastAsia="zh-CN"/>
              </w:rPr>
              <w:t>1</w:t>
            </w:r>
            <w:r>
              <w:rPr>
                <w:rFonts w:hint="eastAsia" w:cs="Times New Roman"/>
                <w:color w:val="auto"/>
                <w:sz w:val="21"/>
                <w:szCs w:val="21"/>
                <w:highlight w:val="none"/>
              </w:rPr>
              <w:t>-1.</w:t>
            </w:r>
            <w:r>
              <w:rPr>
                <w:rFonts w:hint="eastAsia" w:cs="Times New Roman"/>
                <w:color w:val="auto"/>
                <w:sz w:val="21"/>
                <w:szCs w:val="21"/>
                <w:highlight w:val="none"/>
                <w:lang w:val="en-US" w:eastAsia="zh-CN"/>
              </w:rPr>
              <w:t>3</w:t>
            </w:r>
          </w:p>
        </w:tc>
        <w:tc>
          <w:tcPr>
            <w:tcW w:w="846"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0.055</w:t>
            </w:r>
            <w:r>
              <w:rPr>
                <w:rFonts w:hint="eastAsia" w:cs="Times New Roman"/>
                <w:color w:val="auto"/>
                <w:sz w:val="21"/>
                <w:szCs w:val="21"/>
                <w:highlight w:val="none"/>
              </w:rPr>
              <w:t>-0.0</w:t>
            </w:r>
            <w:r>
              <w:rPr>
                <w:rFonts w:hint="eastAsia" w:cs="Times New Roman"/>
                <w:color w:val="auto"/>
                <w:sz w:val="21"/>
                <w:szCs w:val="21"/>
                <w:highlight w:val="none"/>
                <w:lang w:val="en-US" w:eastAsia="zh-CN"/>
              </w:rPr>
              <w:t>65</w:t>
            </w:r>
          </w:p>
        </w:tc>
        <w:tc>
          <w:tcPr>
            <w:tcW w:w="748" w:type="pct"/>
            <w:tcBorders>
              <w:tl2br w:val="nil"/>
              <w:tr2bl w:val="nil"/>
            </w:tcBorders>
            <w:noWrap w:val="0"/>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亚硝酸盐（mg/L）</w:t>
            </w:r>
          </w:p>
        </w:tc>
        <w:tc>
          <w:tcPr>
            <w:tcW w:w="75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镉（mg/L）</w:t>
            </w:r>
          </w:p>
        </w:tc>
        <w:tc>
          <w:tcPr>
            <w:tcW w:w="75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铁(mg/L）</w:t>
            </w:r>
          </w:p>
        </w:tc>
        <w:tc>
          <w:tcPr>
            <w:tcW w:w="75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总硬度（mg/L）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132</w:t>
            </w:r>
            <w:r>
              <w:rPr>
                <w:rFonts w:hint="eastAsia" w:cs="Times New Roman"/>
                <w:color w:val="auto"/>
                <w:sz w:val="21"/>
                <w:szCs w:val="21"/>
                <w:highlight w:val="none"/>
              </w:rPr>
              <w:t>-</w:t>
            </w:r>
            <w:r>
              <w:rPr>
                <w:rFonts w:hint="eastAsia" w:cs="Times New Roman"/>
                <w:color w:val="auto"/>
                <w:sz w:val="21"/>
                <w:szCs w:val="21"/>
                <w:highlight w:val="none"/>
                <w:lang w:val="en-US" w:eastAsia="zh-CN"/>
              </w:rPr>
              <w:t>142</w:t>
            </w:r>
          </w:p>
        </w:tc>
        <w:tc>
          <w:tcPr>
            <w:tcW w:w="846"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rPr>
              <w:t>0.</w:t>
            </w:r>
            <w:r>
              <w:rPr>
                <w:rFonts w:hint="eastAsia" w:cs="Times New Roman"/>
                <w:color w:val="auto"/>
                <w:sz w:val="21"/>
                <w:szCs w:val="21"/>
                <w:highlight w:val="none"/>
                <w:lang w:val="en-US" w:eastAsia="zh-CN"/>
              </w:rPr>
              <w:t>29</w:t>
            </w:r>
            <w:r>
              <w:rPr>
                <w:rFonts w:hint="eastAsia" w:cs="Times New Roman"/>
                <w:color w:val="auto"/>
                <w:sz w:val="21"/>
                <w:szCs w:val="21"/>
                <w:highlight w:val="none"/>
              </w:rPr>
              <w:t>-0.</w:t>
            </w:r>
            <w:r>
              <w:rPr>
                <w:rFonts w:hint="eastAsia" w:cs="Times New Roman"/>
                <w:color w:val="auto"/>
                <w:sz w:val="21"/>
                <w:szCs w:val="21"/>
                <w:highlight w:val="none"/>
                <w:lang w:val="en-US" w:eastAsia="zh-CN"/>
              </w:rPr>
              <w:t>32</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耗氧量（mg/L）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2.73</w:t>
            </w:r>
            <w:r>
              <w:rPr>
                <w:rFonts w:hint="eastAsia" w:cs="Times New Roman"/>
                <w:color w:val="auto"/>
                <w:sz w:val="21"/>
                <w:szCs w:val="21"/>
                <w:highlight w:val="none"/>
              </w:rPr>
              <w:t>-</w:t>
            </w:r>
            <w:r>
              <w:rPr>
                <w:rFonts w:hint="eastAsia" w:cs="Times New Roman"/>
                <w:color w:val="auto"/>
                <w:sz w:val="21"/>
                <w:szCs w:val="21"/>
                <w:highlight w:val="none"/>
                <w:lang w:val="en-US" w:eastAsia="zh-CN"/>
              </w:rPr>
              <w:t>2.82</w:t>
            </w:r>
          </w:p>
        </w:tc>
        <w:tc>
          <w:tcPr>
            <w:tcW w:w="846"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rPr>
              <w:t>0.</w:t>
            </w:r>
            <w:r>
              <w:rPr>
                <w:rFonts w:hint="eastAsia" w:cs="Times New Roman"/>
                <w:color w:val="auto"/>
                <w:sz w:val="21"/>
                <w:szCs w:val="21"/>
                <w:highlight w:val="none"/>
                <w:lang w:val="en-US" w:eastAsia="zh-CN"/>
              </w:rPr>
              <w:t>91</w:t>
            </w:r>
            <w:r>
              <w:rPr>
                <w:rFonts w:hint="eastAsia" w:cs="Times New Roman"/>
                <w:color w:val="auto"/>
                <w:sz w:val="21"/>
                <w:szCs w:val="21"/>
                <w:highlight w:val="none"/>
              </w:rPr>
              <w:t>-0.</w:t>
            </w:r>
            <w:r>
              <w:rPr>
                <w:rFonts w:hint="eastAsia" w:cs="Times New Roman"/>
                <w:color w:val="auto"/>
                <w:sz w:val="21"/>
                <w:szCs w:val="21"/>
                <w:highlight w:val="none"/>
                <w:lang w:val="en-US" w:eastAsia="zh-CN"/>
              </w:rPr>
              <w:t>94</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溶解性总固体（mg/L）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304-314</w:t>
            </w:r>
          </w:p>
        </w:tc>
        <w:tc>
          <w:tcPr>
            <w:tcW w:w="846"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0.304-0.314</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铅（mg/L）</w:t>
            </w:r>
          </w:p>
        </w:tc>
        <w:tc>
          <w:tcPr>
            <w:tcW w:w="75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铜（mg/L）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菌落总数（个/L）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11-13</w:t>
            </w:r>
          </w:p>
        </w:tc>
        <w:tc>
          <w:tcPr>
            <w:tcW w:w="846"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0.11-0.13</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氨氮（mg/L）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rPr>
              <w:t>0.</w:t>
            </w:r>
            <w:r>
              <w:rPr>
                <w:rFonts w:hint="eastAsia" w:cs="Times New Roman"/>
                <w:color w:val="auto"/>
                <w:sz w:val="21"/>
                <w:szCs w:val="21"/>
                <w:highlight w:val="none"/>
                <w:lang w:val="en-US" w:eastAsia="zh-CN"/>
              </w:rPr>
              <w:t>109</w:t>
            </w:r>
            <w:r>
              <w:rPr>
                <w:rFonts w:hint="eastAsia" w:cs="Times New Roman"/>
                <w:color w:val="auto"/>
                <w:sz w:val="21"/>
                <w:szCs w:val="21"/>
                <w:highlight w:val="none"/>
              </w:rPr>
              <w:t>-0.</w:t>
            </w:r>
            <w:r>
              <w:rPr>
                <w:rFonts w:hint="eastAsia" w:cs="Times New Roman"/>
                <w:color w:val="auto"/>
                <w:sz w:val="21"/>
                <w:szCs w:val="21"/>
                <w:highlight w:val="none"/>
                <w:lang w:val="en-US" w:eastAsia="zh-CN"/>
              </w:rPr>
              <w:t>114</w:t>
            </w:r>
          </w:p>
        </w:tc>
        <w:tc>
          <w:tcPr>
            <w:tcW w:w="846"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0.218-0.228</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六价铬（mg/L）</w:t>
            </w:r>
          </w:p>
        </w:tc>
        <w:tc>
          <w:tcPr>
            <w:tcW w:w="75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lang w:val="en-US" w:eastAsia="zh-CN"/>
              </w:rPr>
              <w:t>p</w:t>
            </w:r>
            <w:r>
              <w:rPr>
                <w:rFonts w:hint="eastAsia" w:cs="Times New Roman"/>
                <w:color w:val="auto"/>
                <w:sz w:val="21"/>
                <w:szCs w:val="21"/>
                <w:highlight w:val="none"/>
              </w:rPr>
              <w:t>H</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rPr>
              <w:t>7.</w:t>
            </w:r>
            <w:r>
              <w:rPr>
                <w:rFonts w:hint="eastAsia" w:cs="Times New Roman"/>
                <w:color w:val="auto"/>
                <w:sz w:val="21"/>
                <w:szCs w:val="21"/>
                <w:highlight w:val="none"/>
                <w:lang w:val="en-US" w:eastAsia="zh-CN"/>
              </w:rPr>
              <w:t>98</w:t>
            </w:r>
            <w:r>
              <w:rPr>
                <w:rFonts w:hint="eastAsia" w:cs="Times New Roman"/>
                <w:color w:val="auto"/>
                <w:sz w:val="21"/>
                <w:szCs w:val="21"/>
                <w:highlight w:val="none"/>
              </w:rPr>
              <w:t>-</w:t>
            </w:r>
            <w:r>
              <w:rPr>
                <w:rFonts w:hint="eastAsia" w:cs="Times New Roman"/>
                <w:color w:val="auto"/>
                <w:sz w:val="21"/>
                <w:szCs w:val="21"/>
                <w:highlight w:val="none"/>
                <w:lang w:val="en-US" w:eastAsia="zh-CN"/>
              </w:rPr>
              <w:t>8.43</w:t>
            </w:r>
          </w:p>
        </w:tc>
        <w:tc>
          <w:tcPr>
            <w:tcW w:w="846"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0.65-0.95</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6.5~8.5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氰化物（mg/L）</w:t>
            </w:r>
          </w:p>
        </w:tc>
        <w:tc>
          <w:tcPr>
            <w:tcW w:w="75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总大肠菌群（CFU/100mL）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846"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0.33-0.67</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≤3.0（个/L）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砷（mg/L）</w:t>
            </w:r>
          </w:p>
        </w:tc>
        <w:tc>
          <w:tcPr>
            <w:tcW w:w="75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汞（mg/L）</w:t>
            </w:r>
          </w:p>
        </w:tc>
        <w:tc>
          <w:tcPr>
            <w:tcW w:w="75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水位（米）</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井深（米）</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125</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restar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lang w:val="en-US" w:eastAsia="zh-CN"/>
              </w:rPr>
              <w:t>下王湾</w:t>
            </w: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K</w:t>
            </w:r>
            <w:r>
              <w:rPr>
                <w:rFonts w:hint="eastAsia" w:cs="Times New Roman"/>
                <w:color w:val="auto"/>
                <w:sz w:val="21"/>
                <w:szCs w:val="21"/>
                <w:highlight w:val="none"/>
                <w:vertAlign w:val="superscript"/>
              </w:rPr>
              <w:t>+</w:t>
            </w:r>
            <w:r>
              <w:rPr>
                <w:rFonts w:hint="eastAsia" w:cs="Times New Roman"/>
                <w:color w:val="auto"/>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0.55</w:t>
            </w:r>
            <w:r>
              <w:rPr>
                <w:rFonts w:hint="eastAsia" w:cs="Times New Roman"/>
                <w:color w:val="auto"/>
                <w:sz w:val="21"/>
                <w:szCs w:val="21"/>
                <w:highlight w:val="none"/>
              </w:rPr>
              <w:t>-</w:t>
            </w:r>
            <w:r>
              <w:rPr>
                <w:rFonts w:hint="eastAsia" w:cs="Times New Roman"/>
                <w:color w:val="auto"/>
                <w:sz w:val="21"/>
                <w:szCs w:val="21"/>
                <w:highlight w:val="none"/>
                <w:lang w:val="en-US" w:eastAsia="zh-CN"/>
              </w:rPr>
              <w:t>0.58</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Na</w:t>
            </w:r>
            <w:r>
              <w:rPr>
                <w:rFonts w:hint="eastAsia" w:cs="Times New Roman"/>
                <w:color w:val="auto"/>
                <w:sz w:val="21"/>
                <w:szCs w:val="21"/>
                <w:highlight w:val="none"/>
                <w:vertAlign w:val="superscript"/>
              </w:rPr>
              <w:t>+</w:t>
            </w:r>
            <w:r>
              <w:rPr>
                <w:rFonts w:hint="eastAsia" w:cs="Times New Roman"/>
                <w:color w:val="auto"/>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38.6</w:t>
            </w:r>
            <w:r>
              <w:rPr>
                <w:rFonts w:hint="eastAsia" w:cs="Times New Roman"/>
                <w:color w:val="auto"/>
                <w:sz w:val="21"/>
                <w:szCs w:val="21"/>
                <w:highlight w:val="none"/>
              </w:rPr>
              <w:t>-</w:t>
            </w:r>
            <w:r>
              <w:rPr>
                <w:rFonts w:hint="eastAsia" w:cs="Times New Roman"/>
                <w:color w:val="auto"/>
                <w:sz w:val="21"/>
                <w:szCs w:val="21"/>
                <w:highlight w:val="none"/>
                <w:lang w:val="en-US" w:eastAsia="zh-CN"/>
              </w:rPr>
              <w:t>39.4</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Ca</w:t>
            </w:r>
            <w:r>
              <w:rPr>
                <w:rFonts w:hint="eastAsia" w:cs="Times New Roman"/>
                <w:color w:val="auto"/>
                <w:sz w:val="21"/>
                <w:szCs w:val="21"/>
                <w:highlight w:val="none"/>
                <w:vertAlign w:val="superscript"/>
              </w:rPr>
              <w:t>2+</w:t>
            </w:r>
            <w:r>
              <w:rPr>
                <w:rFonts w:hint="eastAsia" w:cs="Times New Roman"/>
                <w:color w:val="auto"/>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11.3-11.7</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Mg</w:t>
            </w:r>
            <w:r>
              <w:rPr>
                <w:rFonts w:hint="eastAsia" w:cs="Times New Roman"/>
                <w:color w:val="auto"/>
                <w:sz w:val="21"/>
                <w:szCs w:val="21"/>
                <w:highlight w:val="none"/>
                <w:vertAlign w:val="superscript"/>
              </w:rPr>
              <w:t>2+</w:t>
            </w:r>
            <w:r>
              <w:rPr>
                <w:rFonts w:hint="eastAsia" w:cs="Times New Roman"/>
                <w:color w:val="auto"/>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1.23-1.27</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CO</w:t>
            </w:r>
            <w:r>
              <w:rPr>
                <w:rFonts w:hint="eastAsia" w:cs="Times New Roman"/>
                <w:color w:val="auto"/>
                <w:sz w:val="21"/>
                <w:szCs w:val="21"/>
                <w:highlight w:val="none"/>
                <w:vertAlign w:val="subscript"/>
              </w:rPr>
              <w:t>3</w:t>
            </w:r>
            <w:r>
              <w:rPr>
                <w:rFonts w:hint="eastAsia" w:cs="Times New Roman"/>
                <w:color w:val="auto"/>
                <w:sz w:val="21"/>
                <w:szCs w:val="21"/>
                <w:highlight w:val="none"/>
                <w:vertAlign w:val="superscript"/>
              </w:rPr>
              <w:t>2-</w:t>
            </w:r>
            <w:r>
              <w:rPr>
                <w:rFonts w:hint="eastAsia" w:cs="Times New Roman"/>
                <w:color w:val="auto"/>
                <w:sz w:val="21"/>
                <w:szCs w:val="21"/>
                <w:highlight w:val="none"/>
              </w:rPr>
              <w:t>(mmol/L)</w:t>
            </w:r>
          </w:p>
        </w:tc>
        <w:tc>
          <w:tcPr>
            <w:tcW w:w="75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HCO</w:t>
            </w:r>
            <w:r>
              <w:rPr>
                <w:rFonts w:hint="eastAsia" w:cs="Times New Roman"/>
                <w:color w:val="auto"/>
                <w:sz w:val="21"/>
                <w:szCs w:val="21"/>
                <w:highlight w:val="none"/>
                <w:vertAlign w:val="subscript"/>
              </w:rPr>
              <w:t>3</w:t>
            </w:r>
            <w:r>
              <w:rPr>
                <w:rFonts w:hint="eastAsia" w:cs="Times New Roman"/>
                <w:color w:val="auto"/>
                <w:sz w:val="21"/>
                <w:szCs w:val="21"/>
                <w:highlight w:val="none"/>
                <w:vertAlign w:val="superscript"/>
              </w:rPr>
              <w:t>-</w:t>
            </w:r>
            <w:r>
              <w:rPr>
                <w:rFonts w:hint="eastAsia" w:cs="Times New Roman"/>
                <w:color w:val="auto"/>
                <w:sz w:val="21"/>
                <w:szCs w:val="21"/>
                <w:highlight w:val="none"/>
              </w:rPr>
              <w:t>(mmol/L)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6.11-6.12</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vertAlign w:val="baseline"/>
                <w:lang w:val="en-US" w:eastAsia="zh-CN"/>
              </w:rPr>
              <w:t>Cl</w:t>
            </w:r>
            <w:r>
              <w:rPr>
                <w:rFonts w:hint="eastAsia" w:cs="Times New Roman"/>
                <w:color w:val="auto"/>
                <w:sz w:val="21"/>
                <w:szCs w:val="21"/>
                <w:highlight w:val="none"/>
                <w:vertAlign w:val="superscript"/>
              </w:rPr>
              <w:t>-</w:t>
            </w:r>
            <w:r>
              <w:rPr>
                <w:rFonts w:hint="eastAsia" w:cs="Times New Roman"/>
                <w:color w:val="auto"/>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21.5-22.8</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SO</w:t>
            </w:r>
            <w:r>
              <w:rPr>
                <w:rFonts w:hint="eastAsia" w:cs="Times New Roman"/>
                <w:color w:val="auto"/>
                <w:sz w:val="21"/>
                <w:szCs w:val="21"/>
                <w:highlight w:val="none"/>
                <w:vertAlign w:val="subscript"/>
              </w:rPr>
              <w:t>4</w:t>
            </w:r>
            <w:r>
              <w:rPr>
                <w:rFonts w:hint="eastAsia" w:cs="Times New Roman"/>
                <w:color w:val="auto"/>
                <w:sz w:val="21"/>
                <w:szCs w:val="21"/>
                <w:highlight w:val="none"/>
                <w:vertAlign w:val="superscript"/>
              </w:rPr>
              <w:t>2-</w:t>
            </w:r>
            <w:r>
              <w:rPr>
                <w:rFonts w:hint="eastAsia" w:cs="Times New Roman"/>
                <w:color w:val="auto"/>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24.6-26.3</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氟化物（mg/L）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0.32</w:t>
            </w:r>
            <w:r>
              <w:rPr>
                <w:rFonts w:hint="eastAsia" w:cs="Times New Roman"/>
                <w:color w:val="auto"/>
                <w:sz w:val="21"/>
                <w:szCs w:val="21"/>
                <w:highlight w:val="none"/>
              </w:rPr>
              <w:t>-</w:t>
            </w:r>
            <w:r>
              <w:rPr>
                <w:rFonts w:hint="eastAsia" w:cs="Times New Roman"/>
                <w:color w:val="auto"/>
                <w:sz w:val="21"/>
                <w:szCs w:val="21"/>
                <w:highlight w:val="none"/>
                <w:lang w:val="en-US" w:eastAsia="zh-CN"/>
              </w:rPr>
              <w:t>0.34</w:t>
            </w:r>
          </w:p>
        </w:tc>
        <w:tc>
          <w:tcPr>
            <w:tcW w:w="846" w:type="pct"/>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rPr>
            </w:pPr>
            <w:r>
              <w:rPr>
                <w:rFonts w:hint="eastAsia" w:cs="Times New Roman"/>
                <w:color w:val="auto"/>
                <w:sz w:val="21"/>
                <w:szCs w:val="21"/>
                <w:highlight w:val="none"/>
                <w:lang w:val="en-US" w:eastAsia="zh-CN"/>
              </w:rPr>
              <w:t>0.32</w:t>
            </w:r>
            <w:r>
              <w:rPr>
                <w:rFonts w:hint="eastAsia" w:cs="Times New Roman"/>
                <w:color w:val="auto"/>
                <w:sz w:val="21"/>
                <w:szCs w:val="21"/>
                <w:highlight w:val="none"/>
              </w:rPr>
              <w:t>-</w:t>
            </w:r>
            <w:r>
              <w:rPr>
                <w:rFonts w:hint="eastAsia" w:cs="Times New Roman"/>
                <w:color w:val="auto"/>
                <w:sz w:val="21"/>
                <w:szCs w:val="21"/>
                <w:highlight w:val="none"/>
                <w:lang w:val="en-US" w:eastAsia="zh-CN"/>
              </w:rPr>
              <w:t>0.34</w:t>
            </w:r>
          </w:p>
        </w:tc>
        <w:tc>
          <w:tcPr>
            <w:tcW w:w="748"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98"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挥发性酚类（mg/L）</w:t>
            </w:r>
          </w:p>
        </w:tc>
        <w:tc>
          <w:tcPr>
            <w:tcW w:w="75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硝酸盐（mg/L）</w:t>
            </w:r>
          </w:p>
        </w:tc>
        <w:tc>
          <w:tcPr>
            <w:tcW w:w="755" w:type="pct"/>
            <w:tcBorders>
              <w:tl2br w:val="nil"/>
              <w:tr2bl w:val="nil"/>
            </w:tcBorders>
            <w:noWrap w:val="0"/>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rPr>
              <w:t>1.</w:t>
            </w:r>
            <w:r>
              <w:rPr>
                <w:rFonts w:hint="eastAsia" w:cs="Times New Roman"/>
                <w:color w:val="auto"/>
                <w:sz w:val="21"/>
                <w:szCs w:val="21"/>
                <w:highlight w:val="none"/>
                <w:lang w:val="en-US" w:eastAsia="zh-CN"/>
              </w:rPr>
              <w:t>1</w:t>
            </w:r>
            <w:r>
              <w:rPr>
                <w:rFonts w:hint="eastAsia" w:cs="Times New Roman"/>
                <w:color w:val="auto"/>
                <w:sz w:val="21"/>
                <w:szCs w:val="21"/>
                <w:highlight w:val="none"/>
              </w:rPr>
              <w:t>-1.</w:t>
            </w:r>
            <w:r>
              <w:rPr>
                <w:rFonts w:hint="eastAsia" w:cs="Times New Roman"/>
                <w:color w:val="auto"/>
                <w:sz w:val="21"/>
                <w:szCs w:val="21"/>
                <w:highlight w:val="none"/>
                <w:lang w:val="en-US" w:eastAsia="zh-CN"/>
              </w:rPr>
              <w:t>2</w:t>
            </w:r>
          </w:p>
        </w:tc>
        <w:tc>
          <w:tcPr>
            <w:tcW w:w="846" w:type="pct"/>
            <w:tcBorders>
              <w:tl2br w:val="nil"/>
              <w:tr2bl w:val="nil"/>
            </w:tcBorders>
            <w:noWrap w:val="0"/>
            <w:vAlign w:val="center"/>
          </w:tcPr>
          <w:p>
            <w:pPr>
              <w:spacing w:line="240" w:lineRule="auto"/>
              <w:ind w:firstLine="0" w:firstLineChars="0"/>
              <w:jc w:val="center"/>
              <w:rPr>
                <w:rFonts w:hint="eastAsia" w:eastAsia="宋体" w:cs="Times New Roman"/>
                <w:color w:val="auto"/>
                <w:sz w:val="21"/>
                <w:szCs w:val="21"/>
                <w:highlight w:val="none"/>
                <w:lang w:val="en-US" w:eastAsia="zh-CN"/>
              </w:rPr>
            </w:pPr>
            <w:r>
              <w:rPr>
                <w:rFonts w:hint="eastAsia" w:cs="Times New Roman"/>
                <w:color w:val="auto"/>
                <w:sz w:val="21"/>
                <w:szCs w:val="21"/>
                <w:highlight w:val="none"/>
              </w:rPr>
              <w:t>0.0</w:t>
            </w:r>
            <w:r>
              <w:rPr>
                <w:rFonts w:hint="eastAsia" w:cs="Times New Roman"/>
                <w:color w:val="auto"/>
                <w:sz w:val="21"/>
                <w:szCs w:val="21"/>
                <w:highlight w:val="none"/>
                <w:lang w:val="en-US" w:eastAsia="zh-CN"/>
              </w:rPr>
              <w:t>55</w:t>
            </w:r>
            <w:r>
              <w:rPr>
                <w:rFonts w:hint="eastAsia" w:cs="Times New Roman"/>
                <w:color w:val="auto"/>
                <w:sz w:val="21"/>
                <w:szCs w:val="21"/>
                <w:highlight w:val="none"/>
              </w:rPr>
              <w:t>-0.</w:t>
            </w:r>
            <w:r>
              <w:rPr>
                <w:rFonts w:hint="eastAsia" w:cs="Times New Roman"/>
                <w:color w:val="auto"/>
                <w:sz w:val="21"/>
                <w:szCs w:val="21"/>
                <w:highlight w:val="none"/>
                <w:lang w:val="en-US" w:eastAsia="zh-CN"/>
              </w:rPr>
              <w:t>06</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亚硝酸盐（mg/L）</w:t>
            </w:r>
          </w:p>
        </w:tc>
        <w:tc>
          <w:tcPr>
            <w:tcW w:w="75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镉（mg/L）</w:t>
            </w:r>
          </w:p>
        </w:tc>
        <w:tc>
          <w:tcPr>
            <w:tcW w:w="75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铁(mg/L）</w:t>
            </w:r>
          </w:p>
        </w:tc>
        <w:tc>
          <w:tcPr>
            <w:tcW w:w="75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总硬度（mg/L）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135-138</w:t>
            </w:r>
          </w:p>
        </w:tc>
        <w:tc>
          <w:tcPr>
            <w:tcW w:w="846"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rPr>
              <w:t>0.</w:t>
            </w:r>
            <w:r>
              <w:rPr>
                <w:rFonts w:hint="eastAsia" w:cs="Times New Roman"/>
                <w:color w:val="auto"/>
                <w:sz w:val="21"/>
                <w:szCs w:val="21"/>
                <w:highlight w:val="none"/>
                <w:lang w:val="en-US" w:eastAsia="zh-CN"/>
              </w:rPr>
              <w:t>3</w:t>
            </w:r>
            <w:r>
              <w:rPr>
                <w:rFonts w:hint="eastAsia" w:cs="Times New Roman"/>
                <w:color w:val="auto"/>
                <w:sz w:val="21"/>
                <w:szCs w:val="21"/>
                <w:highlight w:val="none"/>
              </w:rPr>
              <w:t>-0.</w:t>
            </w:r>
            <w:r>
              <w:rPr>
                <w:rFonts w:hint="eastAsia" w:cs="Times New Roman"/>
                <w:color w:val="auto"/>
                <w:sz w:val="21"/>
                <w:szCs w:val="21"/>
                <w:highlight w:val="none"/>
                <w:lang w:val="en-US" w:eastAsia="zh-CN"/>
              </w:rPr>
              <w:t>31</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耗氧量（mg/L）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2.76-2.81</w:t>
            </w:r>
          </w:p>
        </w:tc>
        <w:tc>
          <w:tcPr>
            <w:tcW w:w="846"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rPr>
              <w:t>0.</w:t>
            </w:r>
            <w:r>
              <w:rPr>
                <w:rFonts w:hint="eastAsia" w:cs="Times New Roman"/>
                <w:color w:val="auto"/>
                <w:sz w:val="21"/>
                <w:szCs w:val="21"/>
                <w:highlight w:val="none"/>
                <w:lang w:val="en-US" w:eastAsia="zh-CN"/>
              </w:rPr>
              <w:t>92</w:t>
            </w:r>
            <w:r>
              <w:rPr>
                <w:rFonts w:hint="eastAsia" w:cs="Times New Roman"/>
                <w:color w:val="auto"/>
                <w:sz w:val="21"/>
                <w:szCs w:val="21"/>
                <w:highlight w:val="none"/>
              </w:rPr>
              <w:t>-0.</w:t>
            </w:r>
            <w:r>
              <w:rPr>
                <w:rFonts w:hint="eastAsia" w:cs="Times New Roman"/>
                <w:color w:val="auto"/>
                <w:sz w:val="21"/>
                <w:szCs w:val="21"/>
                <w:highlight w:val="none"/>
                <w:lang w:val="en-US" w:eastAsia="zh-CN"/>
              </w:rPr>
              <w:t>94</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溶解性总固体（mg/L）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276-285</w:t>
            </w:r>
          </w:p>
        </w:tc>
        <w:tc>
          <w:tcPr>
            <w:tcW w:w="846"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rPr>
              <w:t>0.</w:t>
            </w:r>
            <w:r>
              <w:rPr>
                <w:rFonts w:hint="eastAsia" w:cs="Times New Roman"/>
                <w:color w:val="auto"/>
                <w:sz w:val="21"/>
                <w:szCs w:val="21"/>
                <w:highlight w:val="none"/>
                <w:lang w:val="en-US" w:eastAsia="zh-CN"/>
              </w:rPr>
              <w:t>276</w:t>
            </w:r>
            <w:r>
              <w:rPr>
                <w:rFonts w:hint="eastAsia" w:cs="Times New Roman"/>
                <w:color w:val="auto"/>
                <w:sz w:val="21"/>
                <w:szCs w:val="21"/>
                <w:highlight w:val="none"/>
              </w:rPr>
              <w:t>-0.</w:t>
            </w:r>
            <w:r>
              <w:rPr>
                <w:rFonts w:hint="eastAsia" w:cs="Times New Roman"/>
                <w:color w:val="auto"/>
                <w:sz w:val="21"/>
                <w:szCs w:val="21"/>
                <w:highlight w:val="none"/>
                <w:lang w:val="en-US" w:eastAsia="zh-CN"/>
              </w:rPr>
              <w:t>285</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铅（mg/L）</w:t>
            </w:r>
          </w:p>
        </w:tc>
        <w:tc>
          <w:tcPr>
            <w:tcW w:w="75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铜（mg/L）</w:t>
            </w:r>
          </w:p>
        </w:tc>
        <w:tc>
          <w:tcPr>
            <w:tcW w:w="755" w:type="pct"/>
            <w:tcBorders>
              <w:tl2br w:val="nil"/>
              <w:tr2bl w:val="nil"/>
            </w:tcBorders>
            <w:noWrap w:val="0"/>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菌落总数（个/L）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9-10</w:t>
            </w:r>
          </w:p>
        </w:tc>
        <w:tc>
          <w:tcPr>
            <w:tcW w:w="846" w:type="pct"/>
            <w:tcBorders>
              <w:tl2br w:val="nil"/>
              <w:tr2bl w:val="nil"/>
            </w:tcBorders>
            <w:noWrap w:val="0"/>
            <w:vAlign w:val="center"/>
          </w:tcPr>
          <w:p>
            <w:pPr>
              <w:spacing w:line="240" w:lineRule="auto"/>
              <w:ind w:firstLine="0" w:firstLineChars="0"/>
              <w:jc w:val="center"/>
              <w:rPr>
                <w:rFonts w:hint="default"/>
                <w:color w:val="auto"/>
                <w:highlight w:val="none"/>
                <w:lang w:val="en-US" w:eastAsia="zh-CN"/>
              </w:rPr>
            </w:pPr>
            <w:r>
              <w:rPr>
                <w:rFonts w:hint="eastAsia" w:ascii="Times New Roman" w:hAnsi="Times New Roman" w:eastAsia="宋体" w:cs="Times New Roman"/>
                <w:color w:val="auto"/>
                <w:sz w:val="21"/>
                <w:szCs w:val="21"/>
                <w:highlight w:val="none"/>
                <w:lang w:val="en-US" w:eastAsia="zh-CN"/>
              </w:rPr>
              <w:t>0.09-0.1</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氨氮（mg/L）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rPr>
              <w:t>0.</w:t>
            </w:r>
            <w:r>
              <w:rPr>
                <w:rFonts w:hint="eastAsia" w:cs="Times New Roman"/>
                <w:color w:val="auto"/>
                <w:sz w:val="21"/>
                <w:szCs w:val="21"/>
                <w:highlight w:val="none"/>
                <w:lang w:val="en-US" w:eastAsia="zh-CN"/>
              </w:rPr>
              <w:t>128</w:t>
            </w:r>
            <w:r>
              <w:rPr>
                <w:rFonts w:hint="eastAsia" w:cs="Times New Roman"/>
                <w:color w:val="auto"/>
                <w:sz w:val="21"/>
                <w:szCs w:val="21"/>
                <w:highlight w:val="none"/>
              </w:rPr>
              <w:t>-0.</w:t>
            </w:r>
            <w:r>
              <w:rPr>
                <w:rFonts w:hint="eastAsia" w:cs="Times New Roman"/>
                <w:color w:val="auto"/>
                <w:sz w:val="21"/>
                <w:szCs w:val="21"/>
                <w:highlight w:val="none"/>
                <w:lang w:val="en-US" w:eastAsia="zh-CN"/>
              </w:rPr>
              <w:t>134</w:t>
            </w:r>
          </w:p>
        </w:tc>
        <w:tc>
          <w:tcPr>
            <w:tcW w:w="846"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rPr>
              <w:t>0.</w:t>
            </w:r>
            <w:r>
              <w:rPr>
                <w:rFonts w:hint="eastAsia" w:cs="Times New Roman"/>
                <w:color w:val="auto"/>
                <w:sz w:val="21"/>
                <w:szCs w:val="21"/>
                <w:highlight w:val="none"/>
                <w:lang w:val="en-US" w:eastAsia="zh-CN"/>
              </w:rPr>
              <w:t>256</w:t>
            </w:r>
            <w:r>
              <w:rPr>
                <w:rFonts w:hint="eastAsia" w:cs="Times New Roman"/>
                <w:color w:val="auto"/>
                <w:sz w:val="21"/>
                <w:szCs w:val="21"/>
                <w:highlight w:val="none"/>
              </w:rPr>
              <w:t>-</w:t>
            </w:r>
            <w:r>
              <w:rPr>
                <w:rFonts w:hint="eastAsia" w:cs="Times New Roman"/>
                <w:color w:val="auto"/>
                <w:sz w:val="21"/>
                <w:szCs w:val="21"/>
                <w:highlight w:val="none"/>
                <w:lang w:val="en-US" w:eastAsia="zh-CN"/>
              </w:rPr>
              <w:t>0.268</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六价铬（mg/L）</w:t>
            </w:r>
          </w:p>
        </w:tc>
        <w:tc>
          <w:tcPr>
            <w:tcW w:w="75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lang w:val="en-US" w:eastAsia="zh-CN"/>
              </w:rPr>
              <w:t>p</w:t>
            </w:r>
            <w:r>
              <w:rPr>
                <w:rFonts w:hint="eastAsia" w:cs="Times New Roman"/>
                <w:color w:val="auto"/>
                <w:sz w:val="21"/>
                <w:szCs w:val="21"/>
                <w:highlight w:val="none"/>
              </w:rPr>
              <w:t>H</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rPr>
              <w:t>7.</w:t>
            </w:r>
            <w:r>
              <w:rPr>
                <w:rFonts w:hint="eastAsia" w:cs="Times New Roman"/>
                <w:color w:val="auto"/>
                <w:sz w:val="21"/>
                <w:szCs w:val="21"/>
                <w:highlight w:val="none"/>
                <w:lang w:val="en-US" w:eastAsia="zh-CN"/>
              </w:rPr>
              <w:t>75</w:t>
            </w:r>
            <w:r>
              <w:rPr>
                <w:rFonts w:hint="eastAsia" w:cs="Times New Roman"/>
                <w:color w:val="auto"/>
                <w:sz w:val="21"/>
                <w:szCs w:val="21"/>
                <w:highlight w:val="none"/>
              </w:rPr>
              <w:t>-7.</w:t>
            </w:r>
            <w:r>
              <w:rPr>
                <w:rFonts w:hint="eastAsia" w:cs="Times New Roman"/>
                <w:color w:val="auto"/>
                <w:sz w:val="21"/>
                <w:szCs w:val="21"/>
                <w:highlight w:val="none"/>
                <w:lang w:val="en-US" w:eastAsia="zh-CN"/>
              </w:rPr>
              <w:t>82</w:t>
            </w:r>
          </w:p>
        </w:tc>
        <w:tc>
          <w:tcPr>
            <w:tcW w:w="846"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0.5-0.55</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6.5~8.5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氰化物（mg/L）</w:t>
            </w:r>
          </w:p>
        </w:tc>
        <w:tc>
          <w:tcPr>
            <w:tcW w:w="75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总大肠菌群（个/L）</w:t>
            </w:r>
          </w:p>
        </w:tc>
        <w:tc>
          <w:tcPr>
            <w:tcW w:w="755" w:type="pct"/>
            <w:tcBorders>
              <w:tl2br w:val="nil"/>
              <w:tr2bl w:val="nil"/>
            </w:tcBorders>
            <w:noWrap w:val="0"/>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2</w:t>
            </w:r>
          </w:p>
        </w:tc>
        <w:tc>
          <w:tcPr>
            <w:tcW w:w="846"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0.67</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≤3.0（个/L）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砷（mg/L）</w:t>
            </w:r>
          </w:p>
        </w:tc>
        <w:tc>
          <w:tcPr>
            <w:tcW w:w="75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汞（mg/L）</w:t>
            </w:r>
          </w:p>
        </w:tc>
        <w:tc>
          <w:tcPr>
            <w:tcW w:w="75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水位（米）</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井深（米）</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165</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restar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lang w:val="en-US" w:eastAsia="zh-CN"/>
              </w:rPr>
              <w:t>小吴庄</w:t>
            </w: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K</w:t>
            </w:r>
            <w:r>
              <w:rPr>
                <w:rFonts w:hint="eastAsia" w:cs="Times New Roman"/>
                <w:color w:val="auto"/>
                <w:sz w:val="21"/>
                <w:szCs w:val="21"/>
                <w:highlight w:val="none"/>
                <w:vertAlign w:val="superscript"/>
              </w:rPr>
              <w:t>+</w:t>
            </w:r>
            <w:r>
              <w:rPr>
                <w:rFonts w:hint="eastAsia" w:cs="Times New Roman"/>
                <w:color w:val="auto"/>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0.38-0.41</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Na</w:t>
            </w:r>
            <w:r>
              <w:rPr>
                <w:rFonts w:hint="eastAsia" w:cs="Times New Roman"/>
                <w:color w:val="auto"/>
                <w:sz w:val="21"/>
                <w:szCs w:val="21"/>
                <w:highlight w:val="none"/>
                <w:vertAlign w:val="superscript"/>
              </w:rPr>
              <w:t>+</w:t>
            </w:r>
            <w:r>
              <w:rPr>
                <w:rFonts w:hint="eastAsia" w:cs="Times New Roman"/>
                <w:color w:val="auto"/>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39.5-39.9</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Ca</w:t>
            </w:r>
            <w:r>
              <w:rPr>
                <w:rFonts w:hint="eastAsia" w:cs="Times New Roman"/>
                <w:color w:val="auto"/>
                <w:sz w:val="21"/>
                <w:szCs w:val="21"/>
                <w:highlight w:val="none"/>
                <w:vertAlign w:val="superscript"/>
              </w:rPr>
              <w:t>2+</w:t>
            </w:r>
            <w:r>
              <w:rPr>
                <w:rFonts w:hint="eastAsia" w:cs="Times New Roman"/>
                <w:color w:val="auto"/>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14.4-14.6</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Mg</w:t>
            </w:r>
            <w:r>
              <w:rPr>
                <w:rFonts w:hint="eastAsia" w:cs="Times New Roman"/>
                <w:color w:val="auto"/>
                <w:sz w:val="21"/>
                <w:szCs w:val="21"/>
                <w:highlight w:val="none"/>
                <w:vertAlign w:val="superscript"/>
              </w:rPr>
              <w:t>2+</w:t>
            </w:r>
            <w:r>
              <w:rPr>
                <w:rFonts w:hint="eastAsia" w:cs="Times New Roman"/>
                <w:color w:val="auto"/>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1.24-1.25</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CO</w:t>
            </w:r>
            <w:r>
              <w:rPr>
                <w:rFonts w:hint="eastAsia" w:cs="Times New Roman"/>
                <w:color w:val="auto"/>
                <w:sz w:val="21"/>
                <w:szCs w:val="21"/>
                <w:highlight w:val="none"/>
                <w:vertAlign w:val="subscript"/>
              </w:rPr>
              <w:t>3</w:t>
            </w:r>
            <w:r>
              <w:rPr>
                <w:rFonts w:hint="eastAsia" w:cs="Times New Roman"/>
                <w:color w:val="auto"/>
                <w:sz w:val="21"/>
                <w:szCs w:val="21"/>
                <w:highlight w:val="none"/>
                <w:vertAlign w:val="superscript"/>
              </w:rPr>
              <w:t>2-</w:t>
            </w:r>
            <w:r>
              <w:rPr>
                <w:rFonts w:hint="eastAsia" w:cs="Times New Roman"/>
                <w:color w:val="auto"/>
                <w:sz w:val="21"/>
                <w:szCs w:val="21"/>
                <w:highlight w:val="none"/>
              </w:rPr>
              <w:t>(mmol/L)</w:t>
            </w:r>
          </w:p>
        </w:tc>
        <w:tc>
          <w:tcPr>
            <w:tcW w:w="75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HCO</w:t>
            </w:r>
            <w:r>
              <w:rPr>
                <w:rFonts w:hint="eastAsia" w:cs="Times New Roman"/>
                <w:color w:val="auto"/>
                <w:sz w:val="21"/>
                <w:szCs w:val="21"/>
                <w:highlight w:val="none"/>
                <w:vertAlign w:val="subscript"/>
              </w:rPr>
              <w:t>3</w:t>
            </w:r>
            <w:r>
              <w:rPr>
                <w:rFonts w:hint="eastAsia" w:cs="Times New Roman"/>
                <w:color w:val="auto"/>
                <w:sz w:val="21"/>
                <w:szCs w:val="21"/>
                <w:highlight w:val="none"/>
                <w:vertAlign w:val="superscript"/>
              </w:rPr>
              <w:t>-</w:t>
            </w:r>
            <w:r>
              <w:rPr>
                <w:rFonts w:hint="eastAsia" w:cs="Times New Roman"/>
                <w:color w:val="auto"/>
                <w:sz w:val="21"/>
                <w:szCs w:val="21"/>
                <w:highlight w:val="none"/>
              </w:rPr>
              <w:t>(mmol/L)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6.33-6.45</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vertAlign w:val="baseline"/>
                <w:lang w:val="en-US" w:eastAsia="zh-CN"/>
              </w:rPr>
              <w:t>Cl</w:t>
            </w:r>
            <w:r>
              <w:rPr>
                <w:rFonts w:hint="eastAsia" w:cs="Times New Roman"/>
                <w:color w:val="auto"/>
                <w:sz w:val="21"/>
                <w:szCs w:val="21"/>
                <w:highlight w:val="none"/>
                <w:vertAlign w:val="superscript"/>
              </w:rPr>
              <w:t>-</w:t>
            </w:r>
            <w:r>
              <w:rPr>
                <w:rFonts w:hint="eastAsia" w:cs="Times New Roman"/>
                <w:color w:val="auto"/>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17.5-17.9</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SO</w:t>
            </w:r>
            <w:r>
              <w:rPr>
                <w:rFonts w:hint="eastAsia" w:cs="Times New Roman"/>
                <w:color w:val="auto"/>
                <w:sz w:val="21"/>
                <w:szCs w:val="21"/>
                <w:highlight w:val="none"/>
                <w:vertAlign w:val="subscript"/>
              </w:rPr>
              <w:t>4</w:t>
            </w:r>
            <w:r>
              <w:rPr>
                <w:rFonts w:hint="eastAsia" w:cs="Times New Roman"/>
                <w:color w:val="auto"/>
                <w:sz w:val="21"/>
                <w:szCs w:val="21"/>
                <w:highlight w:val="none"/>
                <w:vertAlign w:val="superscript"/>
              </w:rPr>
              <w:t>2-</w:t>
            </w:r>
            <w:r>
              <w:rPr>
                <w:rFonts w:hint="eastAsia" w:cs="Times New Roman"/>
                <w:color w:val="auto"/>
                <w:sz w:val="21"/>
                <w:szCs w:val="21"/>
                <w:highlight w:val="none"/>
              </w:rPr>
              <w:t>（mg/L）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22.7-23.1</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氟化物（mg/L）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0.35</w:t>
            </w:r>
            <w:r>
              <w:rPr>
                <w:rFonts w:hint="eastAsia" w:cs="Times New Roman"/>
                <w:color w:val="auto"/>
                <w:sz w:val="21"/>
                <w:szCs w:val="21"/>
                <w:highlight w:val="none"/>
              </w:rPr>
              <w:t>-</w:t>
            </w:r>
            <w:r>
              <w:rPr>
                <w:rFonts w:hint="eastAsia" w:cs="Times New Roman"/>
                <w:color w:val="auto"/>
                <w:sz w:val="21"/>
                <w:szCs w:val="21"/>
                <w:highlight w:val="none"/>
                <w:lang w:val="en-US" w:eastAsia="zh-CN"/>
              </w:rPr>
              <w:t>0.37</w:t>
            </w:r>
          </w:p>
        </w:tc>
        <w:tc>
          <w:tcPr>
            <w:tcW w:w="846"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0.35</w:t>
            </w:r>
            <w:r>
              <w:rPr>
                <w:rFonts w:hint="eastAsia" w:cs="Times New Roman"/>
                <w:color w:val="auto"/>
                <w:sz w:val="21"/>
                <w:szCs w:val="21"/>
                <w:highlight w:val="none"/>
              </w:rPr>
              <w:t>-</w:t>
            </w:r>
            <w:r>
              <w:rPr>
                <w:rFonts w:hint="eastAsia" w:cs="Times New Roman"/>
                <w:color w:val="auto"/>
                <w:sz w:val="21"/>
                <w:szCs w:val="21"/>
                <w:highlight w:val="none"/>
                <w:lang w:val="en-US" w:eastAsia="zh-CN"/>
              </w:rPr>
              <w:t>0.37</w:t>
            </w:r>
          </w:p>
        </w:tc>
        <w:tc>
          <w:tcPr>
            <w:tcW w:w="748"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98"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挥发性酚类（mg/L）</w:t>
            </w:r>
          </w:p>
        </w:tc>
        <w:tc>
          <w:tcPr>
            <w:tcW w:w="75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硝酸盐（mg/L）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846"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rPr>
              <w:t>0.</w:t>
            </w:r>
            <w:r>
              <w:rPr>
                <w:rFonts w:hint="eastAsia" w:cs="Times New Roman"/>
                <w:color w:val="auto"/>
                <w:sz w:val="21"/>
                <w:szCs w:val="21"/>
                <w:highlight w:val="none"/>
                <w:lang w:val="en-US" w:eastAsia="zh-CN"/>
              </w:rPr>
              <w:t>06</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亚硝酸盐（mg/L）</w:t>
            </w:r>
          </w:p>
        </w:tc>
        <w:tc>
          <w:tcPr>
            <w:tcW w:w="75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镉（mg/L）</w:t>
            </w:r>
          </w:p>
        </w:tc>
        <w:tc>
          <w:tcPr>
            <w:tcW w:w="75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铁(mg/L）</w:t>
            </w:r>
          </w:p>
        </w:tc>
        <w:tc>
          <w:tcPr>
            <w:tcW w:w="75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总硬度（mg/L）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143-148</w:t>
            </w:r>
          </w:p>
        </w:tc>
        <w:tc>
          <w:tcPr>
            <w:tcW w:w="846"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0.32</w:t>
            </w:r>
            <w:r>
              <w:rPr>
                <w:rFonts w:hint="eastAsia" w:cs="Times New Roman"/>
                <w:color w:val="auto"/>
                <w:sz w:val="21"/>
                <w:szCs w:val="21"/>
                <w:highlight w:val="none"/>
              </w:rPr>
              <w:t>-0.</w:t>
            </w:r>
            <w:r>
              <w:rPr>
                <w:rFonts w:hint="eastAsia" w:cs="Times New Roman"/>
                <w:color w:val="auto"/>
                <w:sz w:val="21"/>
                <w:szCs w:val="21"/>
                <w:highlight w:val="none"/>
                <w:lang w:val="en-US" w:eastAsia="zh-CN"/>
              </w:rPr>
              <w:t>33</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耗氧量（mg/L）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2.68-2.72</w:t>
            </w:r>
          </w:p>
        </w:tc>
        <w:tc>
          <w:tcPr>
            <w:tcW w:w="846"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0.89</w:t>
            </w:r>
            <w:r>
              <w:rPr>
                <w:rFonts w:hint="eastAsia" w:cs="Times New Roman"/>
                <w:color w:val="auto"/>
                <w:sz w:val="21"/>
                <w:szCs w:val="21"/>
                <w:highlight w:val="none"/>
              </w:rPr>
              <w:t>-</w:t>
            </w:r>
            <w:r>
              <w:rPr>
                <w:rFonts w:hint="eastAsia" w:cs="Times New Roman"/>
                <w:color w:val="auto"/>
                <w:sz w:val="21"/>
                <w:szCs w:val="21"/>
                <w:highlight w:val="none"/>
                <w:lang w:val="en-US" w:eastAsia="zh-CN"/>
              </w:rPr>
              <w:t>0.91</w:t>
            </w:r>
          </w:p>
        </w:tc>
        <w:tc>
          <w:tcPr>
            <w:tcW w:w="748"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98"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溶解性总固体（mg/L）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300-306</w:t>
            </w:r>
          </w:p>
        </w:tc>
        <w:tc>
          <w:tcPr>
            <w:tcW w:w="846"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w:t>
            </w:r>
            <w:r>
              <w:rPr>
                <w:rFonts w:hint="eastAsia" w:cs="Times New Roman"/>
                <w:color w:val="auto"/>
                <w:sz w:val="21"/>
                <w:szCs w:val="21"/>
                <w:highlight w:val="none"/>
              </w:rPr>
              <w:t>-0.</w:t>
            </w:r>
            <w:r>
              <w:rPr>
                <w:rFonts w:hint="eastAsia" w:cs="Times New Roman"/>
                <w:color w:val="auto"/>
                <w:sz w:val="21"/>
                <w:szCs w:val="21"/>
                <w:highlight w:val="none"/>
                <w:lang w:val="en-US" w:eastAsia="zh-CN"/>
              </w:rPr>
              <w:t>306</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铅（mg/L）</w:t>
            </w:r>
          </w:p>
        </w:tc>
        <w:tc>
          <w:tcPr>
            <w:tcW w:w="75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铜（mg/L）</w:t>
            </w:r>
          </w:p>
        </w:tc>
        <w:tc>
          <w:tcPr>
            <w:tcW w:w="755" w:type="pct"/>
            <w:tcBorders>
              <w:tl2br w:val="nil"/>
              <w:tr2bl w:val="nil"/>
            </w:tcBorders>
            <w:noWrap w:val="0"/>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菌落总数（个/L）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10-11</w:t>
            </w:r>
          </w:p>
        </w:tc>
        <w:tc>
          <w:tcPr>
            <w:tcW w:w="846"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0.1-0.11</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氨氮（mg/L）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rPr>
              <w:t>0.</w:t>
            </w:r>
            <w:r>
              <w:rPr>
                <w:rFonts w:hint="eastAsia" w:cs="Times New Roman"/>
                <w:color w:val="auto"/>
                <w:sz w:val="21"/>
                <w:szCs w:val="21"/>
                <w:highlight w:val="none"/>
                <w:lang w:val="en-US" w:eastAsia="zh-CN"/>
              </w:rPr>
              <w:t>084</w:t>
            </w:r>
            <w:r>
              <w:rPr>
                <w:rFonts w:hint="eastAsia" w:cs="Times New Roman"/>
                <w:color w:val="auto"/>
                <w:sz w:val="21"/>
                <w:szCs w:val="21"/>
                <w:highlight w:val="none"/>
              </w:rPr>
              <w:t>-0.</w:t>
            </w:r>
            <w:r>
              <w:rPr>
                <w:rFonts w:hint="eastAsia" w:cs="Times New Roman"/>
                <w:color w:val="auto"/>
                <w:sz w:val="21"/>
                <w:szCs w:val="21"/>
                <w:highlight w:val="none"/>
                <w:lang w:val="en-US" w:eastAsia="zh-CN"/>
              </w:rPr>
              <w:t>091</w:t>
            </w:r>
          </w:p>
        </w:tc>
        <w:tc>
          <w:tcPr>
            <w:tcW w:w="846"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0.168</w:t>
            </w:r>
            <w:r>
              <w:rPr>
                <w:rFonts w:hint="eastAsia" w:cs="Times New Roman"/>
                <w:color w:val="auto"/>
                <w:sz w:val="21"/>
                <w:szCs w:val="21"/>
                <w:highlight w:val="none"/>
              </w:rPr>
              <w:t>-0.</w:t>
            </w:r>
            <w:r>
              <w:rPr>
                <w:rFonts w:hint="eastAsia" w:cs="Times New Roman"/>
                <w:color w:val="auto"/>
                <w:sz w:val="21"/>
                <w:szCs w:val="21"/>
                <w:highlight w:val="none"/>
                <w:lang w:val="en-US" w:eastAsia="zh-CN"/>
              </w:rPr>
              <w:t>182</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六价铬（mg/L）</w:t>
            </w:r>
          </w:p>
        </w:tc>
        <w:tc>
          <w:tcPr>
            <w:tcW w:w="75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lang w:val="en-US" w:eastAsia="zh-CN"/>
              </w:rPr>
              <w:t>p</w:t>
            </w:r>
            <w:r>
              <w:rPr>
                <w:rFonts w:hint="eastAsia" w:cs="Times New Roman"/>
                <w:color w:val="auto"/>
                <w:sz w:val="21"/>
                <w:szCs w:val="21"/>
                <w:highlight w:val="none"/>
              </w:rPr>
              <w:t>H</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rPr>
              <w:t>7.</w:t>
            </w:r>
            <w:r>
              <w:rPr>
                <w:rFonts w:hint="eastAsia" w:cs="Times New Roman"/>
                <w:color w:val="auto"/>
                <w:sz w:val="21"/>
                <w:szCs w:val="21"/>
                <w:highlight w:val="none"/>
                <w:lang w:val="en-US" w:eastAsia="zh-CN"/>
              </w:rPr>
              <w:t>81</w:t>
            </w:r>
            <w:r>
              <w:rPr>
                <w:rFonts w:hint="eastAsia" w:cs="Times New Roman"/>
                <w:color w:val="auto"/>
                <w:sz w:val="21"/>
                <w:szCs w:val="21"/>
                <w:highlight w:val="none"/>
              </w:rPr>
              <w:t>-7.</w:t>
            </w:r>
            <w:r>
              <w:rPr>
                <w:rFonts w:hint="eastAsia" w:cs="Times New Roman"/>
                <w:color w:val="auto"/>
                <w:sz w:val="21"/>
                <w:szCs w:val="21"/>
                <w:highlight w:val="none"/>
                <w:lang w:val="en-US" w:eastAsia="zh-CN"/>
              </w:rPr>
              <w:t>84</w:t>
            </w:r>
          </w:p>
        </w:tc>
        <w:tc>
          <w:tcPr>
            <w:tcW w:w="846"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0.54-0.56</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6.5~8.5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氰化物（mg/L）</w:t>
            </w:r>
          </w:p>
        </w:tc>
        <w:tc>
          <w:tcPr>
            <w:tcW w:w="75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总大肠菌群（个/L）</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846"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0.33-0.67</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≤3.0（个/L）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砷（mg/L）</w:t>
            </w:r>
          </w:p>
        </w:tc>
        <w:tc>
          <w:tcPr>
            <w:tcW w:w="75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汞（mg/L）</w:t>
            </w:r>
          </w:p>
        </w:tc>
        <w:tc>
          <w:tcPr>
            <w:tcW w:w="75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未检出</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水位（米）</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p>
        </w:tc>
        <w:tc>
          <w:tcPr>
            <w:tcW w:w="95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井深（米）</w:t>
            </w:r>
          </w:p>
        </w:tc>
        <w:tc>
          <w:tcPr>
            <w:tcW w:w="755"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145</w:t>
            </w:r>
          </w:p>
        </w:tc>
        <w:tc>
          <w:tcPr>
            <w:tcW w:w="84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4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9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67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r>
    </w:tbl>
    <w:p>
      <w:pPr>
        <w:pStyle w:val="5"/>
        <w:spacing w:before="66"/>
        <w:ind w:firstLine="0" w:firstLineChars="0"/>
        <w:rPr>
          <w:rFonts w:cs="Times New Roman"/>
          <w:color w:val="auto"/>
          <w:highlight w:val="none"/>
        </w:rPr>
      </w:pPr>
      <w:r>
        <w:rPr>
          <w:rFonts w:hint="eastAsia" w:cs="Times New Roman"/>
          <w:color w:val="auto"/>
          <w:highlight w:val="none"/>
          <w:lang w:val="en-US" w:eastAsia="zh-CN"/>
        </w:rPr>
        <w:t>3</w:t>
      </w:r>
      <w:r>
        <w:rPr>
          <w:rFonts w:cs="Times New Roman"/>
          <w:color w:val="auto"/>
          <w:highlight w:val="none"/>
        </w:rPr>
        <w:t>.</w:t>
      </w:r>
      <w:r>
        <w:rPr>
          <w:rFonts w:hint="eastAsia" w:cs="Times New Roman"/>
          <w:color w:val="auto"/>
          <w:highlight w:val="none"/>
          <w:lang w:val="en-US" w:eastAsia="zh-CN"/>
        </w:rPr>
        <w:t>2</w:t>
      </w:r>
      <w:r>
        <w:rPr>
          <w:rFonts w:cs="Times New Roman"/>
          <w:color w:val="auto"/>
          <w:highlight w:val="none"/>
        </w:rPr>
        <w:t>.</w:t>
      </w:r>
      <w:r>
        <w:rPr>
          <w:rFonts w:hint="eastAsia" w:cs="Times New Roman"/>
          <w:color w:val="auto"/>
          <w:highlight w:val="none"/>
        </w:rPr>
        <w:t>4声</w:t>
      </w:r>
      <w:r>
        <w:rPr>
          <w:rFonts w:cs="Times New Roman"/>
          <w:color w:val="auto"/>
          <w:highlight w:val="none"/>
        </w:rPr>
        <w:t>环境质量现状监测与评价</w:t>
      </w:r>
    </w:p>
    <w:p>
      <w:pPr>
        <w:ind w:firstLine="480"/>
        <w:rPr>
          <w:rFonts w:cs="Times New Roman"/>
          <w:color w:val="auto"/>
          <w:highlight w:val="none"/>
        </w:rPr>
      </w:pPr>
      <w:r>
        <w:rPr>
          <w:rFonts w:cs="Times New Roman"/>
          <w:color w:val="auto"/>
          <w:highlight w:val="none"/>
        </w:rPr>
        <w:t>（1）监测因子和监测断面</w:t>
      </w:r>
    </w:p>
    <w:p>
      <w:pPr>
        <w:ind w:firstLine="480"/>
        <w:rPr>
          <w:rFonts w:cs="Times New Roman"/>
          <w:color w:val="auto"/>
          <w:highlight w:val="none"/>
        </w:rPr>
      </w:pPr>
      <w:r>
        <w:rPr>
          <w:rFonts w:hint="eastAsia" w:cs="Times New Roman"/>
          <w:color w:val="auto"/>
          <w:kern w:val="0"/>
          <w:highlight w:val="none"/>
        </w:rPr>
        <w:t>根据项目的性质及周边环境特征，声环境现状调查设</w:t>
      </w:r>
      <w:r>
        <w:rPr>
          <w:rFonts w:hint="eastAsia" w:cs="Times New Roman"/>
          <w:color w:val="auto"/>
          <w:kern w:val="0"/>
          <w:highlight w:val="none"/>
          <w:lang w:val="en-US" w:eastAsia="zh-CN"/>
        </w:rPr>
        <w:t>4</w:t>
      </w:r>
      <w:r>
        <w:rPr>
          <w:rFonts w:hint="eastAsia" w:cs="Times New Roman"/>
          <w:color w:val="auto"/>
          <w:kern w:val="0"/>
          <w:highlight w:val="none"/>
        </w:rPr>
        <w:t>个监测点位，</w:t>
      </w:r>
      <w:r>
        <w:rPr>
          <w:rFonts w:hint="eastAsia" w:cs="Times New Roman"/>
          <w:color w:val="auto"/>
          <w:kern w:val="0"/>
          <w:highlight w:val="none"/>
          <w:lang w:eastAsia="zh-CN"/>
        </w:rPr>
        <w:t>河南申越检测技术有限公司</w:t>
      </w:r>
      <w:r>
        <w:rPr>
          <w:rFonts w:hint="eastAsia" w:cs="Times New Roman"/>
          <w:color w:val="auto"/>
          <w:kern w:val="0"/>
          <w:highlight w:val="none"/>
        </w:rPr>
        <w:t>于20</w:t>
      </w:r>
      <w:r>
        <w:rPr>
          <w:rFonts w:hint="eastAsia" w:cs="Times New Roman"/>
          <w:color w:val="auto"/>
          <w:kern w:val="0"/>
          <w:highlight w:val="none"/>
          <w:lang w:val="en-US" w:eastAsia="zh-CN"/>
        </w:rPr>
        <w:t>20</w:t>
      </w:r>
      <w:r>
        <w:rPr>
          <w:rFonts w:hint="eastAsia" w:cs="Times New Roman"/>
          <w:color w:val="auto"/>
          <w:kern w:val="0"/>
          <w:highlight w:val="none"/>
        </w:rPr>
        <w:t>年</w:t>
      </w:r>
      <w:r>
        <w:rPr>
          <w:rFonts w:hint="eastAsia" w:cs="Times New Roman"/>
          <w:color w:val="auto"/>
          <w:kern w:val="0"/>
          <w:highlight w:val="none"/>
          <w:lang w:val="en-US" w:eastAsia="zh-CN"/>
        </w:rPr>
        <w:t>9</w:t>
      </w:r>
      <w:r>
        <w:rPr>
          <w:rFonts w:hint="eastAsia" w:cs="Times New Roman"/>
          <w:color w:val="auto"/>
          <w:kern w:val="0"/>
          <w:highlight w:val="none"/>
        </w:rPr>
        <w:t>月</w:t>
      </w:r>
      <w:r>
        <w:rPr>
          <w:rFonts w:hint="eastAsia" w:cs="Times New Roman"/>
          <w:color w:val="auto"/>
          <w:kern w:val="0"/>
          <w:highlight w:val="none"/>
          <w:lang w:val="en-US" w:eastAsia="zh-CN"/>
        </w:rPr>
        <w:t>1</w:t>
      </w:r>
      <w:r>
        <w:rPr>
          <w:rFonts w:hint="eastAsia" w:cs="Times New Roman"/>
          <w:color w:val="auto"/>
          <w:kern w:val="0"/>
          <w:highlight w:val="none"/>
        </w:rPr>
        <w:t>-</w:t>
      </w:r>
      <w:r>
        <w:rPr>
          <w:rFonts w:hint="eastAsia" w:cs="Times New Roman"/>
          <w:color w:val="auto"/>
          <w:kern w:val="0"/>
          <w:highlight w:val="none"/>
          <w:lang w:val="en-US" w:eastAsia="zh-CN"/>
        </w:rPr>
        <w:t>2</w:t>
      </w:r>
      <w:r>
        <w:rPr>
          <w:rFonts w:hint="eastAsia" w:cs="Times New Roman"/>
          <w:color w:val="auto"/>
          <w:kern w:val="0"/>
          <w:highlight w:val="none"/>
        </w:rPr>
        <w:t>日对本项目所在地的声环境质量进行了现状布点监测，具体布点如下表</w:t>
      </w:r>
      <w:r>
        <w:rPr>
          <w:rFonts w:hint="eastAsia" w:cs="Times New Roman"/>
          <w:color w:val="auto"/>
          <w:kern w:val="0"/>
          <w:highlight w:val="none"/>
          <w:lang w:val="en-US" w:eastAsia="zh-CN"/>
        </w:rPr>
        <w:t>3</w:t>
      </w:r>
      <w:r>
        <w:rPr>
          <w:rFonts w:cs="Times New Roman"/>
          <w:color w:val="auto"/>
          <w:highlight w:val="none"/>
        </w:rPr>
        <w:t>.</w:t>
      </w:r>
      <w:r>
        <w:rPr>
          <w:rFonts w:hint="eastAsia" w:cs="Times New Roman"/>
          <w:color w:val="auto"/>
          <w:highlight w:val="none"/>
        </w:rPr>
        <w:t>3</w:t>
      </w:r>
      <w:r>
        <w:rPr>
          <w:rFonts w:cs="Times New Roman"/>
          <w:color w:val="auto"/>
          <w:highlight w:val="none"/>
        </w:rPr>
        <w:t>-</w:t>
      </w:r>
      <w:r>
        <w:rPr>
          <w:rFonts w:hint="eastAsia" w:cs="Times New Roman"/>
          <w:color w:val="auto"/>
          <w:highlight w:val="none"/>
          <w:lang w:val="en-US" w:eastAsia="zh-CN"/>
        </w:rPr>
        <w:t>12</w:t>
      </w:r>
      <w:r>
        <w:rPr>
          <w:rFonts w:cs="Times New Roman"/>
          <w:color w:val="auto"/>
          <w:highlight w:val="none"/>
        </w:rPr>
        <w:t>。</w:t>
      </w:r>
    </w:p>
    <w:p>
      <w:pPr>
        <w:pStyle w:val="40"/>
        <w:rPr>
          <w:rFonts w:hint="eastAsia"/>
          <w:color w:val="auto"/>
          <w:highlight w:val="none"/>
        </w:rPr>
      </w:pPr>
      <w:r>
        <w:rPr>
          <w:rFonts w:hint="eastAsia"/>
          <w:color w:val="auto"/>
          <w:highlight w:val="none"/>
        </w:rPr>
        <w:t>表</w:t>
      </w:r>
      <w:r>
        <w:rPr>
          <w:rFonts w:hint="eastAsia"/>
          <w:color w:val="auto"/>
          <w:highlight w:val="none"/>
          <w:lang w:val="en-US" w:eastAsia="zh-CN"/>
        </w:rPr>
        <w:t>3</w:t>
      </w:r>
      <w:r>
        <w:rPr>
          <w:rFonts w:hint="eastAsia"/>
          <w:color w:val="auto"/>
          <w:highlight w:val="none"/>
        </w:rPr>
        <w:t>.3-</w:t>
      </w:r>
      <w:r>
        <w:rPr>
          <w:rFonts w:hint="eastAsia"/>
          <w:color w:val="auto"/>
          <w:highlight w:val="none"/>
          <w:lang w:val="en-US" w:eastAsia="zh-CN"/>
        </w:rPr>
        <w:t xml:space="preserve">12 </w:t>
      </w:r>
      <w:r>
        <w:rPr>
          <w:rFonts w:hint="eastAsia"/>
          <w:color w:val="auto"/>
          <w:highlight w:val="none"/>
        </w:rPr>
        <w:t>声环境监测布点表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9"/>
        <w:gridCol w:w="2601"/>
        <w:gridCol w:w="1303"/>
        <w:gridCol w:w="37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522"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编号</w:t>
            </w:r>
          </w:p>
        </w:tc>
        <w:tc>
          <w:tcPr>
            <w:tcW w:w="152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检测点名称</w:t>
            </w:r>
          </w:p>
        </w:tc>
        <w:tc>
          <w:tcPr>
            <w:tcW w:w="76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功能</w:t>
            </w:r>
          </w:p>
        </w:tc>
        <w:tc>
          <w:tcPr>
            <w:tcW w:w="2184" w:type="pct"/>
            <w:tcBorders>
              <w:tl2br w:val="nil"/>
              <w:tr2bl w:val="nil"/>
            </w:tcBorders>
            <w:noWrap w:val="0"/>
            <w:vAlign w:val="top"/>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检测因子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22"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52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项目区东厂界</w:t>
            </w:r>
          </w:p>
        </w:tc>
        <w:tc>
          <w:tcPr>
            <w:tcW w:w="76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检测点</w:t>
            </w:r>
          </w:p>
        </w:tc>
        <w:tc>
          <w:tcPr>
            <w:tcW w:w="2184" w:type="pct"/>
            <w:vMerge w:val="restar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连续等效A声级LAeq</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8" w:hRule="atLeast"/>
        </w:trPr>
        <w:tc>
          <w:tcPr>
            <w:tcW w:w="522"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52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项目区南厂界</w:t>
            </w:r>
          </w:p>
        </w:tc>
        <w:tc>
          <w:tcPr>
            <w:tcW w:w="76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检测点</w:t>
            </w:r>
          </w:p>
        </w:tc>
        <w:tc>
          <w:tcPr>
            <w:tcW w:w="2184" w:type="pct"/>
            <w:vMerge w:val="continue"/>
            <w:tcBorders>
              <w:tl2br w:val="nil"/>
              <w:tr2bl w:val="nil"/>
            </w:tcBorders>
            <w:noWrap w:val="0"/>
            <w:vAlign w:val="top"/>
          </w:tcPr>
          <w:p>
            <w:pPr>
              <w:pStyle w:val="2"/>
              <w:jc w:val="center"/>
              <w:rPr>
                <w:rFonts w:hint="eastAsia" w:ascii="宋体" w:hAnsi="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8" w:hRule="atLeast"/>
        </w:trPr>
        <w:tc>
          <w:tcPr>
            <w:tcW w:w="522"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52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项目区西厂界</w:t>
            </w:r>
          </w:p>
        </w:tc>
        <w:tc>
          <w:tcPr>
            <w:tcW w:w="76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检测点</w:t>
            </w:r>
          </w:p>
        </w:tc>
        <w:tc>
          <w:tcPr>
            <w:tcW w:w="2184" w:type="pct"/>
            <w:vMerge w:val="continue"/>
            <w:tcBorders>
              <w:tl2br w:val="nil"/>
              <w:tr2bl w:val="nil"/>
            </w:tcBorders>
            <w:noWrap w:val="0"/>
            <w:vAlign w:val="top"/>
          </w:tcPr>
          <w:p>
            <w:pPr>
              <w:pStyle w:val="2"/>
              <w:jc w:val="center"/>
              <w:rPr>
                <w:rFonts w:hint="eastAsia" w:ascii="宋体" w:hAnsi="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7" w:hRule="atLeast"/>
        </w:trPr>
        <w:tc>
          <w:tcPr>
            <w:tcW w:w="522"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152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项目区北厂界</w:t>
            </w:r>
          </w:p>
        </w:tc>
        <w:tc>
          <w:tcPr>
            <w:tcW w:w="76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检测点</w:t>
            </w:r>
          </w:p>
        </w:tc>
        <w:tc>
          <w:tcPr>
            <w:tcW w:w="2184" w:type="pct"/>
            <w:vMerge w:val="continue"/>
            <w:tcBorders>
              <w:tl2br w:val="nil"/>
              <w:tr2bl w:val="nil"/>
            </w:tcBorders>
            <w:noWrap w:val="0"/>
            <w:vAlign w:val="top"/>
          </w:tcPr>
          <w:p>
            <w:pPr>
              <w:pStyle w:val="2"/>
              <w:jc w:val="center"/>
              <w:rPr>
                <w:rFonts w:hint="eastAsia" w:ascii="宋体" w:hAnsi="宋体" w:cs="宋体"/>
                <w:color w:val="auto"/>
                <w:sz w:val="21"/>
                <w:szCs w:val="21"/>
                <w:highlight w:val="none"/>
              </w:rPr>
            </w:pPr>
          </w:p>
        </w:tc>
      </w:tr>
    </w:tbl>
    <w:p>
      <w:pPr>
        <w:spacing w:line="360" w:lineRule="auto"/>
        <w:ind w:firstLine="480"/>
        <w:rPr>
          <w:color w:val="auto"/>
          <w:highlight w:val="none"/>
        </w:rPr>
      </w:pPr>
      <w:r>
        <w:rPr>
          <w:color w:val="auto"/>
          <w:highlight w:val="none"/>
        </w:rPr>
        <w:t>（</w:t>
      </w:r>
      <w:r>
        <w:rPr>
          <w:rFonts w:hint="eastAsia"/>
          <w:color w:val="auto"/>
          <w:highlight w:val="none"/>
        </w:rPr>
        <w:t>2</w:t>
      </w:r>
      <w:r>
        <w:rPr>
          <w:color w:val="auto"/>
          <w:highlight w:val="none"/>
        </w:rPr>
        <w:t>）监测时间和频次</w:t>
      </w:r>
    </w:p>
    <w:p>
      <w:pPr>
        <w:spacing w:line="360" w:lineRule="auto"/>
        <w:ind w:firstLine="480"/>
        <w:rPr>
          <w:rFonts w:hint="eastAsia"/>
          <w:color w:val="auto"/>
          <w:highlight w:val="none"/>
        </w:rPr>
      </w:pPr>
      <w:r>
        <w:rPr>
          <w:rFonts w:hint="eastAsia"/>
          <w:color w:val="auto"/>
          <w:highlight w:val="none"/>
          <w:lang w:val="en-US" w:eastAsia="zh-CN"/>
        </w:rPr>
        <w:t>2020</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1</w:t>
      </w:r>
      <w:r>
        <w:rPr>
          <w:rFonts w:hint="eastAsia"/>
          <w:color w:val="auto"/>
          <w:highlight w:val="none"/>
        </w:rPr>
        <w:t>日~</w:t>
      </w:r>
      <w:r>
        <w:rPr>
          <w:rFonts w:hint="eastAsia"/>
          <w:color w:val="auto"/>
          <w:highlight w:val="none"/>
          <w:lang w:val="en-US" w:eastAsia="zh-CN"/>
        </w:rPr>
        <w:t>2</w:t>
      </w:r>
      <w:r>
        <w:rPr>
          <w:rFonts w:hint="eastAsia"/>
          <w:color w:val="auto"/>
          <w:highlight w:val="none"/>
        </w:rPr>
        <w:t>日，监测2天，分昼间、夜间两个时段，各测一次。</w:t>
      </w:r>
    </w:p>
    <w:p>
      <w:pPr>
        <w:spacing w:line="360" w:lineRule="auto"/>
        <w:ind w:firstLine="48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）评价标准</w:t>
      </w:r>
    </w:p>
    <w:p>
      <w:pPr>
        <w:adjustRightInd w:val="0"/>
        <w:snapToGrid w:val="0"/>
        <w:spacing w:line="360" w:lineRule="auto"/>
        <w:ind w:firstLine="480" w:firstLineChars="200"/>
        <w:rPr>
          <w:rFonts w:ascii="Times New Roman" w:hAnsi="Times New Roman"/>
          <w:b/>
          <w:bCs/>
          <w:color w:val="auto"/>
          <w:kern w:val="0"/>
          <w:szCs w:val="21"/>
          <w:highlight w:val="none"/>
        </w:rPr>
      </w:pPr>
      <w:r>
        <w:rPr>
          <w:rFonts w:ascii="Times New Roman" w:hAnsi="Times New Roman"/>
          <w:bCs/>
          <w:color w:val="auto"/>
          <w:sz w:val="24"/>
          <w:highlight w:val="none"/>
        </w:rPr>
        <w:t>本次声环境质量现状评价执行《声环境质量标准》（GB3096-2008）中2类标准，具体见表3.3-1</w:t>
      </w:r>
      <w:r>
        <w:rPr>
          <w:rFonts w:hint="eastAsia"/>
          <w:bCs/>
          <w:color w:val="auto"/>
          <w:sz w:val="24"/>
          <w:highlight w:val="none"/>
          <w:lang w:val="en-US" w:eastAsia="zh-CN"/>
        </w:rPr>
        <w:t>3</w:t>
      </w:r>
      <w:r>
        <w:rPr>
          <w:rFonts w:ascii="Times New Roman" w:hAnsi="Times New Roman"/>
          <w:bCs/>
          <w:color w:val="auto"/>
          <w:sz w:val="24"/>
          <w:highlight w:val="none"/>
        </w:rPr>
        <w:t>。</w:t>
      </w:r>
    </w:p>
    <w:p>
      <w:pPr>
        <w:pStyle w:val="40"/>
        <w:rPr>
          <w:rFonts w:hint="eastAsia"/>
          <w:color w:val="auto"/>
          <w:highlight w:val="none"/>
        </w:rPr>
      </w:pPr>
      <w:r>
        <w:rPr>
          <w:rFonts w:hint="eastAsia"/>
          <w:color w:val="auto"/>
          <w:highlight w:val="none"/>
        </w:rPr>
        <w:t>表3.3-1</w:t>
      </w:r>
      <w:r>
        <w:rPr>
          <w:rFonts w:hint="eastAsia"/>
          <w:color w:val="auto"/>
          <w:highlight w:val="none"/>
          <w:lang w:val="en-US" w:eastAsia="zh-CN"/>
        </w:rPr>
        <w:t>3</w:t>
      </w:r>
      <w:r>
        <w:rPr>
          <w:rFonts w:hint="eastAsia"/>
          <w:color w:val="auto"/>
          <w:highlight w:val="none"/>
        </w:rPr>
        <w:t xml:space="preserve">  声环境质量现状评价标准单位：dB(A)</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37"/>
        <w:gridCol w:w="2838"/>
        <w:gridCol w:w="28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666" w:type="pct"/>
            <w:tcBorders>
              <w:top w:val="single" w:color="auto" w:sz="12" w:space="0"/>
              <w:left w:val="single" w:color="auto" w:sz="12" w:space="0"/>
              <w:bottom w:val="single" w:color="auto" w:sz="4" w:space="0"/>
              <w:right w:val="single" w:color="auto" w:sz="4" w:space="0"/>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项目</w:t>
            </w:r>
          </w:p>
        </w:tc>
        <w:tc>
          <w:tcPr>
            <w:tcW w:w="1666" w:type="pct"/>
            <w:tcBorders>
              <w:top w:val="single" w:color="auto" w:sz="12"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昼间</w:t>
            </w:r>
          </w:p>
        </w:tc>
        <w:tc>
          <w:tcPr>
            <w:tcW w:w="1666" w:type="pct"/>
            <w:tcBorders>
              <w:top w:val="single" w:color="auto" w:sz="12" w:space="0"/>
              <w:left w:val="single" w:color="auto" w:sz="4" w:space="0"/>
              <w:bottom w:val="single" w:color="auto" w:sz="4" w:space="0"/>
              <w:right w:val="single" w:color="auto" w:sz="12" w:space="0"/>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666" w:type="pct"/>
            <w:tcBorders>
              <w:top w:val="single" w:color="auto" w:sz="4" w:space="0"/>
              <w:left w:val="single" w:color="auto" w:sz="12" w:space="0"/>
              <w:bottom w:val="single" w:color="auto" w:sz="12" w:space="0"/>
              <w:right w:val="single" w:color="auto" w:sz="4" w:space="0"/>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2类标准限值</w:t>
            </w:r>
          </w:p>
        </w:tc>
        <w:tc>
          <w:tcPr>
            <w:tcW w:w="1666" w:type="pct"/>
            <w:tcBorders>
              <w:top w:val="single" w:color="auto" w:sz="4" w:space="0"/>
              <w:left w:val="single" w:color="auto" w:sz="4" w:space="0"/>
              <w:bottom w:val="single" w:color="auto" w:sz="12" w:space="0"/>
              <w:right w:val="single" w:color="auto" w:sz="4" w:space="0"/>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1666" w:type="pct"/>
            <w:tcBorders>
              <w:top w:val="single" w:color="auto" w:sz="4" w:space="0"/>
              <w:left w:val="single" w:color="auto" w:sz="4" w:space="0"/>
              <w:bottom w:val="single" w:color="auto" w:sz="12" w:space="0"/>
              <w:right w:val="single" w:color="auto" w:sz="12" w:space="0"/>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r>
    </w:tbl>
    <w:p>
      <w:pPr>
        <w:ind w:firstLine="480"/>
        <w:rPr>
          <w:color w:val="auto"/>
          <w:highlight w:val="none"/>
        </w:rPr>
      </w:pPr>
      <w:r>
        <w:rPr>
          <w:rFonts w:hint="eastAsia"/>
          <w:color w:val="auto"/>
          <w:highlight w:val="none"/>
        </w:rPr>
        <w:t>（</w:t>
      </w:r>
      <w:r>
        <w:rPr>
          <w:rFonts w:hint="eastAsia"/>
          <w:color w:val="auto"/>
          <w:highlight w:val="none"/>
          <w:lang w:val="en-US" w:eastAsia="zh-CN"/>
        </w:rPr>
        <w:t>4</w:t>
      </w:r>
      <w:r>
        <w:rPr>
          <w:rFonts w:hint="eastAsia"/>
          <w:color w:val="auto"/>
          <w:highlight w:val="none"/>
        </w:rPr>
        <w:t>）</w:t>
      </w:r>
      <w:r>
        <w:rPr>
          <w:color w:val="auto"/>
          <w:highlight w:val="none"/>
        </w:rPr>
        <w:t>监测结果统计与评价</w:t>
      </w:r>
    </w:p>
    <w:p>
      <w:pPr>
        <w:ind w:firstLine="480"/>
        <w:rPr>
          <w:color w:val="auto"/>
          <w:highlight w:val="none"/>
        </w:rPr>
      </w:pPr>
      <w:r>
        <w:rPr>
          <w:rFonts w:hint="eastAsia"/>
          <w:color w:val="auto"/>
          <w:highlight w:val="none"/>
        </w:rPr>
        <w:t>监测结果见</w:t>
      </w:r>
      <w:r>
        <w:rPr>
          <w:color w:val="auto"/>
          <w:highlight w:val="none"/>
        </w:rPr>
        <w:t>表</w:t>
      </w:r>
      <w:r>
        <w:rPr>
          <w:rFonts w:hint="eastAsia"/>
          <w:color w:val="auto"/>
          <w:highlight w:val="none"/>
          <w:lang w:val="en-US" w:eastAsia="zh-CN"/>
        </w:rPr>
        <w:t>3</w:t>
      </w:r>
      <w:r>
        <w:rPr>
          <w:rFonts w:hint="eastAsia"/>
          <w:color w:val="auto"/>
          <w:highlight w:val="none"/>
        </w:rPr>
        <w:t>.2-1</w:t>
      </w:r>
      <w:r>
        <w:rPr>
          <w:rFonts w:hint="eastAsia"/>
          <w:color w:val="auto"/>
          <w:highlight w:val="none"/>
          <w:lang w:val="en-US" w:eastAsia="zh-CN"/>
        </w:rPr>
        <w:t>4</w:t>
      </w:r>
      <w:r>
        <w:rPr>
          <w:color w:val="auto"/>
          <w:highlight w:val="none"/>
        </w:rPr>
        <w:t>，评价区域噪声监测结果昼间、夜间均符合《声环境质量标准》</w:t>
      </w:r>
      <w:r>
        <w:rPr>
          <w:rFonts w:hint="eastAsia"/>
          <w:color w:val="auto"/>
          <w:highlight w:val="none"/>
        </w:rPr>
        <w:t>（</w:t>
      </w:r>
      <w:r>
        <w:rPr>
          <w:color w:val="auto"/>
          <w:highlight w:val="none"/>
        </w:rPr>
        <w:t>GB3096-2008</w:t>
      </w:r>
      <w:r>
        <w:rPr>
          <w:rFonts w:hint="eastAsia"/>
          <w:color w:val="auto"/>
          <w:highlight w:val="none"/>
        </w:rPr>
        <w:t>）</w:t>
      </w:r>
      <w:r>
        <w:rPr>
          <w:color w:val="auto"/>
          <w:highlight w:val="none"/>
        </w:rPr>
        <w:t>中</w:t>
      </w:r>
      <w:r>
        <w:rPr>
          <w:rFonts w:hint="eastAsia"/>
          <w:color w:val="auto"/>
          <w:highlight w:val="none"/>
          <w:lang w:val="en-US" w:eastAsia="zh-CN"/>
        </w:rPr>
        <w:t>2</w:t>
      </w:r>
      <w:r>
        <w:rPr>
          <w:color w:val="auto"/>
          <w:highlight w:val="none"/>
        </w:rPr>
        <w:t>类标准要求。</w:t>
      </w:r>
    </w:p>
    <w:p>
      <w:pPr>
        <w:pStyle w:val="40"/>
        <w:rPr>
          <w:color w:val="auto"/>
          <w:highlight w:val="none"/>
        </w:rPr>
      </w:pPr>
      <w:r>
        <w:rPr>
          <w:rFonts w:hint="eastAsia"/>
          <w:color w:val="auto"/>
          <w:highlight w:val="none"/>
        </w:rPr>
        <w:t>表</w:t>
      </w:r>
      <w:r>
        <w:rPr>
          <w:rFonts w:hint="eastAsia"/>
          <w:color w:val="auto"/>
          <w:highlight w:val="none"/>
          <w:lang w:val="en-US" w:eastAsia="zh-CN"/>
        </w:rPr>
        <w:t>3</w:t>
      </w:r>
      <w:r>
        <w:rPr>
          <w:rFonts w:hint="eastAsia"/>
          <w:color w:val="auto"/>
          <w:highlight w:val="none"/>
        </w:rPr>
        <w:t>.3-1</w:t>
      </w:r>
      <w:r>
        <w:rPr>
          <w:rFonts w:hint="eastAsia"/>
          <w:color w:val="auto"/>
          <w:highlight w:val="none"/>
          <w:lang w:val="en-US" w:eastAsia="zh-CN"/>
        </w:rPr>
        <w:t xml:space="preserve">4 </w:t>
      </w:r>
      <w:r>
        <w:rPr>
          <w:rFonts w:hint="eastAsia" w:cs="Times New Roman"/>
          <w:color w:val="auto"/>
          <w:szCs w:val="21"/>
          <w:highlight w:val="none"/>
        </w:rPr>
        <w:t>声环境监测结果</w:t>
      </w:r>
    </w:p>
    <w:tbl>
      <w:tblPr>
        <w:tblStyle w:val="25"/>
        <w:tblW w:w="85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219"/>
        <w:gridCol w:w="1275"/>
        <w:gridCol w:w="1813"/>
        <w:gridCol w:w="1371"/>
        <w:gridCol w:w="14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检测点位</w:t>
            </w:r>
          </w:p>
        </w:tc>
        <w:tc>
          <w:tcPr>
            <w:tcW w:w="1219" w:type="dxa"/>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检测日期</w:t>
            </w:r>
          </w:p>
        </w:tc>
        <w:tc>
          <w:tcPr>
            <w:tcW w:w="1275" w:type="dxa"/>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检测时段</w:t>
            </w:r>
          </w:p>
        </w:tc>
        <w:tc>
          <w:tcPr>
            <w:tcW w:w="1813" w:type="dxa"/>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检测结果（LAeq）</w:t>
            </w:r>
          </w:p>
        </w:tc>
        <w:tc>
          <w:tcPr>
            <w:tcW w:w="1371" w:type="dxa"/>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标准值</w:t>
            </w:r>
          </w:p>
        </w:tc>
        <w:tc>
          <w:tcPr>
            <w:tcW w:w="1419" w:type="dxa"/>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是否达标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restart"/>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项目区东厂界</w:t>
            </w:r>
          </w:p>
        </w:tc>
        <w:tc>
          <w:tcPr>
            <w:tcW w:w="1219" w:type="dxa"/>
            <w:vMerge w:val="restart"/>
            <w:tcBorders>
              <w:tl2br w:val="nil"/>
              <w:tr2bl w:val="nil"/>
            </w:tcBorders>
            <w:vAlign w:val="center"/>
          </w:tcPr>
          <w:p>
            <w:pPr>
              <w:widowControl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2020.9.1</w:t>
            </w:r>
          </w:p>
        </w:tc>
        <w:tc>
          <w:tcPr>
            <w:tcW w:w="1275" w:type="dxa"/>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昼间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53.1</w:t>
            </w:r>
          </w:p>
        </w:tc>
        <w:tc>
          <w:tcPr>
            <w:tcW w:w="1371" w:type="dxa"/>
            <w:vMerge w:val="restart"/>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昼间：60</w:t>
            </w:r>
          </w:p>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夜间：50</w:t>
            </w:r>
          </w:p>
        </w:tc>
        <w:tc>
          <w:tcPr>
            <w:tcW w:w="1419" w:type="dxa"/>
            <w:vMerge w:val="restart"/>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c>
          <w:tcPr>
            <w:tcW w:w="1219"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c>
          <w:tcPr>
            <w:tcW w:w="1275" w:type="dxa"/>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夜间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42.9</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c>
          <w:tcPr>
            <w:tcW w:w="1219" w:type="dxa"/>
            <w:vMerge w:val="restart"/>
            <w:tcBorders>
              <w:tl2br w:val="nil"/>
              <w:tr2bl w:val="nil"/>
            </w:tcBorders>
            <w:vAlign w:val="center"/>
          </w:tcPr>
          <w:p>
            <w:pPr>
              <w:widowControl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2020.9.2</w:t>
            </w:r>
          </w:p>
        </w:tc>
        <w:tc>
          <w:tcPr>
            <w:tcW w:w="1275" w:type="dxa"/>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昼间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52.7</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c>
          <w:tcPr>
            <w:tcW w:w="1219"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c>
          <w:tcPr>
            <w:tcW w:w="1275" w:type="dxa"/>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夜间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42.7</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restart"/>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项目区南厂界</w:t>
            </w:r>
          </w:p>
        </w:tc>
        <w:tc>
          <w:tcPr>
            <w:tcW w:w="1219" w:type="dxa"/>
            <w:vMerge w:val="restart"/>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2020.9.1</w:t>
            </w:r>
          </w:p>
        </w:tc>
        <w:tc>
          <w:tcPr>
            <w:tcW w:w="1275" w:type="dxa"/>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昼间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52.6</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c>
          <w:tcPr>
            <w:tcW w:w="1419" w:type="dxa"/>
            <w:vMerge w:val="restart"/>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c>
          <w:tcPr>
            <w:tcW w:w="1219"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c>
          <w:tcPr>
            <w:tcW w:w="1275" w:type="dxa"/>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夜间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42.3</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c>
          <w:tcPr>
            <w:tcW w:w="1219" w:type="dxa"/>
            <w:vMerge w:val="restart"/>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2020.9.2</w:t>
            </w:r>
          </w:p>
        </w:tc>
        <w:tc>
          <w:tcPr>
            <w:tcW w:w="1275" w:type="dxa"/>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昼间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52.8</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c>
          <w:tcPr>
            <w:tcW w:w="1219"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c>
          <w:tcPr>
            <w:tcW w:w="1275" w:type="dxa"/>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夜间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42.5</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restart"/>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项目区西厂界</w:t>
            </w:r>
          </w:p>
        </w:tc>
        <w:tc>
          <w:tcPr>
            <w:tcW w:w="1219" w:type="dxa"/>
            <w:vMerge w:val="restart"/>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2020.9.1</w:t>
            </w:r>
          </w:p>
        </w:tc>
        <w:tc>
          <w:tcPr>
            <w:tcW w:w="1275" w:type="dxa"/>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昼间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51.8</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c>
          <w:tcPr>
            <w:tcW w:w="1419" w:type="dxa"/>
            <w:vMerge w:val="restart"/>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c>
          <w:tcPr>
            <w:tcW w:w="1219"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c>
          <w:tcPr>
            <w:tcW w:w="1275" w:type="dxa"/>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夜间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41.6</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c>
          <w:tcPr>
            <w:tcW w:w="1219" w:type="dxa"/>
            <w:vMerge w:val="restart"/>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2020.9.2</w:t>
            </w:r>
          </w:p>
        </w:tc>
        <w:tc>
          <w:tcPr>
            <w:tcW w:w="1275" w:type="dxa"/>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昼间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52.4</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c>
          <w:tcPr>
            <w:tcW w:w="1219"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c>
          <w:tcPr>
            <w:tcW w:w="1275" w:type="dxa"/>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夜间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42.2</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c>
          <w:tcPr>
            <w:tcW w:w="1419"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restart"/>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项目区北厂界</w:t>
            </w:r>
          </w:p>
        </w:tc>
        <w:tc>
          <w:tcPr>
            <w:tcW w:w="1219" w:type="dxa"/>
            <w:vMerge w:val="restart"/>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2020.9.1</w:t>
            </w:r>
          </w:p>
        </w:tc>
        <w:tc>
          <w:tcPr>
            <w:tcW w:w="1275" w:type="dxa"/>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昼间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53.2</w:t>
            </w:r>
          </w:p>
        </w:tc>
        <w:tc>
          <w:tcPr>
            <w:tcW w:w="1371" w:type="dxa"/>
            <w:vMerge w:val="continue"/>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p>
        </w:tc>
        <w:tc>
          <w:tcPr>
            <w:tcW w:w="1419" w:type="dxa"/>
            <w:vMerge w:val="restart"/>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pStyle w:val="42"/>
              <w:widowControl w:val="0"/>
              <w:ind w:firstLine="420"/>
              <w:rPr>
                <w:color w:val="auto"/>
                <w:kern w:val="2"/>
                <w:highlight w:val="none"/>
              </w:rPr>
            </w:pPr>
          </w:p>
        </w:tc>
        <w:tc>
          <w:tcPr>
            <w:tcW w:w="1219" w:type="dxa"/>
            <w:vMerge w:val="continue"/>
            <w:tcBorders>
              <w:tl2br w:val="nil"/>
              <w:tr2bl w:val="nil"/>
            </w:tcBorders>
            <w:vAlign w:val="center"/>
          </w:tcPr>
          <w:p>
            <w:pPr>
              <w:pStyle w:val="42"/>
              <w:widowControl w:val="0"/>
              <w:ind w:firstLine="420"/>
              <w:rPr>
                <w:color w:val="auto"/>
                <w:kern w:val="2"/>
                <w:highlight w:val="none"/>
              </w:rPr>
            </w:pPr>
          </w:p>
        </w:tc>
        <w:tc>
          <w:tcPr>
            <w:tcW w:w="1275" w:type="dxa"/>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夜间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42.5</w:t>
            </w:r>
          </w:p>
        </w:tc>
        <w:tc>
          <w:tcPr>
            <w:tcW w:w="1371" w:type="dxa"/>
            <w:vMerge w:val="continue"/>
            <w:tcBorders>
              <w:tl2br w:val="nil"/>
              <w:tr2bl w:val="nil"/>
            </w:tcBorders>
            <w:vAlign w:val="center"/>
          </w:tcPr>
          <w:p>
            <w:pPr>
              <w:pStyle w:val="42"/>
              <w:widowControl w:val="0"/>
              <w:ind w:firstLine="0" w:firstLineChars="0"/>
              <w:rPr>
                <w:color w:val="auto"/>
                <w:kern w:val="2"/>
                <w:highlight w:val="none"/>
              </w:rPr>
            </w:pPr>
          </w:p>
        </w:tc>
        <w:tc>
          <w:tcPr>
            <w:tcW w:w="1419" w:type="dxa"/>
            <w:vMerge w:val="continue"/>
            <w:tcBorders>
              <w:tl2br w:val="nil"/>
              <w:tr2bl w:val="nil"/>
            </w:tcBorders>
            <w:vAlign w:val="center"/>
          </w:tcPr>
          <w:p>
            <w:pPr>
              <w:pStyle w:val="42"/>
              <w:widowControl w:val="0"/>
              <w:ind w:firstLine="0" w:firstLineChars="0"/>
              <w:rPr>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pStyle w:val="42"/>
              <w:widowControl w:val="0"/>
              <w:ind w:firstLine="420"/>
              <w:rPr>
                <w:color w:val="auto"/>
                <w:kern w:val="2"/>
                <w:highlight w:val="none"/>
              </w:rPr>
            </w:pPr>
          </w:p>
        </w:tc>
        <w:tc>
          <w:tcPr>
            <w:tcW w:w="1219" w:type="dxa"/>
            <w:vMerge w:val="restart"/>
            <w:tcBorders>
              <w:tl2br w:val="nil"/>
              <w:tr2bl w:val="nil"/>
            </w:tcBorders>
            <w:vAlign w:val="center"/>
          </w:tcPr>
          <w:p>
            <w:pPr>
              <w:widowControl w:val="0"/>
              <w:spacing w:line="240" w:lineRule="auto"/>
              <w:ind w:firstLine="0" w:firstLineChars="0"/>
              <w:jc w:val="center"/>
              <w:rPr>
                <w:color w:val="auto"/>
                <w:kern w:val="2"/>
                <w:highlight w:val="none"/>
              </w:rPr>
            </w:pPr>
            <w:r>
              <w:rPr>
                <w:rFonts w:hint="eastAsia" w:cs="Times New Roman"/>
                <w:color w:val="auto"/>
                <w:sz w:val="21"/>
                <w:szCs w:val="21"/>
                <w:highlight w:val="none"/>
                <w:lang w:val="en-US" w:eastAsia="zh-CN"/>
              </w:rPr>
              <w:t>2020.9.2</w:t>
            </w:r>
          </w:p>
        </w:tc>
        <w:tc>
          <w:tcPr>
            <w:tcW w:w="1275" w:type="dxa"/>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昼间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52.8</w:t>
            </w:r>
          </w:p>
        </w:tc>
        <w:tc>
          <w:tcPr>
            <w:tcW w:w="1371" w:type="dxa"/>
            <w:vMerge w:val="continue"/>
            <w:tcBorders>
              <w:tl2br w:val="nil"/>
              <w:tr2bl w:val="nil"/>
            </w:tcBorders>
            <w:vAlign w:val="center"/>
          </w:tcPr>
          <w:p>
            <w:pPr>
              <w:pStyle w:val="42"/>
              <w:widowControl w:val="0"/>
              <w:ind w:firstLine="0" w:firstLineChars="0"/>
              <w:rPr>
                <w:color w:val="auto"/>
                <w:kern w:val="2"/>
                <w:highlight w:val="none"/>
              </w:rPr>
            </w:pPr>
          </w:p>
        </w:tc>
        <w:tc>
          <w:tcPr>
            <w:tcW w:w="1419" w:type="dxa"/>
            <w:vMerge w:val="continue"/>
            <w:tcBorders>
              <w:tl2br w:val="nil"/>
              <w:tr2bl w:val="nil"/>
            </w:tcBorders>
            <w:vAlign w:val="center"/>
          </w:tcPr>
          <w:p>
            <w:pPr>
              <w:pStyle w:val="42"/>
              <w:widowControl w:val="0"/>
              <w:ind w:firstLine="0" w:firstLineChars="0"/>
              <w:rPr>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continue"/>
            <w:tcBorders>
              <w:tl2br w:val="nil"/>
              <w:tr2bl w:val="nil"/>
            </w:tcBorders>
            <w:vAlign w:val="center"/>
          </w:tcPr>
          <w:p>
            <w:pPr>
              <w:pStyle w:val="42"/>
              <w:widowControl w:val="0"/>
              <w:ind w:firstLine="420"/>
              <w:rPr>
                <w:color w:val="auto"/>
                <w:kern w:val="2"/>
                <w:highlight w:val="none"/>
              </w:rPr>
            </w:pPr>
          </w:p>
        </w:tc>
        <w:tc>
          <w:tcPr>
            <w:tcW w:w="1219" w:type="dxa"/>
            <w:vMerge w:val="continue"/>
            <w:tcBorders>
              <w:tl2br w:val="nil"/>
              <w:tr2bl w:val="nil"/>
            </w:tcBorders>
            <w:vAlign w:val="center"/>
          </w:tcPr>
          <w:p>
            <w:pPr>
              <w:pStyle w:val="42"/>
              <w:widowControl w:val="0"/>
              <w:ind w:firstLine="420"/>
              <w:rPr>
                <w:color w:val="auto"/>
                <w:kern w:val="2"/>
                <w:highlight w:val="none"/>
              </w:rPr>
            </w:pPr>
          </w:p>
        </w:tc>
        <w:tc>
          <w:tcPr>
            <w:tcW w:w="1275" w:type="dxa"/>
            <w:tcBorders>
              <w:tl2br w:val="nil"/>
              <w:tr2bl w:val="nil"/>
            </w:tcBorders>
            <w:vAlign w:val="center"/>
          </w:tcPr>
          <w:p>
            <w:pPr>
              <w:widowControl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夜间</w:t>
            </w:r>
          </w:p>
        </w:tc>
        <w:tc>
          <w:tcPr>
            <w:tcW w:w="1813" w:type="dxa"/>
            <w:tcBorders>
              <w:tl2br w:val="nil"/>
              <w:tr2bl w:val="nil"/>
            </w:tcBorders>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43.1</w:t>
            </w:r>
          </w:p>
        </w:tc>
        <w:tc>
          <w:tcPr>
            <w:tcW w:w="1371" w:type="dxa"/>
            <w:vMerge w:val="continue"/>
            <w:tcBorders>
              <w:tl2br w:val="nil"/>
              <w:tr2bl w:val="nil"/>
            </w:tcBorders>
            <w:vAlign w:val="center"/>
          </w:tcPr>
          <w:p>
            <w:pPr>
              <w:pStyle w:val="42"/>
              <w:widowControl w:val="0"/>
              <w:ind w:firstLine="0" w:firstLineChars="0"/>
              <w:rPr>
                <w:color w:val="auto"/>
                <w:kern w:val="2"/>
                <w:highlight w:val="none"/>
              </w:rPr>
            </w:pPr>
          </w:p>
        </w:tc>
        <w:tc>
          <w:tcPr>
            <w:tcW w:w="1419" w:type="dxa"/>
            <w:vMerge w:val="continue"/>
            <w:tcBorders>
              <w:tl2br w:val="nil"/>
              <w:tr2bl w:val="nil"/>
            </w:tcBorders>
            <w:vAlign w:val="center"/>
          </w:tcPr>
          <w:p>
            <w:pPr>
              <w:pStyle w:val="42"/>
              <w:widowControl w:val="0"/>
              <w:ind w:firstLine="0" w:firstLineChars="0"/>
              <w:rPr>
                <w:color w:val="auto"/>
                <w:kern w:val="2"/>
                <w:highlight w:val="none"/>
              </w:rPr>
            </w:pPr>
          </w:p>
        </w:tc>
      </w:tr>
    </w:tbl>
    <w:p>
      <w:pPr>
        <w:pStyle w:val="5"/>
        <w:spacing w:before="66"/>
        <w:ind w:firstLine="0" w:firstLineChars="0"/>
        <w:rPr>
          <w:rFonts w:cs="Times New Roman"/>
          <w:color w:val="auto"/>
          <w:highlight w:val="none"/>
        </w:rPr>
      </w:pPr>
      <w:r>
        <w:rPr>
          <w:rFonts w:hint="eastAsia" w:cs="Times New Roman"/>
          <w:color w:val="auto"/>
          <w:highlight w:val="none"/>
          <w:lang w:val="en-US" w:eastAsia="zh-CN"/>
        </w:rPr>
        <w:t>3</w:t>
      </w:r>
      <w:r>
        <w:rPr>
          <w:rFonts w:cs="Times New Roman"/>
          <w:color w:val="auto"/>
          <w:highlight w:val="none"/>
        </w:rPr>
        <w:t>.</w:t>
      </w:r>
      <w:r>
        <w:rPr>
          <w:rFonts w:hint="eastAsia" w:cs="Times New Roman"/>
          <w:color w:val="auto"/>
          <w:highlight w:val="none"/>
          <w:lang w:val="en-US" w:eastAsia="zh-CN"/>
        </w:rPr>
        <w:t>2</w:t>
      </w:r>
      <w:r>
        <w:rPr>
          <w:rFonts w:cs="Times New Roman"/>
          <w:color w:val="auto"/>
          <w:highlight w:val="none"/>
        </w:rPr>
        <w:t>.</w:t>
      </w:r>
      <w:r>
        <w:rPr>
          <w:rFonts w:hint="eastAsia" w:cs="Times New Roman"/>
          <w:color w:val="auto"/>
          <w:highlight w:val="none"/>
        </w:rPr>
        <w:t>5土壤环境质量现状监测与评价</w:t>
      </w:r>
    </w:p>
    <w:p>
      <w:pPr>
        <w:ind w:firstLine="480"/>
        <w:rPr>
          <w:rFonts w:cs="Times New Roman"/>
          <w:color w:val="auto"/>
          <w:highlight w:val="none"/>
        </w:rPr>
      </w:pPr>
      <w:r>
        <w:rPr>
          <w:rFonts w:cs="Times New Roman"/>
          <w:color w:val="auto"/>
          <w:highlight w:val="none"/>
        </w:rPr>
        <w:t>（1）监测因子和监测断面</w:t>
      </w:r>
    </w:p>
    <w:p>
      <w:pPr>
        <w:ind w:firstLine="480"/>
        <w:rPr>
          <w:rFonts w:cs="Times New Roman"/>
          <w:color w:val="auto"/>
          <w:highlight w:val="none"/>
        </w:rPr>
      </w:pPr>
      <w:r>
        <w:rPr>
          <w:rFonts w:hint="eastAsia" w:cs="Times New Roman"/>
          <w:color w:val="auto"/>
          <w:highlight w:val="none"/>
        </w:rPr>
        <w:t>本次评价</w:t>
      </w:r>
      <w:r>
        <w:rPr>
          <w:rFonts w:hint="eastAsia" w:cs="Times New Roman"/>
          <w:color w:val="auto"/>
          <w:highlight w:val="none"/>
          <w:lang w:eastAsia="zh-CN"/>
        </w:rPr>
        <w:t>委托河南申越检测技术有限公司</w:t>
      </w:r>
      <w:r>
        <w:rPr>
          <w:rFonts w:hint="eastAsia" w:cs="Times New Roman"/>
          <w:color w:val="auto"/>
          <w:highlight w:val="none"/>
        </w:rPr>
        <w:t>于20</w:t>
      </w:r>
      <w:r>
        <w:rPr>
          <w:rFonts w:hint="eastAsia" w:cs="Times New Roman"/>
          <w:color w:val="auto"/>
          <w:highlight w:val="none"/>
          <w:lang w:val="en-US" w:eastAsia="zh-CN"/>
        </w:rPr>
        <w:t>20</w:t>
      </w:r>
      <w:r>
        <w:rPr>
          <w:rFonts w:hint="eastAsia" w:cs="Times New Roman"/>
          <w:color w:val="auto"/>
          <w:highlight w:val="none"/>
        </w:rPr>
        <w:t>年</w:t>
      </w:r>
      <w:r>
        <w:rPr>
          <w:rFonts w:hint="eastAsia" w:cs="Times New Roman"/>
          <w:color w:val="auto"/>
          <w:highlight w:val="none"/>
          <w:lang w:val="en-US" w:eastAsia="zh-CN"/>
        </w:rPr>
        <w:t>9</w:t>
      </w:r>
      <w:r>
        <w:rPr>
          <w:rFonts w:hint="eastAsia" w:cs="Times New Roman"/>
          <w:color w:val="auto"/>
          <w:highlight w:val="none"/>
        </w:rPr>
        <w:t>月</w:t>
      </w:r>
      <w:r>
        <w:rPr>
          <w:rFonts w:hint="eastAsia" w:cs="Times New Roman"/>
          <w:color w:val="auto"/>
          <w:highlight w:val="none"/>
          <w:lang w:val="en-US" w:eastAsia="zh-CN"/>
        </w:rPr>
        <w:t>3</w:t>
      </w:r>
      <w:r>
        <w:rPr>
          <w:rFonts w:hint="eastAsia" w:cs="Times New Roman"/>
          <w:color w:val="auto"/>
          <w:highlight w:val="none"/>
        </w:rPr>
        <w:t>日对</w:t>
      </w:r>
      <w:r>
        <w:rPr>
          <w:rFonts w:hint="eastAsia" w:cs="Times New Roman"/>
          <w:color w:val="auto"/>
          <w:highlight w:val="none"/>
          <w:lang w:eastAsia="zh-CN"/>
        </w:rPr>
        <w:t>项目厂址、沼液消纳地进行了</w:t>
      </w:r>
      <w:r>
        <w:rPr>
          <w:rFonts w:hint="eastAsia" w:cs="Times New Roman"/>
          <w:color w:val="auto"/>
          <w:highlight w:val="none"/>
        </w:rPr>
        <w:t xml:space="preserve">监测，监测数据有较好的代表性。 </w:t>
      </w:r>
    </w:p>
    <w:p>
      <w:pPr>
        <w:ind w:firstLine="480"/>
        <w:rPr>
          <w:rFonts w:cs="Times New Roman"/>
          <w:color w:val="auto"/>
          <w:highlight w:val="none"/>
        </w:rPr>
      </w:pPr>
      <w:r>
        <w:rPr>
          <w:rFonts w:hint="eastAsia" w:cs="Times New Roman"/>
          <w:color w:val="auto"/>
          <w:highlight w:val="none"/>
        </w:rPr>
        <w:t>土壤环境质量现状监测设</w:t>
      </w:r>
      <w:r>
        <w:rPr>
          <w:rFonts w:hint="eastAsia" w:cs="Times New Roman"/>
          <w:color w:val="auto"/>
          <w:highlight w:val="none"/>
          <w:lang w:val="en-US" w:eastAsia="zh-CN"/>
        </w:rPr>
        <w:t>3</w:t>
      </w:r>
      <w:r>
        <w:rPr>
          <w:rFonts w:hint="eastAsia" w:cs="Times New Roman"/>
          <w:color w:val="auto"/>
          <w:highlight w:val="none"/>
        </w:rPr>
        <w:t>个监测点，</w:t>
      </w:r>
      <w:r>
        <w:rPr>
          <w:rFonts w:cs="Times New Roman"/>
          <w:color w:val="auto"/>
          <w:highlight w:val="none"/>
        </w:rPr>
        <w:t>详见表</w:t>
      </w:r>
      <w:r>
        <w:rPr>
          <w:rFonts w:hint="eastAsia"/>
          <w:color w:val="auto"/>
          <w:highlight w:val="none"/>
          <w:lang w:val="en-US" w:eastAsia="zh-CN"/>
        </w:rPr>
        <w:t>3</w:t>
      </w:r>
      <w:r>
        <w:rPr>
          <w:rFonts w:hint="eastAsia"/>
          <w:color w:val="auto"/>
          <w:highlight w:val="none"/>
        </w:rPr>
        <w:t>.3-1</w:t>
      </w:r>
      <w:r>
        <w:rPr>
          <w:rFonts w:hint="eastAsia"/>
          <w:color w:val="auto"/>
          <w:highlight w:val="none"/>
          <w:lang w:val="en-US" w:eastAsia="zh-CN"/>
        </w:rPr>
        <w:t>5</w:t>
      </w:r>
      <w:r>
        <w:rPr>
          <w:rFonts w:cs="Times New Roman"/>
          <w:color w:val="auto"/>
          <w:highlight w:val="none"/>
        </w:rPr>
        <w:t>。</w:t>
      </w:r>
    </w:p>
    <w:p>
      <w:pPr>
        <w:pStyle w:val="40"/>
        <w:rPr>
          <w:rFonts w:hint="eastAsia"/>
          <w:color w:val="auto"/>
          <w:highlight w:val="none"/>
        </w:rPr>
      </w:pPr>
      <w:r>
        <w:rPr>
          <w:rFonts w:hint="eastAsia"/>
          <w:color w:val="auto"/>
          <w:highlight w:val="none"/>
        </w:rPr>
        <w:t>表</w:t>
      </w:r>
      <w:r>
        <w:rPr>
          <w:rFonts w:hint="eastAsia"/>
          <w:color w:val="auto"/>
          <w:highlight w:val="none"/>
          <w:lang w:val="en-US" w:eastAsia="zh-CN"/>
        </w:rPr>
        <w:t>3</w:t>
      </w:r>
      <w:r>
        <w:rPr>
          <w:rFonts w:hint="eastAsia"/>
          <w:color w:val="auto"/>
          <w:highlight w:val="none"/>
        </w:rPr>
        <w:t>.3-1</w:t>
      </w:r>
      <w:r>
        <w:rPr>
          <w:rFonts w:hint="eastAsia"/>
          <w:color w:val="auto"/>
          <w:highlight w:val="none"/>
          <w:lang w:val="en-US" w:eastAsia="zh-CN"/>
        </w:rPr>
        <w:t>5</w:t>
      </w:r>
      <w:r>
        <w:rPr>
          <w:rFonts w:hint="eastAsia"/>
          <w:color w:val="auto"/>
          <w:highlight w:val="none"/>
        </w:rPr>
        <w:t>土壤监测布点表</w:t>
      </w:r>
    </w:p>
    <w:tbl>
      <w:tblPr>
        <w:tblStyle w:val="24"/>
        <w:tblW w:w="5011"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1717"/>
        <w:gridCol w:w="1936"/>
        <w:gridCol w:w="2154"/>
        <w:gridCol w:w="1255"/>
        <w:gridCol w:w="6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45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序号</w:t>
            </w:r>
          </w:p>
        </w:tc>
        <w:tc>
          <w:tcPr>
            <w:tcW w:w="100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监测点位</w:t>
            </w:r>
          </w:p>
        </w:tc>
        <w:tc>
          <w:tcPr>
            <w:tcW w:w="113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布点类型及数量</w:t>
            </w:r>
          </w:p>
        </w:tc>
        <w:tc>
          <w:tcPr>
            <w:tcW w:w="1262"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监测因子</w:t>
            </w:r>
          </w:p>
        </w:tc>
        <w:tc>
          <w:tcPr>
            <w:tcW w:w="735"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监测单位</w:t>
            </w:r>
          </w:p>
        </w:tc>
        <w:tc>
          <w:tcPr>
            <w:tcW w:w="401"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监测时间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458" w:type="pct"/>
            <w:vMerge w:val="restar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006" w:type="pct"/>
            <w:vMerge w:val="restar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场区内</w:t>
            </w:r>
          </w:p>
        </w:tc>
        <w:tc>
          <w:tcPr>
            <w:tcW w:w="113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 个柱状样点</w:t>
            </w:r>
          </w:p>
        </w:tc>
        <w:tc>
          <w:tcPr>
            <w:tcW w:w="1262" w:type="pct"/>
            <w:vMerge w:val="restar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pH、砷、镉、铬、铜、铅、汞、锌、镍</w:t>
            </w:r>
          </w:p>
        </w:tc>
        <w:tc>
          <w:tcPr>
            <w:tcW w:w="735" w:type="pct"/>
            <w:vMerge w:val="restar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01" w:type="pct"/>
            <w:vMerge w:val="restar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4" w:hRule="atLeast"/>
        </w:trPr>
        <w:tc>
          <w:tcPr>
            <w:tcW w:w="458"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100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113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 个表层样点</w:t>
            </w:r>
          </w:p>
        </w:tc>
        <w:tc>
          <w:tcPr>
            <w:tcW w:w="1262"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735"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01"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458"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100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场区外</w:t>
            </w:r>
            <w:r>
              <w:rPr>
                <w:rFonts w:hint="eastAsia" w:cs="Times New Roman"/>
                <w:color w:val="auto"/>
                <w:sz w:val="21"/>
                <w:szCs w:val="21"/>
                <w:highlight w:val="none"/>
                <w:lang w:val="en-US" w:eastAsia="zh-CN"/>
              </w:rPr>
              <w:br w:type="textWrapping"/>
            </w:r>
            <w:r>
              <w:rPr>
                <w:rFonts w:hint="eastAsia" w:cs="Times New Roman"/>
                <w:color w:val="auto"/>
                <w:sz w:val="21"/>
                <w:szCs w:val="21"/>
                <w:highlight w:val="none"/>
                <w:lang w:val="en-US" w:eastAsia="zh-CN"/>
              </w:rPr>
              <w:t>（东侧消纳地）</w:t>
            </w:r>
          </w:p>
        </w:tc>
        <w:tc>
          <w:tcPr>
            <w:tcW w:w="113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 个表层样点</w:t>
            </w:r>
          </w:p>
        </w:tc>
        <w:tc>
          <w:tcPr>
            <w:tcW w:w="1262" w:type="pct"/>
            <w:vMerge w:val="restar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pH、砷、镉、铬、铜、铅、汞、锌、镍</w:t>
            </w:r>
          </w:p>
        </w:tc>
        <w:tc>
          <w:tcPr>
            <w:tcW w:w="735"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01"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458"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100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场区外 </w:t>
            </w:r>
            <w:r>
              <w:rPr>
                <w:rFonts w:hint="eastAsia" w:cs="Times New Roman"/>
                <w:color w:val="auto"/>
                <w:sz w:val="21"/>
                <w:szCs w:val="21"/>
                <w:highlight w:val="none"/>
                <w:lang w:val="en-US" w:eastAsia="zh-CN"/>
              </w:rPr>
              <w:br w:type="textWrapping"/>
            </w:r>
            <w:r>
              <w:rPr>
                <w:rFonts w:hint="eastAsia" w:cs="Times New Roman"/>
                <w:color w:val="auto"/>
                <w:sz w:val="21"/>
                <w:szCs w:val="21"/>
                <w:highlight w:val="none"/>
                <w:lang w:val="en-US" w:eastAsia="zh-CN"/>
              </w:rPr>
              <w:t>（北侧消纳地）</w:t>
            </w:r>
          </w:p>
        </w:tc>
        <w:tc>
          <w:tcPr>
            <w:tcW w:w="113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 个表层样点</w:t>
            </w:r>
          </w:p>
        </w:tc>
        <w:tc>
          <w:tcPr>
            <w:tcW w:w="1262"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735"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01"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5000" w:type="pct"/>
            <w:gridSpan w:val="6"/>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备注：表层样应在0~0.2m取样；柱状样通常在0~0.5m、0.5~1.5m、1.5~3m分别取样，可根据基础埋深、土体构型适当调整</w:t>
            </w:r>
          </w:p>
        </w:tc>
      </w:tr>
    </w:tbl>
    <w:p>
      <w:pPr>
        <w:ind w:left="480" w:leftChars="200" w:firstLine="0" w:firstLineChars="0"/>
        <w:rPr>
          <w:rFonts w:cs="Times New Roman"/>
          <w:color w:val="auto"/>
          <w:highlight w:val="none"/>
        </w:rPr>
      </w:pPr>
      <w:r>
        <w:rPr>
          <w:rFonts w:cs="Times New Roman"/>
          <w:color w:val="auto"/>
          <w:highlight w:val="none"/>
        </w:rPr>
        <w:t>（</w:t>
      </w:r>
      <w:r>
        <w:rPr>
          <w:rFonts w:hint="eastAsia" w:cs="Times New Roman"/>
          <w:color w:val="auto"/>
          <w:highlight w:val="none"/>
        </w:rPr>
        <w:t>2</w:t>
      </w:r>
      <w:r>
        <w:rPr>
          <w:rFonts w:cs="Times New Roman"/>
          <w:color w:val="auto"/>
          <w:highlight w:val="none"/>
        </w:rPr>
        <w:t>）监测时间和频次</w:t>
      </w:r>
    </w:p>
    <w:p>
      <w:pPr>
        <w:ind w:left="480" w:leftChars="200" w:firstLine="0" w:firstLineChars="0"/>
        <w:rPr>
          <w:rFonts w:hint="eastAsia" w:cs="Times New Roman"/>
          <w:color w:val="auto"/>
          <w:highlight w:val="none"/>
        </w:rPr>
      </w:pPr>
      <w:r>
        <w:rPr>
          <w:rFonts w:hint="eastAsia" w:cs="Times New Roman"/>
          <w:color w:val="auto"/>
          <w:highlight w:val="none"/>
        </w:rPr>
        <w:t>20</w:t>
      </w:r>
      <w:r>
        <w:rPr>
          <w:rFonts w:hint="eastAsia" w:cs="Times New Roman"/>
          <w:color w:val="auto"/>
          <w:highlight w:val="none"/>
          <w:lang w:val="en-US" w:eastAsia="zh-CN"/>
        </w:rPr>
        <w:t>20</w:t>
      </w:r>
      <w:r>
        <w:rPr>
          <w:rFonts w:hint="eastAsia" w:cs="Times New Roman"/>
          <w:color w:val="auto"/>
          <w:highlight w:val="none"/>
        </w:rPr>
        <w:t>年</w:t>
      </w:r>
      <w:r>
        <w:rPr>
          <w:rFonts w:hint="eastAsia" w:cs="Times New Roman"/>
          <w:color w:val="auto"/>
          <w:highlight w:val="none"/>
          <w:lang w:val="en-US" w:eastAsia="zh-CN"/>
        </w:rPr>
        <w:t>7</w:t>
      </w:r>
      <w:r>
        <w:rPr>
          <w:rFonts w:hint="eastAsia" w:cs="Times New Roman"/>
          <w:color w:val="auto"/>
          <w:highlight w:val="none"/>
        </w:rPr>
        <w:t>月</w:t>
      </w:r>
      <w:r>
        <w:rPr>
          <w:rFonts w:hint="eastAsia" w:cs="Times New Roman"/>
          <w:color w:val="auto"/>
          <w:highlight w:val="none"/>
          <w:lang w:val="en-US" w:eastAsia="zh-CN"/>
        </w:rPr>
        <w:t>21</w:t>
      </w:r>
      <w:r>
        <w:rPr>
          <w:rFonts w:hint="eastAsia" w:cs="Times New Roman"/>
          <w:color w:val="auto"/>
          <w:highlight w:val="none"/>
        </w:rPr>
        <w:t>日，采样一次。</w:t>
      </w:r>
    </w:p>
    <w:p>
      <w:pPr>
        <w:ind w:left="480" w:leftChars="200" w:firstLine="0" w:firstLineChars="0"/>
        <w:rPr>
          <w:rFonts w:hint="eastAsia" w:cs="Times New Roman"/>
          <w:color w:val="auto"/>
          <w:highlight w:val="none"/>
          <w:lang w:val="en-US" w:eastAsia="zh-CN"/>
        </w:rPr>
      </w:pPr>
      <w:r>
        <w:rPr>
          <w:rFonts w:hint="eastAsia" w:cs="Times New Roman"/>
          <w:color w:val="auto"/>
          <w:highlight w:val="none"/>
          <w:lang w:val="en-US" w:eastAsia="zh-CN"/>
        </w:rPr>
        <w:t>（3）评价标准及方法</w:t>
      </w:r>
    </w:p>
    <w:p>
      <w:pPr>
        <w:keepNext w:val="0"/>
        <w:keepLines w:val="0"/>
        <w:pageBreakBefore w:val="0"/>
        <w:widowControl/>
        <w:kinsoku/>
        <w:wordWrap/>
        <w:overflowPunct/>
        <w:topLinePunct w:val="0"/>
        <w:autoSpaceDE/>
        <w:autoSpaceDN/>
        <w:bidi w:val="0"/>
        <w:adjustRightInd/>
        <w:snapToGrid/>
        <w:ind w:left="0" w:leftChars="0" w:firstLine="480" w:firstLineChars="200"/>
        <w:textAlignment w:val="auto"/>
        <w:rPr>
          <w:rFonts w:hint="eastAsia" w:cs="Times New Roman"/>
          <w:color w:val="auto"/>
          <w:highlight w:val="none"/>
          <w:lang w:val="en-US" w:eastAsia="zh-CN"/>
        </w:rPr>
      </w:pPr>
      <w:r>
        <w:rPr>
          <w:rFonts w:hint="eastAsia" w:cs="Times New Roman"/>
          <w:color w:val="auto"/>
          <w:highlight w:val="none"/>
          <w:lang w:val="en-US" w:eastAsia="zh-CN"/>
        </w:rPr>
        <w:t>土壤现状中各监测因子执行《土壤环境质量农用地土壤污染风险管控标准》（试行）（GB15618-2018）标准，见表3.3-16。</w:t>
      </w:r>
    </w:p>
    <w:p>
      <w:pPr>
        <w:pStyle w:val="40"/>
        <w:rPr>
          <w:rFonts w:hint="eastAsia"/>
          <w:color w:val="auto"/>
          <w:highlight w:val="none"/>
        </w:rPr>
      </w:pPr>
      <w:r>
        <w:rPr>
          <w:rFonts w:hint="eastAsia"/>
          <w:color w:val="auto"/>
          <w:highlight w:val="none"/>
        </w:rPr>
        <w:t>表</w:t>
      </w:r>
      <w:r>
        <w:rPr>
          <w:rFonts w:hint="eastAsia"/>
          <w:color w:val="auto"/>
          <w:highlight w:val="none"/>
          <w:lang w:val="en-US" w:eastAsia="zh-CN"/>
        </w:rPr>
        <w:t>3</w:t>
      </w:r>
      <w:r>
        <w:rPr>
          <w:rFonts w:hint="eastAsia"/>
          <w:color w:val="auto"/>
          <w:highlight w:val="none"/>
        </w:rPr>
        <w:t>.3-1</w:t>
      </w:r>
      <w:r>
        <w:rPr>
          <w:rFonts w:hint="eastAsia"/>
          <w:color w:val="auto"/>
          <w:highlight w:val="none"/>
          <w:lang w:val="en-US" w:eastAsia="zh-CN"/>
        </w:rPr>
        <w:t>6</w:t>
      </w:r>
      <w:r>
        <w:rPr>
          <w:rFonts w:hint="eastAsia"/>
          <w:color w:val="auto"/>
          <w:highlight w:val="none"/>
        </w:rPr>
        <w:t>土壤评价标准（单位：mg/kg）</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108" w:type="dxa"/>
          <w:bottom w:w="28" w:type="dxa"/>
          <w:right w:w="108" w:type="dxa"/>
        </w:tblCellMar>
      </w:tblPr>
      <w:tblGrid>
        <w:gridCol w:w="794"/>
        <w:gridCol w:w="862"/>
        <w:gridCol w:w="809"/>
        <w:gridCol w:w="1235"/>
        <w:gridCol w:w="1547"/>
        <w:gridCol w:w="1770"/>
        <w:gridCol w:w="14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vMerge w:val="restar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序号</w:t>
            </w:r>
          </w:p>
        </w:tc>
        <w:tc>
          <w:tcPr>
            <w:tcW w:w="981" w:type="pct"/>
            <w:gridSpan w:val="2"/>
            <w:vMerge w:val="restar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污染物项目</w:t>
            </w:r>
          </w:p>
        </w:tc>
        <w:tc>
          <w:tcPr>
            <w:tcW w:w="3551" w:type="pct"/>
            <w:gridSpan w:val="4"/>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风险筛选值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vMerge w:val="continue"/>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p>
        </w:tc>
        <w:tc>
          <w:tcPr>
            <w:tcW w:w="981" w:type="pct"/>
            <w:gridSpan w:val="2"/>
            <w:vMerge w:val="continue"/>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p>
        </w:tc>
        <w:tc>
          <w:tcPr>
            <w:tcW w:w="72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PH≤5.5</w:t>
            </w:r>
          </w:p>
        </w:tc>
        <w:tc>
          <w:tcPr>
            <w:tcW w:w="908"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5.5＜PH≤6.5</w:t>
            </w:r>
          </w:p>
        </w:tc>
        <w:tc>
          <w:tcPr>
            <w:tcW w:w="1039"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6.5＜PH≤7.5</w:t>
            </w:r>
          </w:p>
        </w:tc>
        <w:tc>
          <w:tcPr>
            <w:tcW w:w="8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PH＞7.5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1</w:t>
            </w:r>
          </w:p>
        </w:tc>
        <w:tc>
          <w:tcPr>
            <w:tcW w:w="50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镉</w:t>
            </w:r>
          </w:p>
        </w:tc>
        <w:tc>
          <w:tcPr>
            <w:tcW w:w="47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其他</w:t>
            </w:r>
          </w:p>
        </w:tc>
        <w:tc>
          <w:tcPr>
            <w:tcW w:w="72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0.3</w:t>
            </w:r>
          </w:p>
        </w:tc>
        <w:tc>
          <w:tcPr>
            <w:tcW w:w="908"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0.3</w:t>
            </w:r>
          </w:p>
        </w:tc>
        <w:tc>
          <w:tcPr>
            <w:tcW w:w="103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0.3</w:t>
            </w:r>
          </w:p>
        </w:tc>
        <w:tc>
          <w:tcPr>
            <w:tcW w:w="8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2</w:t>
            </w:r>
          </w:p>
        </w:tc>
        <w:tc>
          <w:tcPr>
            <w:tcW w:w="50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汞</w:t>
            </w:r>
          </w:p>
        </w:tc>
        <w:tc>
          <w:tcPr>
            <w:tcW w:w="47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其他</w:t>
            </w:r>
          </w:p>
        </w:tc>
        <w:tc>
          <w:tcPr>
            <w:tcW w:w="72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1.3</w:t>
            </w:r>
          </w:p>
        </w:tc>
        <w:tc>
          <w:tcPr>
            <w:tcW w:w="908"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1.8</w:t>
            </w:r>
          </w:p>
        </w:tc>
        <w:tc>
          <w:tcPr>
            <w:tcW w:w="103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2.4</w:t>
            </w:r>
          </w:p>
        </w:tc>
        <w:tc>
          <w:tcPr>
            <w:tcW w:w="8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3</w:t>
            </w:r>
          </w:p>
        </w:tc>
        <w:tc>
          <w:tcPr>
            <w:tcW w:w="50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砷</w:t>
            </w:r>
          </w:p>
        </w:tc>
        <w:tc>
          <w:tcPr>
            <w:tcW w:w="47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其他</w:t>
            </w:r>
          </w:p>
        </w:tc>
        <w:tc>
          <w:tcPr>
            <w:tcW w:w="72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40</w:t>
            </w:r>
          </w:p>
        </w:tc>
        <w:tc>
          <w:tcPr>
            <w:tcW w:w="908"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40</w:t>
            </w:r>
          </w:p>
        </w:tc>
        <w:tc>
          <w:tcPr>
            <w:tcW w:w="103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30</w:t>
            </w:r>
          </w:p>
        </w:tc>
        <w:tc>
          <w:tcPr>
            <w:tcW w:w="8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4</w:t>
            </w:r>
          </w:p>
        </w:tc>
        <w:tc>
          <w:tcPr>
            <w:tcW w:w="50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铅</w:t>
            </w:r>
          </w:p>
        </w:tc>
        <w:tc>
          <w:tcPr>
            <w:tcW w:w="47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其他</w:t>
            </w:r>
          </w:p>
        </w:tc>
        <w:tc>
          <w:tcPr>
            <w:tcW w:w="72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70</w:t>
            </w:r>
          </w:p>
        </w:tc>
        <w:tc>
          <w:tcPr>
            <w:tcW w:w="908"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90</w:t>
            </w:r>
          </w:p>
        </w:tc>
        <w:tc>
          <w:tcPr>
            <w:tcW w:w="103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120</w:t>
            </w:r>
          </w:p>
        </w:tc>
        <w:tc>
          <w:tcPr>
            <w:tcW w:w="8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170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5</w:t>
            </w:r>
          </w:p>
        </w:tc>
        <w:tc>
          <w:tcPr>
            <w:tcW w:w="50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铬</w:t>
            </w:r>
          </w:p>
        </w:tc>
        <w:tc>
          <w:tcPr>
            <w:tcW w:w="47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其他</w:t>
            </w:r>
          </w:p>
        </w:tc>
        <w:tc>
          <w:tcPr>
            <w:tcW w:w="72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150</w:t>
            </w:r>
          </w:p>
        </w:tc>
        <w:tc>
          <w:tcPr>
            <w:tcW w:w="908"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150</w:t>
            </w:r>
          </w:p>
        </w:tc>
        <w:tc>
          <w:tcPr>
            <w:tcW w:w="103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200</w:t>
            </w:r>
          </w:p>
        </w:tc>
        <w:tc>
          <w:tcPr>
            <w:tcW w:w="8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6</w:t>
            </w:r>
          </w:p>
        </w:tc>
        <w:tc>
          <w:tcPr>
            <w:tcW w:w="50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铜</w:t>
            </w:r>
          </w:p>
        </w:tc>
        <w:tc>
          <w:tcPr>
            <w:tcW w:w="47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其他</w:t>
            </w:r>
          </w:p>
        </w:tc>
        <w:tc>
          <w:tcPr>
            <w:tcW w:w="72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50</w:t>
            </w:r>
          </w:p>
        </w:tc>
        <w:tc>
          <w:tcPr>
            <w:tcW w:w="908"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50</w:t>
            </w:r>
          </w:p>
        </w:tc>
        <w:tc>
          <w:tcPr>
            <w:tcW w:w="103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100</w:t>
            </w:r>
          </w:p>
        </w:tc>
        <w:tc>
          <w:tcPr>
            <w:tcW w:w="8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7</w:t>
            </w:r>
          </w:p>
        </w:tc>
        <w:tc>
          <w:tcPr>
            <w:tcW w:w="981" w:type="pct"/>
            <w:gridSpan w:val="2"/>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镍</w:t>
            </w:r>
          </w:p>
        </w:tc>
        <w:tc>
          <w:tcPr>
            <w:tcW w:w="72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60</w:t>
            </w:r>
          </w:p>
        </w:tc>
        <w:tc>
          <w:tcPr>
            <w:tcW w:w="908"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70</w:t>
            </w:r>
          </w:p>
        </w:tc>
        <w:tc>
          <w:tcPr>
            <w:tcW w:w="103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100</w:t>
            </w:r>
          </w:p>
        </w:tc>
        <w:tc>
          <w:tcPr>
            <w:tcW w:w="8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466"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8</w:t>
            </w:r>
          </w:p>
        </w:tc>
        <w:tc>
          <w:tcPr>
            <w:tcW w:w="981" w:type="pct"/>
            <w:gridSpan w:val="2"/>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锌</w:t>
            </w:r>
          </w:p>
        </w:tc>
        <w:tc>
          <w:tcPr>
            <w:tcW w:w="725"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200</w:t>
            </w:r>
          </w:p>
        </w:tc>
        <w:tc>
          <w:tcPr>
            <w:tcW w:w="908"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200</w:t>
            </w:r>
          </w:p>
        </w:tc>
        <w:tc>
          <w:tcPr>
            <w:tcW w:w="1039" w:type="pct"/>
            <w:tcBorders>
              <w:tl2br w:val="nil"/>
              <w:tr2bl w:val="nil"/>
            </w:tcBorders>
            <w:noWrap w:val="0"/>
            <w:tcMar>
              <w:top w:w="0" w:type="dxa"/>
              <w:left w:w="108" w:type="dxa"/>
              <w:bottom w:w="0" w:type="dxa"/>
              <w:right w:w="108" w:type="dxa"/>
            </w:tcMar>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250</w:t>
            </w:r>
          </w:p>
        </w:tc>
        <w:tc>
          <w:tcPr>
            <w:tcW w:w="8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zh-CN"/>
              </w:rPr>
            </w:pPr>
            <w:r>
              <w:rPr>
                <w:rFonts w:hint="eastAsia" w:cs="Times New Roman"/>
                <w:color w:val="auto"/>
                <w:sz w:val="21"/>
                <w:szCs w:val="21"/>
                <w:highlight w:val="none"/>
                <w:lang w:val="zh-CN"/>
              </w:rPr>
              <w:t>300</w:t>
            </w:r>
          </w:p>
        </w:tc>
      </w:tr>
    </w:tbl>
    <w:p>
      <w:pPr>
        <w:ind w:firstLine="480"/>
        <w:rPr>
          <w:color w:val="auto"/>
          <w:highlight w:val="none"/>
        </w:rPr>
      </w:pPr>
      <w:r>
        <w:rPr>
          <w:rFonts w:hint="eastAsia"/>
          <w:color w:val="auto"/>
          <w:highlight w:val="none"/>
        </w:rPr>
        <w:t>（</w:t>
      </w:r>
      <w:r>
        <w:rPr>
          <w:rFonts w:hint="eastAsia"/>
          <w:color w:val="auto"/>
          <w:highlight w:val="none"/>
          <w:lang w:val="en-US" w:eastAsia="zh-CN"/>
        </w:rPr>
        <w:t>4</w:t>
      </w:r>
      <w:r>
        <w:rPr>
          <w:rFonts w:hint="eastAsia"/>
          <w:color w:val="auto"/>
          <w:highlight w:val="none"/>
        </w:rPr>
        <w:t>）</w:t>
      </w:r>
      <w:r>
        <w:rPr>
          <w:color w:val="auto"/>
          <w:highlight w:val="none"/>
        </w:rPr>
        <w:t>监测结果统计与评价</w:t>
      </w:r>
    </w:p>
    <w:p>
      <w:pPr>
        <w:ind w:firstLine="480"/>
        <w:rPr>
          <w:color w:val="auto"/>
          <w:highlight w:val="none"/>
        </w:rPr>
      </w:pPr>
      <w:r>
        <w:rPr>
          <w:color w:val="auto"/>
          <w:highlight w:val="none"/>
        </w:rPr>
        <w:t>监测结果见表</w:t>
      </w:r>
      <w:r>
        <w:rPr>
          <w:rFonts w:hint="eastAsia"/>
          <w:color w:val="auto"/>
          <w:highlight w:val="none"/>
          <w:lang w:val="en-US" w:eastAsia="zh-CN"/>
        </w:rPr>
        <w:t>3</w:t>
      </w:r>
      <w:r>
        <w:rPr>
          <w:rFonts w:hint="eastAsia"/>
          <w:color w:val="auto"/>
          <w:highlight w:val="none"/>
        </w:rPr>
        <w:t>.3-1</w:t>
      </w:r>
      <w:r>
        <w:rPr>
          <w:rFonts w:hint="eastAsia"/>
          <w:color w:val="auto"/>
          <w:highlight w:val="none"/>
          <w:lang w:val="en-US" w:eastAsia="zh-CN"/>
        </w:rPr>
        <w:t>7</w:t>
      </w:r>
      <w:r>
        <w:rPr>
          <w:color w:val="auto"/>
          <w:highlight w:val="none"/>
        </w:rPr>
        <w:t>，各土壤监测点所有监测因子均能达到</w:t>
      </w:r>
      <w:r>
        <w:rPr>
          <w:rFonts w:hint="eastAsia"/>
          <w:color w:val="auto"/>
          <w:highlight w:val="none"/>
        </w:rPr>
        <w:t>《土壤环境质量农用地土壤污染风险管控标准》</w:t>
      </w:r>
      <w:r>
        <w:rPr>
          <w:rFonts w:hint="eastAsia" w:cs="Times New Roman"/>
          <w:color w:val="auto"/>
          <w:highlight w:val="none"/>
          <w:lang w:val="en-US" w:eastAsia="zh-CN"/>
        </w:rPr>
        <w:t>（试行）</w:t>
      </w:r>
      <w:r>
        <w:rPr>
          <w:rFonts w:hint="eastAsia"/>
          <w:color w:val="auto"/>
          <w:highlight w:val="none"/>
        </w:rPr>
        <w:t>（GB15618-2018）</w:t>
      </w:r>
      <w:r>
        <w:rPr>
          <w:rFonts w:hint="eastAsia"/>
          <w:color w:val="auto"/>
          <w:highlight w:val="none"/>
          <w:lang w:eastAsia="zh-CN"/>
        </w:rPr>
        <w:t>表</w:t>
      </w:r>
      <w:r>
        <w:rPr>
          <w:rFonts w:hint="eastAsia"/>
          <w:color w:val="auto"/>
          <w:highlight w:val="none"/>
          <w:lang w:val="en-US" w:eastAsia="zh-CN"/>
        </w:rPr>
        <w:t>1中</w:t>
      </w:r>
      <w:r>
        <w:rPr>
          <w:rFonts w:hint="eastAsia"/>
          <w:color w:val="auto"/>
          <w:highlight w:val="none"/>
          <w:lang w:eastAsia="zh-CN"/>
        </w:rPr>
        <w:t>限值</w:t>
      </w:r>
      <w:r>
        <w:rPr>
          <w:color w:val="auto"/>
          <w:highlight w:val="none"/>
        </w:rPr>
        <w:t>要求</w:t>
      </w:r>
      <w:r>
        <w:rPr>
          <w:rFonts w:hint="eastAsia"/>
          <w:color w:val="auto"/>
          <w:highlight w:val="none"/>
        </w:rPr>
        <w:t>。</w:t>
      </w:r>
    </w:p>
    <w:p>
      <w:pPr>
        <w:pStyle w:val="40"/>
        <w:rPr>
          <w:color w:val="auto"/>
          <w:highlight w:val="none"/>
        </w:rPr>
      </w:pPr>
      <w:r>
        <w:rPr>
          <w:rFonts w:hint="eastAsia"/>
          <w:color w:val="auto"/>
          <w:highlight w:val="none"/>
        </w:rPr>
        <w:t>表</w:t>
      </w:r>
      <w:r>
        <w:rPr>
          <w:rFonts w:hint="eastAsia"/>
          <w:color w:val="auto"/>
          <w:highlight w:val="none"/>
          <w:lang w:val="en-US" w:eastAsia="zh-CN"/>
        </w:rPr>
        <w:t>3</w:t>
      </w:r>
      <w:r>
        <w:rPr>
          <w:rFonts w:hint="eastAsia"/>
          <w:color w:val="auto"/>
          <w:highlight w:val="none"/>
        </w:rPr>
        <w:t>.3-1</w:t>
      </w:r>
      <w:r>
        <w:rPr>
          <w:rFonts w:hint="eastAsia"/>
          <w:color w:val="auto"/>
          <w:highlight w:val="none"/>
          <w:lang w:val="en-US" w:eastAsia="zh-CN"/>
        </w:rPr>
        <w:t>7</w:t>
      </w:r>
      <w:r>
        <w:rPr>
          <w:rFonts w:hint="eastAsia"/>
          <w:color w:val="auto"/>
          <w:highlight w:val="none"/>
        </w:rPr>
        <w:t>土壤环境质量现状监测结果   单位：mg/kg</w:t>
      </w:r>
    </w:p>
    <w:tbl>
      <w:tblPr>
        <w:tblStyle w:val="24"/>
        <w:tblW w:w="833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40"/>
        <w:gridCol w:w="795"/>
        <w:gridCol w:w="827"/>
        <w:gridCol w:w="827"/>
        <w:gridCol w:w="1040"/>
        <w:gridCol w:w="720"/>
        <w:gridCol w:w="467"/>
        <w:gridCol w:w="711"/>
        <w:gridCol w:w="827"/>
        <w:gridCol w:w="933"/>
        <w:gridCol w:w="94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1" w:hRule="atLeast"/>
          <w:jc w:val="center"/>
        </w:trPr>
        <w:tc>
          <w:tcPr>
            <w:tcW w:w="1035" w:type="dxa"/>
            <w:gridSpan w:val="2"/>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zh-CN"/>
              </w:rPr>
              <w:t>采样位置</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pH</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镉</w:t>
            </w:r>
          </w:p>
        </w:tc>
        <w:tc>
          <w:tcPr>
            <w:tcW w:w="104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汞</w:t>
            </w:r>
          </w:p>
        </w:tc>
        <w:tc>
          <w:tcPr>
            <w:tcW w:w="72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砷</w:t>
            </w:r>
          </w:p>
        </w:tc>
        <w:tc>
          <w:tcPr>
            <w:tcW w:w="46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铜</w:t>
            </w:r>
          </w:p>
        </w:tc>
        <w:tc>
          <w:tcPr>
            <w:tcW w:w="711"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铅</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铬</w:t>
            </w:r>
          </w:p>
        </w:tc>
        <w:tc>
          <w:tcPr>
            <w:tcW w:w="933"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锌</w:t>
            </w:r>
          </w:p>
        </w:tc>
        <w:tc>
          <w:tcPr>
            <w:tcW w:w="943"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1" w:hRule="atLeast"/>
          <w:jc w:val="center"/>
        </w:trPr>
        <w:tc>
          <w:tcPr>
            <w:tcW w:w="1035" w:type="dxa"/>
            <w:gridSpan w:val="2"/>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标准</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zh-CN" w:eastAsia="zh-CN"/>
              </w:rPr>
              <w:t>PH≤5.5</w:t>
            </w:r>
          </w:p>
        </w:tc>
        <w:tc>
          <w:tcPr>
            <w:tcW w:w="827"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w:t>
            </w:r>
          </w:p>
        </w:tc>
        <w:tc>
          <w:tcPr>
            <w:tcW w:w="1040"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w:t>
            </w:r>
          </w:p>
        </w:tc>
        <w:tc>
          <w:tcPr>
            <w:tcW w:w="720"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w:t>
            </w:r>
          </w:p>
        </w:tc>
        <w:tc>
          <w:tcPr>
            <w:tcW w:w="467"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p>
        </w:tc>
        <w:tc>
          <w:tcPr>
            <w:tcW w:w="711"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w:t>
            </w:r>
          </w:p>
        </w:tc>
        <w:tc>
          <w:tcPr>
            <w:tcW w:w="827"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150</w:t>
            </w:r>
          </w:p>
        </w:tc>
        <w:tc>
          <w:tcPr>
            <w:tcW w:w="93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200</w:t>
            </w:r>
          </w:p>
        </w:tc>
        <w:tc>
          <w:tcPr>
            <w:tcW w:w="94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19" w:hRule="atLeast"/>
          <w:jc w:val="center"/>
        </w:trPr>
        <w:tc>
          <w:tcPr>
            <w:tcW w:w="1035" w:type="dxa"/>
            <w:gridSpan w:val="2"/>
            <w:vMerge w:val="continue"/>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zh-CN" w:eastAsia="zh-CN"/>
              </w:rPr>
            </w:pP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zh-CN" w:eastAsia="zh-CN"/>
              </w:rPr>
              <w:t>5.5＜PH≤6.5</w:t>
            </w:r>
          </w:p>
        </w:tc>
        <w:tc>
          <w:tcPr>
            <w:tcW w:w="827"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w:t>
            </w:r>
          </w:p>
        </w:tc>
        <w:tc>
          <w:tcPr>
            <w:tcW w:w="1040"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w:t>
            </w:r>
          </w:p>
        </w:tc>
        <w:tc>
          <w:tcPr>
            <w:tcW w:w="720"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w:t>
            </w:r>
          </w:p>
        </w:tc>
        <w:tc>
          <w:tcPr>
            <w:tcW w:w="467"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p>
        </w:tc>
        <w:tc>
          <w:tcPr>
            <w:tcW w:w="711"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150</w:t>
            </w:r>
          </w:p>
        </w:tc>
        <w:tc>
          <w:tcPr>
            <w:tcW w:w="93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200</w:t>
            </w:r>
          </w:p>
        </w:tc>
        <w:tc>
          <w:tcPr>
            <w:tcW w:w="94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48" w:hRule="atLeast"/>
          <w:jc w:val="center"/>
        </w:trPr>
        <w:tc>
          <w:tcPr>
            <w:tcW w:w="240" w:type="dxa"/>
            <w:vMerge w:val="restar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场址</w:t>
            </w:r>
          </w:p>
        </w:tc>
        <w:tc>
          <w:tcPr>
            <w:tcW w:w="795"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1#表层样</w:t>
            </w:r>
          </w:p>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0-0.2m</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6.1</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c>
          <w:tcPr>
            <w:tcW w:w="104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0.016</w:t>
            </w:r>
          </w:p>
        </w:tc>
        <w:tc>
          <w:tcPr>
            <w:tcW w:w="72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12.6</w:t>
            </w:r>
          </w:p>
        </w:tc>
        <w:tc>
          <w:tcPr>
            <w:tcW w:w="46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c>
          <w:tcPr>
            <w:tcW w:w="711"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13.3</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35</w:t>
            </w:r>
          </w:p>
        </w:tc>
        <w:tc>
          <w:tcPr>
            <w:tcW w:w="933"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24.9</w:t>
            </w:r>
          </w:p>
        </w:tc>
        <w:tc>
          <w:tcPr>
            <w:tcW w:w="943"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79" w:hRule="atLeast"/>
          <w:jc w:val="center"/>
        </w:trPr>
        <w:tc>
          <w:tcPr>
            <w:tcW w:w="240" w:type="dxa"/>
            <w:vMerge w:val="continue"/>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795"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2#柱状样</w:t>
            </w:r>
          </w:p>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0-0.5m</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5.3</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0.11</w:t>
            </w:r>
          </w:p>
        </w:tc>
        <w:tc>
          <w:tcPr>
            <w:tcW w:w="104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0.012</w:t>
            </w:r>
          </w:p>
        </w:tc>
        <w:tc>
          <w:tcPr>
            <w:tcW w:w="72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10.3</w:t>
            </w:r>
          </w:p>
        </w:tc>
        <w:tc>
          <w:tcPr>
            <w:tcW w:w="46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c>
          <w:tcPr>
            <w:tcW w:w="711"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12.4</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w:t>
            </w:r>
          </w:p>
        </w:tc>
        <w:tc>
          <w:tcPr>
            <w:tcW w:w="933"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25.8</w:t>
            </w:r>
          </w:p>
        </w:tc>
        <w:tc>
          <w:tcPr>
            <w:tcW w:w="943"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80" w:hRule="atLeast"/>
          <w:jc w:val="center"/>
        </w:trPr>
        <w:tc>
          <w:tcPr>
            <w:tcW w:w="240" w:type="dxa"/>
            <w:vMerge w:val="continue"/>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795"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2#柱状样</w:t>
            </w:r>
          </w:p>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0.5-1.5m</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0.08</w:t>
            </w:r>
          </w:p>
        </w:tc>
        <w:tc>
          <w:tcPr>
            <w:tcW w:w="104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0.011</w:t>
            </w:r>
          </w:p>
        </w:tc>
        <w:tc>
          <w:tcPr>
            <w:tcW w:w="72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9.6</w:t>
            </w:r>
          </w:p>
        </w:tc>
        <w:tc>
          <w:tcPr>
            <w:tcW w:w="46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c>
          <w:tcPr>
            <w:tcW w:w="711"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11.6</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53</w:t>
            </w:r>
          </w:p>
        </w:tc>
        <w:tc>
          <w:tcPr>
            <w:tcW w:w="933"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24.6</w:t>
            </w:r>
          </w:p>
        </w:tc>
        <w:tc>
          <w:tcPr>
            <w:tcW w:w="943"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57" w:hRule="atLeast"/>
          <w:jc w:val="center"/>
        </w:trPr>
        <w:tc>
          <w:tcPr>
            <w:tcW w:w="240" w:type="dxa"/>
            <w:vMerge w:val="continue"/>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795"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2#柱状样</w:t>
            </w:r>
          </w:p>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1.5-3m</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5.3</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0.09</w:t>
            </w:r>
          </w:p>
        </w:tc>
        <w:tc>
          <w:tcPr>
            <w:tcW w:w="104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0.011</w:t>
            </w:r>
          </w:p>
        </w:tc>
        <w:tc>
          <w:tcPr>
            <w:tcW w:w="72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9.3</w:t>
            </w:r>
          </w:p>
        </w:tc>
        <w:tc>
          <w:tcPr>
            <w:tcW w:w="46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c>
          <w:tcPr>
            <w:tcW w:w="711"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11.4</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51</w:t>
            </w:r>
          </w:p>
        </w:tc>
        <w:tc>
          <w:tcPr>
            <w:tcW w:w="933"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23.8</w:t>
            </w:r>
          </w:p>
        </w:tc>
        <w:tc>
          <w:tcPr>
            <w:tcW w:w="943"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85" w:hRule="atLeast"/>
          <w:jc w:val="center"/>
        </w:trPr>
        <w:tc>
          <w:tcPr>
            <w:tcW w:w="240" w:type="dxa"/>
            <w:vMerge w:val="continue"/>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795"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3#柱状样</w:t>
            </w:r>
          </w:p>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0-0.5m</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5.3</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0.09</w:t>
            </w:r>
          </w:p>
        </w:tc>
        <w:tc>
          <w:tcPr>
            <w:tcW w:w="104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0.013</w:t>
            </w:r>
          </w:p>
        </w:tc>
        <w:tc>
          <w:tcPr>
            <w:tcW w:w="72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9.8</w:t>
            </w:r>
          </w:p>
        </w:tc>
        <w:tc>
          <w:tcPr>
            <w:tcW w:w="46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c>
          <w:tcPr>
            <w:tcW w:w="711"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13.8</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w:t>
            </w:r>
          </w:p>
        </w:tc>
        <w:tc>
          <w:tcPr>
            <w:tcW w:w="933"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25.0</w:t>
            </w:r>
          </w:p>
        </w:tc>
        <w:tc>
          <w:tcPr>
            <w:tcW w:w="943"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08" w:hRule="atLeast"/>
          <w:jc w:val="center"/>
        </w:trPr>
        <w:tc>
          <w:tcPr>
            <w:tcW w:w="240" w:type="dxa"/>
            <w:vMerge w:val="continue"/>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795"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3#柱状样</w:t>
            </w:r>
          </w:p>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0.5-1.5m</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5.3</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0.08</w:t>
            </w:r>
          </w:p>
        </w:tc>
        <w:tc>
          <w:tcPr>
            <w:tcW w:w="104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0.012</w:t>
            </w:r>
          </w:p>
        </w:tc>
        <w:tc>
          <w:tcPr>
            <w:tcW w:w="72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9.5</w:t>
            </w:r>
          </w:p>
        </w:tc>
        <w:tc>
          <w:tcPr>
            <w:tcW w:w="46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c>
          <w:tcPr>
            <w:tcW w:w="711"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13.5</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w:t>
            </w:r>
          </w:p>
        </w:tc>
        <w:tc>
          <w:tcPr>
            <w:tcW w:w="933"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24.5</w:t>
            </w:r>
          </w:p>
        </w:tc>
        <w:tc>
          <w:tcPr>
            <w:tcW w:w="943"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07" w:hRule="atLeast"/>
          <w:jc w:val="center"/>
        </w:trPr>
        <w:tc>
          <w:tcPr>
            <w:tcW w:w="240" w:type="dxa"/>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795"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lang w:val="en-US" w:eastAsia="zh-CN"/>
              </w:rPr>
              <w:t>3</w:t>
            </w:r>
            <w:r>
              <w:rPr>
                <w:rFonts w:hint="eastAsia" w:cs="Times New Roman"/>
                <w:color w:val="auto"/>
                <w:sz w:val="21"/>
                <w:szCs w:val="21"/>
                <w:highlight w:val="none"/>
              </w:rPr>
              <w:t>#柱状样</w:t>
            </w:r>
          </w:p>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lang w:val="en-US" w:eastAsia="zh-CN"/>
              </w:rPr>
              <w:t>1.5</w:t>
            </w:r>
            <w:r>
              <w:rPr>
                <w:rFonts w:hint="eastAsia" w:cs="Times New Roman"/>
                <w:color w:val="auto"/>
                <w:sz w:val="21"/>
                <w:szCs w:val="21"/>
                <w:highlight w:val="none"/>
              </w:rPr>
              <w:t>-</w:t>
            </w:r>
            <w:r>
              <w:rPr>
                <w:rFonts w:hint="eastAsia" w:cs="Times New Roman"/>
                <w:color w:val="auto"/>
                <w:sz w:val="21"/>
                <w:szCs w:val="21"/>
                <w:highlight w:val="none"/>
                <w:lang w:val="en-US" w:eastAsia="zh-CN"/>
              </w:rPr>
              <w:t>3</w:t>
            </w:r>
            <w:r>
              <w:rPr>
                <w:rFonts w:hint="eastAsia" w:cs="Times New Roman"/>
                <w:color w:val="auto"/>
                <w:sz w:val="21"/>
                <w:szCs w:val="21"/>
                <w:highlight w:val="none"/>
              </w:rPr>
              <w:t>m</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0.07</w:t>
            </w:r>
          </w:p>
        </w:tc>
        <w:tc>
          <w:tcPr>
            <w:tcW w:w="104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0.010</w:t>
            </w:r>
          </w:p>
        </w:tc>
        <w:tc>
          <w:tcPr>
            <w:tcW w:w="72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9.5</w:t>
            </w:r>
          </w:p>
        </w:tc>
        <w:tc>
          <w:tcPr>
            <w:tcW w:w="46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c>
          <w:tcPr>
            <w:tcW w:w="711"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13.1</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53</w:t>
            </w:r>
          </w:p>
        </w:tc>
        <w:tc>
          <w:tcPr>
            <w:tcW w:w="933"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23.8</w:t>
            </w:r>
          </w:p>
        </w:tc>
        <w:tc>
          <w:tcPr>
            <w:tcW w:w="943"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30" w:hRule="atLeast"/>
          <w:jc w:val="center"/>
        </w:trPr>
        <w:tc>
          <w:tcPr>
            <w:tcW w:w="240" w:type="dxa"/>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795"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lang w:val="en-US" w:eastAsia="zh-CN"/>
              </w:rPr>
              <w:t>4</w:t>
            </w:r>
            <w:r>
              <w:rPr>
                <w:rFonts w:hint="eastAsia" w:cs="Times New Roman"/>
                <w:color w:val="auto"/>
                <w:sz w:val="21"/>
                <w:szCs w:val="21"/>
                <w:highlight w:val="none"/>
              </w:rPr>
              <w:t>#柱状样</w:t>
            </w:r>
          </w:p>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0</w:t>
            </w:r>
            <w:r>
              <w:rPr>
                <w:rFonts w:hint="eastAsia" w:cs="Times New Roman"/>
                <w:color w:val="auto"/>
                <w:sz w:val="21"/>
                <w:szCs w:val="21"/>
                <w:highlight w:val="none"/>
                <w:lang w:val="en-US" w:eastAsia="zh-CN"/>
              </w:rPr>
              <w:t>-0.5</w:t>
            </w:r>
            <w:r>
              <w:rPr>
                <w:rFonts w:hint="eastAsia" w:cs="Times New Roman"/>
                <w:color w:val="auto"/>
                <w:sz w:val="21"/>
                <w:szCs w:val="21"/>
                <w:highlight w:val="none"/>
              </w:rPr>
              <w:t>m</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0.12</w:t>
            </w:r>
          </w:p>
        </w:tc>
        <w:tc>
          <w:tcPr>
            <w:tcW w:w="104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0.011</w:t>
            </w:r>
          </w:p>
        </w:tc>
        <w:tc>
          <w:tcPr>
            <w:tcW w:w="72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11.5</w:t>
            </w:r>
          </w:p>
        </w:tc>
        <w:tc>
          <w:tcPr>
            <w:tcW w:w="46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c>
          <w:tcPr>
            <w:tcW w:w="711"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12.5</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w:t>
            </w:r>
          </w:p>
        </w:tc>
        <w:tc>
          <w:tcPr>
            <w:tcW w:w="933"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52.3</w:t>
            </w:r>
          </w:p>
        </w:tc>
        <w:tc>
          <w:tcPr>
            <w:tcW w:w="943"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21" w:hRule="atLeast"/>
          <w:jc w:val="center"/>
        </w:trPr>
        <w:tc>
          <w:tcPr>
            <w:tcW w:w="240" w:type="dxa"/>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795"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lang w:val="en-US" w:eastAsia="zh-CN"/>
              </w:rPr>
              <w:t>4</w:t>
            </w:r>
            <w:r>
              <w:rPr>
                <w:rFonts w:hint="eastAsia" w:cs="Times New Roman"/>
                <w:color w:val="auto"/>
                <w:sz w:val="21"/>
                <w:szCs w:val="21"/>
                <w:highlight w:val="none"/>
              </w:rPr>
              <w:t>#柱状样</w:t>
            </w:r>
          </w:p>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lang w:val="en-US" w:eastAsia="zh-CN"/>
              </w:rPr>
              <w:t>0</w:t>
            </w:r>
            <w:r>
              <w:rPr>
                <w:rFonts w:hint="eastAsia" w:cs="Times New Roman"/>
                <w:color w:val="auto"/>
                <w:sz w:val="21"/>
                <w:szCs w:val="21"/>
                <w:highlight w:val="none"/>
              </w:rPr>
              <w:t>.5-</w:t>
            </w:r>
            <w:r>
              <w:rPr>
                <w:rFonts w:hint="eastAsia" w:cs="Times New Roman"/>
                <w:color w:val="auto"/>
                <w:sz w:val="21"/>
                <w:szCs w:val="21"/>
                <w:highlight w:val="none"/>
                <w:lang w:val="en-US" w:eastAsia="zh-CN"/>
              </w:rPr>
              <w:t>1.5</w:t>
            </w:r>
            <w:r>
              <w:rPr>
                <w:rFonts w:hint="eastAsia" w:cs="Times New Roman"/>
                <w:color w:val="auto"/>
                <w:sz w:val="21"/>
                <w:szCs w:val="21"/>
                <w:highlight w:val="none"/>
              </w:rPr>
              <w:t>m</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5.3</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0.09</w:t>
            </w:r>
          </w:p>
        </w:tc>
        <w:tc>
          <w:tcPr>
            <w:tcW w:w="104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0.009</w:t>
            </w:r>
          </w:p>
        </w:tc>
        <w:tc>
          <w:tcPr>
            <w:tcW w:w="72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10.2</w:t>
            </w:r>
          </w:p>
        </w:tc>
        <w:tc>
          <w:tcPr>
            <w:tcW w:w="46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c>
          <w:tcPr>
            <w:tcW w:w="711"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13.2</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w:t>
            </w:r>
          </w:p>
        </w:tc>
        <w:tc>
          <w:tcPr>
            <w:tcW w:w="933"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46.5</w:t>
            </w:r>
          </w:p>
        </w:tc>
        <w:tc>
          <w:tcPr>
            <w:tcW w:w="943"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75" w:hRule="atLeast"/>
          <w:jc w:val="center"/>
        </w:trPr>
        <w:tc>
          <w:tcPr>
            <w:tcW w:w="240" w:type="dxa"/>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795"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lang w:val="en-US" w:eastAsia="zh-CN"/>
              </w:rPr>
              <w:t>4</w:t>
            </w:r>
            <w:r>
              <w:rPr>
                <w:rFonts w:hint="eastAsia" w:cs="Times New Roman"/>
                <w:color w:val="auto"/>
                <w:sz w:val="21"/>
                <w:szCs w:val="21"/>
                <w:highlight w:val="none"/>
              </w:rPr>
              <w:t>#柱状样</w:t>
            </w:r>
          </w:p>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lang w:val="en-US" w:eastAsia="zh-CN"/>
              </w:rPr>
              <w:t>1.5</w:t>
            </w:r>
            <w:r>
              <w:rPr>
                <w:rFonts w:hint="eastAsia" w:cs="Times New Roman"/>
                <w:color w:val="auto"/>
                <w:sz w:val="21"/>
                <w:szCs w:val="21"/>
                <w:highlight w:val="none"/>
              </w:rPr>
              <w:t>-</w:t>
            </w:r>
            <w:r>
              <w:rPr>
                <w:rFonts w:hint="eastAsia" w:cs="Times New Roman"/>
                <w:color w:val="auto"/>
                <w:sz w:val="21"/>
                <w:szCs w:val="21"/>
                <w:highlight w:val="none"/>
                <w:lang w:val="en-US" w:eastAsia="zh-CN"/>
              </w:rPr>
              <w:t>3</w:t>
            </w:r>
            <w:r>
              <w:rPr>
                <w:rFonts w:hint="eastAsia" w:cs="Times New Roman"/>
                <w:color w:val="auto"/>
                <w:sz w:val="21"/>
                <w:szCs w:val="21"/>
                <w:highlight w:val="none"/>
              </w:rPr>
              <w:t>m</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0.07</w:t>
            </w:r>
          </w:p>
        </w:tc>
        <w:tc>
          <w:tcPr>
            <w:tcW w:w="104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0.009</w:t>
            </w:r>
          </w:p>
        </w:tc>
        <w:tc>
          <w:tcPr>
            <w:tcW w:w="72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9.9</w:t>
            </w:r>
          </w:p>
        </w:tc>
        <w:tc>
          <w:tcPr>
            <w:tcW w:w="46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c>
          <w:tcPr>
            <w:tcW w:w="711"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12.8</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35</w:t>
            </w:r>
          </w:p>
        </w:tc>
        <w:tc>
          <w:tcPr>
            <w:tcW w:w="933"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41.2</w:t>
            </w:r>
          </w:p>
        </w:tc>
        <w:tc>
          <w:tcPr>
            <w:tcW w:w="943"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75" w:hRule="atLeast"/>
          <w:jc w:val="center"/>
        </w:trPr>
        <w:tc>
          <w:tcPr>
            <w:tcW w:w="240" w:type="dxa"/>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795"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监测范围</w:t>
            </w:r>
          </w:p>
        </w:tc>
        <w:tc>
          <w:tcPr>
            <w:tcW w:w="827"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5.2-6.1</w:t>
            </w:r>
          </w:p>
        </w:tc>
        <w:tc>
          <w:tcPr>
            <w:tcW w:w="827"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0.05-0.12</w:t>
            </w:r>
          </w:p>
        </w:tc>
        <w:tc>
          <w:tcPr>
            <w:tcW w:w="1040"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0.009-0.016</w:t>
            </w:r>
          </w:p>
        </w:tc>
        <w:tc>
          <w:tcPr>
            <w:tcW w:w="720"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9.3-12.6</w:t>
            </w:r>
          </w:p>
        </w:tc>
        <w:tc>
          <w:tcPr>
            <w:tcW w:w="467"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11"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11.4-13.8</w:t>
            </w:r>
          </w:p>
        </w:tc>
        <w:tc>
          <w:tcPr>
            <w:tcW w:w="827"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23-60</w:t>
            </w:r>
          </w:p>
        </w:tc>
        <w:tc>
          <w:tcPr>
            <w:tcW w:w="933"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23.8-52.3</w:t>
            </w:r>
          </w:p>
        </w:tc>
        <w:tc>
          <w:tcPr>
            <w:tcW w:w="943"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75" w:hRule="atLeast"/>
          <w:jc w:val="center"/>
        </w:trPr>
        <w:tc>
          <w:tcPr>
            <w:tcW w:w="240" w:type="dxa"/>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795"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标准指数</w:t>
            </w:r>
          </w:p>
        </w:tc>
        <w:tc>
          <w:tcPr>
            <w:tcW w:w="827"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0.6-1.2</w:t>
            </w:r>
          </w:p>
        </w:tc>
        <w:tc>
          <w:tcPr>
            <w:tcW w:w="827"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0.17-0.4</w:t>
            </w:r>
          </w:p>
        </w:tc>
        <w:tc>
          <w:tcPr>
            <w:tcW w:w="1040"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0.007-0.009</w:t>
            </w:r>
          </w:p>
        </w:tc>
        <w:tc>
          <w:tcPr>
            <w:tcW w:w="720"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0.233-0.315</w:t>
            </w:r>
          </w:p>
        </w:tc>
        <w:tc>
          <w:tcPr>
            <w:tcW w:w="467" w:type="dxa"/>
            <w:tcBorders>
              <w:tl2br w:val="nil"/>
              <w:tr2bl w:val="nil"/>
            </w:tcBorders>
            <w:noWrap w:val="0"/>
            <w:vAlign w:val="center"/>
          </w:tcPr>
          <w:p>
            <w:pPr>
              <w:spacing w:line="240" w:lineRule="auto"/>
              <w:ind w:firstLine="0" w:firstLineChars="0"/>
              <w:jc w:val="center"/>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11"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0.148-0.197</w:t>
            </w:r>
          </w:p>
        </w:tc>
        <w:tc>
          <w:tcPr>
            <w:tcW w:w="827"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0.153-0.4</w:t>
            </w:r>
          </w:p>
        </w:tc>
        <w:tc>
          <w:tcPr>
            <w:tcW w:w="933"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0.119-0.262</w:t>
            </w:r>
          </w:p>
        </w:tc>
        <w:tc>
          <w:tcPr>
            <w:tcW w:w="943"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0.15-0.3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75" w:hRule="atLeast"/>
          <w:jc w:val="center"/>
        </w:trPr>
        <w:tc>
          <w:tcPr>
            <w:tcW w:w="240" w:type="dxa"/>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795"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超标倍数</w:t>
            </w:r>
          </w:p>
        </w:tc>
        <w:tc>
          <w:tcPr>
            <w:tcW w:w="827" w:type="dxa"/>
            <w:tcBorders>
              <w:tl2br w:val="nil"/>
              <w:tr2bl w:val="nil"/>
            </w:tcBorders>
            <w:noWrap w:val="0"/>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w:t>
            </w:r>
          </w:p>
        </w:tc>
        <w:tc>
          <w:tcPr>
            <w:tcW w:w="827" w:type="dxa"/>
            <w:tcBorders>
              <w:tl2br w:val="nil"/>
              <w:tr2bl w:val="nil"/>
            </w:tcBorders>
            <w:noWrap w:val="0"/>
            <w:vAlign w:val="center"/>
          </w:tcPr>
          <w:p>
            <w:pPr>
              <w:spacing w:line="240" w:lineRule="auto"/>
              <w:ind w:firstLine="420" w:firstLineChars="200"/>
              <w:jc w:val="center"/>
              <w:rPr>
                <w:rFonts w:hint="eastAsia" w:cs="Times New Roman"/>
                <w:color w:val="auto"/>
                <w:sz w:val="21"/>
                <w:szCs w:val="21"/>
                <w:highlight w:val="none"/>
              </w:rPr>
            </w:pPr>
            <w:r>
              <w:rPr>
                <w:rFonts w:hint="eastAsia" w:cs="Times New Roman"/>
                <w:color w:val="auto"/>
                <w:sz w:val="21"/>
                <w:szCs w:val="21"/>
                <w:highlight w:val="none"/>
                <w:lang w:val="en-US" w:eastAsia="zh-CN"/>
              </w:rPr>
              <w:t>/</w:t>
            </w:r>
          </w:p>
        </w:tc>
        <w:tc>
          <w:tcPr>
            <w:tcW w:w="1040" w:type="dxa"/>
            <w:tcBorders>
              <w:tl2br w:val="nil"/>
              <w:tr2bl w:val="nil"/>
            </w:tcBorders>
            <w:noWrap w:val="0"/>
            <w:vAlign w:val="center"/>
          </w:tcPr>
          <w:p>
            <w:pPr>
              <w:spacing w:line="240" w:lineRule="auto"/>
              <w:ind w:firstLine="420" w:firstLineChars="200"/>
              <w:jc w:val="center"/>
              <w:rPr>
                <w:rFonts w:hint="eastAsia" w:cs="Times New Roman"/>
                <w:color w:val="auto"/>
                <w:sz w:val="21"/>
                <w:szCs w:val="21"/>
                <w:highlight w:val="none"/>
              </w:rPr>
            </w:pPr>
            <w:r>
              <w:rPr>
                <w:rFonts w:hint="eastAsia" w:cs="Times New Roman"/>
                <w:color w:val="auto"/>
                <w:sz w:val="21"/>
                <w:szCs w:val="21"/>
                <w:highlight w:val="none"/>
                <w:lang w:val="en-US" w:eastAsia="zh-CN"/>
              </w:rPr>
              <w:t>/</w:t>
            </w:r>
          </w:p>
        </w:tc>
        <w:tc>
          <w:tcPr>
            <w:tcW w:w="720"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67"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11"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27"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933"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943"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240" w:type="dxa"/>
            <w:vMerge w:val="restar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沼液消纳地东</w:t>
            </w:r>
          </w:p>
        </w:tc>
        <w:tc>
          <w:tcPr>
            <w:tcW w:w="795"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土壤层为0—20cm</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5.9</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0.013</w:t>
            </w:r>
          </w:p>
        </w:tc>
        <w:tc>
          <w:tcPr>
            <w:tcW w:w="104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0.014</w:t>
            </w:r>
          </w:p>
        </w:tc>
        <w:tc>
          <w:tcPr>
            <w:tcW w:w="72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11.3</w:t>
            </w:r>
          </w:p>
        </w:tc>
        <w:tc>
          <w:tcPr>
            <w:tcW w:w="46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c>
          <w:tcPr>
            <w:tcW w:w="711"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14.3</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w:t>
            </w:r>
          </w:p>
        </w:tc>
        <w:tc>
          <w:tcPr>
            <w:tcW w:w="933"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79.2</w:t>
            </w:r>
          </w:p>
        </w:tc>
        <w:tc>
          <w:tcPr>
            <w:tcW w:w="943"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240" w:type="dxa"/>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795"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rPr>
              <w:t>标准指数</w:t>
            </w:r>
          </w:p>
        </w:tc>
        <w:tc>
          <w:tcPr>
            <w:tcW w:w="827"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2.2</w:t>
            </w:r>
          </w:p>
        </w:tc>
        <w:tc>
          <w:tcPr>
            <w:tcW w:w="827"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0.043</w:t>
            </w:r>
          </w:p>
        </w:tc>
        <w:tc>
          <w:tcPr>
            <w:tcW w:w="1040"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0.008</w:t>
            </w:r>
          </w:p>
        </w:tc>
        <w:tc>
          <w:tcPr>
            <w:tcW w:w="720"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0.2825</w:t>
            </w:r>
          </w:p>
        </w:tc>
        <w:tc>
          <w:tcPr>
            <w:tcW w:w="467"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11"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0.159</w:t>
            </w:r>
          </w:p>
        </w:tc>
        <w:tc>
          <w:tcPr>
            <w:tcW w:w="827"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0.173</w:t>
            </w:r>
          </w:p>
        </w:tc>
        <w:tc>
          <w:tcPr>
            <w:tcW w:w="933"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0.396</w:t>
            </w:r>
          </w:p>
        </w:tc>
        <w:tc>
          <w:tcPr>
            <w:tcW w:w="943" w:type="dxa"/>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0.114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240" w:type="dxa"/>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795"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rPr>
              <w:t>超标倍数</w:t>
            </w:r>
          </w:p>
        </w:tc>
        <w:tc>
          <w:tcPr>
            <w:tcW w:w="827" w:type="dxa"/>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27"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40"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20"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67"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11"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27"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933"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943"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03" w:hRule="atLeast"/>
          <w:jc w:val="center"/>
        </w:trPr>
        <w:tc>
          <w:tcPr>
            <w:tcW w:w="240" w:type="dxa"/>
            <w:vMerge w:val="restar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沼液消纳地北</w:t>
            </w:r>
          </w:p>
        </w:tc>
        <w:tc>
          <w:tcPr>
            <w:tcW w:w="795"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土壤层为0—20cm</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5.4</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0.012</w:t>
            </w:r>
          </w:p>
        </w:tc>
        <w:tc>
          <w:tcPr>
            <w:tcW w:w="104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0.012</w:t>
            </w:r>
          </w:p>
        </w:tc>
        <w:tc>
          <w:tcPr>
            <w:tcW w:w="72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11.5</w:t>
            </w:r>
          </w:p>
        </w:tc>
        <w:tc>
          <w:tcPr>
            <w:tcW w:w="46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c>
          <w:tcPr>
            <w:tcW w:w="711"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13.2</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51</w:t>
            </w:r>
          </w:p>
        </w:tc>
        <w:tc>
          <w:tcPr>
            <w:tcW w:w="933"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21.1</w:t>
            </w:r>
          </w:p>
        </w:tc>
        <w:tc>
          <w:tcPr>
            <w:tcW w:w="943"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03" w:hRule="atLeast"/>
          <w:jc w:val="center"/>
        </w:trPr>
        <w:tc>
          <w:tcPr>
            <w:tcW w:w="240" w:type="dxa"/>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795"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rPr>
              <w:t>标准指数</w:t>
            </w:r>
          </w:p>
        </w:tc>
        <w:tc>
          <w:tcPr>
            <w:tcW w:w="827"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1.07</w:t>
            </w:r>
          </w:p>
        </w:tc>
        <w:tc>
          <w:tcPr>
            <w:tcW w:w="827"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w:t>
            </w:r>
          </w:p>
        </w:tc>
        <w:tc>
          <w:tcPr>
            <w:tcW w:w="1040"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0.009</w:t>
            </w:r>
          </w:p>
        </w:tc>
        <w:tc>
          <w:tcPr>
            <w:tcW w:w="720"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0.2875</w:t>
            </w:r>
          </w:p>
        </w:tc>
        <w:tc>
          <w:tcPr>
            <w:tcW w:w="467"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11"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0.189</w:t>
            </w:r>
          </w:p>
        </w:tc>
        <w:tc>
          <w:tcPr>
            <w:tcW w:w="827"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0.34</w:t>
            </w:r>
          </w:p>
        </w:tc>
        <w:tc>
          <w:tcPr>
            <w:tcW w:w="93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0.1055</w:t>
            </w:r>
          </w:p>
        </w:tc>
        <w:tc>
          <w:tcPr>
            <w:tcW w:w="94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03" w:hRule="atLeast"/>
          <w:jc w:val="center"/>
        </w:trPr>
        <w:tc>
          <w:tcPr>
            <w:tcW w:w="240" w:type="dxa"/>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795" w:type="dxa"/>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rPr>
              <w:t>超标倍数</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04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2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46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11"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82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33"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43"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bookmarkEnd w:id="33"/>
    </w:tbl>
    <w:p>
      <w:pPr>
        <w:pStyle w:val="4"/>
        <w:spacing w:before="132"/>
        <w:rPr>
          <w:color w:val="auto"/>
          <w:highlight w:val="none"/>
        </w:rPr>
      </w:pPr>
      <w:bookmarkStart w:id="34" w:name="_Toc22135"/>
      <w:r>
        <w:rPr>
          <w:rFonts w:hint="eastAsia"/>
          <w:color w:val="auto"/>
          <w:highlight w:val="none"/>
          <w:lang w:val="en-US" w:eastAsia="zh-CN"/>
        </w:rPr>
        <w:t>3</w:t>
      </w:r>
      <w:r>
        <w:rPr>
          <w:color w:val="auto"/>
          <w:highlight w:val="none"/>
        </w:rPr>
        <w:t>.</w:t>
      </w:r>
      <w:r>
        <w:rPr>
          <w:rFonts w:hint="eastAsia"/>
          <w:color w:val="auto"/>
          <w:highlight w:val="none"/>
          <w:lang w:val="en-US" w:eastAsia="zh-CN"/>
        </w:rPr>
        <w:t>3</w:t>
      </w:r>
      <w:r>
        <w:rPr>
          <w:rFonts w:hint="eastAsia"/>
          <w:color w:val="auto"/>
          <w:highlight w:val="none"/>
        </w:rPr>
        <w:t>养殖区环境评价</w:t>
      </w:r>
      <w:bookmarkEnd w:id="34"/>
    </w:p>
    <w:p>
      <w:pPr>
        <w:keepNext w:val="0"/>
        <w:keepLines w:val="0"/>
        <w:pageBreakBefore w:val="0"/>
        <w:widowControl/>
        <w:kinsoku/>
        <w:wordWrap/>
        <w:overflowPunct/>
        <w:topLinePunct/>
        <w:autoSpaceDE w:val="0"/>
        <w:autoSpaceDN/>
        <w:bidi w:val="0"/>
        <w:adjustRightInd/>
        <w:snapToGrid/>
        <w:spacing w:line="360" w:lineRule="auto"/>
        <w:ind w:firstLine="480" w:firstLineChars="200"/>
        <w:jc w:val="left"/>
        <w:textAlignment w:val="auto"/>
        <w:rPr>
          <w:rFonts w:ascii="Times New Roman" w:hAnsi="Times New Roman"/>
          <w:color w:val="auto"/>
          <w:sz w:val="24"/>
          <w:highlight w:val="none"/>
        </w:rPr>
      </w:pPr>
      <w:r>
        <w:rPr>
          <w:rFonts w:ascii="Times New Roman" w:hAnsi="Times New Roman"/>
          <w:color w:val="auto"/>
          <w:sz w:val="24"/>
          <w:highlight w:val="none"/>
        </w:rPr>
        <w:t>根据监测数据，经与《畜禽养殖产地环境评价规范》（HJ568-2010）比对，养殖区环境质量现状良好。现状监测结果与《畜禽养殖产地环境评价规范》（HJ568-2010）比对表见表3.3-1</w:t>
      </w:r>
      <w:r>
        <w:rPr>
          <w:rFonts w:hint="eastAsia"/>
          <w:color w:val="auto"/>
          <w:sz w:val="24"/>
          <w:highlight w:val="none"/>
          <w:lang w:val="en-US" w:eastAsia="zh-CN"/>
        </w:rPr>
        <w:t>8</w:t>
      </w:r>
      <w:r>
        <w:rPr>
          <w:rFonts w:ascii="Times New Roman" w:hAnsi="Times New Roman"/>
          <w:color w:val="auto"/>
          <w:sz w:val="24"/>
          <w:highlight w:val="none"/>
        </w:rPr>
        <w:t>。</w:t>
      </w:r>
    </w:p>
    <w:p>
      <w:pPr>
        <w:pStyle w:val="40"/>
        <w:rPr>
          <w:rFonts w:hint="eastAsia"/>
          <w:color w:val="auto"/>
          <w:highlight w:val="none"/>
        </w:rPr>
      </w:pPr>
      <w:r>
        <w:rPr>
          <w:rFonts w:hint="eastAsia"/>
          <w:color w:val="auto"/>
          <w:highlight w:val="none"/>
        </w:rPr>
        <w:t>表3.3-1</w:t>
      </w:r>
      <w:r>
        <w:rPr>
          <w:rFonts w:hint="eastAsia"/>
          <w:color w:val="auto"/>
          <w:highlight w:val="none"/>
          <w:lang w:val="en-US" w:eastAsia="zh-CN"/>
        </w:rPr>
        <w:t>8</w:t>
      </w:r>
      <w:r>
        <w:rPr>
          <w:rFonts w:hint="eastAsia"/>
          <w:color w:val="auto"/>
          <w:highlight w:val="none"/>
        </w:rPr>
        <w:t>环境现状监测结果与《畜禽养殖产地环境评价规范》比对表</w:t>
      </w:r>
    </w:p>
    <w:tbl>
      <w:tblPr>
        <w:tblStyle w:val="24"/>
        <w:tblW w:w="512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043"/>
        <w:gridCol w:w="849"/>
        <w:gridCol w:w="1606"/>
        <w:gridCol w:w="1327"/>
        <w:gridCol w:w="1491"/>
        <w:gridCol w:w="122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标准</w:t>
            </w:r>
          </w:p>
        </w:tc>
        <w:tc>
          <w:tcPr>
            <w:tcW w:w="49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监测点</w:t>
            </w: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监测项目</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单位</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监测值</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标准值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restar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《畜禽养殖产地环境评价规范》（HJ568-2010）中表2</w:t>
            </w:r>
          </w:p>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畜禽饮用水水质评价指标限值</w:t>
            </w:r>
          </w:p>
        </w:tc>
        <w:tc>
          <w:tcPr>
            <w:tcW w:w="497" w:type="pct"/>
            <w:vMerge w:val="restar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kern w:val="0"/>
                <w:sz w:val="21"/>
                <w:szCs w:val="21"/>
                <w:highlight w:val="none"/>
                <w:lang w:val="en-US" w:eastAsia="zh-CN"/>
              </w:rPr>
              <w:t>吴自岐庄</w:t>
            </w: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pH</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无量纲</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rPr>
              <w:t>7.</w:t>
            </w:r>
            <w:r>
              <w:rPr>
                <w:rFonts w:hint="eastAsia" w:cs="Times New Roman"/>
                <w:color w:val="auto"/>
                <w:sz w:val="21"/>
                <w:szCs w:val="21"/>
                <w:highlight w:val="none"/>
                <w:lang w:val="en-US" w:eastAsia="zh-CN"/>
              </w:rPr>
              <w:t>98</w:t>
            </w:r>
            <w:r>
              <w:rPr>
                <w:rFonts w:hint="eastAsia" w:cs="Times New Roman"/>
                <w:color w:val="auto"/>
                <w:sz w:val="21"/>
                <w:szCs w:val="21"/>
                <w:highlight w:val="none"/>
              </w:rPr>
              <w:t>-</w:t>
            </w:r>
            <w:r>
              <w:rPr>
                <w:rFonts w:hint="eastAsia" w:cs="Times New Roman"/>
                <w:color w:val="auto"/>
                <w:sz w:val="21"/>
                <w:szCs w:val="21"/>
                <w:highlight w:val="none"/>
                <w:lang w:val="en-US" w:eastAsia="zh-CN"/>
              </w:rPr>
              <w:t>8.43</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总硬度（以</w:t>
            </w:r>
          </w:p>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CaCO</w:t>
            </w:r>
            <w:r>
              <w:rPr>
                <w:rFonts w:hint="eastAsia" w:cs="Times New Roman"/>
                <w:color w:val="auto"/>
                <w:sz w:val="21"/>
                <w:szCs w:val="21"/>
                <w:highlight w:val="none"/>
                <w:vertAlign w:val="subscript"/>
                <w:lang w:val="en-US" w:eastAsia="zh-CN"/>
              </w:rPr>
              <w:t>3</w:t>
            </w:r>
            <w:r>
              <w:rPr>
                <w:rFonts w:hint="eastAsia" w:cs="Times New Roman"/>
                <w:color w:val="auto"/>
                <w:sz w:val="21"/>
                <w:szCs w:val="21"/>
                <w:highlight w:val="none"/>
                <w:lang w:val="en-US" w:eastAsia="zh-CN"/>
              </w:rPr>
              <w:t>）</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132</w:t>
            </w:r>
            <w:r>
              <w:rPr>
                <w:rFonts w:hint="eastAsia" w:cs="Times New Roman"/>
                <w:color w:val="auto"/>
                <w:sz w:val="21"/>
                <w:szCs w:val="21"/>
                <w:highlight w:val="none"/>
              </w:rPr>
              <w:t>-</w:t>
            </w:r>
            <w:r>
              <w:rPr>
                <w:rFonts w:hint="eastAsia" w:cs="Times New Roman"/>
                <w:color w:val="auto"/>
                <w:sz w:val="21"/>
                <w:szCs w:val="21"/>
                <w:highlight w:val="none"/>
                <w:lang w:val="en-US" w:eastAsia="zh-CN"/>
              </w:rPr>
              <w:t>142</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总大肠菌群</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个/L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100（成年）/3（幼年）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溶解性总固体</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304-314</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硫酸盐（以</w:t>
            </w:r>
            <w:r>
              <w:rPr>
                <w:rFonts w:hint="eastAsia" w:cs="Times New Roman"/>
                <w:color w:val="auto"/>
                <w:sz w:val="21"/>
                <w:szCs w:val="21"/>
                <w:highlight w:val="none"/>
              </w:rPr>
              <w:t>SO</w:t>
            </w:r>
            <w:r>
              <w:rPr>
                <w:rFonts w:hint="eastAsia" w:cs="Times New Roman"/>
                <w:color w:val="auto"/>
                <w:sz w:val="21"/>
                <w:szCs w:val="21"/>
                <w:highlight w:val="none"/>
                <w:vertAlign w:val="subscript"/>
              </w:rPr>
              <w:t>4</w:t>
            </w:r>
            <w:r>
              <w:rPr>
                <w:rFonts w:hint="eastAsia" w:cs="Times New Roman"/>
                <w:color w:val="auto"/>
                <w:sz w:val="21"/>
                <w:szCs w:val="21"/>
                <w:highlight w:val="none"/>
                <w:vertAlign w:val="superscript"/>
              </w:rPr>
              <w:t>2-</w:t>
            </w:r>
            <w:r>
              <w:rPr>
                <w:rFonts w:hint="eastAsia" w:cs="Times New Roman"/>
                <w:color w:val="auto"/>
                <w:sz w:val="21"/>
                <w:szCs w:val="21"/>
                <w:highlight w:val="none"/>
                <w:vertAlign w:val="baseline"/>
                <w:lang w:eastAsia="zh-CN"/>
              </w:rPr>
              <w:t>计</w:t>
            </w:r>
            <w:r>
              <w:rPr>
                <w:rFonts w:hint="eastAsia" w:cs="Times New Roman"/>
                <w:color w:val="auto"/>
                <w:sz w:val="21"/>
                <w:szCs w:val="21"/>
                <w:highlight w:val="none"/>
                <w:lang w:val="en-US" w:eastAsia="zh-CN"/>
              </w:rPr>
              <w:t>）</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21.4</w:t>
            </w:r>
            <w:r>
              <w:rPr>
                <w:rFonts w:hint="eastAsia" w:cs="Times New Roman"/>
                <w:color w:val="auto"/>
                <w:sz w:val="21"/>
                <w:szCs w:val="21"/>
                <w:highlight w:val="none"/>
              </w:rPr>
              <w:t>-</w:t>
            </w:r>
            <w:r>
              <w:rPr>
                <w:rFonts w:hint="eastAsia" w:cs="Times New Roman"/>
                <w:color w:val="auto"/>
                <w:sz w:val="21"/>
                <w:szCs w:val="21"/>
                <w:highlight w:val="none"/>
                <w:lang w:val="en-US" w:eastAsia="zh-CN"/>
              </w:rPr>
              <w:t>21.8</w:t>
            </w:r>
          </w:p>
        </w:tc>
        <w:tc>
          <w:tcPr>
            <w:tcW w:w="714" w:type="pct"/>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氟化物（以F</w:t>
            </w:r>
            <w:r>
              <w:rPr>
                <w:rFonts w:hint="eastAsia" w:cs="Times New Roman"/>
                <w:color w:val="auto"/>
                <w:sz w:val="21"/>
                <w:szCs w:val="21"/>
                <w:highlight w:val="none"/>
                <w:vertAlign w:val="superscript"/>
              </w:rPr>
              <w:t>-</w:t>
            </w:r>
            <w:r>
              <w:rPr>
                <w:rFonts w:hint="eastAsia" w:cs="Times New Roman"/>
                <w:color w:val="auto"/>
                <w:sz w:val="21"/>
                <w:szCs w:val="21"/>
                <w:highlight w:val="none"/>
                <w:vertAlign w:val="baseline"/>
                <w:lang w:eastAsia="zh-CN"/>
              </w:rPr>
              <w:t>计</w:t>
            </w:r>
            <w:r>
              <w:rPr>
                <w:rFonts w:hint="eastAsia" w:cs="Times New Roman"/>
                <w:color w:val="auto"/>
                <w:sz w:val="21"/>
                <w:szCs w:val="21"/>
                <w:highlight w:val="none"/>
                <w:lang w:val="en-US" w:eastAsia="zh-CN"/>
              </w:rPr>
              <w:t>）</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0.36</w:t>
            </w:r>
            <w:r>
              <w:rPr>
                <w:rFonts w:hint="eastAsia" w:cs="Times New Roman"/>
                <w:color w:val="auto"/>
                <w:sz w:val="21"/>
                <w:szCs w:val="21"/>
                <w:highlight w:val="none"/>
              </w:rPr>
              <w:t>-</w:t>
            </w:r>
            <w:r>
              <w:rPr>
                <w:rFonts w:hint="eastAsia" w:cs="Times New Roman"/>
                <w:color w:val="auto"/>
                <w:sz w:val="21"/>
                <w:szCs w:val="21"/>
                <w:highlight w:val="none"/>
                <w:lang w:val="en-US" w:eastAsia="zh-CN"/>
              </w:rPr>
              <w:t>0.41</w:t>
            </w:r>
          </w:p>
        </w:tc>
        <w:tc>
          <w:tcPr>
            <w:tcW w:w="714" w:type="pct"/>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氰化物</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未检出</w:t>
            </w:r>
          </w:p>
        </w:tc>
        <w:tc>
          <w:tcPr>
            <w:tcW w:w="714" w:type="pct"/>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砷</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未检出</w:t>
            </w:r>
          </w:p>
        </w:tc>
        <w:tc>
          <w:tcPr>
            <w:tcW w:w="714" w:type="pct"/>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汞</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未检出</w:t>
            </w:r>
          </w:p>
        </w:tc>
        <w:tc>
          <w:tcPr>
            <w:tcW w:w="714" w:type="pct"/>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铅</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未检出</w:t>
            </w:r>
          </w:p>
        </w:tc>
        <w:tc>
          <w:tcPr>
            <w:tcW w:w="714" w:type="pct"/>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铬（</w:t>
            </w:r>
            <w:r>
              <w:rPr>
                <w:rFonts w:hint="default" w:ascii="Times New Roman" w:hAnsi="Times New Roman" w:eastAsia="宋体" w:cs="Times New Roman"/>
                <w:color w:val="auto"/>
                <w:sz w:val="21"/>
                <w:szCs w:val="21"/>
                <w:highlight w:val="none"/>
                <w:lang w:val="en-US" w:eastAsia="zh-CN"/>
              </w:rPr>
              <w:t>Ⅵ</w:t>
            </w:r>
            <w:r>
              <w:rPr>
                <w:rFonts w:hint="eastAsia" w:cs="Times New Roman"/>
                <w:color w:val="auto"/>
                <w:sz w:val="21"/>
                <w:szCs w:val="21"/>
                <w:highlight w:val="none"/>
                <w:lang w:val="en-US" w:eastAsia="zh-CN"/>
              </w:rPr>
              <w:t>）</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未检出</w:t>
            </w:r>
          </w:p>
        </w:tc>
        <w:tc>
          <w:tcPr>
            <w:tcW w:w="714" w:type="pct"/>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镉</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未检出</w:t>
            </w:r>
          </w:p>
        </w:tc>
        <w:tc>
          <w:tcPr>
            <w:tcW w:w="714" w:type="pct"/>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硝酸盐(以N计)</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rPr>
              <w:t>1.</w:t>
            </w:r>
            <w:r>
              <w:rPr>
                <w:rFonts w:hint="eastAsia" w:cs="Times New Roman"/>
                <w:color w:val="auto"/>
                <w:sz w:val="21"/>
                <w:szCs w:val="21"/>
                <w:highlight w:val="none"/>
                <w:lang w:val="en-US" w:eastAsia="zh-CN"/>
              </w:rPr>
              <w:t>13</w:t>
            </w:r>
            <w:r>
              <w:rPr>
                <w:rFonts w:hint="eastAsia" w:cs="Times New Roman"/>
                <w:color w:val="auto"/>
                <w:sz w:val="21"/>
                <w:szCs w:val="21"/>
                <w:highlight w:val="none"/>
              </w:rPr>
              <w:t>-1.</w:t>
            </w:r>
            <w:r>
              <w:rPr>
                <w:rFonts w:hint="eastAsia" w:cs="Times New Roman"/>
                <w:color w:val="auto"/>
                <w:sz w:val="21"/>
                <w:szCs w:val="21"/>
                <w:highlight w:val="none"/>
                <w:lang w:val="en-US" w:eastAsia="zh-CN"/>
              </w:rPr>
              <w:t>14</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restar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下王湾</w:t>
            </w: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pH</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无量纲</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rPr>
              <w:t>7.</w:t>
            </w:r>
            <w:r>
              <w:rPr>
                <w:rFonts w:hint="eastAsia" w:cs="Times New Roman"/>
                <w:color w:val="auto"/>
                <w:sz w:val="21"/>
                <w:szCs w:val="21"/>
                <w:highlight w:val="none"/>
                <w:lang w:val="en-US" w:eastAsia="zh-CN"/>
              </w:rPr>
              <w:t>75</w:t>
            </w:r>
            <w:r>
              <w:rPr>
                <w:rFonts w:hint="eastAsia" w:cs="Times New Roman"/>
                <w:color w:val="auto"/>
                <w:sz w:val="21"/>
                <w:szCs w:val="21"/>
                <w:highlight w:val="none"/>
              </w:rPr>
              <w:t>-7.</w:t>
            </w:r>
            <w:r>
              <w:rPr>
                <w:rFonts w:hint="eastAsia" w:cs="Times New Roman"/>
                <w:color w:val="auto"/>
                <w:sz w:val="21"/>
                <w:szCs w:val="21"/>
                <w:highlight w:val="none"/>
                <w:lang w:val="en-US" w:eastAsia="zh-CN"/>
              </w:rPr>
              <w:t>82</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总硬度（以</w:t>
            </w:r>
          </w:p>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CaCO</w:t>
            </w:r>
            <w:r>
              <w:rPr>
                <w:rFonts w:hint="eastAsia" w:cs="Times New Roman"/>
                <w:color w:val="auto"/>
                <w:sz w:val="21"/>
                <w:szCs w:val="21"/>
                <w:highlight w:val="none"/>
                <w:vertAlign w:val="subscript"/>
                <w:lang w:val="en-US" w:eastAsia="zh-CN"/>
              </w:rPr>
              <w:t>3</w:t>
            </w:r>
            <w:r>
              <w:rPr>
                <w:rFonts w:hint="eastAsia" w:cs="Times New Roman"/>
                <w:color w:val="auto"/>
                <w:sz w:val="21"/>
                <w:szCs w:val="21"/>
                <w:highlight w:val="none"/>
                <w:lang w:val="en-US" w:eastAsia="zh-CN"/>
              </w:rPr>
              <w:t>）</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135-138</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总大肠菌群</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个/L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100（成年）/3（幼年）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溶解性总固体</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276-285</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硫酸盐（以</w:t>
            </w:r>
            <w:r>
              <w:rPr>
                <w:rFonts w:hint="eastAsia" w:cs="Times New Roman"/>
                <w:color w:val="auto"/>
                <w:sz w:val="21"/>
                <w:szCs w:val="21"/>
                <w:highlight w:val="none"/>
              </w:rPr>
              <w:t>SO</w:t>
            </w:r>
            <w:r>
              <w:rPr>
                <w:rFonts w:hint="eastAsia" w:cs="Times New Roman"/>
                <w:color w:val="auto"/>
                <w:sz w:val="21"/>
                <w:szCs w:val="21"/>
                <w:highlight w:val="none"/>
                <w:vertAlign w:val="subscript"/>
              </w:rPr>
              <w:t>4</w:t>
            </w:r>
            <w:r>
              <w:rPr>
                <w:rFonts w:hint="eastAsia" w:cs="Times New Roman"/>
                <w:color w:val="auto"/>
                <w:sz w:val="21"/>
                <w:szCs w:val="21"/>
                <w:highlight w:val="none"/>
                <w:vertAlign w:val="superscript"/>
              </w:rPr>
              <w:t>2-</w:t>
            </w:r>
            <w:r>
              <w:rPr>
                <w:rFonts w:hint="eastAsia" w:cs="Times New Roman"/>
                <w:color w:val="auto"/>
                <w:sz w:val="21"/>
                <w:szCs w:val="21"/>
                <w:highlight w:val="none"/>
                <w:vertAlign w:val="baseline"/>
                <w:lang w:eastAsia="zh-CN"/>
              </w:rPr>
              <w:t>计</w:t>
            </w:r>
            <w:r>
              <w:rPr>
                <w:rFonts w:hint="eastAsia" w:cs="Times New Roman"/>
                <w:color w:val="auto"/>
                <w:sz w:val="21"/>
                <w:szCs w:val="21"/>
                <w:highlight w:val="none"/>
                <w:lang w:val="en-US" w:eastAsia="zh-CN"/>
              </w:rPr>
              <w:t>）</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rPr>
              <w:t>1.</w:t>
            </w:r>
            <w:r>
              <w:rPr>
                <w:rFonts w:hint="eastAsia" w:cs="Times New Roman"/>
                <w:color w:val="auto"/>
                <w:sz w:val="21"/>
                <w:szCs w:val="21"/>
                <w:highlight w:val="none"/>
                <w:lang w:val="en-US" w:eastAsia="zh-CN"/>
              </w:rPr>
              <w:t>1</w:t>
            </w:r>
            <w:r>
              <w:rPr>
                <w:rFonts w:hint="eastAsia" w:cs="Times New Roman"/>
                <w:color w:val="auto"/>
                <w:sz w:val="21"/>
                <w:szCs w:val="21"/>
                <w:highlight w:val="none"/>
              </w:rPr>
              <w:t>-1.</w:t>
            </w:r>
            <w:r>
              <w:rPr>
                <w:rFonts w:hint="eastAsia" w:cs="Times New Roman"/>
                <w:color w:val="auto"/>
                <w:sz w:val="21"/>
                <w:szCs w:val="21"/>
                <w:highlight w:val="none"/>
                <w:lang w:val="en-US" w:eastAsia="zh-CN"/>
              </w:rPr>
              <w:t>2</w:t>
            </w:r>
          </w:p>
        </w:tc>
        <w:tc>
          <w:tcPr>
            <w:tcW w:w="714"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氟化物（以F</w:t>
            </w:r>
            <w:r>
              <w:rPr>
                <w:rFonts w:hint="eastAsia" w:cs="Times New Roman"/>
                <w:color w:val="auto"/>
                <w:sz w:val="21"/>
                <w:szCs w:val="21"/>
                <w:highlight w:val="none"/>
                <w:vertAlign w:val="superscript"/>
              </w:rPr>
              <w:t>-</w:t>
            </w:r>
            <w:r>
              <w:rPr>
                <w:rFonts w:hint="eastAsia" w:cs="Times New Roman"/>
                <w:color w:val="auto"/>
                <w:sz w:val="21"/>
                <w:szCs w:val="21"/>
                <w:highlight w:val="none"/>
                <w:vertAlign w:val="baseline"/>
                <w:lang w:eastAsia="zh-CN"/>
              </w:rPr>
              <w:t>计</w:t>
            </w:r>
            <w:r>
              <w:rPr>
                <w:rFonts w:hint="eastAsia" w:cs="Times New Roman"/>
                <w:color w:val="auto"/>
                <w:sz w:val="21"/>
                <w:szCs w:val="21"/>
                <w:highlight w:val="none"/>
                <w:lang w:val="en-US" w:eastAsia="zh-CN"/>
              </w:rPr>
              <w:t>）</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0.32</w:t>
            </w:r>
            <w:r>
              <w:rPr>
                <w:rFonts w:hint="eastAsia" w:cs="Times New Roman"/>
                <w:color w:val="auto"/>
                <w:sz w:val="21"/>
                <w:szCs w:val="21"/>
                <w:highlight w:val="none"/>
              </w:rPr>
              <w:t>-</w:t>
            </w:r>
            <w:r>
              <w:rPr>
                <w:rFonts w:hint="eastAsia" w:cs="Times New Roman"/>
                <w:color w:val="auto"/>
                <w:sz w:val="21"/>
                <w:szCs w:val="21"/>
                <w:highlight w:val="none"/>
                <w:lang w:val="en-US" w:eastAsia="zh-CN"/>
              </w:rPr>
              <w:t>0.34</w:t>
            </w:r>
          </w:p>
        </w:tc>
        <w:tc>
          <w:tcPr>
            <w:tcW w:w="714"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氰化物</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未检出</w:t>
            </w:r>
          </w:p>
        </w:tc>
        <w:tc>
          <w:tcPr>
            <w:tcW w:w="714"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砷</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未检出</w:t>
            </w:r>
          </w:p>
        </w:tc>
        <w:tc>
          <w:tcPr>
            <w:tcW w:w="714"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汞</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未检出</w:t>
            </w:r>
          </w:p>
        </w:tc>
        <w:tc>
          <w:tcPr>
            <w:tcW w:w="714"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铅</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未检出</w:t>
            </w:r>
          </w:p>
        </w:tc>
        <w:tc>
          <w:tcPr>
            <w:tcW w:w="714"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铬（</w:t>
            </w:r>
            <w:r>
              <w:rPr>
                <w:rFonts w:hint="eastAsia" w:ascii="宋体" w:hAnsi="宋体" w:eastAsia="宋体" w:cs="宋体"/>
                <w:color w:val="auto"/>
                <w:sz w:val="21"/>
                <w:szCs w:val="21"/>
                <w:highlight w:val="none"/>
                <w:lang w:val="en-US" w:eastAsia="zh-CN"/>
              </w:rPr>
              <w:t>Ⅵ</w:t>
            </w:r>
            <w:r>
              <w:rPr>
                <w:rFonts w:hint="eastAsia" w:cs="Times New Roman"/>
                <w:color w:val="auto"/>
                <w:sz w:val="21"/>
                <w:szCs w:val="21"/>
                <w:highlight w:val="none"/>
                <w:lang w:val="en-US" w:eastAsia="zh-CN"/>
              </w:rPr>
              <w:t>）</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未检出</w:t>
            </w:r>
          </w:p>
        </w:tc>
        <w:tc>
          <w:tcPr>
            <w:tcW w:w="714"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镉</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未检出</w:t>
            </w:r>
          </w:p>
        </w:tc>
        <w:tc>
          <w:tcPr>
            <w:tcW w:w="714"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硝酸盐(以N计)</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rPr>
              <w:t>1.</w:t>
            </w:r>
            <w:r>
              <w:rPr>
                <w:rFonts w:hint="eastAsia" w:cs="Times New Roman"/>
                <w:color w:val="auto"/>
                <w:sz w:val="21"/>
                <w:szCs w:val="21"/>
                <w:highlight w:val="none"/>
                <w:lang w:val="en-US" w:eastAsia="zh-CN"/>
              </w:rPr>
              <w:t>1</w:t>
            </w:r>
            <w:r>
              <w:rPr>
                <w:rFonts w:hint="eastAsia" w:cs="Times New Roman"/>
                <w:color w:val="auto"/>
                <w:sz w:val="21"/>
                <w:szCs w:val="21"/>
                <w:highlight w:val="none"/>
              </w:rPr>
              <w:t>-1.</w:t>
            </w:r>
            <w:r>
              <w:rPr>
                <w:rFonts w:hint="eastAsia" w:cs="Times New Roman"/>
                <w:color w:val="auto"/>
                <w:sz w:val="21"/>
                <w:szCs w:val="21"/>
                <w:highlight w:val="none"/>
                <w:lang w:val="en-US" w:eastAsia="zh-CN"/>
              </w:rPr>
              <w:t>2</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restar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小吴庄</w:t>
            </w: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pH</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无量纲</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rPr>
              <w:t>7.</w:t>
            </w:r>
            <w:r>
              <w:rPr>
                <w:rFonts w:hint="eastAsia" w:cs="Times New Roman"/>
                <w:color w:val="auto"/>
                <w:sz w:val="21"/>
                <w:szCs w:val="21"/>
                <w:highlight w:val="none"/>
                <w:lang w:val="en-US" w:eastAsia="zh-CN"/>
              </w:rPr>
              <w:t>81</w:t>
            </w:r>
            <w:r>
              <w:rPr>
                <w:rFonts w:hint="eastAsia" w:cs="Times New Roman"/>
                <w:color w:val="auto"/>
                <w:sz w:val="21"/>
                <w:szCs w:val="21"/>
                <w:highlight w:val="none"/>
              </w:rPr>
              <w:t>-7.</w:t>
            </w:r>
            <w:r>
              <w:rPr>
                <w:rFonts w:hint="eastAsia" w:cs="Times New Roman"/>
                <w:color w:val="auto"/>
                <w:sz w:val="21"/>
                <w:szCs w:val="21"/>
                <w:highlight w:val="none"/>
                <w:lang w:val="en-US" w:eastAsia="zh-CN"/>
              </w:rPr>
              <w:t>84</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总硬度（以</w:t>
            </w:r>
          </w:p>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CaCO</w:t>
            </w:r>
            <w:r>
              <w:rPr>
                <w:rFonts w:hint="eastAsia" w:cs="Times New Roman"/>
                <w:color w:val="auto"/>
                <w:sz w:val="21"/>
                <w:szCs w:val="21"/>
                <w:highlight w:val="none"/>
                <w:vertAlign w:val="subscript"/>
                <w:lang w:val="en-US" w:eastAsia="zh-CN"/>
              </w:rPr>
              <w:t>3</w:t>
            </w:r>
            <w:r>
              <w:rPr>
                <w:rFonts w:hint="eastAsia" w:cs="Times New Roman"/>
                <w:color w:val="auto"/>
                <w:sz w:val="21"/>
                <w:szCs w:val="21"/>
                <w:highlight w:val="none"/>
                <w:lang w:val="en-US" w:eastAsia="zh-CN"/>
              </w:rPr>
              <w:t>）</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143-148</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总大肠菌群</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个/L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100（成年）</w:t>
            </w:r>
          </w:p>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/3（幼年）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溶解性总固体</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300-306</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硫酸盐（以</w:t>
            </w:r>
            <w:r>
              <w:rPr>
                <w:rFonts w:hint="eastAsia" w:cs="Times New Roman"/>
                <w:color w:val="auto"/>
                <w:sz w:val="21"/>
                <w:szCs w:val="21"/>
                <w:highlight w:val="none"/>
              </w:rPr>
              <w:t>SO</w:t>
            </w:r>
            <w:r>
              <w:rPr>
                <w:rFonts w:hint="eastAsia" w:cs="Times New Roman"/>
                <w:color w:val="auto"/>
                <w:sz w:val="21"/>
                <w:szCs w:val="21"/>
                <w:highlight w:val="none"/>
                <w:vertAlign w:val="subscript"/>
              </w:rPr>
              <w:t>4</w:t>
            </w:r>
            <w:r>
              <w:rPr>
                <w:rFonts w:hint="eastAsia" w:cs="Times New Roman"/>
                <w:color w:val="auto"/>
                <w:sz w:val="21"/>
                <w:szCs w:val="21"/>
                <w:highlight w:val="none"/>
                <w:vertAlign w:val="superscript"/>
              </w:rPr>
              <w:t>2-</w:t>
            </w:r>
            <w:r>
              <w:rPr>
                <w:rFonts w:hint="eastAsia" w:cs="Times New Roman"/>
                <w:color w:val="auto"/>
                <w:sz w:val="21"/>
                <w:szCs w:val="21"/>
                <w:highlight w:val="none"/>
                <w:vertAlign w:val="baseline"/>
                <w:lang w:eastAsia="zh-CN"/>
              </w:rPr>
              <w:t>计</w:t>
            </w:r>
            <w:r>
              <w:rPr>
                <w:rFonts w:hint="eastAsia" w:cs="Times New Roman"/>
                <w:color w:val="auto"/>
                <w:sz w:val="21"/>
                <w:szCs w:val="21"/>
                <w:highlight w:val="none"/>
                <w:lang w:val="en-US" w:eastAsia="zh-CN"/>
              </w:rPr>
              <w:t>）</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22.7-23.1</w:t>
            </w:r>
          </w:p>
        </w:tc>
        <w:tc>
          <w:tcPr>
            <w:tcW w:w="714"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氟化物（以F</w:t>
            </w:r>
            <w:r>
              <w:rPr>
                <w:rFonts w:hint="eastAsia" w:cs="Times New Roman"/>
                <w:color w:val="auto"/>
                <w:sz w:val="21"/>
                <w:szCs w:val="21"/>
                <w:highlight w:val="none"/>
                <w:vertAlign w:val="superscript"/>
              </w:rPr>
              <w:t>-</w:t>
            </w:r>
            <w:r>
              <w:rPr>
                <w:rFonts w:hint="eastAsia" w:cs="Times New Roman"/>
                <w:color w:val="auto"/>
                <w:sz w:val="21"/>
                <w:szCs w:val="21"/>
                <w:highlight w:val="none"/>
                <w:vertAlign w:val="baseline"/>
                <w:lang w:eastAsia="zh-CN"/>
              </w:rPr>
              <w:t>计</w:t>
            </w:r>
            <w:r>
              <w:rPr>
                <w:rFonts w:hint="eastAsia" w:cs="Times New Roman"/>
                <w:color w:val="auto"/>
                <w:sz w:val="21"/>
                <w:szCs w:val="21"/>
                <w:highlight w:val="none"/>
                <w:lang w:val="en-US" w:eastAsia="zh-CN"/>
              </w:rPr>
              <w:t>）</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0.35</w:t>
            </w:r>
            <w:r>
              <w:rPr>
                <w:rFonts w:hint="eastAsia" w:cs="Times New Roman"/>
                <w:color w:val="auto"/>
                <w:sz w:val="21"/>
                <w:szCs w:val="21"/>
                <w:highlight w:val="none"/>
              </w:rPr>
              <w:t>-</w:t>
            </w:r>
            <w:r>
              <w:rPr>
                <w:rFonts w:hint="eastAsia" w:cs="Times New Roman"/>
                <w:color w:val="auto"/>
                <w:sz w:val="21"/>
                <w:szCs w:val="21"/>
                <w:highlight w:val="none"/>
                <w:lang w:val="en-US" w:eastAsia="zh-CN"/>
              </w:rPr>
              <w:t>0.37</w:t>
            </w:r>
          </w:p>
        </w:tc>
        <w:tc>
          <w:tcPr>
            <w:tcW w:w="714"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氰化物</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rPr>
              <w:t>未检出</w:t>
            </w:r>
          </w:p>
        </w:tc>
        <w:tc>
          <w:tcPr>
            <w:tcW w:w="714"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砷</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rPr>
              <w:t>未检出</w:t>
            </w:r>
          </w:p>
        </w:tc>
        <w:tc>
          <w:tcPr>
            <w:tcW w:w="714"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汞</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rPr>
              <w:t>未检出</w:t>
            </w:r>
          </w:p>
        </w:tc>
        <w:tc>
          <w:tcPr>
            <w:tcW w:w="714"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铅</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rPr>
              <w:t>未检出</w:t>
            </w:r>
          </w:p>
        </w:tc>
        <w:tc>
          <w:tcPr>
            <w:tcW w:w="714"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铬（</w:t>
            </w:r>
            <w:r>
              <w:rPr>
                <w:rFonts w:hint="eastAsia" w:ascii="宋体" w:hAnsi="宋体" w:eastAsia="宋体" w:cs="宋体"/>
                <w:color w:val="auto"/>
                <w:sz w:val="21"/>
                <w:szCs w:val="21"/>
                <w:highlight w:val="none"/>
                <w:lang w:val="en-US" w:eastAsia="zh-CN"/>
              </w:rPr>
              <w:t>Ⅵ</w:t>
            </w:r>
            <w:r>
              <w:rPr>
                <w:rFonts w:hint="eastAsia" w:cs="Times New Roman"/>
                <w:color w:val="auto"/>
                <w:sz w:val="21"/>
                <w:szCs w:val="21"/>
                <w:highlight w:val="none"/>
                <w:lang w:val="en-US" w:eastAsia="zh-CN"/>
              </w:rPr>
              <w:t>）</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rPr>
              <w:t>未检出</w:t>
            </w:r>
          </w:p>
        </w:tc>
        <w:tc>
          <w:tcPr>
            <w:tcW w:w="714"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镉</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rPr>
              <w:t>未检出</w:t>
            </w:r>
          </w:p>
        </w:tc>
        <w:tc>
          <w:tcPr>
            <w:tcW w:w="714"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硝酸盐(以N计)</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mg/L</w:t>
            </w:r>
          </w:p>
        </w:tc>
        <w:tc>
          <w:tcPr>
            <w:tcW w:w="873"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restar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《畜禽养殖产地环境评价规范》（HJ568-2010）中表</w:t>
            </w:r>
          </w:p>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4土壤环境质量评价指标限值</w:t>
            </w:r>
          </w:p>
        </w:tc>
        <w:tc>
          <w:tcPr>
            <w:tcW w:w="497" w:type="pct"/>
            <w:vMerge w:val="restar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场区</w:t>
            </w: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pH</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无量纲</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5.2-6.1</w:t>
            </w:r>
          </w:p>
        </w:tc>
        <w:tc>
          <w:tcPr>
            <w:tcW w:w="714" w:type="pct"/>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zh-CN"/>
              </w:rPr>
              <w:t>镉</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mg/kg</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0.05-0.12</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zh-CN"/>
              </w:rPr>
              <w:t>汞</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mg/kg</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0.009-0.016</w:t>
            </w:r>
          </w:p>
        </w:tc>
        <w:tc>
          <w:tcPr>
            <w:tcW w:w="714" w:type="pct"/>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zh-CN"/>
              </w:rPr>
              <w:t>砷</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mg/kg</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9.3-12.6</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zh-CN"/>
              </w:rPr>
              <w:t>铅</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mg/kg</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11.4-13.8</w:t>
            </w:r>
          </w:p>
        </w:tc>
        <w:tc>
          <w:tcPr>
            <w:tcW w:w="714" w:type="pct"/>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zh-CN"/>
              </w:rPr>
              <w:t>铬</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mg/kg</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23-60</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zh-CN"/>
              </w:rPr>
              <w:t>铜</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mg/kg</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未检出</w:t>
            </w:r>
          </w:p>
        </w:tc>
        <w:tc>
          <w:tcPr>
            <w:tcW w:w="714" w:type="pct"/>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zh-CN" w:eastAsia="zh-CN" w:bidi="ar-SA"/>
              </w:rPr>
            </w:pPr>
            <w:r>
              <w:rPr>
                <w:rFonts w:hint="eastAsia" w:cs="Times New Roman"/>
                <w:color w:val="auto"/>
                <w:sz w:val="21"/>
                <w:szCs w:val="21"/>
                <w:highlight w:val="none"/>
                <w:lang w:val="zh-CN"/>
              </w:rPr>
              <w:t>镍</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mg/kg</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9-21</w:t>
            </w:r>
          </w:p>
        </w:tc>
        <w:tc>
          <w:tcPr>
            <w:tcW w:w="714" w:type="pct"/>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zh-CN"/>
              </w:rPr>
              <w:t>锌</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mg/kg</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23.8-52.3</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restart"/>
            <w:tcBorders>
              <w:tl2br w:val="nil"/>
              <w:tr2bl w:val="nil"/>
            </w:tcBorders>
            <w:noWrap w:val="0"/>
            <w:vAlign w:val="center"/>
          </w:tcPr>
          <w:p>
            <w:pPr>
              <w:spacing w:line="240" w:lineRule="auto"/>
              <w:ind w:firstLine="0" w:firstLineChars="0"/>
              <w:jc w:val="center"/>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沼液消纳区东</w:t>
            </w: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pH</w:t>
            </w:r>
          </w:p>
        </w:tc>
        <w:tc>
          <w:tcPr>
            <w:tcW w:w="777" w:type="pct"/>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无量纲</w:t>
            </w:r>
          </w:p>
        </w:tc>
        <w:tc>
          <w:tcPr>
            <w:tcW w:w="873"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5.9</w:t>
            </w:r>
          </w:p>
        </w:tc>
        <w:tc>
          <w:tcPr>
            <w:tcW w:w="714"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zh-CN"/>
              </w:rPr>
              <w:t>镉</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mg/kg</w:t>
            </w:r>
          </w:p>
        </w:tc>
        <w:tc>
          <w:tcPr>
            <w:tcW w:w="873"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0.013</w:t>
            </w:r>
          </w:p>
        </w:tc>
        <w:tc>
          <w:tcPr>
            <w:tcW w:w="714"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zh-CN"/>
              </w:rPr>
              <w:t>汞</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mg/kg</w:t>
            </w:r>
          </w:p>
        </w:tc>
        <w:tc>
          <w:tcPr>
            <w:tcW w:w="873"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0.014</w:t>
            </w:r>
          </w:p>
        </w:tc>
        <w:tc>
          <w:tcPr>
            <w:tcW w:w="714"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zh-CN"/>
              </w:rPr>
              <w:t>砷</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mg/kg</w:t>
            </w:r>
          </w:p>
        </w:tc>
        <w:tc>
          <w:tcPr>
            <w:tcW w:w="873"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11.3</w:t>
            </w:r>
          </w:p>
        </w:tc>
        <w:tc>
          <w:tcPr>
            <w:tcW w:w="714"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zh-CN"/>
              </w:rPr>
              <w:t>铅</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mg/kg</w:t>
            </w:r>
          </w:p>
        </w:tc>
        <w:tc>
          <w:tcPr>
            <w:tcW w:w="873"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14.3</w:t>
            </w:r>
          </w:p>
        </w:tc>
        <w:tc>
          <w:tcPr>
            <w:tcW w:w="714"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zh-CN"/>
              </w:rPr>
              <w:t>铬</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mg/kg</w:t>
            </w:r>
          </w:p>
        </w:tc>
        <w:tc>
          <w:tcPr>
            <w:tcW w:w="873"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w:t>
            </w:r>
          </w:p>
        </w:tc>
        <w:tc>
          <w:tcPr>
            <w:tcW w:w="714"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zh-CN"/>
              </w:rPr>
              <w:t>铜</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mg/kg</w:t>
            </w:r>
          </w:p>
        </w:tc>
        <w:tc>
          <w:tcPr>
            <w:tcW w:w="873"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c>
          <w:tcPr>
            <w:tcW w:w="714"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zh-CN"/>
              </w:rPr>
              <w:t>镍</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mg/kg</w:t>
            </w:r>
          </w:p>
        </w:tc>
        <w:tc>
          <w:tcPr>
            <w:tcW w:w="873"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714"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zh-CN"/>
              </w:rPr>
              <w:t>锌</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mg/kg</w:t>
            </w:r>
          </w:p>
        </w:tc>
        <w:tc>
          <w:tcPr>
            <w:tcW w:w="873"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79.2</w:t>
            </w:r>
          </w:p>
        </w:tc>
        <w:tc>
          <w:tcPr>
            <w:tcW w:w="714" w:type="pct"/>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restar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沼液消纳区北</w:t>
            </w: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pH</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无量纲</w:t>
            </w:r>
          </w:p>
        </w:tc>
        <w:tc>
          <w:tcPr>
            <w:tcW w:w="873" w:type="pct"/>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5.4</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zh-CN"/>
              </w:rPr>
              <w:t>镉</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mg/kg</w:t>
            </w:r>
          </w:p>
        </w:tc>
        <w:tc>
          <w:tcPr>
            <w:tcW w:w="873" w:type="pct"/>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0.012</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zh-CN"/>
              </w:rPr>
              <w:t>汞</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mg/kg</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0.012</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zh-CN"/>
              </w:rPr>
              <w:t>砷</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mg/kg</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11.5</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zh-CN"/>
              </w:rPr>
              <w:t>铅</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mg/kg</w:t>
            </w:r>
          </w:p>
        </w:tc>
        <w:tc>
          <w:tcPr>
            <w:tcW w:w="873" w:type="pct"/>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13.2</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zh-CN"/>
              </w:rPr>
              <w:t>铬</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mg/kg</w:t>
            </w:r>
          </w:p>
        </w:tc>
        <w:tc>
          <w:tcPr>
            <w:tcW w:w="873" w:type="pct"/>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51</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zh-CN"/>
              </w:rPr>
              <w:t>铜</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mg/kg</w:t>
            </w:r>
          </w:p>
        </w:tc>
        <w:tc>
          <w:tcPr>
            <w:tcW w:w="873" w:type="pct"/>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未检出</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zh-CN"/>
              </w:rPr>
              <w:t>镍</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mg/kg</w:t>
            </w:r>
          </w:p>
        </w:tc>
        <w:tc>
          <w:tcPr>
            <w:tcW w:w="873" w:type="pct"/>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zh-CN"/>
              </w:rPr>
              <w:t>锌</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mg/kg</w:t>
            </w:r>
          </w:p>
        </w:tc>
        <w:tc>
          <w:tcPr>
            <w:tcW w:w="873" w:type="pct"/>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21.1</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restar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《畜禽养殖产地环境评价规范》（HJ568-2010）中表</w:t>
            </w:r>
          </w:p>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5环境空气质量评价指标限值（1日平均）</w:t>
            </w:r>
          </w:p>
        </w:tc>
        <w:tc>
          <w:tcPr>
            <w:tcW w:w="846" w:type="dxa"/>
            <w:vMerge w:val="restart"/>
            <w:tcBorders>
              <w:tl2br w:val="nil"/>
              <w:tr2bl w:val="nil"/>
            </w:tcBorders>
            <w:noWrap w:val="0"/>
            <w:vAlign w:val="center"/>
          </w:tcPr>
          <w:p>
            <w:pPr>
              <w:widowControl/>
              <w:spacing w:line="240" w:lineRule="auto"/>
              <w:ind w:left="0" w:leftChars="0" w:firstLine="0" w:firstLineChars="0"/>
              <w:jc w:val="center"/>
              <w:rPr>
                <w:rFonts w:hint="eastAsia" w:cs="Times New Roman"/>
                <w:color w:val="auto"/>
                <w:sz w:val="21"/>
                <w:szCs w:val="21"/>
                <w:highlight w:val="none"/>
                <w:lang w:val="en-US" w:eastAsia="zh-CN"/>
              </w:rPr>
            </w:pPr>
            <w:r>
              <w:rPr>
                <w:rFonts w:hint="eastAsia" w:cs="Times New Roman"/>
                <w:color w:val="auto"/>
                <w:kern w:val="0"/>
                <w:sz w:val="21"/>
                <w:szCs w:val="21"/>
                <w:highlight w:val="none"/>
                <w:lang w:val="en-US" w:eastAsia="zh-CN"/>
              </w:rPr>
              <w:t>吴自岐庄</w:t>
            </w: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NH</w:t>
            </w:r>
            <w:r>
              <w:rPr>
                <w:rFonts w:hint="eastAsia" w:cs="Times New Roman"/>
                <w:color w:val="auto"/>
                <w:sz w:val="21"/>
                <w:szCs w:val="21"/>
                <w:highlight w:val="none"/>
                <w:vertAlign w:val="subscript"/>
                <w:lang w:val="en-US" w:eastAsia="zh-CN"/>
              </w:rPr>
              <w:t>3</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mg/m</w:t>
            </w:r>
            <w:r>
              <w:rPr>
                <w:rFonts w:hint="eastAsia" w:cs="Times New Roman"/>
                <w:color w:val="auto"/>
                <w:sz w:val="21"/>
                <w:szCs w:val="21"/>
                <w:highlight w:val="none"/>
                <w:vertAlign w:val="superscript"/>
                <w:lang w:val="en-US" w:eastAsia="zh-CN"/>
              </w:rPr>
              <w:t>3</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0.015-0.024</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zh-CN"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H</w:t>
            </w:r>
            <w:r>
              <w:rPr>
                <w:rFonts w:hint="eastAsia" w:cs="Times New Roman"/>
                <w:color w:val="auto"/>
                <w:sz w:val="21"/>
                <w:szCs w:val="21"/>
                <w:highlight w:val="none"/>
                <w:vertAlign w:val="subscript"/>
                <w:lang w:val="en-US" w:eastAsia="zh-CN"/>
              </w:rPr>
              <w:t>2</w:t>
            </w:r>
            <w:r>
              <w:rPr>
                <w:rFonts w:hint="eastAsia" w:cs="Times New Roman"/>
                <w:color w:val="auto"/>
                <w:sz w:val="21"/>
                <w:szCs w:val="21"/>
                <w:highlight w:val="none"/>
                <w:lang w:val="en-US" w:eastAsia="zh-CN"/>
              </w:rPr>
              <w:t>S</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mg/m</w:t>
            </w:r>
            <w:r>
              <w:rPr>
                <w:rFonts w:hint="eastAsia" w:cs="Times New Roman"/>
                <w:color w:val="auto"/>
                <w:sz w:val="21"/>
                <w:szCs w:val="21"/>
                <w:highlight w:val="none"/>
                <w:vertAlign w:val="superscript"/>
                <w:lang w:val="en-US" w:eastAsia="zh-CN"/>
              </w:rPr>
              <w:t>3</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bCs/>
                <w:color w:val="auto"/>
                <w:sz w:val="21"/>
                <w:szCs w:val="21"/>
                <w:highlight w:val="none"/>
                <w:lang w:val="en-US" w:eastAsia="zh-CN"/>
              </w:rPr>
              <w:t>0.003-0.005</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846" w:type="dxa"/>
            <w:vMerge w:val="restart"/>
            <w:tcBorders>
              <w:tl2br w:val="nil"/>
              <w:tr2bl w:val="nil"/>
            </w:tcBorders>
            <w:noWrap w:val="0"/>
            <w:vAlign w:val="center"/>
          </w:tcPr>
          <w:p>
            <w:pPr>
              <w:widowControl/>
              <w:spacing w:line="240" w:lineRule="auto"/>
              <w:ind w:left="0" w:leftChars="0" w:firstLine="0" w:firstLineChars="0"/>
              <w:jc w:val="center"/>
              <w:rPr>
                <w:rFonts w:hint="eastAsia" w:cs="Times New Roman"/>
                <w:color w:val="auto"/>
                <w:sz w:val="21"/>
                <w:szCs w:val="21"/>
                <w:highlight w:val="none"/>
                <w:lang w:val="en-US" w:eastAsia="zh-CN"/>
              </w:rPr>
            </w:pPr>
            <w:r>
              <w:rPr>
                <w:rFonts w:hint="eastAsia" w:cs="Times New Roman"/>
                <w:color w:val="auto"/>
                <w:kern w:val="0"/>
                <w:sz w:val="21"/>
                <w:szCs w:val="21"/>
                <w:highlight w:val="none"/>
                <w:lang w:val="en-US" w:eastAsia="zh-CN"/>
              </w:rPr>
              <w:t>下王湾</w:t>
            </w: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NH</w:t>
            </w:r>
            <w:r>
              <w:rPr>
                <w:rFonts w:hint="eastAsia" w:cs="Times New Roman"/>
                <w:color w:val="auto"/>
                <w:sz w:val="21"/>
                <w:szCs w:val="21"/>
                <w:highlight w:val="none"/>
                <w:vertAlign w:val="subscript"/>
                <w:lang w:val="en-US" w:eastAsia="zh-CN"/>
              </w:rPr>
              <w:t>3</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mg/m</w:t>
            </w:r>
            <w:r>
              <w:rPr>
                <w:rFonts w:hint="eastAsia" w:cs="Times New Roman"/>
                <w:color w:val="auto"/>
                <w:sz w:val="21"/>
                <w:szCs w:val="21"/>
                <w:highlight w:val="none"/>
                <w:vertAlign w:val="superscript"/>
                <w:lang w:val="en-US" w:eastAsia="zh-CN"/>
              </w:rPr>
              <w:t>3</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0.014-0.022</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zh-CN"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H</w:t>
            </w:r>
            <w:r>
              <w:rPr>
                <w:rFonts w:hint="eastAsia" w:cs="Times New Roman"/>
                <w:color w:val="auto"/>
                <w:sz w:val="21"/>
                <w:szCs w:val="21"/>
                <w:highlight w:val="none"/>
                <w:vertAlign w:val="subscript"/>
                <w:lang w:val="en-US" w:eastAsia="zh-CN"/>
              </w:rPr>
              <w:t>2</w:t>
            </w:r>
            <w:r>
              <w:rPr>
                <w:rFonts w:hint="eastAsia" w:cs="Times New Roman"/>
                <w:color w:val="auto"/>
                <w:sz w:val="21"/>
                <w:szCs w:val="21"/>
                <w:highlight w:val="none"/>
                <w:lang w:val="en-US" w:eastAsia="zh-CN"/>
              </w:rPr>
              <w:t>S</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mg/m</w:t>
            </w:r>
            <w:r>
              <w:rPr>
                <w:rFonts w:hint="eastAsia" w:cs="Times New Roman"/>
                <w:color w:val="auto"/>
                <w:sz w:val="21"/>
                <w:szCs w:val="21"/>
                <w:highlight w:val="none"/>
                <w:vertAlign w:val="superscript"/>
                <w:lang w:val="en-US" w:eastAsia="zh-CN"/>
              </w:rPr>
              <w:t>3</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bCs/>
                <w:color w:val="auto"/>
                <w:sz w:val="21"/>
                <w:szCs w:val="21"/>
                <w:highlight w:val="none"/>
                <w:lang w:val="en-US" w:eastAsia="zh-CN"/>
              </w:rPr>
              <w:t>0.003</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846" w:type="dxa"/>
            <w:vMerge w:val="restart"/>
            <w:tcBorders>
              <w:tl2br w:val="nil"/>
              <w:tr2bl w:val="nil"/>
            </w:tcBorders>
            <w:noWrap w:val="0"/>
            <w:vAlign w:val="center"/>
          </w:tcPr>
          <w:p>
            <w:pPr>
              <w:widowControl/>
              <w:spacing w:line="240" w:lineRule="auto"/>
              <w:ind w:left="0" w:leftChars="0" w:firstLine="0" w:firstLineChars="0"/>
              <w:jc w:val="center"/>
              <w:rPr>
                <w:rFonts w:hint="eastAsia" w:cs="Times New Roman"/>
                <w:color w:val="auto"/>
                <w:sz w:val="21"/>
                <w:szCs w:val="21"/>
                <w:highlight w:val="none"/>
                <w:lang w:val="en-US" w:eastAsia="zh-CN"/>
              </w:rPr>
            </w:pPr>
            <w:r>
              <w:rPr>
                <w:rFonts w:hint="eastAsia" w:cs="Times New Roman"/>
                <w:color w:val="auto"/>
                <w:kern w:val="0"/>
                <w:sz w:val="21"/>
                <w:szCs w:val="21"/>
                <w:highlight w:val="none"/>
                <w:lang w:val="en-US" w:eastAsia="zh-CN"/>
              </w:rPr>
              <w:t>小吴庄</w:t>
            </w: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NH</w:t>
            </w:r>
            <w:r>
              <w:rPr>
                <w:rFonts w:hint="eastAsia" w:cs="Times New Roman"/>
                <w:color w:val="auto"/>
                <w:sz w:val="21"/>
                <w:szCs w:val="21"/>
                <w:highlight w:val="none"/>
                <w:vertAlign w:val="subscript"/>
                <w:lang w:val="en-US" w:eastAsia="zh-CN"/>
              </w:rPr>
              <w:t>3</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mg/m</w:t>
            </w:r>
            <w:r>
              <w:rPr>
                <w:rFonts w:hint="eastAsia" w:cs="Times New Roman"/>
                <w:color w:val="auto"/>
                <w:sz w:val="21"/>
                <w:szCs w:val="21"/>
                <w:highlight w:val="none"/>
                <w:vertAlign w:val="superscript"/>
                <w:lang w:val="en-US" w:eastAsia="zh-CN"/>
              </w:rPr>
              <w:t>3</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0.014-0.025</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H</w:t>
            </w:r>
            <w:r>
              <w:rPr>
                <w:rFonts w:hint="eastAsia" w:cs="Times New Roman"/>
                <w:color w:val="auto"/>
                <w:sz w:val="21"/>
                <w:szCs w:val="21"/>
                <w:highlight w:val="none"/>
                <w:vertAlign w:val="subscript"/>
                <w:lang w:val="en-US" w:eastAsia="zh-CN"/>
              </w:rPr>
              <w:t>2</w:t>
            </w:r>
            <w:r>
              <w:rPr>
                <w:rFonts w:hint="eastAsia" w:cs="Times New Roman"/>
                <w:color w:val="auto"/>
                <w:sz w:val="21"/>
                <w:szCs w:val="21"/>
                <w:highlight w:val="none"/>
                <w:lang w:val="en-US" w:eastAsia="zh-CN"/>
              </w:rPr>
              <w:t>S</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mg/m</w:t>
            </w:r>
            <w:r>
              <w:rPr>
                <w:rFonts w:hint="eastAsia" w:cs="Times New Roman"/>
                <w:color w:val="auto"/>
                <w:sz w:val="21"/>
                <w:szCs w:val="21"/>
                <w:highlight w:val="none"/>
                <w:vertAlign w:val="superscript"/>
                <w:lang w:val="en-US" w:eastAsia="zh-CN"/>
              </w:rPr>
              <w:t>3</w:t>
            </w:r>
          </w:p>
        </w:tc>
        <w:tc>
          <w:tcPr>
            <w:tcW w:w="873"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bCs/>
                <w:color w:val="auto"/>
                <w:sz w:val="21"/>
                <w:szCs w:val="21"/>
                <w:highlight w:val="none"/>
                <w:lang w:val="en-US" w:eastAsia="zh-CN"/>
              </w:rPr>
              <w:t>0.003-0.005</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restar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《畜禽养殖产地环境评价规范》表6声环境质量评价指标限值</w:t>
            </w:r>
          </w:p>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（HJ568-2010）中表6声环境质量评价指标限值</w:t>
            </w:r>
          </w:p>
        </w:tc>
        <w:tc>
          <w:tcPr>
            <w:tcW w:w="497" w:type="pct"/>
            <w:vMerge w:val="restar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东场界</w:t>
            </w: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昼间</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dB（A）</w:t>
            </w:r>
          </w:p>
        </w:tc>
        <w:tc>
          <w:tcPr>
            <w:tcW w:w="1486" w:type="dxa"/>
            <w:tcBorders>
              <w:tl2br w:val="nil"/>
              <w:tr2bl w:val="nil"/>
            </w:tcBorders>
            <w:noWrap w:val="0"/>
            <w:vAlign w:val="center"/>
          </w:tcPr>
          <w:p>
            <w:pPr>
              <w:widowControl w:val="0"/>
              <w:spacing w:line="240" w:lineRule="auto"/>
              <w:ind w:firstLine="0" w:firstLineChars="0"/>
              <w:jc w:val="center"/>
              <w:rPr>
                <w:rFonts w:hint="default"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52.7-53.1</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夜间</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dB（A）</w:t>
            </w:r>
          </w:p>
        </w:tc>
        <w:tc>
          <w:tcPr>
            <w:tcW w:w="1486" w:type="dxa"/>
            <w:tcBorders>
              <w:tl2br w:val="nil"/>
              <w:tr2bl w:val="nil"/>
            </w:tcBorders>
            <w:noWrap w:val="0"/>
            <w:vAlign w:val="center"/>
          </w:tcPr>
          <w:p>
            <w:pPr>
              <w:widowControl w:val="0"/>
              <w:spacing w:line="240" w:lineRule="auto"/>
              <w:ind w:firstLine="0" w:firstLineChars="0"/>
              <w:jc w:val="center"/>
              <w:rPr>
                <w:rFonts w:hint="default"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42.7-42.9</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restar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南场界</w:t>
            </w: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昼间</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dB（A）</w:t>
            </w:r>
          </w:p>
        </w:tc>
        <w:tc>
          <w:tcPr>
            <w:tcW w:w="1486" w:type="dxa"/>
            <w:tcBorders>
              <w:tl2br w:val="nil"/>
              <w:tr2bl w:val="nil"/>
            </w:tcBorders>
            <w:noWrap w:val="0"/>
            <w:vAlign w:val="center"/>
          </w:tcPr>
          <w:p>
            <w:pPr>
              <w:widowControl w:val="0"/>
              <w:spacing w:line="240" w:lineRule="auto"/>
              <w:ind w:firstLine="0" w:firstLineChars="0"/>
              <w:jc w:val="center"/>
              <w:rPr>
                <w:rFonts w:hint="default"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52.6-52.8</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夜间</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dB（A）</w:t>
            </w:r>
          </w:p>
        </w:tc>
        <w:tc>
          <w:tcPr>
            <w:tcW w:w="1486" w:type="dxa"/>
            <w:tcBorders>
              <w:tl2br w:val="nil"/>
              <w:tr2bl w:val="nil"/>
            </w:tcBorders>
            <w:noWrap w:val="0"/>
            <w:vAlign w:val="center"/>
          </w:tcPr>
          <w:p>
            <w:pPr>
              <w:widowControl w:val="0"/>
              <w:spacing w:line="240" w:lineRule="auto"/>
              <w:ind w:firstLine="0" w:firstLineChars="0"/>
              <w:jc w:val="center"/>
              <w:rPr>
                <w:rFonts w:hint="default"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42.3-42.5</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restar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西场界</w:t>
            </w: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昼间</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dB（A）</w:t>
            </w:r>
          </w:p>
        </w:tc>
        <w:tc>
          <w:tcPr>
            <w:tcW w:w="1486" w:type="dxa"/>
            <w:tcBorders>
              <w:tl2br w:val="nil"/>
              <w:tr2bl w:val="nil"/>
            </w:tcBorders>
            <w:noWrap w:val="0"/>
            <w:vAlign w:val="center"/>
          </w:tcPr>
          <w:p>
            <w:pPr>
              <w:widowControl w:val="0"/>
              <w:spacing w:line="240" w:lineRule="auto"/>
              <w:ind w:firstLine="0" w:firstLineChars="0"/>
              <w:jc w:val="center"/>
              <w:rPr>
                <w:rFonts w:hint="default"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51.8-52.4</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夜间</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dB（A）</w:t>
            </w:r>
          </w:p>
        </w:tc>
        <w:tc>
          <w:tcPr>
            <w:tcW w:w="1486" w:type="dxa"/>
            <w:tcBorders>
              <w:tl2br w:val="nil"/>
              <w:tr2bl w:val="nil"/>
            </w:tcBorders>
            <w:noWrap w:val="0"/>
            <w:vAlign w:val="center"/>
          </w:tcPr>
          <w:p>
            <w:pPr>
              <w:widowControl w:val="0"/>
              <w:spacing w:line="240" w:lineRule="auto"/>
              <w:ind w:firstLine="0" w:firstLineChars="0"/>
              <w:jc w:val="center"/>
              <w:rPr>
                <w:rFonts w:hint="default"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41.6-42.2</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restar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北场界</w:t>
            </w: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昼间</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dB（A）</w:t>
            </w:r>
          </w:p>
        </w:tc>
        <w:tc>
          <w:tcPr>
            <w:tcW w:w="1486" w:type="dxa"/>
            <w:tcBorders>
              <w:tl2br w:val="nil"/>
              <w:tr2bl w:val="nil"/>
            </w:tcBorders>
            <w:noWrap w:val="0"/>
            <w:vAlign w:val="center"/>
          </w:tcPr>
          <w:p>
            <w:pPr>
              <w:widowControl w:val="0"/>
              <w:spacing w:line="240" w:lineRule="auto"/>
              <w:ind w:firstLine="0" w:firstLineChars="0"/>
              <w:jc w:val="center"/>
              <w:rPr>
                <w:rFonts w:hint="default"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52.8-53.2</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1196"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497" w:type="pct"/>
            <w:vMerge w:val="continue"/>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p>
        </w:tc>
        <w:tc>
          <w:tcPr>
            <w:tcW w:w="940"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夜间</w:t>
            </w:r>
          </w:p>
        </w:tc>
        <w:tc>
          <w:tcPr>
            <w:tcW w:w="777"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dB（A）</w:t>
            </w:r>
          </w:p>
        </w:tc>
        <w:tc>
          <w:tcPr>
            <w:tcW w:w="1486" w:type="dxa"/>
            <w:tcBorders>
              <w:tl2br w:val="nil"/>
              <w:tr2bl w:val="nil"/>
            </w:tcBorders>
            <w:noWrap w:val="0"/>
            <w:vAlign w:val="center"/>
          </w:tcPr>
          <w:p>
            <w:pPr>
              <w:widowControl w:val="0"/>
              <w:spacing w:line="240" w:lineRule="auto"/>
              <w:ind w:firstLine="0" w:firstLineChars="0"/>
              <w:jc w:val="center"/>
              <w:rPr>
                <w:rFonts w:hint="default"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42.5-43.1</w:t>
            </w:r>
          </w:p>
        </w:tc>
        <w:tc>
          <w:tcPr>
            <w:tcW w:w="71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r>
    </w:tbl>
    <w:p>
      <w:pPr>
        <w:ind w:firstLine="480"/>
        <w:rPr>
          <w:rFonts w:hint="eastAsia" w:eastAsia="宋体"/>
          <w:color w:val="auto"/>
          <w:highlight w:val="none"/>
          <w:lang w:eastAsia="zh-CN"/>
        </w:rPr>
        <w:sectPr>
          <w:footerReference r:id="rId11" w:type="default"/>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p>
    <w:p>
      <w:pPr>
        <w:pStyle w:val="3"/>
        <w:spacing w:before="166" w:after="166"/>
        <w:rPr>
          <w:color w:val="auto"/>
          <w:highlight w:val="none"/>
        </w:rPr>
      </w:pPr>
      <w:bookmarkStart w:id="35" w:name="_Toc156"/>
      <w:r>
        <w:rPr>
          <w:rFonts w:hint="eastAsia"/>
          <w:color w:val="auto"/>
          <w:highlight w:val="none"/>
          <w:lang w:val="en-US" w:eastAsia="zh-CN"/>
        </w:rPr>
        <w:t>4</w:t>
      </w:r>
      <w:r>
        <w:rPr>
          <w:color w:val="auto"/>
          <w:highlight w:val="none"/>
        </w:rPr>
        <w:t>环境影响预测</w:t>
      </w:r>
      <w:r>
        <w:rPr>
          <w:rFonts w:hint="eastAsia"/>
          <w:color w:val="auto"/>
          <w:highlight w:val="none"/>
        </w:rPr>
        <w:t>分析</w:t>
      </w:r>
      <w:r>
        <w:rPr>
          <w:color w:val="auto"/>
          <w:highlight w:val="none"/>
        </w:rPr>
        <w:t>与评价</w:t>
      </w:r>
      <w:bookmarkEnd w:id="35"/>
    </w:p>
    <w:p>
      <w:pPr>
        <w:pStyle w:val="4"/>
        <w:spacing w:before="132"/>
        <w:rPr>
          <w:color w:val="auto"/>
          <w:highlight w:val="none"/>
        </w:rPr>
      </w:pPr>
      <w:bookmarkStart w:id="36" w:name="_Toc305"/>
      <w:r>
        <w:rPr>
          <w:rFonts w:hint="eastAsia"/>
          <w:color w:val="auto"/>
          <w:highlight w:val="none"/>
          <w:lang w:val="en-US" w:eastAsia="zh-CN"/>
        </w:rPr>
        <w:t>4</w:t>
      </w:r>
      <w:r>
        <w:rPr>
          <w:rFonts w:hint="eastAsia"/>
          <w:color w:val="auto"/>
          <w:highlight w:val="none"/>
        </w:rPr>
        <w:t>.1施工期环境影响分析</w:t>
      </w:r>
      <w:bookmarkEnd w:id="36"/>
    </w:p>
    <w:p>
      <w:pPr>
        <w:keepNext w:val="0"/>
        <w:keepLines w:val="0"/>
        <w:pageBreakBefore w:val="0"/>
        <w:widowControl/>
        <w:kinsoku/>
        <w:wordWrap/>
        <w:overflowPunct/>
        <w:topLinePunct w:val="0"/>
        <w:autoSpaceDE/>
        <w:autoSpaceDN/>
        <w:bidi w:val="0"/>
        <w:adjustRightInd/>
        <w:snapToGrid/>
        <w:ind w:firstLine="482"/>
        <w:contextualSpacing/>
        <w:rPr>
          <w:rFonts w:cs="Times New Roman"/>
          <w:b/>
          <w:color w:val="auto"/>
          <w:highlight w:val="none"/>
        </w:rPr>
      </w:pPr>
      <w:r>
        <w:rPr>
          <w:rFonts w:cs="Times New Roman"/>
          <w:b/>
          <w:color w:val="auto"/>
          <w:highlight w:val="none"/>
        </w:rPr>
        <w:t>1、水环境</w:t>
      </w:r>
    </w:p>
    <w:p>
      <w:pPr>
        <w:pStyle w:val="108"/>
        <w:keepNext w:val="0"/>
        <w:keepLines w:val="0"/>
        <w:pageBreakBefore w:val="0"/>
        <w:widowControl/>
        <w:kinsoku/>
        <w:wordWrap/>
        <w:overflowPunct/>
        <w:topLinePunct w:val="0"/>
        <w:autoSpaceDE/>
        <w:autoSpaceDN/>
        <w:bidi w:val="0"/>
        <w:adjustRightInd/>
        <w:snapToGrid/>
        <w:spacing w:before="0" w:line="360" w:lineRule="auto"/>
        <w:ind w:firstLine="480"/>
        <w:contextualSpacing/>
        <w:rPr>
          <w:rStyle w:val="110"/>
          <w:color w:val="auto"/>
          <w:highlight w:val="none"/>
          <w:lang w:val="en-US"/>
        </w:rPr>
      </w:pPr>
      <w:r>
        <w:rPr>
          <w:rStyle w:val="110"/>
          <w:rFonts w:hint="eastAsia"/>
          <w:color w:val="auto"/>
          <w:highlight w:val="none"/>
          <w:lang w:val="en-US"/>
        </w:rPr>
        <w:t>项目施工过程中废水主要为施工作业废水和施工人员生活污水。</w:t>
      </w:r>
    </w:p>
    <w:p>
      <w:pPr>
        <w:pStyle w:val="108"/>
        <w:keepNext w:val="0"/>
        <w:keepLines w:val="0"/>
        <w:pageBreakBefore w:val="0"/>
        <w:widowControl/>
        <w:kinsoku/>
        <w:wordWrap/>
        <w:overflowPunct/>
        <w:topLinePunct w:val="0"/>
        <w:autoSpaceDE/>
        <w:autoSpaceDN/>
        <w:bidi w:val="0"/>
        <w:adjustRightInd/>
        <w:snapToGrid/>
        <w:spacing w:before="0" w:line="360" w:lineRule="auto"/>
        <w:ind w:firstLine="480"/>
        <w:contextualSpacing/>
        <w:rPr>
          <w:color w:val="auto"/>
          <w:highlight w:val="none"/>
          <w:lang w:val="en-US"/>
        </w:rPr>
      </w:pPr>
      <w:r>
        <w:rPr>
          <w:rStyle w:val="110"/>
          <w:rFonts w:hint="eastAsia"/>
          <w:color w:val="auto"/>
          <w:highlight w:val="none"/>
          <w:lang w:val="en-US"/>
        </w:rPr>
        <w:t>施工场地内施工人员生活污水水质简单，经处理后回用于施工或洒水抑尘。施工废水主要来自进出施工场地的运输车辆、施工机械和工具冲洗水、混凝土养护排水、桩基施工产生的泥浆废水，以及雨水冲刷施工场地内裸露表土产生的含泥沙废水。施工废水主要污染因子为COD、SS和石油类。项目施工场地设置进出车辆冲洗平台，并在平台周边设置截流沟，将冲洗废水导入沉淀池或沉砂井，施工废水经简易沉淀处理后，回用于施工或洒水降尘。另外，项目应尽量避免雨季进行施工，并在施工场地内开挖临时导流排水沟，在雨水排水口处设置沉淀池，对场地内的雨水径流进行简易沉淀处理，并在排水口设置细格栅，拦截大的块状物；及时进行裸露地表的绿化和硬化。禁止施工期废水直接排入水体。采取以上污染防治措施后，施工废水对环境影响不大</w:t>
      </w:r>
      <w:r>
        <w:rPr>
          <w:rFonts w:hint="eastAsia" w:hAnsi="宋体"/>
          <w:color w:val="auto"/>
          <w:highlight w:val="none"/>
          <w:lang w:val="en-US"/>
        </w:rPr>
        <w:t>。</w:t>
      </w:r>
    </w:p>
    <w:p>
      <w:pPr>
        <w:keepNext w:val="0"/>
        <w:keepLines w:val="0"/>
        <w:pageBreakBefore w:val="0"/>
        <w:widowControl/>
        <w:wordWrap/>
        <w:topLinePunct w:val="0"/>
        <w:autoSpaceDE/>
        <w:autoSpaceDN/>
        <w:bidi w:val="0"/>
        <w:adjustRightInd/>
        <w:snapToGrid/>
        <w:ind w:firstLine="482"/>
        <w:contextualSpacing/>
        <w:rPr>
          <w:rFonts w:cs="Times New Roman"/>
          <w:b/>
          <w:color w:val="auto"/>
          <w:highlight w:val="none"/>
        </w:rPr>
      </w:pPr>
      <w:r>
        <w:rPr>
          <w:rFonts w:cs="Times New Roman"/>
          <w:b/>
          <w:color w:val="auto"/>
          <w:highlight w:val="none"/>
        </w:rPr>
        <w:t>2、大气污染</w:t>
      </w:r>
    </w:p>
    <w:p>
      <w:pPr>
        <w:pStyle w:val="108"/>
        <w:keepNext w:val="0"/>
        <w:keepLines w:val="0"/>
        <w:pageBreakBefore w:val="0"/>
        <w:widowControl/>
        <w:wordWrap/>
        <w:topLinePunct w:val="0"/>
        <w:autoSpaceDE/>
        <w:autoSpaceDN/>
        <w:bidi w:val="0"/>
        <w:adjustRightInd/>
        <w:snapToGrid/>
        <w:spacing w:before="0" w:line="360" w:lineRule="auto"/>
        <w:ind w:firstLine="480"/>
        <w:contextualSpacing/>
        <w:rPr>
          <w:color w:val="auto"/>
          <w:highlight w:val="none"/>
          <w:lang w:val="en-US"/>
        </w:rPr>
      </w:pPr>
      <w:r>
        <w:rPr>
          <w:rStyle w:val="110"/>
          <w:rFonts w:hint="eastAsia"/>
          <w:color w:val="auto"/>
          <w:highlight w:val="none"/>
          <w:lang w:val="en-US"/>
        </w:rPr>
        <w:t>项目施工过程中的气型污染源主要有施工扬尘、施工车辆机械排放的尾气</w:t>
      </w:r>
      <w:r>
        <w:rPr>
          <w:rStyle w:val="110"/>
          <w:color w:val="auto"/>
          <w:highlight w:val="none"/>
          <w:lang w:val="en-US"/>
        </w:rPr>
        <w:t>。</w:t>
      </w:r>
    </w:p>
    <w:p>
      <w:pPr>
        <w:pStyle w:val="10"/>
        <w:keepNext w:val="0"/>
        <w:keepLines w:val="0"/>
        <w:pageBreakBefore w:val="0"/>
        <w:widowControl/>
        <w:kinsoku w:val="0"/>
        <w:wordWrap/>
        <w:overflowPunct w:val="0"/>
        <w:topLinePunct w:val="0"/>
        <w:autoSpaceDE/>
        <w:autoSpaceDN/>
        <w:bidi w:val="0"/>
        <w:adjustRightInd/>
        <w:snapToGrid/>
        <w:spacing w:after="0"/>
        <w:ind w:firstLine="478"/>
        <w:contextualSpacing/>
        <w:rPr>
          <w:b/>
          <w:color w:val="auto"/>
          <w:highlight w:val="none"/>
        </w:rPr>
      </w:pPr>
      <w:r>
        <w:rPr>
          <w:rFonts w:hint="eastAsia"/>
          <w:b/>
          <w:color w:val="auto"/>
          <w:spacing w:val="-1"/>
          <w:highlight w:val="none"/>
        </w:rPr>
        <w:t>（1）</w:t>
      </w:r>
      <w:r>
        <w:rPr>
          <w:b/>
          <w:color w:val="auto"/>
          <w:position w:val="1"/>
          <w:highlight w:val="none"/>
        </w:rPr>
        <w:t>扬</w:t>
      </w:r>
      <w:r>
        <w:rPr>
          <w:b/>
          <w:color w:val="auto"/>
          <w:spacing w:val="2"/>
          <w:position w:val="1"/>
          <w:highlight w:val="none"/>
        </w:rPr>
        <w:t>尘</w:t>
      </w:r>
      <w:r>
        <w:rPr>
          <w:b/>
          <w:color w:val="auto"/>
          <w:position w:val="1"/>
          <w:highlight w:val="none"/>
        </w:rPr>
        <w:t>影响</w:t>
      </w:r>
    </w:p>
    <w:p>
      <w:pPr>
        <w:pStyle w:val="108"/>
        <w:keepNext w:val="0"/>
        <w:keepLines w:val="0"/>
        <w:pageBreakBefore w:val="0"/>
        <w:widowControl/>
        <w:wordWrap/>
        <w:topLinePunct w:val="0"/>
        <w:autoSpaceDE/>
        <w:autoSpaceDN/>
        <w:bidi w:val="0"/>
        <w:adjustRightInd/>
        <w:snapToGrid/>
        <w:spacing w:line="360" w:lineRule="auto"/>
        <w:ind w:firstLine="480"/>
        <w:contextualSpacing/>
        <w:rPr>
          <w:color w:val="auto"/>
          <w:highlight w:val="none"/>
          <w:lang w:val="en-US"/>
        </w:rPr>
      </w:pPr>
      <w:r>
        <w:rPr>
          <w:rFonts w:hint="eastAsia"/>
          <w:color w:val="auto"/>
          <w:highlight w:val="none"/>
          <w:lang w:val="en-US"/>
        </w:rPr>
        <w:t>在气候干燥又有风的情况下，风力作用会产生扬尘。这类扬尘的主要特点是与风速等气象条件有关，也与尘粒本身的沉降速度有关，主要影响范围在扬尘点下风向近距离范围内。</w:t>
      </w:r>
    </w:p>
    <w:p>
      <w:pPr>
        <w:pStyle w:val="108"/>
        <w:keepNext w:val="0"/>
        <w:keepLines w:val="0"/>
        <w:pageBreakBefore w:val="0"/>
        <w:widowControl/>
        <w:wordWrap/>
        <w:topLinePunct w:val="0"/>
        <w:autoSpaceDE/>
        <w:autoSpaceDN/>
        <w:bidi w:val="0"/>
        <w:adjustRightInd/>
        <w:snapToGrid/>
        <w:spacing w:line="360" w:lineRule="auto"/>
        <w:ind w:firstLine="480"/>
        <w:contextualSpacing/>
        <w:rPr>
          <w:rFonts w:hint="eastAsia"/>
          <w:color w:val="auto"/>
          <w:highlight w:val="none"/>
          <w:lang w:val="en-US"/>
        </w:rPr>
      </w:pPr>
      <w:r>
        <w:rPr>
          <w:color w:val="auto"/>
          <w:highlight w:val="none"/>
          <w:lang w:val="en-US"/>
        </w:rPr>
        <w:t>建筑工地扬尘对大气的影响范围主要在工地围栏外100m以内。由于距离的不同，其污染影响程度亦不同。在扬尘点下风向0~50m为重污染带，50~100m为较重污染带，100~200m为轻污染带，200m以外对大气影响甚微。在一般气象条件，施工扬尘的影响范围为其下风向150m内，被影响的地区TSP浓度平均值为0.49mg/m</w:t>
      </w:r>
      <w:r>
        <w:rPr>
          <w:color w:val="auto"/>
          <w:highlight w:val="none"/>
          <w:vertAlign w:val="superscript"/>
          <w:lang w:val="en-US"/>
        </w:rPr>
        <w:t>3</w:t>
      </w:r>
      <w:r>
        <w:rPr>
          <w:color w:val="auto"/>
          <w:highlight w:val="none"/>
          <w:lang w:val="en-US"/>
        </w:rPr>
        <w:t>左右</w:t>
      </w:r>
      <w:r>
        <w:rPr>
          <w:rFonts w:hint="eastAsia"/>
          <w:color w:val="auto"/>
          <w:highlight w:val="none"/>
          <w:lang w:val="en-US"/>
        </w:rPr>
        <w:t xml:space="preserve">。  </w:t>
      </w:r>
    </w:p>
    <w:p>
      <w:pPr>
        <w:pStyle w:val="108"/>
        <w:keepNext w:val="0"/>
        <w:keepLines w:val="0"/>
        <w:pageBreakBefore w:val="0"/>
        <w:widowControl/>
        <w:kinsoku/>
        <w:wordWrap/>
        <w:overflowPunct/>
        <w:topLinePunct w:val="0"/>
        <w:autoSpaceDE/>
        <w:autoSpaceDN/>
        <w:bidi w:val="0"/>
        <w:adjustRightInd/>
        <w:snapToGrid/>
        <w:spacing w:before="0" w:line="360" w:lineRule="auto"/>
        <w:ind w:firstLine="480"/>
        <w:contextualSpacing/>
        <w:rPr>
          <w:color w:val="auto"/>
          <w:highlight w:val="none"/>
          <w:lang w:val="en-US"/>
        </w:rPr>
      </w:pPr>
      <w:r>
        <w:rPr>
          <w:rFonts w:hint="eastAsia"/>
          <w:color w:val="auto"/>
          <w:highlight w:val="none"/>
          <w:lang w:val="en-US"/>
        </w:rPr>
        <w:t xml:space="preserve">扬尘对附近的大气环境和居民带来不利的影响，因此必须采取合理可行的控制措施，尽量减轻污染程度，缩小影响范围。其主要对策有：   </w:t>
      </w:r>
    </w:p>
    <w:p>
      <w:pPr>
        <w:keepNext w:val="0"/>
        <w:keepLines w:val="0"/>
        <w:pageBreakBefore w:val="0"/>
        <w:widowControl/>
        <w:kinsoku/>
        <w:wordWrap/>
        <w:overflowPunct/>
        <w:topLinePunct w:val="0"/>
        <w:autoSpaceDE/>
        <w:autoSpaceDN/>
        <w:bidi w:val="0"/>
        <w:adjustRightInd/>
        <w:snapToGrid/>
        <w:spacing w:line="360" w:lineRule="auto"/>
        <w:ind w:firstLine="480" w:firstLineChars="200"/>
        <w:rPr>
          <w:rFonts w:ascii="Times New Roman" w:hAnsi="Times New Roman"/>
          <w:bCs/>
          <w:color w:val="auto"/>
          <w:sz w:val="24"/>
          <w:highlight w:val="none"/>
        </w:rPr>
      </w:pPr>
      <w:r>
        <w:rPr>
          <w:rFonts w:ascii="Times New Roman" w:hAnsi="Times New Roman"/>
          <w:bCs/>
          <w:color w:val="auto"/>
          <w:sz w:val="24"/>
          <w:highlight w:val="none"/>
        </w:rPr>
        <w:t>（1）对施工现场进行科学管理，砂石料应统一堆放，水泥应设专门库房堆放，减少搬运环节，搬运时轻举轻放，防止包装袋破裂。</w:t>
      </w:r>
    </w:p>
    <w:p>
      <w:pPr>
        <w:keepNext w:val="0"/>
        <w:keepLines w:val="0"/>
        <w:pageBreakBefore w:val="0"/>
        <w:widowControl/>
        <w:kinsoku/>
        <w:wordWrap/>
        <w:overflowPunct/>
        <w:topLinePunct w:val="0"/>
        <w:autoSpaceDE/>
        <w:autoSpaceDN/>
        <w:bidi w:val="0"/>
        <w:adjustRightInd/>
        <w:snapToGrid/>
        <w:spacing w:line="360" w:lineRule="auto"/>
        <w:ind w:firstLine="480" w:firstLineChars="200"/>
        <w:rPr>
          <w:rFonts w:hint="eastAsia" w:ascii="Times New Roman" w:hAnsi="Times New Roman" w:eastAsia="宋体"/>
          <w:bCs/>
          <w:color w:val="auto"/>
          <w:sz w:val="24"/>
          <w:highlight w:val="none"/>
          <w:lang w:eastAsia="zh-CN"/>
        </w:rPr>
      </w:pPr>
      <w:r>
        <w:rPr>
          <w:rFonts w:ascii="Times New Roman" w:hAnsi="Times New Roman"/>
          <w:bCs/>
          <w:color w:val="auto"/>
          <w:sz w:val="24"/>
          <w:highlight w:val="none"/>
        </w:rPr>
        <w:t>（2）开挖时，对作业面适当喷水，使其保持一定的湿度，以减少扬尘量。而且建筑材料和建筑垃圾应及时运走。施工期间做到文明施工，在天气干燥、有风等易产生扬尘的情况下，应对沙石临时堆存处采取清扫、洒水措施，有关试验表明，如果只洒水，可使扬尘量减少70～80%，如果清扫后洒水，抑尘效率能达90%以上；在施工场地每天洒水抑尘作业4～5次，可使扬尘量减少70%左右，扬尘造成的TSP污染距离可缩小到100m范围</w:t>
      </w:r>
      <w:r>
        <w:rPr>
          <w:rFonts w:hint="eastAsia" w:ascii="Times New Roman" w:hAnsi="Times New Roman"/>
          <w:bCs/>
          <w:color w:val="auto"/>
          <w:sz w:val="24"/>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rPr>
          <w:rFonts w:ascii="Times New Roman" w:hAnsi="Times New Roman"/>
          <w:bCs/>
          <w:color w:val="auto"/>
          <w:sz w:val="24"/>
          <w:highlight w:val="none"/>
        </w:rPr>
      </w:pPr>
      <w:r>
        <w:rPr>
          <w:rFonts w:ascii="Times New Roman" w:hAnsi="Times New Roman"/>
          <w:bCs/>
          <w:color w:val="auto"/>
          <w:sz w:val="24"/>
          <w:highlight w:val="none"/>
        </w:rPr>
        <w:t>（3）谨防运输车辆装载过满，并采取遮盖、密闭措施，减少沿途抛洒，并及时清扫散落在路面的泥土和灰尘，冲洗轮胎，定时洒水压尘，减少运输过程中的扬尘。</w:t>
      </w:r>
    </w:p>
    <w:p>
      <w:pPr>
        <w:keepNext w:val="0"/>
        <w:keepLines w:val="0"/>
        <w:pageBreakBefore w:val="0"/>
        <w:widowControl/>
        <w:kinsoku/>
        <w:wordWrap/>
        <w:overflowPunct/>
        <w:topLinePunct w:val="0"/>
        <w:autoSpaceDE/>
        <w:autoSpaceDN/>
        <w:bidi w:val="0"/>
        <w:adjustRightInd/>
        <w:snapToGrid/>
        <w:spacing w:line="360" w:lineRule="auto"/>
        <w:ind w:firstLine="480" w:firstLineChars="200"/>
        <w:rPr>
          <w:rFonts w:ascii="Times New Roman" w:hAnsi="Times New Roman"/>
          <w:bCs/>
          <w:color w:val="auto"/>
          <w:sz w:val="24"/>
          <w:highlight w:val="none"/>
        </w:rPr>
      </w:pPr>
      <w:r>
        <w:rPr>
          <w:rFonts w:ascii="Times New Roman" w:hAnsi="Times New Roman"/>
          <w:bCs/>
          <w:color w:val="auto"/>
          <w:sz w:val="24"/>
          <w:highlight w:val="none"/>
        </w:rPr>
        <w:t>（4）施工现场要围栏或部分围栏，减少施工扬尘扩散范围。</w:t>
      </w:r>
    </w:p>
    <w:p>
      <w:pPr>
        <w:keepNext w:val="0"/>
        <w:keepLines w:val="0"/>
        <w:pageBreakBefore w:val="0"/>
        <w:widowControl/>
        <w:kinsoku/>
        <w:wordWrap/>
        <w:overflowPunct/>
        <w:topLinePunct w:val="0"/>
        <w:autoSpaceDE/>
        <w:autoSpaceDN/>
        <w:bidi w:val="0"/>
        <w:adjustRightInd/>
        <w:snapToGrid/>
        <w:spacing w:line="360" w:lineRule="auto"/>
        <w:ind w:firstLine="480" w:firstLineChars="200"/>
        <w:rPr>
          <w:rFonts w:ascii="Times New Roman" w:hAnsi="Times New Roman"/>
          <w:bCs/>
          <w:color w:val="auto"/>
          <w:sz w:val="24"/>
          <w:highlight w:val="none"/>
        </w:rPr>
      </w:pPr>
      <w:r>
        <w:rPr>
          <w:rFonts w:ascii="Times New Roman" w:hAnsi="Times New Roman"/>
          <w:bCs/>
          <w:color w:val="auto"/>
          <w:sz w:val="24"/>
          <w:highlight w:val="none"/>
        </w:rPr>
        <w:t>（5）风速过大时停止施工，对堆放的砂石等建筑材料进行遮盖处理。</w:t>
      </w:r>
    </w:p>
    <w:p>
      <w:pPr>
        <w:pStyle w:val="108"/>
        <w:keepNext w:val="0"/>
        <w:keepLines w:val="0"/>
        <w:pageBreakBefore w:val="0"/>
        <w:widowControl/>
        <w:kinsoku/>
        <w:wordWrap/>
        <w:overflowPunct/>
        <w:topLinePunct w:val="0"/>
        <w:autoSpaceDE/>
        <w:autoSpaceDN/>
        <w:bidi w:val="0"/>
        <w:adjustRightInd/>
        <w:snapToGrid/>
        <w:spacing w:before="0" w:line="360" w:lineRule="auto"/>
        <w:ind w:firstLine="480"/>
        <w:contextualSpacing/>
        <w:rPr>
          <w:color w:val="auto"/>
          <w:highlight w:val="none"/>
          <w:lang w:val="en-US"/>
        </w:rPr>
      </w:pPr>
      <w:r>
        <w:rPr>
          <w:rFonts w:ascii="Times New Roman" w:hAnsi="Times New Roman"/>
          <w:bCs/>
          <w:color w:val="auto"/>
          <w:sz w:val="24"/>
          <w:highlight w:val="none"/>
        </w:rPr>
        <w:t>通过采取以上防治措施，施工弃土及时回填，砂料、石灰、水泥等堆放时应采用篷布遮盖，运输道路采取洒水等措施后，厂界周围环境空气质量可以满足二级标准要求。</w:t>
      </w:r>
    </w:p>
    <w:p>
      <w:pPr>
        <w:pStyle w:val="10"/>
        <w:keepNext w:val="0"/>
        <w:keepLines w:val="0"/>
        <w:pageBreakBefore w:val="0"/>
        <w:widowControl/>
        <w:kinsoku w:val="0"/>
        <w:wordWrap/>
        <w:overflowPunct w:val="0"/>
        <w:topLinePunct w:val="0"/>
        <w:autoSpaceDE/>
        <w:autoSpaceDN/>
        <w:bidi w:val="0"/>
        <w:adjustRightInd/>
        <w:snapToGrid/>
        <w:spacing w:after="0"/>
        <w:ind w:firstLine="478"/>
        <w:contextualSpacing/>
        <w:textAlignment w:val="auto"/>
        <w:rPr>
          <w:rFonts w:ascii="宋体" w:hAnsi="宋体" w:cs="Times New Roman"/>
          <w:b/>
          <w:color w:val="auto"/>
          <w:spacing w:val="-1"/>
          <w:highlight w:val="none"/>
        </w:rPr>
      </w:pPr>
      <w:r>
        <w:rPr>
          <w:rFonts w:ascii="宋体" w:hAnsi="宋体" w:cs="Times New Roman"/>
          <w:b/>
          <w:color w:val="auto"/>
          <w:spacing w:val="-1"/>
          <w:highlight w:val="none"/>
        </w:rPr>
        <w:t>（</w:t>
      </w:r>
      <w:r>
        <w:rPr>
          <w:rFonts w:hint="default" w:ascii="Times New Roman" w:hAnsi="Times New Roman" w:cs="Times New Roman"/>
          <w:b/>
          <w:color w:val="auto"/>
          <w:spacing w:val="-1"/>
          <w:highlight w:val="none"/>
        </w:rPr>
        <w:t>2</w:t>
      </w:r>
      <w:r>
        <w:rPr>
          <w:rFonts w:ascii="宋体" w:hAnsi="宋体" w:cs="Times New Roman"/>
          <w:b/>
          <w:color w:val="auto"/>
          <w:spacing w:val="-1"/>
          <w:highlight w:val="none"/>
        </w:rPr>
        <w:t>）机械废气</w:t>
      </w:r>
    </w:p>
    <w:p>
      <w:pPr>
        <w:pStyle w:val="108"/>
        <w:keepNext w:val="0"/>
        <w:keepLines w:val="0"/>
        <w:pageBreakBefore w:val="0"/>
        <w:widowControl/>
        <w:wordWrap/>
        <w:topLinePunct w:val="0"/>
        <w:autoSpaceDE/>
        <w:autoSpaceDN/>
        <w:bidi w:val="0"/>
        <w:adjustRightInd/>
        <w:snapToGrid/>
        <w:spacing w:before="0" w:line="360" w:lineRule="auto"/>
        <w:ind w:firstLine="480"/>
        <w:contextualSpacing/>
        <w:rPr>
          <w:rFonts w:hAnsi="宋体"/>
          <w:color w:val="auto"/>
          <w:highlight w:val="none"/>
          <w:lang w:val="en-US"/>
        </w:rPr>
      </w:pPr>
      <w:r>
        <w:rPr>
          <w:rFonts w:hint="eastAsia" w:hAnsi="宋体"/>
          <w:color w:val="auto"/>
          <w:highlight w:val="none"/>
          <w:lang w:val="en-US"/>
        </w:rPr>
        <w:t>施工车辆、打桩机、挖土机等因燃油产生的二氧化硫、氮氧化物、一氧化碳、烃类等污染物会对大气环境造成不良影响。但这种污染源较分散且为流动性，污染物排放量不大，表现为间歇性特征，因此影响是短期和局部的，该项污染源将随着本项目的建成而不再存在。</w:t>
      </w:r>
    </w:p>
    <w:p>
      <w:pPr>
        <w:pStyle w:val="108"/>
        <w:keepNext w:val="0"/>
        <w:keepLines w:val="0"/>
        <w:pageBreakBefore w:val="0"/>
        <w:widowControl/>
        <w:wordWrap/>
        <w:topLinePunct w:val="0"/>
        <w:autoSpaceDE/>
        <w:autoSpaceDN/>
        <w:bidi w:val="0"/>
        <w:adjustRightInd/>
        <w:snapToGrid/>
        <w:spacing w:line="360" w:lineRule="auto"/>
        <w:ind w:firstLine="480"/>
        <w:contextualSpacing/>
        <w:rPr>
          <w:rFonts w:hAnsi="宋体"/>
          <w:color w:val="auto"/>
          <w:highlight w:val="none"/>
          <w:lang w:val="en-US"/>
        </w:rPr>
      </w:pPr>
      <w:r>
        <w:rPr>
          <w:rFonts w:hint="eastAsia" w:hAnsi="宋体"/>
          <w:color w:val="auto"/>
          <w:highlight w:val="none"/>
          <w:lang w:val="en-US"/>
        </w:rPr>
        <w:t>项目区域地势平坦开阔、空气流通性较好，有利于污染物质的扩散，本工程施工机械排放的废气总体上对周边大气环境影响较小。</w:t>
      </w:r>
    </w:p>
    <w:p>
      <w:pPr>
        <w:pStyle w:val="108"/>
        <w:keepNext w:val="0"/>
        <w:keepLines w:val="0"/>
        <w:pageBreakBefore w:val="0"/>
        <w:widowControl/>
        <w:wordWrap/>
        <w:topLinePunct w:val="0"/>
        <w:autoSpaceDE/>
        <w:autoSpaceDN/>
        <w:bidi w:val="0"/>
        <w:adjustRightInd/>
        <w:snapToGrid/>
        <w:spacing w:before="0" w:line="360" w:lineRule="auto"/>
        <w:ind w:firstLine="480"/>
        <w:contextualSpacing/>
        <w:rPr>
          <w:rFonts w:hAnsi="宋体"/>
          <w:color w:val="auto"/>
          <w:highlight w:val="none"/>
          <w:lang w:val="en-US"/>
        </w:rPr>
      </w:pPr>
      <w:r>
        <w:rPr>
          <w:rFonts w:hint="eastAsia" w:hAnsi="宋体"/>
          <w:color w:val="auto"/>
          <w:highlight w:val="none"/>
          <w:lang w:val="en-US"/>
        </w:rPr>
        <w:t>建议施工单位采用尾气排放符合国家规定标准的车辆和施工机械，确保其在运行时尾气达标排放，减少对环境空气的污染。禁止尾气排放不达标的车辆和施工机械运行作业。运输车辆和施工机械发生故障和损坏，必须及时维修或更新，防止设备带病运行，加大废气对环境空气的污染。</w:t>
      </w:r>
    </w:p>
    <w:p>
      <w:pPr>
        <w:pStyle w:val="10"/>
        <w:keepNext w:val="0"/>
        <w:keepLines w:val="0"/>
        <w:pageBreakBefore w:val="0"/>
        <w:widowControl/>
        <w:kinsoku w:val="0"/>
        <w:wordWrap/>
        <w:overflowPunct w:val="0"/>
        <w:topLinePunct w:val="0"/>
        <w:autoSpaceDE/>
        <w:autoSpaceDN/>
        <w:bidi w:val="0"/>
        <w:adjustRightInd/>
        <w:snapToGrid/>
        <w:spacing w:after="0"/>
        <w:ind w:firstLine="478"/>
        <w:contextualSpacing/>
        <w:textAlignment w:val="auto"/>
        <w:rPr>
          <w:rFonts w:hAnsi="宋体" w:cs="Times New Roman"/>
          <w:b/>
          <w:color w:val="auto"/>
          <w:spacing w:val="-1"/>
          <w:highlight w:val="none"/>
        </w:rPr>
      </w:pPr>
      <w:r>
        <w:rPr>
          <w:rFonts w:hint="eastAsia" w:hAnsi="宋体" w:cs="Times New Roman"/>
          <w:b/>
          <w:color w:val="auto"/>
          <w:spacing w:val="-1"/>
          <w:highlight w:val="none"/>
        </w:rPr>
        <w:t>（3）装修废气</w:t>
      </w:r>
    </w:p>
    <w:p>
      <w:pPr>
        <w:pStyle w:val="108"/>
        <w:keepNext w:val="0"/>
        <w:keepLines w:val="0"/>
        <w:pageBreakBefore w:val="0"/>
        <w:widowControl/>
        <w:wordWrap/>
        <w:topLinePunct w:val="0"/>
        <w:autoSpaceDE/>
        <w:autoSpaceDN/>
        <w:bidi w:val="0"/>
        <w:adjustRightInd/>
        <w:snapToGrid/>
        <w:spacing w:before="0" w:line="360" w:lineRule="auto"/>
        <w:ind w:firstLine="480"/>
        <w:contextualSpacing/>
        <w:rPr>
          <w:rFonts w:hAnsi="宋体"/>
          <w:color w:val="auto"/>
          <w:highlight w:val="none"/>
          <w:lang w:val="en-US"/>
        </w:rPr>
      </w:pPr>
      <w:r>
        <w:rPr>
          <w:rFonts w:hint="eastAsia" w:hAnsi="宋体"/>
          <w:color w:val="auto"/>
          <w:highlight w:val="none"/>
          <w:lang w:val="en-US"/>
        </w:rPr>
        <w:t>室内装修过程时产生的大气污染主要有：挥发性有机化合物（TVOC）、甲醛、氨气、粉尘、氡及其衰变子体等，各类建材产生的大气污染物见表</w:t>
      </w:r>
      <w:r>
        <w:rPr>
          <w:rFonts w:hint="eastAsia" w:hAnsi="宋体"/>
          <w:color w:val="auto"/>
          <w:highlight w:val="none"/>
          <w:lang w:val="en-US" w:eastAsia="zh-CN"/>
        </w:rPr>
        <w:t>4</w:t>
      </w:r>
      <w:r>
        <w:rPr>
          <w:rFonts w:hint="eastAsia" w:hAnsi="宋体"/>
          <w:color w:val="auto"/>
          <w:highlight w:val="none"/>
          <w:lang w:val="en-US"/>
        </w:rPr>
        <w:t>.1-1。</w:t>
      </w:r>
    </w:p>
    <w:p>
      <w:pPr>
        <w:pStyle w:val="40"/>
        <w:rPr>
          <w:rFonts w:hint="eastAsia" w:cs="Times New Roman"/>
          <w:color w:val="auto"/>
          <w:highlight w:val="none"/>
          <w:lang w:val="en-US" w:eastAsia="zh-CN"/>
        </w:rPr>
      </w:pPr>
      <w:r>
        <w:rPr>
          <w:rFonts w:hint="eastAsia" w:cs="Times New Roman"/>
          <w:color w:val="auto"/>
          <w:highlight w:val="none"/>
          <w:lang w:val="en-US" w:eastAsia="zh-CN"/>
        </w:rPr>
        <w:t>表4.1-1 室内污染物来源表</w:t>
      </w:r>
    </w:p>
    <w:tbl>
      <w:tblPr>
        <w:tblStyle w:val="24"/>
        <w:tblW w:w="0" w:type="auto"/>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3404"/>
        <w:gridCol w:w="5056"/>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spacing w:line="240" w:lineRule="auto"/>
              <w:ind w:firstLine="0" w:firstLineChars="0"/>
              <w:jc w:val="center"/>
              <w:rPr>
                <w:rFonts w:hAnsi="宋体" w:cs="Times New Roman"/>
                <w:color w:val="auto"/>
                <w:sz w:val="21"/>
                <w:szCs w:val="21"/>
                <w:highlight w:val="none"/>
              </w:rPr>
            </w:pPr>
            <w:r>
              <w:rPr>
                <w:rFonts w:hAnsi="宋体" w:cs="Times New Roman"/>
                <w:color w:val="auto"/>
                <w:sz w:val="21"/>
                <w:szCs w:val="21"/>
                <w:highlight w:val="none"/>
              </w:rPr>
              <w:t>室内污染物</w:t>
            </w:r>
          </w:p>
        </w:tc>
        <w:tc>
          <w:tcPr>
            <w:tcW w:w="0" w:type="auto"/>
            <w:vAlign w:val="center"/>
          </w:tcPr>
          <w:p>
            <w:pPr>
              <w:spacing w:line="240" w:lineRule="auto"/>
              <w:ind w:firstLine="0" w:firstLineChars="0"/>
              <w:jc w:val="center"/>
              <w:rPr>
                <w:rFonts w:hAnsi="宋体" w:cs="Times New Roman"/>
                <w:color w:val="auto"/>
                <w:sz w:val="21"/>
                <w:szCs w:val="21"/>
                <w:highlight w:val="none"/>
              </w:rPr>
            </w:pPr>
            <w:r>
              <w:rPr>
                <w:rFonts w:hAnsi="宋体" w:cs="Times New Roman"/>
                <w:color w:val="auto"/>
                <w:sz w:val="21"/>
                <w:szCs w:val="21"/>
                <w:highlight w:val="none"/>
              </w:rPr>
              <w:t>建材名称</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spacing w:line="240" w:lineRule="auto"/>
              <w:ind w:firstLine="0" w:firstLineChars="0"/>
              <w:jc w:val="center"/>
              <w:rPr>
                <w:rFonts w:hAnsi="宋体" w:cs="Times New Roman"/>
                <w:color w:val="auto"/>
                <w:sz w:val="21"/>
                <w:szCs w:val="21"/>
                <w:highlight w:val="none"/>
              </w:rPr>
            </w:pPr>
            <w:r>
              <w:rPr>
                <w:rFonts w:hAnsi="宋体" w:cs="Times New Roman"/>
                <w:color w:val="auto"/>
                <w:sz w:val="21"/>
                <w:szCs w:val="21"/>
                <w:highlight w:val="none"/>
              </w:rPr>
              <w:t>甲醛</w:t>
            </w:r>
          </w:p>
        </w:tc>
        <w:tc>
          <w:tcPr>
            <w:tcW w:w="0" w:type="auto"/>
            <w:vAlign w:val="center"/>
          </w:tcPr>
          <w:p>
            <w:pPr>
              <w:spacing w:line="240" w:lineRule="auto"/>
              <w:ind w:firstLine="0" w:firstLineChars="0"/>
              <w:jc w:val="center"/>
              <w:rPr>
                <w:rFonts w:hAnsi="宋体" w:cs="Times New Roman"/>
                <w:color w:val="auto"/>
                <w:sz w:val="21"/>
                <w:szCs w:val="21"/>
                <w:highlight w:val="none"/>
              </w:rPr>
            </w:pPr>
            <w:r>
              <w:rPr>
                <w:rFonts w:hAnsi="宋体" w:cs="Times New Roman"/>
                <w:color w:val="auto"/>
                <w:sz w:val="21"/>
                <w:szCs w:val="21"/>
                <w:highlight w:val="none"/>
              </w:rPr>
              <w:t>涂料、复合木材、壁纸、壁布、人造地毯、家具、泡沫塑料、胶粘剂等</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spacing w:line="240" w:lineRule="auto"/>
              <w:ind w:firstLine="0" w:firstLineChars="0"/>
              <w:jc w:val="center"/>
              <w:rPr>
                <w:rFonts w:hAnsi="宋体" w:cs="Times New Roman"/>
                <w:color w:val="auto"/>
                <w:sz w:val="21"/>
                <w:szCs w:val="21"/>
                <w:highlight w:val="none"/>
              </w:rPr>
            </w:pPr>
            <w:r>
              <w:rPr>
                <w:rFonts w:hint="eastAsia" w:hAnsi="宋体" w:cs="Times New Roman"/>
                <w:color w:val="auto"/>
                <w:sz w:val="21"/>
                <w:szCs w:val="21"/>
                <w:highlight w:val="none"/>
              </w:rPr>
              <w:t>T</w:t>
            </w:r>
            <w:r>
              <w:rPr>
                <w:rFonts w:hAnsi="宋体" w:cs="Times New Roman"/>
                <w:color w:val="auto"/>
                <w:sz w:val="21"/>
                <w:szCs w:val="21"/>
                <w:highlight w:val="none"/>
              </w:rPr>
              <w:t>VOC（沸点50～250℃）化合物（使用中缓慢释放）</w:t>
            </w:r>
          </w:p>
        </w:tc>
        <w:tc>
          <w:tcPr>
            <w:tcW w:w="0" w:type="auto"/>
            <w:vAlign w:val="center"/>
          </w:tcPr>
          <w:p>
            <w:pPr>
              <w:spacing w:line="240" w:lineRule="auto"/>
              <w:ind w:firstLine="0" w:firstLineChars="0"/>
              <w:jc w:val="center"/>
              <w:rPr>
                <w:rFonts w:hAnsi="宋体" w:cs="Times New Roman"/>
                <w:color w:val="auto"/>
                <w:sz w:val="21"/>
                <w:szCs w:val="21"/>
                <w:highlight w:val="none"/>
              </w:rPr>
            </w:pPr>
            <w:r>
              <w:rPr>
                <w:rFonts w:hAnsi="宋体" w:cs="Times New Roman"/>
                <w:color w:val="auto"/>
                <w:sz w:val="21"/>
                <w:szCs w:val="21"/>
                <w:highlight w:val="none"/>
              </w:rPr>
              <w:t>涂料中的溶剂、稀释剂、胶粘剂、防水材料、壁纸和其它装饰品</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spacing w:line="240" w:lineRule="auto"/>
              <w:ind w:firstLine="0" w:firstLineChars="0"/>
              <w:jc w:val="center"/>
              <w:rPr>
                <w:rFonts w:hAnsi="宋体" w:cs="Times New Roman"/>
                <w:color w:val="auto"/>
                <w:sz w:val="21"/>
                <w:szCs w:val="21"/>
                <w:highlight w:val="none"/>
              </w:rPr>
            </w:pPr>
            <w:r>
              <w:rPr>
                <w:rFonts w:hAnsi="宋体" w:cs="Times New Roman"/>
                <w:color w:val="auto"/>
                <w:sz w:val="21"/>
                <w:szCs w:val="21"/>
                <w:highlight w:val="none"/>
              </w:rPr>
              <w:t>氨</w:t>
            </w:r>
          </w:p>
        </w:tc>
        <w:tc>
          <w:tcPr>
            <w:tcW w:w="0" w:type="auto"/>
            <w:vAlign w:val="center"/>
          </w:tcPr>
          <w:p>
            <w:pPr>
              <w:spacing w:line="240" w:lineRule="auto"/>
              <w:ind w:firstLine="0" w:firstLineChars="0"/>
              <w:jc w:val="center"/>
              <w:rPr>
                <w:rFonts w:hAnsi="宋体" w:cs="Times New Roman"/>
                <w:color w:val="auto"/>
                <w:sz w:val="21"/>
                <w:szCs w:val="21"/>
                <w:highlight w:val="none"/>
              </w:rPr>
            </w:pPr>
            <w:r>
              <w:rPr>
                <w:rFonts w:hAnsi="宋体" w:cs="Times New Roman"/>
                <w:color w:val="auto"/>
                <w:sz w:val="21"/>
                <w:szCs w:val="21"/>
                <w:highlight w:val="none"/>
              </w:rPr>
              <w:t>高碱混凝土膨胀剂－水泥加快强度剂（含尿素混凝土防冻剂）</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spacing w:line="240" w:lineRule="auto"/>
              <w:ind w:firstLine="0" w:firstLineChars="0"/>
              <w:jc w:val="center"/>
              <w:rPr>
                <w:rFonts w:hAnsi="宋体" w:cs="Times New Roman"/>
                <w:color w:val="auto"/>
                <w:sz w:val="21"/>
                <w:szCs w:val="21"/>
                <w:highlight w:val="none"/>
              </w:rPr>
            </w:pPr>
            <w:r>
              <w:rPr>
                <w:rFonts w:hAnsi="宋体" w:cs="Times New Roman"/>
                <w:color w:val="auto"/>
                <w:sz w:val="21"/>
                <w:szCs w:val="21"/>
                <w:highlight w:val="none"/>
              </w:rPr>
              <w:t>氡</w:t>
            </w:r>
          </w:p>
        </w:tc>
        <w:tc>
          <w:tcPr>
            <w:tcW w:w="0" w:type="auto"/>
            <w:vAlign w:val="center"/>
          </w:tcPr>
          <w:p>
            <w:pPr>
              <w:spacing w:line="240" w:lineRule="auto"/>
              <w:ind w:firstLine="0" w:firstLineChars="0"/>
              <w:jc w:val="center"/>
              <w:rPr>
                <w:rFonts w:hAnsi="宋体" w:cs="Times New Roman"/>
                <w:color w:val="auto"/>
                <w:sz w:val="21"/>
                <w:szCs w:val="21"/>
                <w:highlight w:val="none"/>
              </w:rPr>
            </w:pPr>
            <w:r>
              <w:rPr>
                <w:rFonts w:hAnsi="宋体" w:cs="Times New Roman"/>
                <w:color w:val="auto"/>
                <w:sz w:val="21"/>
                <w:szCs w:val="21"/>
                <w:highlight w:val="none"/>
              </w:rPr>
              <w:t>土壤岩石中铀、镭衰变产物，花岗岩、砖石、水泥、 建筑陶瓷、卫生洁具</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pPr>
              <w:spacing w:line="240" w:lineRule="auto"/>
              <w:ind w:firstLine="0" w:firstLineChars="0"/>
              <w:jc w:val="center"/>
              <w:rPr>
                <w:rFonts w:hAnsi="宋体" w:cs="Times New Roman"/>
                <w:color w:val="auto"/>
                <w:sz w:val="21"/>
                <w:szCs w:val="21"/>
                <w:highlight w:val="none"/>
              </w:rPr>
            </w:pPr>
            <w:r>
              <w:rPr>
                <w:rFonts w:hAnsi="宋体" w:cs="Times New Roman"/>
                <w:color w:val="auto"/>
                <w:sz w:val="21"/>
                <w:szCs w:val="21"/>
                <w:highlight w:val="none"/>
              </w:rPr>
              <w:t>石棉</w:t>
            </w:r>
          </w:p>
        </w:tc>
        <w:tc>
          <w:tcPr>
            <w:tcW w:w="0" w:type="auto"/>
            <w:vAlign w:val="center"/>
          </w:tcPr>
          <w:p>
            <w:pPr>
              <w:spacing w:line="240" w:lineRule="auto"/>
              <w:ind w:firstLine="0" w:firstLineChars="0"/>
              <w:jc w:val="center"/>
              <w:rPr>
                <w:rFonts w:hAnsi="宋体" w:cs="Times New Roman"/>
                <w:color w:val="auto"/>
                <w:sz w:val="21"/>
                <w:szCs w:val="21"/>
                <w:highlight w:val="none"/>
              </w:rPr>
            </w:pPr>
            <w:r>
              <w:rPr>
                <w:rFonts w:hAnsi="宋体" w:cs="Times New Roman"/>
                <w:color w:val="auto"/>
                <w:sz w:val="21"/>
                <w:szCs w:val="21"/>
                <w:highlight w:val="none"/>
              </w:rPr>
              <w:t>天花板、地面及内、外墙壁采用的含有石棉的防火、隔音、绝热及装璜材料，石棉水泥</w:t>
            </w:r>
          </w:p>
        </w:tc>
      </w:tr>
    </w:tbl>
    <w:p>
      <w:pPr>
        <w:pStyle w:val="108"/>
        <w:spacing w:before="0" w:line="360" w:lineRule="auto"/>
        <w:ind w:firstLine="480"/>
        <w:contextualSpacing/>
        <w:rPr>
          <w:color w:val="auto"/>
          <w:highlight w:val="none"/>
          <w:lang w:val="en-US"/>
        </w:rPr>
      </w:pPr>
      <w:r>
        <w:rPr>
          <w:rFonts w:hint="eastAsia" w:hAnsi="宋体"/>
          <w:color w:val="auto"/>
          <w:highlight w:val="none"/>
          <w:lang w:val="en-US"/>
        </w:rPr>
        <w:t>如不采取必要的室内空气污染物控制措施，使其达到室内空气环境的相关标准，必将对人体健康造成极大的危害。长期生活在这样的室内环境中，会因污染物的不断累积而诱发各种疾病，危害人体健康。因此，在选择装修材料和涂料的时候应选用对环境污染小、有益于人体健康的建筑材料产品，室内装修材料的选取应按照国家质检总局颁布的《室内装修材料10项有害物质限量》规定进行，严格控制室内甲醛、苯系物等挥发性有机物，使各项污染指标达到《室内空气质量标准》（GB/T18883-2002）的限值要求</w:t>
      </w:r>
      <w:r>
        <w:rPr>
          <w:rFonts w:hint="eastAsia" w:hAnsi="宋体"/>
          <w:b/>
          <w:color w:val="auto"/>
          <w:spacing w:val="-1"/>
          <w:szCs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2"/>
        <w:contextualSpacing/>
        <w:textAlignment w:val="auto"/>
        <w:rPr>
          <w:rFonts w:cs="Times New Roman"/>
          <w:b/>
          <w:color w:val="auto"/>
          <w:highlight w:val="none"/>
        </w:rPr>
      </w:pPr>
      <w:r>
        <w:rPr>
          <w:rFonts w:cs="Times New Roman"/>
          <w:b/>
          <w:color w:val="auto"/>
          <w:highlight w:val="none"/>
        </w:rPr>
        <w:t>3</w:t>
      </w:r>
      <w:r>
        <w:rPr>
          <w:rFonts w:hAnsi="宋体" w:cs="Times New Roman"/>
          <w:b/>
          <w:color w:val="auto"/>
          <w:highlight w:val="none"/>
        </w:rPr>
        <w:t>、噪声</w:t>
      </w:r>
    </w:p>
    <w:p>
      <w:pPr>
        <w:pStyle w:val="108"/>
        <w:keepNext w:val="0"/>
        <w:keepLines w:val="0"/>
        <w:pageBreakBefore w:val="0"/>
        <w:widowControl/>
        <w:kinsoku/>
        <w:wordWrap/>
        <w:overflowPunct/>
        <w:topLinePunct w:val="0"/>
        <w:autoSpaceDE/>
        <w:autoSpaceDN/>
        <w:bidi w:val="0"/>
        <w:adjustRightInd/>
        <w:snapToGrid/>
        <w:spacing w:before="0" w:line="360" w:lineRule="auto"/>
        <w:ind w:firstLine="480"/>
        <w:textAlignment w:val="baseline"/>
        <w:rPr>
          <w:color w:val="auto"/>
          <w:highlight w:val="none"/>
          <w:lang w:val="en-US"/>
        </w:rPr>
      </w:pPr>
      <w:r>
        <w:rPr>
          <w:rFonts w:hAnsi="宋体"/>
          <w:color w:val="auto"/>
          <w:highlight w:val="none"/>
          <w:lang w:val="en-US"/>
        </w:rPr>
        <w:t>施工期的噪声主要为机械设备噪声和施工车辆噪声。机械设备噪声主要由施工机械造成，如挖土机械、打桩机、装载机等，多为点声源。</w:t>
      </w:r>
    </w:p>
    <w:p>
      <w:pPr>
        <w:pStyle w:val="108"/>
        <w:keepNext w:val="0"/>
        <w:keepLines w:val="0"/>
        <w:pageBreakBefore w:val="0"/>
        <w:widowControl/>
        <w:kinsoku/>
        <w:wordWrap/>
        <w:overflowPunct/>
        <w:topLinePunct w:val="0"/>
        <w:autoSpaceDE/>
        <w:autoSpaceDN/>
        <w:bidi w:val="0"/>
        <w:adjustRightInd/>
        <w:snapToGrid/>
        <w:spacing w:before="0" w:line="360" w:lineRule="auto"/>
        <w:ind w:firstLine="480"/>
        <w:textAlignment w:val="baseline"/>
        <w:rPr>
          <w:color w:val="auto"/>
          <w:highlight w:val="none"/>
          <w:lang w:val="en-US"/>
        </w:rPr>
      </w:pPr>
      <w:r>
        <w:rPr>
          <w:rFonts w:hAnsi="宋体"/>
          <w:color w:val="auto"/>
          <w:highlight w:val="none"/>
          <w:lang w:val="en-US"/>
        </w:rPr>
        <w:t>由于施工期噪声源数量多，且具有移动性和源强的不稳定性，其对周围环境的影响会发生不断的变化。本评价主要通过计算施工期噪声的衰减范围和程度，并结合噪声标准限值和周围敏感点分布情况来说明项目施工期噪声对周围环境的影响。</w:t>
      </w:r>
    </w:p>
    <w:p>
      <w:pPr>
        <w:pStyle w:val="108"/>
        <w:keepNext w:val="0"/>
        <w:keepLines w:val="0"/>
        <w:pageBreakBefore w:val="0"/>
        <w:widowControl/>
        <w:kinsoku/>
        <w:wordWrap/>
        <w:overflowPunct/>
        <w:topLinePunct w:val="0"/>
        <w:autoSpaceDE/>
        <w:autoSpaceDN/>
        <w:bidi w:val="0"/>
        <w:adjustRightInd/>
        <w:snapToGrid/>
        <w:spacing w:before="0" w:line="360" w:lineRule="auto"/>
        <w:ind w:firstLine="480"/>
        <w:textAlignment w:val="baseline"/>
        <w:rPr>
          <w:color w:val="auto"/>
          <w:highlight w:val="none"/>
          <w:lang w:val="en-US"/>
        </w:rPr>
      </w:pPr>
      <w:r>
        <w:rPr>
          <w:rFonts w:hAnsi="宋体"/>
          <w:color w:val="auto"/>
          <w:highlight w:val="none"/>
          <w:lang w:val="en-US"/>
        </w:rPr>
        <w:t>施工机械噪声的衰减情况采用以下公式进行模拟计算，公式如下：</w:t>
      </w:r>
    </w:p>
    <w:p>
      <w:pPr>
        <w:adjustRightInd w:val="0"/>
        <w:spacing w:line="520" w:lineRule="exact"/>
        <w:ind w:firstLine="1680" w:firstLineChars="700"/>
        <w:rPr>
          <w:rFonts w:cs="Times New Roman"/>
          <w:color w:val="auto"/>
          <w:highlight w:val="none"/>
        </w:rPr>
      </w:pPr>
      <w:r>
        <w:rPr>
          <w:rFonts w:cs="Times New Roman"/>
          <w:color w:val="auto"/>
          <w:highlight w:val="none"/>
        </w:rPr>
        <w:t>L</w:t>
      </w:r>
      <w:r>
        <w:rPr>
          <w:rFonts w:cs="Times New Roman"/>
          <w:color w:val="auto"/>
          <w:highlight w:val="none"/>
          <w:vertAlign w:val="subscript"/>
        </w:rPr>
        <w:t>r2</w:t>
      </w:r>
      <w:r>
        <w:rPr>
          <w:rFonts w:cs="Times New Roman"/>
          <w:color w:val="auto"/>
          <w:highlight w:val="none"/>
        </w:rPr>
        <w:t>=L</w:t>
      </w:r>
      <w:r>
        <w:rPr>
          <w:rFonts w:cs="Times New Roman"/>
          <w:color w:val="auto"/>
          <w:highlight w:val="none"/>
          <w:vertAlign w:val="subscript"/>
        </w:rPr>
        <w:t>r1</w:t>
      </w:r>
      <w:r>
        <w:rPr>
          <w:rFonts w:hAnsi="宋体" w:cs="Times New Roman"/>
          <w:color w:val="auto"/>
          <w:highlight w:val="none"/>
        </w:rPr>
        <w:t>－</w:t>
      </w:r>
      <w:r>
        <w:rPr>
          <w:rFonts w:cs="Times New Roman"/>
          <w:color w:val="auto"/>
          <w:highlight w:val="none"/>
        </w:rPr>
        <w:t>20Lg</w:t>
      </w:r>
      <w:r>
        <w:rPr>
          <w:rFonts w:hAnsi="宋体" w:cs="Times New Roman"/>
          <w:color w:val="auto"/>
          <w:highlight w:val="none"/>
        </w:rPr>
        <w:t>（</w:t>
      </w:r>
      <w:r>
        <w:rPr>
          <w:rFonts w:cs="Times New Roman"/>
          <w:color w:val="auto"/>
          <w:highlight w:val="none"/>
        </w:rPr>
        <w:t>r</w:t>
      </w:r>
      <w:r>
        <w:rPr>
          <w:rFonts w:cs="Times New Roman"/>
          <w:color w:val="auto"/>
          <w:highlight w:val="none"/>
          <w:vertAlign w:val="subscript"/>
        </w:rPr>
        <w:t>2</w:t>
      </w:r>
      <w:r>
        <w:rPr>
          <w:rFonts w:cs="Times New Roman"/>
          <w:color w:val="auto"/>
          <w:highlight w:val="none"/>
        </w:rPr>
        <w:t>/r</w:t>
      </w:r>
      <w:r>
        <w:rPr>
          <w:rFonts w:cs="Times New Roman"/>
          <w:color w:val="auto"/>
          <w:highlight w:val="none"/>
          <w:vertAlign w:val="subscript"/>
        </w:rPr>
        <w:t>1</w:t>
      </w:r>
      <w:r>
        <w:rPr>
          <w:rFonts w:hAnsi="宋体" w:cs="Times New Roman"/>
          <w:color w:val="auto"/>
          <w:highlight w:val="none"/>
        </w:rPr>
        <w:t>）</w:t>
      </w:r>
      <w:r>
        <w:rPr>
          <w:rFonts w:cs="Times New Roman"/>
          <w:color w:val="auto"/>
          <w:highlight w:val="none"/>
        </w:rPr>
        <w:t xml:space="preserve"> </w:t>
      </w:r>
    </w:p>
    <w:p>
      <w:pPr>
        <w:adjustRightInd w:val="0"/>
        <w:spacing w:line="520" w:lineRule="exact"/>
        <w:ind w:firstLine="480"/>
        <w:rPr>
          <w:rFonts w:cs="Times New Roman"/>
          <w:color w:val="auto"/>
          <w:highlight w:val="none"/>
        </w:rPr>
      </w:pPr>
      <w:r>
        <w:rPr>
          <w:rFonts w:hAnsi="宋体" w:cs="Times New Roman"/>
          <w:color w:val="auto"/>
          <w:highlight w:val="none"/>
          <w:lang w:val="zh-CN"/>
        </w:rPr>
        <w:t>式中</w:t>
      </w:r>
      <w:r>
        <w:rPr>
          <w:rFonts w:hAnsi="宋体" w:cs="Times New Roman"/>
          <w:color w:val="auto"/>
          <w:highlight w:val="none"/>
        </w:rPr>
        <w:t>：</w:t>
      </w:r>
      <w:r>
        <w:rPr>
          <w:rFonts w:cs="Times New Roman"/>
          <w:color w:val="auto"/>
          <w:highlight w:val="none"/>
        </w:rPr>
        <w:t>L</w:t>
      </w:r>
      <w:r>
        <w:rPr>
          <w:rFonts w:cs="Times New Roman"/>
          <w:color w:val="auto"/>
          <w:highlight w:val="none"/>
          <w:vertAlign w:val="subscript"/>
        </w:rPr>
        <w:t>r2</w:t>
      </w:r>
      <w:r>
        <w:rPr>
          <w:rFonts w:cs="Times New Roman"/>
          <w:color w:val="auto"/>
          <w:highlight w:val="none"/>
        </w:rPr>
        <w:t>——</w:t>
      </w:r>
      <w:r>
        <w:rPr>
          <w:rFonts w:hAnsi="宋体" w:cs="Times New Roman"/>
          <w:color w:val="auto"/>
          <w:highlight w:val="none"/>
          <w:lang w:val="zh-CN"/>
        </w:rPr>
        <w:t>距离声源</w:t>
      </w:r>
      <w:r>
        <w:rPr>
          <w:rFonts w:cs="Times New Roman"/>
          <w:color w:val="auto"/>
          <w:highlight w:val="none"/>
        </w:rPr>
        <w:t>r</w:t>
      </w:r>
      <w:r>
        <w:rPr>
          <w:rFonts w:cs="Times New Roman"/>
          <w:color w:val="auto"/>
          <w:highlight w:val="none"/>
          <w:vertAlign w:val="subscript"/>
        </w:rPr>
        <w:t>2</w:t>
      </w:r>
      <w:r>
        <w:rPr>
          <w:rFonts w:hAnsi="宋体" w:cs="Times New Roman"/>
          <w:color w:val="auto"/>
          <w:highlight w:val="none"/>
          <w:lang w:val="zh-CN"/>
        </w:rPr>
        <w:t>米处的施工噪声预测值</w:t>
      </w:r>
      <w:r>
        <w:rPr>
          <w:rFonts w:hAnsi="宋体" w:cs="Times New Roman"/>
          <w:color w:val="auto"/>
          <w:highlight w:val="none"/>
        </w:rPr>
        <w:t>，</w:t>
      </w:r>
      <w:r>
        <w:rPr>
          <w:rFonts w:cs="Times New Roman"/>
          <w:color w:val="auto"/>
          <w:highlight w:val="none"/>
        </w:rPr>
        <w:t>dB(A)</w:t>
      </w:r>
      <w:r>
        <w:rPr>
          <w:rFonts w:hAnsi="宋体" w:cs="Times New Roman"/>
          <w:color w:val="auto"/>
          <w:highlight w:val="none"/>
        </w:rPr>
        <w:t>；</w:t>
      </w:r>
    </w:p>
    <w:p>
      <w:pPr>
        <w:adjustRightInd w:val="0"/>
        <w:spacing w:line="520" w:lineRule="exact"/>
        <w:ind w:firstLine="480"/>
        <w:rPr>
          <w:rFonts w:cs="Times New Roman"/>
          <w:color w:val="auto"/>
          <w:highlight w:val="none"/>
        </w:rPr>
      </w:pPr>
      <w:r>
        <w:rPr>
          <w:rFonts w:cs="Times New Roman"/>
          <w:color w:val="auto"/>
          <w:highlight w:val="none"/>
        </w:rPr>
        <w:t xml:space="preserve">      L</w:t>
      </w:r>
      <w:r>
        <w:rPr>
          <w:rFonts w:cs="Times New Roman"/>
          <w:color w:val="auto"/>
          <w:highlight w:val="none"/>
          <w:vertAlign w:val="subscript"/>
        </w:rPr>
        <w:t>r1</w:t>
      </w:r>
      <w:r>
        <w:rPr>
          <w:rFonts w:cs="Times New Roman"/>
          <w:color w:val="auto"/>
          <w:highlight w:val="none"/>
        </w:rPr>
        <w:t>——</w:t>
      </w:r>
      <w:r>
        <w:rPr>
          <w:rFonts w:hAnsi="宋体" w:cs="Times New Roman"/>
          <w:color w:val="auto"/>
          <w:highlight w:val="none"/>
          <w:lang w:val="zh-CN"/>
        </w:rPr>
        <w:t>距离声源参考距离</w:t>
      </w:r>
      <w:r>
        <w:rPr>
          <w:rFonts w:cs="Times New Roman"/>
          <w:color w:val="auto"/>
          <w:highlight w:val="none"/>
        </w:rPr>
        <w:t>r</w:t>
      </w:r>
      <w:r>
        <w:rPr>
          <w:rFonts w:cs="Times New Roman"/>
          <w:color w:val="auto"/>
          <w:highlight w:val="none"/>
          <w:vertAlign w:val="subscript"/>
        </w:rPr>
        <w:t>1</w:t>
      </w:r>
      <w:r>
        <w:rPr>
          <w:rFonts w:hAnsi="宋体" w:cs="Times New Roman"/>
          <w:color w:val="auto"/>
          <w:highlight w:val="none"/>
          <w:lang w:val="zh-CN"/>
        </w:rPr>
        <w:t>米处的参考声级</w:t>
      </w:r>
      <w:r>
        <w:rPr>
          <w:rFonts w:hAnsi="宋体" w:cs="Times New Roman"/>
          <w:color w:val="auto"/>
          <w:highlight w:val="none"/>
        </w:rPr>
        <w:t>，</w:t>
      </w:r>
      <w:r>
        <w:rPr>
          <w:rFonts w:cs="Times New Roman"/>
          <w:color w:val="auto"/>
          <w:highlight w:val="none"/>
        </w:rPr>
        <w:t>dB(A)</w:t>
      </w:r>
      <w:r>
        <w:rPr>
          <w:rFonts w:hAnsi="宋体" w:cs="Times New Roman"/>
          <w:color w:val="auto"/>
          <w:highlight w:val="none"/>
        </w:rPr>
        <w:t>；</w:t>
      </w:r>
    </w:p>
    <w:p>
      <w:pPr>
        <w:adjustRightInd w:val="0"/>
        <w:spacing w:line="520" w:lineRule="exact"/>
        <w:ind w:firstLine="480"/>
        <w:rPr>
          <w:rFonts w:cs="Times New Roman"/>
          <w:color w:val="auto"/>
          <w:highlight w:val="none"/>
          <w:lang w:val="zh-CN"/>
        </w:rPr>
      </w:pPr>
      <w:r>
        <w:rPr>
          <w:rFonts w:cs="Times New Roman"/>
          <w:color w:val="auto"/>
          <w:highlight w:val="none"/>
        </w:rPr>
        <w:t xml:space="preserve">      </w:t>
      </w:r>
      <w:r>
        <w:rPr>
          <w:rFonts w:cs="Times New Roman"/>
          <w:color w:val="auto"/>
          <w:highlight w:val="none"/>
          <w:lang w:val="zh-CN"/>
        </w:rPr>
        <w:t>r</w:t>
      </w:r>
      <w:r>
        <w:rPr>
          <w:rFonts w:cs="Times New Roman"/>
          <w:color w:val="auto"/>
          <w:highlight w:val="none"/>
          <w:vertAlign w:val="subscript"/>
          <w:lang w:val="zh-CN"/>
        </w:rPr>
        <w:t>1</w:t>
      </w:r>
      <w:r>
        <w:rPr>
          <w:rFonts w:cs="Times New Roman"/>
          <w:color w:val="auto"/>
          <w:highlight w:val="none"/>
          <w:lang w:val="zh-CN"/>
        </w:rPr>
        <w:t>——</w:t>
      </w:r>
      <w:r>
        <w:rPr>
          <w:rFonts w:hAnsi="宋体" w:cs="Times New Roman"/>
          <w:color w:val="auto"/>
          <w:highlight w:val="none"/>
          <w:lang w:val="zh-CN"/>
        </w:rPr>
        <w:t>测定源强时的距离，</w:t>
      </w:r>
      <w:r>
        <w:rPr>
          <w:rFonts w:cs="Times New Roman"/>
          <w:color w:val="auto"/>
          <w:highlight w:val="none"/>
          <w:lang w:val="zh-CN"/>
        </w:rPr>
        <w:t>m</w:t>
      </w:r>
      <w:r>
        <w:rPr>
          <w:rFonts w:hAnsi="宋体" w:cs="Times New Roman"/>
          <w:color w:val="auto"/>
          <w:highlight w:val="none"/>
          <w:lang w:val="zh-CN"/>
        </w:rPr>
        <w:t>；</w:t>
      </w:r>
    </w:p>
    <w:p>
      <w:pPr>
        <w:adjustRightInd w:val="0"/>
        <w:spacing w:line="520" w:lineRule="exact"/>
        <w:ind w:firstLine="480"/>
        <w:rPr>
          <w:rFonts w:cs="Times New Roman"/>
          <w:color w:val="auto"/>
          <w:highlight w:val="none"/>
          <w:lang w:val="zh-CN"/>
        </w:rPr>
      </w:pPr>
      <w:r>
        <w:rPr>
          <w:rFonts w:cs="Times New Roman"/>
          <w:color w:val="auto"/>
          <w:highlight w:val="none"/>
          <w:lang w:val="zh-CN"/>
        </w:rPr>
        <w:t xml:space="preserve">      r</w:t>
      </w:r>
      <w:r>
        <w:rPr>
          <w:rFonts w:cs="Times New Roman"/>
          <w:color w:val="auto"/>
          <w:highlight w:val="none"/>
          <w:vertAlign w:val="subscript"/>
          <w:lang w:val="zh-CN"/>
        </w:rPr>
        <w:t>2</w:t>
      </w:r>
      <w:r>
        <w:rPr>
          <w:rFonts w:cs="Times New Roman"/>
          <w:color w:val="auto"/>
          <w:highlight w:val="none"/>
          <w:lang w:val="zh-CN"/>
        </w:rPr>
        <w:t>——</w:t>
      </w:r>
      <w:r>
        <w:rPr>
          <w:rFonts w:hAnsi="宋体" w:cs="Times New Roman"/>
          <w:color w:val="auto"/>
          <w:highlight w:val="none"/>
          <w:lang w:val="zh-CN"/>
        </w:rPr>
        <w:t>源强至预测点的距离，</w:t>
      </w:r>
      <w:r>
        <w:rPr>
          <w:rFonts w:cs="Times New Roman"/>
          <w:color w:val="auto"/>
          <w:highlight w:val="none"/>
          <w:lang w:val="zh-CN"/>
        </w:rPr>
        <w:t>m</w:t>
      </w:r>
      <w:r>
        <w:rPr>
          <w:rFonts w:hAnsi="宋体" w:cs="Times New Roman"/>
          <w:color w:val="auto"/>
          <w:highlight w:val="none"/>
          <w:lang w:val="zh-CN"/>
        </w:rPr>
        <w:t>；</w:t>
      </w:r>
    </w:p>
    <w:p>
      <w:pPr>
        <w:adjustRightInd w:val="0"/>
        <w:spacing w:line="520" w:lineRule="exact"/>
        <w:ind w:firstLine="480"/>
        <w:rPr>
          <w:rFonts w:cs="Times New Roman"/>
          <w:color w:val="auto"/>
          <w:highlight w:val="none"/>
          <w:lang w:val="zh-CN"/>
        </w:rPr>
      </w:pPr>
      <w:r>
        <w:rPr>
          <w:rFonts w:cs="Times New Roman"/>
          <w:color w:val="auto"/>
          <w:highlight w:val="none"/>
          <w:lang w:val="zh-CN"/>
        </w:rPr>
        <w:t xml:space="preserve">      </w:t>
      </w:r>
      <w:r>
        <w:rPr>
          <w:rFonts w:hAnsi="宋体" w:cs="Times New Roman"/>
          <w:color w:val="auto"/>
          <w:highlight w:val="none"/>
          <w:lang w:val="zh-CN"/>
        </w:rPr>
        <w:t>多个声压级的平均值用下式计算：</w:t>
      </w:r>
    </w:p>
    <w:p>
      <w:pPr>
        <w:spacing w:line="520" w:lineRule="exact"/>
        <w:ind w:firstLine="1200" w:firstLineChars="500"/>
        <w:rPr>
          <w:rFonts w:cs="Times New Roman"/>
          <w:color w:val="auto"/>
          <w:highlight w:val="none"/>
        </w:rPr>
      </w:pPr>
      <w:r>
        <w:rPr>
          <w:rFonts w:cs="Times New Roman"/>
          <w:color w:val="auto"/>
          <w:highlight w:val="none"/>
        </w:rPr>
        <w:t>L</w:t>
      </w:r>
      <w:r>
        <w:rPr>
          <w:rFonts w:cs="Times New Roman"/>
          <w:color w:val="auto"/>
          <w:highlight w:val="none"/>
          <w:vertAlign w:val="subscript"/>
        </w:rPr>
        <w:t>p</w:t>
      </w:r>
      <w:r>
        <w:rPr>
          <w:rFonts w:cs="Times New Roman"/>
          <w:color w:val="auto"/>
          <w:highlight w:val="none"/>
        </w:rPr>
        <w:t>=10Lg</w:t>
      </w:r>
      <w:r>
        <w:rPr>
          <w:rFonts w:hAnsi="宋体" w:cs="Times New Roman"/>
          <w:color w:val="auto"/>
          <w:highlight w:val="none"/>
        </w:rPr>
        <w:t>（</w:t>
      </w:r>
      <w:r>
        <w:rPr>
          <w:rFonts w:cs="Times New Roman"/>
          <w:color w:val="auto"/>
          <w:highlight w:val="none"/>
        </w:rPr>
        <w:t>10</w:t>
      </w:r>
      <w:r>
        <w:rPr>
          <w:rFonts w:cs="Times New Roman"/>
          <w:color w:val="auto"/>
          <w:highlight w:val="none"/>
          <w:vertAlign w:val="superscript"/>
        </w:rPr>
        <w:t>0.1Lp1</w:t>
      </w:r>
      <w:r>
        <w:rPr>
          <w:rFonts w:cs="Times New Roman"/>
          <w:color w:val="auto"/>
          <w:highlight w:val="none"/>
        </w:rPr>
        <w:t>+10</w:t>
      </w:r>
      <w:r>
        <w:rPr>
          <w:rFonts w:cs="Times New Roman"/>
          <w:color w:val="auto"/>
          <w:highlight w:val="none"/>
          <w:vertAlign w:val="superscript"/>
        </w:rPr>
        <w:t>0.1Lp2</w:t>
      </w:r>
      <w:r>
        <w:rPr>
          <w:rFonts w:cs="Times New Roman"/>
          <w:color w:val="auto"/>
          <w:highlight w:val="none"/>
        </w:rPr>
        <w:t>+……+10</w:t>
      </w:r>
      <w:r>
        <w:rPr>
          <w:rFonts w:cs="Times New Roman"/>
          <w:color w:val="auto"/>
          <w:highlight w:val="none"/>
          <w:vertAlign w:val="superscript"/>
        </w:rPr>
        <w:t>0.1LpN</w:t>
      </w:r>
      <w:r>
        <w:rPr>
          <w:rFonts w:hAnsi="宋体" w:cs="Times New Roman"/>
          <w:color w:val="auto"/>
          <w:highlight w:val="none"/>
        </w:rPr>
        <w:t>）－</w:t>
      </w:r>
      <w:r>
        <w:rPr>
          <w:rFonts w:cs="Times New Roman"/>
          <w:color w:val="auto"/>
          <w:highlight w:val="none"/>
        </w:rPr>
        <w:t xml:space="preserve">10LgN  </w:t>
      </w:r>
    </w:p>
    <w:p>
      <w:pPr>
        <w:adjustRightInd w:val="0"/>
        <w:spacing w:line="520" w:lineRule="exact"/>
        <w:ind w:firstLine="472"/>
        <w:rPr>
          <w:rFonts w:cs="Times New Roman"/>
          <w:color w:val="auto"/>
          <w:highlight w:val="none"/>
          <w:lang w:val="zh-CN"/>
        </w:rPr>
      </w:pPr>
      <w:r>
        <w:rPr>
          <w:rFonts w:hAnsi="宋体" w:cs="Times New Roman"/>
          <w:color w:val="auto"/>
          <w:spacing w:val="-2"/>
          <w:highlight w:val="none"/>
        </w:rPr>
        <w:t>根据以上噪声预测模式</w:t>
      </w:r>
      <w:r>
        <w:rPr>
          <w:rFonts w:hAnsi="宋体" w:cs="Times New Roman"/>
          <w:color w:val="auto"/>
          <w:highlight w:val="none"/>
          <w:lang w:val="zh-CN"/>
        </w:rPr>
        <w:t>，各主要施工机械噪声随距离衰减情况见表</w:t>
      </w:r>
      <w:r>
        <w:rPr>
          <w:rFonts w:hint="eastAsia" w:hAnsi="宋体" w:cs="Times New Roman"/>
          <w:color w:val="auto"/>
          <w:highlight w:val="none"/>
          <w:lang w:val="en-US" w:eastAsia="zh-CN"/>
        </w:rPr>
        <w:t>4</w:t>
      </w:r>
      <w:r>
        <w:rPr>
          <w:rFonts w:hint="eastAsia" w:hAnsi="宋体" w:cs="Times New Roman"/>
          <w:color w:val="auto"/>
          <w:highlight w:val="none"/>
          <w:lang w:val="zh-CN"/>
        </w:rPr>
        <w:t>.1-2</w:t>
      </w:r>
      <w:r>
        <w:rPr>
          <w:rFonts w:hAnsi="宋体" w:cs="Times New Roman"/>
          <w:color w:val="auto"/>
          <w:highlight w:val="none"/>
          <w:lang w:val="zh-CN"/>
        </w:rPr>
        <w:t>。</w:t>
      </w:r>
    </w:p>
    <w:p>
      <w:pPr>
        <w:pStyle w:val="40"/>
        <w:rPr>
          <w:rFonts w:hint="eastAsia" w:cs="Times New Roman"/>
          <w:color w:val="auto"/>
          <w:highlight w:val="none"/>
          <w:lang w:val="en-US" w:eastAsia="zh-CN"/>
        </w:rPr>
      </w:pPr>
      <w:r>
        <w:rPr>
          <w:rFonts w:hint="eastAsia" w:cs="Times New Roman"/>
          <w:color w:val="auto"/>
          <w:highlight w:val="none"/>
          <w:lang w:val="en-US" w:eastAsia="zh-CN"/>
        </w:rPr>
        <w:t>表4.1-2 主要施工机械噪声随距离衰减情况</w:t>
      </w:r>
    </w:p>
    <w:tbl>
      <w:tblPr>
        <w:tblStyle w:val="24"/>
        <w:tblW w:w="4998"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1650"/>
        <w:gridCol w:w="801"/>
        <w:gridCol w:w="751"/>
        <w:gridCol w:w="538"/>
        <w:gridCol w:w="738"/>
        <w:gridCol w:w="538"/>
        <w:gridCol w:w="672"/>
        <w:gridCol w:w="738"/>
        <w:gridCol w:w="672"/>
        <w:gridCol w:w="672"/>
        <w:gridCol w:w="687"/>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Merge w:val="restart"/>
            <w:shd w:val="clear" w:color="auto" w:fill="FFFFFF"/>
            <w:vAlign w:val="center"/>
          </w:tcPr>
          <w:p>
            <w:pPr>
              <w:spacing w:line="240" w:lineRule="auto"/>
              <w:ind w:firstLine="0" w:firstLineChars="0"/>
              <w:jc w:val="center"/>
              <w:rPr>
                <w:rFonts w:cs="Times New Roman"/>
                <w:b w:val="0"/>
                <w:bCs w:val="0"/>
                <w:color w:val="auto"/>
                <w:sz w:val="21"/>
                <w:szCs w:val="21"/>
                <w:highlight w:val="none"/>
              </w:rPr>
            </w:pPr>
            <w:r>
              <w:rPr>
                <w:rFonts w:hAnsi="宋体" w:cs="Times New Roman"/>
                <w:b w:val="0"/>
                <w:bCs w:val="0"/>
                <w:color w:val="auto"/>
                <w:sz w:val="21"/>
                <w:szCs w:val="21"/>
                <w:highlight w:val="none"/>
              </w:rPr>
              <w:t>声源</w:t>
            </w:r>
          </w:p>
        </w:tc>
        <w:tc>
          <w:tcPr>
            <w:tcW w:w="474" w:type="pct"/>
            <w:vMerge w:val="restart"/>
            <w:shd w:val="clear" w:color="auto" w:fill="FFFFFF"/>
            <w:vAlign w:val="center"/>
          </w:tcPr>
          <w:p>
            <w:pPr>
              <w:spacing w:line="240" w:lineRule="auto"/>
              <w:ind w:firstLine="0" w:firstLineChars="0"/>
              <w:jc w:val="center"/>
              <w:rPr>
                <w:rFonts w:cs="Times New Roman"/>
                <w:b w:val="0"/>
                <w:bCs w:val="0"/>
                <w:color w:val="auto"/>
                <w:sz w:val="21"/>
                <w:szCs w:val="21"/>
                <w:highlight w:val="none"/>
              </w:rPr>
            </w:pPr>
            <w:r>
              <w:rPr>
                <w:rFonts w:hAnsi="宋体" w:cs="Times New Roman"/>
                <w:b w:val="0"/>
                <w:bCs w:val="0"/>
                <w:color w:val="auto"/>
                <w:sz w:val="21"/>
                <w:szCs w:val="21"/>
                <w:highlight w:val="none"/>
              </w:rPr>
              <w:t>声级</w:t>
            </w:r>
          </w:p>
        </w:tc>
        <w:tc>
          <w:tcPr>
            <w:tcW w:w="3549" w:type="pct"/>
            <w:gridSpan w:val="9"/>
            <w:shd w:val="clear" w:color="auto" w:fill="FFFFFF"/>
            <w:vAlign w:val="center"/>
          </w:tcPr>
          <w:p>
            <w:pPr>
              <w:spacing w:line="240" w:lineRule="auto"/>
              <w:ind w:firstLine="0" w:firstLineChars="0"/>
              <w:jc w:val="center"/>
              <w:rPr>
                <w:rFonts w:hAnsi="宋体" w:cs="Times New Roman"/>
                <w:b w:val="0"/>
                <w:bCs w:val="0"/>
                <w:color w:val="auto"/>
                <w:sz w:val="21"/>
                <w:szCs w:val="21"/>
                <w:highlight w:val="none"/>
              </w:rPr>
            </w:pPr>
            <w:r>
              <w:rPr>
                <w:rFonts w:hAnsi="宋体" w:cs="Times New Roman"/>
                <w:b w:val="0"/>
                <w:bCs w:val="0"/>
                <w:color w:val="auto"/>
                <w:sz w:val="21"/>
                <w:szCs w:val="21"/>
                <w:highlight w:val="none"/>
              </w:rPr>
              <w:t>距离</w:t>
            </w:r>
            <w:r>
              <w:rPr>
                <w:rFonts w:cs="Times New Roman"/>
                <w:b w:val="0"/>
                <w:bCs w:val="0"/>
                <w:color w:val="auto"/>
                <w:sz w:val="21"/>
                <w:szCs w:val="21"/>
                <w:highlight w:val="none"/>
              </w:rPr>
              <w:t>(m)</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Merge w:val="continue"/>
            <w:shd w:val="clear" w:color="auto" w:fill="FFFFFF"/>
            <w:vAlign w:val="center"/>
          </w:tcPr>
          <w:p>
            <w:pPr>
              <w:spacing w:line="240" w:lineRule="auto"/>
              <w:ind w:firstLine="0" w:firstLineChars="0"/>
              <w:jc w:val="center"/>
              <w:rPr>
                <w:rFonts w:cs="Times New Roman"/>
                <w:b w:val="0"/>
                <w:bCs w:val="0"/>
                <w:color w:val="auto"/>
                <w:sz w:val="21"/>
                <w:szCs w:val="21"/>
                <w:highlight w:val="none"/>
              </w:rPr>
            </w:pPr>
          </w:p>
        </w:tc>
        <w:tc>
          <w:tcPr>
            <w:tcW w:w="474" w:type="pct"/>
            <w:vMerge w:val="continue"/>
            <w:shd w:val="clear" w:color="auto" w:fill="FFFFFF"/>
            <w:vAlign w:val="center"/>
          </w:tcPr>
          <w:p>
            <w:pPr>
              <w:spacing w:line="240" w:lineRule="auto"/>
              <w:ind w:firstLine="0" w:firstLineChars="0"/>
              <w:jc w:val="center"/>
              <w:rPr>
                <w:rFonts w:cs="Times New Roman"/>
                <w:b w:val="0"/>
                <w:bCs w:val="0"/>
                <w:color w:val="auto"/>
                <w:sz w:val="21"/>
                <w:szCs w:val="21"/>
                <w:highlight w:val="none"/>
              </w:rPr>
            </w:pPr>
          </w:p>
        </w:tc>
        <w:tc>
          <w:tcPr>
            <w:tcW w:w="444" w:type="pct"/>
            <w:shd w:val="clear" w:color="auto" w:fill="FFFFFF"/>
            <w:vAlign w:val="center"/>
          </w:tcPr>
          <w:p>
            <w:pPr>
              <w:spacing w:line="240" w:lineRule="auto"/>
              <w:ind w:firstLine="0" w:firstLineChars="0"/>
              <w:jc w:val="center"/>
              <w:rPr>
                <w:rFonts w:cs="Times New Roman"/>
                <w:b w:val="0"/>
                <w:bCs w:val="0"/>
                <w:color w:val="auto"/>
                <w:sz w:val="21"/>
                <w:szCs w:val="21"/>
                <w:highlight w:val="none"/>
              </w:rPr>
            </w:pPr>
            <w:r>
              <w:rPr>
                <w:rFonts w:cs="Times New Roman"/>
                <w:b w:val="0"/>
                <w:bCs w:val="0"/>
                <w:color w:val="auto"/>
                <w:sz w:val="21"/>
                <w:szCs w:val="21"/>
                <w:highlight w:val="none"/>
              </w:rPr>
              <w:t>10</w:t>
            </w:r>
          </w:p>
        </w:tc>
        <w:tc>
          <w:tcPr>
            <w:tcW w:w="318" w:type="pct"/>
            <w:shd w:val="clear" w:color="auto" w:fill="FFFFFF"/>
            <w:vAlign w:val="center"/>
          </w:tcPr>
          <w:p>
            <w:pPr>
              <w:spacing w:line="240" w:lineRule="auto"/>
              <w:ind w:firstLine="0" w:firstLineChars="0"/>
              <w:jc w:val="center"/>
              <w:rPr>
                <w:rFonts w:cs="Times New Roman"/>
                <w:b w:val="0"/>
                <w:bCs w:val="0"/>
                <w:color w:val="auto"/>
                <w:sz w:val="21"/>
                <w:szCs w:val="21"/>
                <w:highlight w:val="none"/>
              </w:rPr>
            </w:pPr>
            <w:r>
              <w:rPr>
                <w:rFonts w:cs="Times New Roman"/>
                <w:b w:val="0"/>
                <w:bCs w:val="0"/>
                <w:color w:val="auto"/>
                <w:sz w:val="21"/>
                <w:szCs w:val="21"/>
                <w:highlight w:val="none"/>
              </w:rPr>
              <w:t>20</w:t>
            </w:r>
          </w:p>
        </w:tc>
        <w:tc>
          <w:tcPr>
            <w:tcW w:w="436" w:type="pct"/>
            <w:shd w:val="clear" w:color="auto" w:fill="FFFFFF"/>
            <w:vAlign w:val="center"/>
          </w:tcPr>
          <w:p>
            <w:pPr>
              <w:spacing w:line="240" w:lineRule="auto"/>
              <w:ind w:firstLine="0" w:firstLineChars="0"/>
              <w:jc w:val="center"/>
              <w:rPr>
                <w:rFonts w:cs="Times New Roman"/>
                <w:b w:val="0"/>
                <w:bCs w:val="0"/>
                <w:color w:val="auto"/>
                <w:sz w:val="21"/>
                <w:szCs w:val="21"/>
                <w:highlight w:val="none"/>
              </w:rPr>
            </w:pPr>
            <w:r>
              <w:rPr>
                <w:rFonts w:cs="Times New Roman"/>
                <w:b w:val="0"/>
                <w:bCs w:val="0"/>
                <w:color w:val="auto"/>
                <w:sz w:val="21"/>
                <w:szCs w:val="21"/>
                <w:highlight w:val="none"/>
              </w:rPr>
              <w:t>30</w:t>
            </w:r>
          </w:p>
        </w:tc>
        <w:tc>
          <w:tcPr>
            <w:tcW w:w="318" w:type="pct"/>
            <w:shd w:val="clear" w:color="auto" w:fill="FFFFFF"/>
            <w:vAlign w:val="center"/>
          </w:tcPr>
          <w:p>
            <w:pPr>
              <w:spacing w:line="240" w:lineRule="auto"/>
              <w:ind w:firstLine="0" w:firstLineChars="0"/>
              <w:jc w:val="center"/>
              <w:rPr>
                <w:rFonts w:cs="Times New Roman"/>
                <w:b w:val="0"/>
                <w:bCs w:val="0"/>
                <w:color w:val="auto"/>
                <w:sz w:val="21"/>
                <w:szCs w:val="21"/>
                <w:highlight w:val="none"/>
              </w:rPr>
            </w:pPr>
            <w:r>
              <w:rPr>
                <w:rFonts w:cs="Times New Roman"/>
                <w:b w:val="0"/>
                <w:bCs w:val="0"/>
                <w:color w:val="auto"/>
                <w:sz w:val="21"/>
                <w:szCs w:val="21"/>
                <w:highlight w:val="none"/>
              </w:rPr>
              <w:t>50</w:t>
            </w:r>
          </w:p>
        </w:tc>
        <w:tc>
          <w:tcPr>
            <w:tcW w:w="397" w:type="pct"/>
            <w:shd w:val="clear" w:color="auto" w:fill="FFFFFF"/>
            <w:vAlign w:val="center"/>
          </w:tcPr>
          <w:p>
            <w:pPr>
              <w:spacing w:line="240" w:lineRule="auto"/>
              <w:ind w:firstLine="0" w:firstLineChars="0"/>
              <w:jc w:val="center"/>
              <w:rPr>
                <w:rFonts w:cs="Times New Roman"/>
                <w:b w:val="0"/>
                <w:bCs w:val="0"/>
                <w:color w:val="auto"/>
                <w:sz w:val="21"/>
                <w:szCs w:val="21"/>
                <w:highlight w:val="none"/>
              </w:rPr>
            </w:pPr>
            <w:r>
              <w:rPr>
                <w:rFonts w:cs="Times New Roman"/>
                <w:b w:val="0"/>
                <w:bCs w:val="0"/>
                <w:color w:val="auto"/>
                <w:sz w:val="21"/>
                <w:szCs w:val="21"/>
                <w:highlight w:val="none"/>
              </w:rPr>
              <w:t>100</w:t>
            </w:r>
          </w:p>
        </w:tc>
        <w:tc>
          <w:tcPr>
            <w:tcW w:w="436" w:type="pct"/>
            <w:shd w:val="clear" w:color="auto" w:fill="FFFFFF"/>
            <w:vAlign w:val="center"/>
          </w:tcPr>
          <w:p>
            <w:pPr>
              <w:spacing w:line="240" w:lineRule="auto"/>
              <w:ind w:firstLine="0" w:firstLineChars="0"/>
              <w:jc w:val="center"/>
              <w:rPr>
                <w:rFonts w:cs="Times New Roman"/>
                <w:b w:val="0"/>
                <w:bCs w:val="0"/>
                <w:color w:val="auto"/>
                <w:sz w:val="21"/>
                <w:szCs w:val="21"/>
                <w:highlight w:val="none"/>
              </w:rPr>
            </w:pPr>
            <w:r>
              <w:rPr>
                <w:rFonts w:cs="Times New Roman"/>
                <w:b w:val="0"/>
                <w:bCs w:val="0"/>
                <w:color w:val="auto"/>
                <w:sz w:val="21"/>
                <w:szCs w:val="21"/>
                <w:highlight w:val="none"/>
              </w:rPr>
              <w:t>150</w:t>
            </w:r>
          </w:p>
        </w:tc>
        <w:tc>
          <w:tcPr>
            <w:tcW w:w="397" w:type="pct"/>
            <w:shd w:val="clear" w:color="auto" w:fill="FFFFFF"/>
            <w:vAlign w:val="center"/>
          </w:tcPr>
          <w:p>
            <w:pPr>
              <w:spacing w:line="240" w:lineRule="auto"/>
              <w:ind w:firstLine="0" w:firstLineChars="0"/>
              <w:jc w:val="center"/>
              <w:rPr>
                <w:rFonts w:cs="Times New Roman"/>
                <w:b w:val="0"/>
                <w:bCs w:val="0"/>
                <w:color w:val="auto"/>
                <w:sz w:val="21"/>
                <w:szCs w:val="21"/>
                <w:highlight w:val="none"/>
              </w:rPr>
            </w:pPr>
            <w:r>
              <w:rPr>
                <w:rFonts w:cs="Times New Roman"/>
                <w:b w:val="0"/>
                <w:bCs w:val="0"/>
                <w:color w:val="auto"/>
                <w:sz w:val="21"/>
                <w:szCs w:val="21"/>
                <w:highlight w:val="none"/>
              </w:rPr>
              <w:t>200</w:t>
            </w:r>
          </w:p>
        </w:tc>
        <w:tc>
          <w:tcPr>
            <w:tcW w:w="397" w:type="pct"/>
            <w:shd w:val="clear" w:color="auto" w:fill="FFFFFF"/>
            <w:vAlign w:val="center"/>
          </w:tcPr>
          <w:p>
            <w:pPr>
              <w:spacing w:line="240" w:lineRule="auto"/>
              <w:ind w:firstLine="0" w:firstLineChars="0"/>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300</w:t>
            </w:r>
          </w:p>
        </w:tc>
        <w:tc>
          <w:tcPr>
            <w:tcW w:w="404" w:type="pct"/>
            <w:shd w:val="clear" w:color="auto" w:fill="FFFFFF"/>
            <w:vAlign w:val="center"/>
          </w:tcPr>
          <w:p>
            <w:pPr>
              <w:spacing w:line="240" w:lineRule="auto"/>
              <w:ind w:firstLine="0" w:firstLineChars="0"/>
              <w:jc w:val="center"/>
              <w:rPr>
                <w:rFonts w:hint="default"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400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color w:val="auto"/>
                <w:sz w:val="21"/>
                <w:szCs w:val="21"/>
                <w:highlight w:val="none"/>
              </w:rPr>
            </w:pPr>
            <w:r>
              <w:rPr>
                <w:rFonts w:hAnsi="宋体" w:cs="Times New Roman"/>
                <w:color w:val="auto"/>
                <w:sz w:val="21"/>
                <w:szCs w:val="21"/>
                <w:highlight w:val="none"/>
              </w:rPr>
              <w:t>推土机</w:t>
            </w:r>
          </w:p>
        </w:tc>
        <w:tc>
          <w:tcPr>
            <w:tcW w:w="474"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86</w:t>
            </w:r>
          </w:p>
        </w:tc>
        <w:tc>
          <w:tcPr>
            <w:tcW w:w="444"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80</w:t>
            </w:r>
          </w:p>
        </w:tc>
        <w:tc>
          <w:tcPr>
            <w:tcW w:w="318"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74</w:t>
            </w:r>
          </w:p>
        </w:tc>
        <w:tc>
          <w:tcPr>
            <w:tcW w:w="436"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70.4</w:t>
            </w:r>
          </w:p>
        </w:tc>
        <w:tc>
          <w:tcPr>
            <w:tcW w:w="318"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66</w:t>
            </w:r>
          </w:p>
        </w:tc>
        <w:tc>
          <w:tcPr>
            <w:tcW w:w="397"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60</w:t>
            </w:r>
          </w:p>
        </w:tc>
        <w:tc>
          <w:tcPr>
            <w:tcW w:w="436"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56.5</w:t>
            </w:r>
          </w:p>
        </w:tc>
        <w:tc>
          <w:tcPr>
            <w:tcW w:w="397"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54</w:t>
            </w:r>
          </w:p>
        </w:tc>
        <w:tc>
          <w:tcPr>
            <w:tcW w:w="397"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404"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43</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color w:val="auto"/>
                <w:sz w:val="21"/>
                <w:szCs w:val="21"/>
                <w:highlight w:val="none"/>
              </w:rPr>
            </w:pPr>
            <w:r>
              <w:rPr>
                <w:rFonts w:hAnsi="宋体" w:cs="Times New Roman"/>
                <w:color w:val="auto"/>
                <w:sz w:val="21"/>
                <w:szCs w:val="21"/>
                <w:highlight w:val="none"/>
              </w:rPr>
              <w:t>装载机</w:t>
            </w:r>
          </w:p>
        </w:tc>
        <w:tc>
          <w:tcPr>
            <w:tcW w:w="474"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90</w:t>
            </w:r>
          </w:p>
        </w:tc>
        <w:tc>
          <w:tcPr>
            <w:tcW w:w="444"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84</w:t>
            </w:r>
          </w:p>
        </w:tc>
        <w:tc>
          <w:tcPr>
            <w:tcW w:w="318"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78</w:t>
            </w:r>
          </w:p>
        </w:tc>
        <w:tc>
          <w:tcPr>
            <w:tcW w:w="436"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74.4</w:t>
            </w:r>
          </w:p>
        </w:tc>
        <w:tc>
          <w:tcPr>
            <w:tcW w:w="318"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70</w:t>
            </w:r>
          </w:p>
        </w:tc>
        <w:tc>
          <w:tcPr>
            <w:tcW w:w="397"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64</w:t>
            </w:r>
          </w:p>
        </w:tc>
        <w:tc>
          <w:tcPr>
            <w:tcW w:w="436"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60.5</w:t>
            </w:r>
          </w:p>
        </w:tc>
        <w:tc>
          <w:tcPr>
            <w:tcW w:w="397"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58</w:t>
            </w:r>
          </w:p>
        </w:tc>
        <w:tc>
          <w:tcPr>
            <w:tcW w:w="397"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54</w:t>
            </w:r>
          </w:p>
        </w:tc>
        <w:tc>
          <w:tcPr>
            <w:tcW w:w="404"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47</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color w:val="auto"/>
                <w:sz w:val="21"/>
                <w:szCs w:val="21"/>
                <w:highlight w:val="none"/>
              </w:rPr>
            </w:pPr>
            <w:r>
              <w:rPr>
                <w:rFonts w:hAnsi="宋体" w:cs="Times New Roman"/>
                <w:color w:val="auto"/>
                <w:sz w:val="21"/>
                <w:szCs w:val="21"/>
                <w:highlight w:val="none"/>
              </w:rPr>
              <w:t>挖掘机</w:t>
            </w:r>
          </w:p>
        </w:tc>
        <w:tc>
          <w:tcPr>
            <w:tcW w:w="474"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84</w:t>
            </w:r>
          </w:p>
        </w:tc>
        <w:tc>
          <w:tcPr>
            <w:tcW w:w="444"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78</w:t>
            </w:r>
          </w:p>
        </w:tc>
        <w:tc>
          <w:tcPr>
            <w:tcW w:w="318"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72</w:t>
            </w:r>
          </w:p>
        </w:tc>
        <w:tc>
          <w:tcPr>
            <w:tcW w:w="436"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68</w:t>
            </w:r>
          </w:p>
        </w:tc>
        <w:tc>
          <w:tcPr>
            <w:tcW w:w="318"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64</w:t>
            </w:r>
          </w:p>
        </w:tc>
        <w:tc>
          <w:tcPr>
            <w:tcW w:w="397"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58</w:t>
            </w:r>
          </w:p>
        </w:tc>
        <w:tc>
          <w:tcPr>
            <w:tcW w:w="436"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54.5</w:t>
            </w:r>
          </w:p>
        </w:tc>
        <w:tc>
          <w:tcPr>
            <w:tcW w:w="397"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52</w:t>
            </w:r>
          </w:p>
        </w:tc>
        <w:tc>
          <w:tcPr>
            <w:tcW w:w="397"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47</w:t>
            </w:r>
          </w:p>
        </w:tc>
        <w:tc>
          <w:tcPr>
            <w:tcW w:w="404"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color w:val="auto"/>
                <w:sz w:val="21"/>
                <w:szCs w:val="21"/>
                <w:highlight w:val="none"/>
              </w:rPr>
            </w:pPr>
            <w:r>
              <w:rPr>
                <w:rFonts w:hAnsi="宋体" w:cs="Times New Roman"/>
                <w:color w:val="auto"/>
                <w:sz w:val="21"/>
                <w:szCs w:val="21"/>
                <w:highlight w:val="none"/>
              </w:rPr>
              <w:t>翻斗机</w:t>
            </w:r>
          </w:p>
        </w:tc>
        <w:tc>
          <w:tcPr>
            <w:tcW w:w="474"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85</w:t>
            </w:r>
          </w:p>
        </w:tc>
        <w:tc>
          <w:tcPr>
            <w:tcW w:w="444"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79</w:t>
            </w:r>
          </w:p>
        </w:tc>
        <w:tc>
          <w:tcPr>
            <w:tcW w:w="318"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73</w:t>
            </w:r>
          </w:p>
        </w:tc>
        <w:tc>
          <w:tcPr>
            <w:tcW w:w="436"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69.4</w:t>
            </w:r>
          </w:p>
        </w:tc>
        <w:tc>
          <w:tcPr>
            <w:tcW w:w="318"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65</w:t>
            </w:r>
          </w:p>
        </w:tc>
        <w:tc>
          <w:tcPr>
            <w:tcW w:w="397"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59</w:t>
            </w:r>
          </w:p>
        </w:tc>
        <w:tc>
          <w:tcPr>
            <w:tcW w:w="436"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55.5</w:t>
            </w:r>
          </w:p>
        </w:tc>
        <w:tc>
          <w:tcPr>
            <w:tcW w:w="397"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53</w:t>
            </w:r>
          </w:p>
        </w:tc>
        <w:tc>
          <w:tcPr>
            <w:tcW w:w="397"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w:t>
            </w:r>
          </w:p>
        </w:tc>
        <w:tc>
          <w:tcPr>
            <w:tcW w:w="404"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color w:val="auto"/>
                <w:sz w:val="21"/>
                <w:szCs w:val="21"/>
                <w:highlight w:val="none"/>
              </w:rPr>
            </w:pPr>
            <w:r>
              <w:rPr>
                <w:rFonts w:hAnsi="宋体" w:cs="Times New Roman"/>
                <w:color w:val="auto"/>
                <w:sz w:val="21"/>
                <w:szCs w:val="21"/>
                <w:highlight w:val="none"/>
              </w:rPr>
              <w:t>压路机</w:t>
            </w:r>
          </w:p>
        </w:tc>
        <w:tc>
          <w:tcPr>
            <w:tcW w:w="474"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90</w:t>
            </w:r>
          </w:p>
        </w:tc>
        <w:tc>
          <w:tcPr>
            <w:tcW w:w="444"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84</w:t>
            </w:r>
          </w:p>
        </w:tc>
        <w:tc>
          <w:tcPr>
            <w:tcW w:w="318"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78</w:t>
            </w:r>
          </w:p>
        </w:tc>
        <w:tc>
          <w:tcPr>
            <w:tcW w:w="436"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74.4</w:t>
            </w:r>
          </w:p>
        </w:tc>
        <w:tc>
          <w:tcPr>
            <w:tcW w:w="318"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70</w:t>
            </w:r>
          </w:p>
        </w:tc>
        <w:tc>
          <w:tcPr>
            <w:tcW w:w="397"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64</w:t>
            </w:r>
          </w:p>
        </w:tc>
        <w:tc>
          <w:tcPr>
            <w:tcW w:w="436"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60.5</w:t>
            </w:r>
          </w:p>
        </w:tc>
        <w:tc>
          <w:tcPr>
            <w:tcW w:w="397"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58</w:t>
            </w:r>
          </w:p>
        </w:tc>
        <w:tc>
          <w:tcPr>
            <w:tcW w:w="397"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54</w:t>
            </w:r>
          </w:p>
        </w:tc>
        <w:tc>
          <w:tcPr>
            <w:tcW w:w="404"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color w:val="auto"/>
                <w:sz w:val="21"/>
                <w:szCs w:val="21"/>
                <w:highlight w:val="none"/>
              </w:rPr>
            </w:pPr>
            <w:r>
              <w:rPr>
                <w:rFonts w:hAnsi="宋体" w:cs="Times New Roman"/>
                <w:color w:val="auto"/>
                <w:sz w:val="21"/>
                <w:szCs w:val="21"/>
                <w:highlight w:val="none"/>
              </w:rPr>
              <w:t>钻孔机</w:t>
            </w:r>
          </w:p>
        </w:tc>
        <w:tc>
          <w:tcPr>
            <w:tcW w:w="474"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90</w:t>
            </w:r>
          </w:p>
        </w:tc>
        <w:tc>
          <w:tcPr>
            <w:tcW w:w="444"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84</w:t>
            </w:r>
          </w:p>
        </w:tc>
        <w:tc>
          <w:tcPr>
            <w:tcW w:w="318"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78</w:t>
            </w:r>
          </w:p>
        </w:tc>
        <w:tc>
          <w:tcPr>
            <w:tcW w:w="436"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74.4</w:t>
            </w:r>
          </w:p>
        </w:tc>
        <w:tc>
          <w:tcPr>
            <w:tcW w:w="318"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70</w:t>
            </w:r>
          </w:p>
        </w:tc>
        <w:tc>
          <w:tcPr>
            <w:tcW w:w="397"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64</w:t>
            </w:r>
          </w:p>
        </w:tc>
        <w:tc>
          <w:tcPr>
            <w:tcW w:w="436"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60.5</w:t>
            </w:r>
          </w:p>
        </w:tc>
        <w:tc>
          <w:tcPr>
            <w:tcW w:w="397"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58</w:t>
            </w:r>
          </w:p>
        </w:tc>
        <w:tc>
          <w:tcPr>
            <w:tcW w:w="397"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54</w:t>
            </w:r>
          </w:p>
        </w:tc>
        <w:tc>
          <w:tcPr>
            <w:tcW w:w="404"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color w:val="auto"/>
                <w:sz w:val="21"/>
                <w:szCs w:val="21"/>
                <w:highlight w:val="none"/>
              </w:rPr>
            </w:pPr>
            <w:r>
              <w:rPr>
                <w:rFonts w:hAnsi="宋体" w:cs="Times New Roman"/>
                <w:color w:val="auto"/>
                <w:sz w:val="21"/>
                <w:szCs w:val="21"/>
                <w:highlight w:val="none"/>
              </w:rPr>
              <w:t>打夯机</w:t>
            </w:r>
          </w:p>
        </w:tc>
        <w:tc>
          <w:tcPr>
            <w:tcW w:w="474"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95</w:t>
            </w:r>
          </w:p>
        </w:tc>
        <w:tc>
          <w:tcPr>
            <w:tcW w:w="444"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89</w:t>
            </w:r>
          </w:p>
        </w:tc>
        <w:tc>
          <w:tcPr>
            <w:tcW w:w="318"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83</w:t>
            </w:r>
          </w:p>
        </w:tc>
        <w:tc>
          <w:tcPr>
            <w:tcW w:w="436"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79.4</w:t>
            </w:r>
          </w:p>
        </w:tc>
        <w:tc>
          <w:tcPr>
            <w:tcW w:w="318"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75</w:t>
            </w:r>
          </w:p>
        </w:tc>
        <w:tc>
          <w:tcPr>
            <w:tcW w:w="397"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69</w:t>
            </w:r>
          </w:p>
        </w:tc>
        <w:tc>
          <w:tcPr>
            <w:tcW w:w="436"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65.5</w:t>
            </w:r>
          </w:p>
        </w:tc>
        <w:tc>
          <w:tcPr>
            <w:tcW w:w="397"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63</w:t>
            </w:r>
          </w:p>
        </w:tc>
        <w:tc>
          <w:tcPr>
            <w:tcW w:w="397"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59</w:t>
            </w:r>
          </w:p>
        </w:tc>
        <w:tc>
          <w:tcPr>
            <w:tcW w:w="404"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color w:val="auto"/>
                <w:sz w:val="21"/>
                <w:szCs w:val="21"/>
                <w:highlight w:val="none"/>
              </w:rPr>
            </w:pPr>
            <w:r>
              <w:rPr>
                <w:rFonts w:hAnsi="宋体" w:cs="Times New Roman"/>
                <w:color w:val="auto"/>
                <w:sz w:val="21"/>
                <w:szCs w:val="21"/>
                <w:highlight w:val="none"/>
              </w:rPr>
              <w:t>打桩机</w:t>
            </w:r>
          </w:p>
        </w:tc>
        <w:tc>
          <w:tcPr>
            <w:tcW w:w="474"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100</w:t>
            </w:r>
          </w:p>
        </w:tc>
        <w:tc>
          <w:tcPr>
            <w:tcW w:w="444"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94</w:t>
            </w:r>
          </w:p>
        </w:tc>
        <w:tc>
          <w:tcPr>
            <w:tcW w:w="318"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88</w:t>
            </w:r>
          </w:p>
        </w:tc>
        <w:tc>
          <w:tcPr>
            <w:tcW w:w="436"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84</w:t>
            </w:r>
          </w:p>
        </w:tc>
        <w:tc>
          <w:tcPr>
            <w:tcW w:w="318"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80</w:t>
            </w:r>
          </w:p>
        </w:tc>
        <w:tc>
          <w:tcPr>
            <w:tcW w:w="397"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74</w:t>
            </w:r>
          </w:p>
        </w:tc>
        <w:tc>
          <w:tcPr>
            <w:tcW w:w="436"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60.5</w:t>
            </w:r>
          </w:p>
        </w:tc>
        <w:tc>
          <w:tcPr>
            <w:tcW w:w="397"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68</w:t>
            </w:r>
          </w:p>
        </w:tc>
        <w:tc>
          <w:tcPr>
            <w:tcW w:w="397"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62</w:t>
            </w:r>
          </w:p>
        </w:tc>
        <w:tc>
          <w:tcPr>
            <w:tcW w:w="404"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54</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color w:val="auto"/>
                <w:sz w:val="21"/>
                <w:szCs w:val="21"/>
                <w:highlight w:val="none"/>
              </w:rPr>
            </w:pPr>
            <w:r>
              <w:rPr>
                <w:rFonts w:hAnsi="宋体" w:cs="Times New Roman"/>
                <w:color w:val="auto"/>
                <w:sz w:val="21"/>
                <w:szCs w:val="21"/>
                <w:highlight w:val="none"/>
              </w:rPr>
              <w:t>空压机</w:t>
            </w:r>
          </w:p>
        </w:tc>
        <w:tc>
          <w:tcPr>
            <w:tcW w:w="474"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95</w:t>
            </w:r>
          </w:p>
        </w:tc>
        <w:tc>
          <w:tcPr>
            <w:tcW w:w="444"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89</w:t>
            </w:r>
          </w:p>
        </w:tc>
        <w:tc>
          <w:tcPr>
            <w:tcW w:w="318"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83</w:t>
            </w:r>
          </w:p>
        </w:tc>
        <w:tc>
          <w:tcPr>
            <w:tcW w:w="436"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79.4</w:t>
            </w:r>
          </w:p>
        </w:tc>
        <w:tc>
          <w:tcPr>
            <w:tcW w:w="318"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75</w:t>
            </w:r>
          </w:p>
        </w:tc>
        <w:tc>
          <w:tcPr>
            <w:tcW w:w="397"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69</w:t>
            </w:r>
          </w:p>
        </w:tc>
        <w:tc>
          <w:tcPr>
            <w:tcW w:w="436"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65.5</w:t>
            </w:r>
          </w:p>
        </w:tc>
        <w:tc>
          <w:tcPr>
            <w:tcW w:w="397"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63</w:t>
            </w:r>
          </w:p>
        </w:tc>
        <w:tc>
          <w:tcPr>
            <w:tcW w:w="397"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59</w:t>
            </w:r>
          </w:p>
        </w:tc>
        <w:tc>
          <w:tcPr>
            <w:tcW w:w="404"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color w:val="auto"/>
                <w:sz w:val="21"/>
                <w:szCs w:val="21"/>
                <w:highlight w:val="none"/>
              </w:rPr>
            </w:pPr>
            <w:r>
              <w:rPr>
                <w:rFonts w:hAnsi="宋体" w:cs="Times New Roman"/>
                <w:color w:val="auto"/>
                <w:sz w:val="21"/>
                <w:szCs w:val="21"/>
                <w:highlight w:val="none"/>
              </w:rPr>
              <w:t>振捣机</w:t>
            </w:r>
          </w:p>
        </w:tc>
        <w:tc>
          <w:tcPr>
            <w:tcW w:w="474"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85</w:t>
            </w:r>
          </w:p>
        </w:tc>
        <w:tc>
          <w:tcPr>
            <w:tcW w:w="444"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79</w:t>
            </w:r>
          </w:p>
        </w:tc>
        <w:tc>
          <w:tcPr>
            <w:tcW w:w="318"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73</w:t>
            </w:r>
          </w:p>
        </w:tc>
        <w:tc>
          <w:tcPr>
            <w:tcW w:w="436"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69.4</w:t>
            </w:r>
          </w:p>
        </w:tc>
        <w:tc>
          <w:tcPr>
            <w:tcW w:w="318"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65</w:t>
            </w:r>
          </w:p>
        </w:tc>
        <w:tc>
          <w:tcPr>
            <w:tcW w:w="397"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59</w:t>
            </w:r>
          </w:p>
        </w:tc>
        <w:tc>
          <w:tcPr>
            <w:tcW w:w="436"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55.5</w:t>
            </w:r>
          </w:p>
        </w:tc>
        <w:tc>
          <w:tcPr>
            <w:tcW w:w="397"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53</w:t>
            </w:r>
          </w:p>
        </w:tc>
        <w:tc>
          <w:tcPr>
            <w:tcW w:w="397"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w:t>
            </w:r>
          </w:p>
        </w:tc>
        <w:tc>
          <w:tcPr>
            <w:tcW w:w="404"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color w:val="auto"/>
                <w:sz w:val="21"/>
                <w:szCs w:val="21"/>
                <w:highlight w:val="none"/>
              </w:rPr>
            </w:pPr>
            <w:r>
              <w:rPr>
                <w:rFonts w:hAnsi="宋体" w:cs="Times New Roman"/>
                <w:color w:val="auto"/>
                <w:sz w:val="21"/>
                <w:szCs w:val="21"/>
                <w:highlight w:val="none"/>
              </w:rPr>
              <w:t>电焊机</w:t>
            </w:r>
          </w:p>
        </w:tc>
        <w:tc>
          <w:tcPr>
            <w:tcW w:w="474"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85</w:t>
            </w:r>
          </w:p>
        </w:tc>
        <w:tc>
          <w:tcPr>
            <w:tcW w:w="444"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79</w:t>
            </w:r>
          </w:p>
        </w:tc>
        <w:tc>
          <w:tcPr>
            <w:tcW w:w="318"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73</w:t>
            </w:r>
          </w:p>
        </w:tc>
        <w:tc>
          <w:tcPr>
            <w:tcW w:w="436"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69.4</w:t>
            </w:r>
          </w:p>
        </w:tc>
        <w:tc>
          <w:tcPr>
            <w:tcW w:w="318"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65</w:t>
            </w:r>
          </w:p>
        </w:tc>
        <w:tc>
          <w:tcPr>
            <w:tcW w:w="397"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59</w:t>
            </w:r>
          </w:p>
        </w:tc>
        <w:tc>
          <w:tcPr>
            <w:tcW w:w="436"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55.5</w:t>
            </w:r>
          </w:p>
        </w:tc>
        <w:tc>
          <w:tcPr>
            <w:tcW w:w="397"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53</w:t>
            </w:r>
          </w:p>
        </w:tc>
        <w:tc>
          <w:tcPr>
            <w:tcW w:w="397"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w:t>
            </w:r>
          </w:p>
        </w:tc>
        <w:tc>
          <w:tcPr>
            <w:tcW w:w="404"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color w:val="auto"/>
                <w:sz w:val="21"/>
                <w:szCs w:val="21"/>
                <w:highlight w:val="none"/>
              </w:rPr>
            </w:pPr>
            <w:r>
              <w:rPr>
                <w:rFonts w:hAnsi="宋体" w:cs="Times New Roman"/>
                <w:color w:val="auto"/>
                <w:sz w:val="21"/>
                <w:szCs w:val="21"/>
                <w:highlight w:val="none"/>
              </w:rPr>
              <w:t>混凝土输送</w:t>
            </w:r>
            <w:r>
              <w:rPr>
                <w:rFonts w:hint="eastAsia" w:hAnsi="宋体" w:cs="Times New Roman"/>
                <w:color w:val="auto"/>
                <w:sz w:val="21"/>
                <w:szCs w:val="21"/>
                <w:highlight w:val="none"/>
              </w:rPr>
              <w:t>泵</w:t>
            </w:r>
          </w:p>
        </w:tc>
        <w:tc>
          <w:tcPr>
            <w:tcW w:w="474"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85</w:t>
            </w:r>
          </w:p>
        </w:tc>
        <w:tc>
          <w:tcPr>
            <w:tcW w:w="444"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79</w:t>
            </w:r>
          </w:p>
        </w:tc>
        <w:tc>
          <w:tcPr>
            <w:tcW w:w="318"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73</w:t>
            </w:r>
          </w:p>
        </w:tc>
        <w:tc>
          <w:tcPr>
            <w:tcW w:w="436"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69.4</w:t>
            </w:r>
          </w:p>
        </w:tc>
        <w:tc>
          <w:tcPr>
            <w:tcW w:w="318"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65</w:t>
            </w:r>
          </w:p>
        </w:tc>
        <w:tc>
          <w:tcPr>
            <w:tcW w:w="397"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59</w:t>
            </w:r>
          </w:p>
        </w:tc>
        <w:tc>
          <w:tcPr>
            <w:tcW w:w="436"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55.5</w:t>
            </w:r>
          </w:p>
        </w:tc>
        <w:tc>
          <w:tcPr>
            <w:tcW w:w="397"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53</w:t>
            </w:r>
          </w:p>
        </w:tc>
        <w:tc>
          <w:tcPr>
            <w:tcW w:w="397"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w:t>
            </w:r>
          </w:p>
        </w:tc>
        <w:tc>
          <w:tcPr>
            <w:tcW w:w="404"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76" w:type="pct"/>
            <w:vAlign w:val="center"/>
          </w:tcPr>
          <w:p>
            <w:pPr>
              <w:spacing w:line="240" w:lineRule="auto"/>
              <w:ind w:firstLine="0" w:firstLineChars="0"/>
              <w:jc w:val="center"/>
              <w:rPr>
                <w:rFonts w:cs="Times New Roman"/>
                <w:color w:val="auto"/>
                <w:sz w:val="21"/>
                <w:szCs w:val="21"/>
                <w:highlight w:val="none"/>
              </w:rPr>
            </w:pPr>
            <w:r>
              <w:rPr>
                <w:rFonts w:hAnsi="宋体" w:cs="Times New Roman"/>
                <w:color w:val="auto"/>
                <w:sz w:val="21"/>
                <w:szCs w:val="21"/>
                <w:highlight w:val="none"/>
              </w:rPr>
              <w:t>卡车</w:t>
            </w:r>
          </w:p>
        </w:tc>
        <w:tc>
          <w:tcPr>
            <w:tcW w:w="474"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80</w:t>
            </w:r>
          </w:p>
        </w:tc>
        <w:tc>
          <w:tcPr>
            <w:tcW w:w="444"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74</w:t>
            </w:r>
          </w:p>
        </w:tc>
        <w:tc>
          <w:tcPr>
            <w:tcW w:w="318"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68</w:t>
            </w:r>
          </w:p>
        </w:tc>
        <w:tc>
          <w:tcPr>
            <w:tcW w:w="436"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64.4</w:t>
            </w:r>
          </w:p>
        </w:tc>
        <w:tc>
          <w:tcPr>
            <w:tcW w:w="318"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60</w:t>
            </w:r>
          </w:p>
        </w:tc>
        <w:tc>
          <w:tcPr>
            <w:tcW w:w="397"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54</w:t>
            </w:r>
          </w:p>
        </w:tc>
        <w:tc>
          <w:tcPr>
            <w:tcW w:w="436"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50.5</w:t>
            </w:r>
          </w:p>
        </w:tc>
        <w:tc>
          <w:tcPr>
            <w:tcW w:w="397"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48</w:t>
            </w:r>
          </w:p>
        </w:tc>
        <w:tc>
          <w:tcPr>
            <w:tcW w:w="397"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44</w:t>
            </w:r>
          </w:p>
        </w:tc>
        <w:tc>
          <w:tcPr>
            <w:tcW w:w="404"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w:t>
            </w:r>
          </w:p>
        </w:tc>
      </w:tr>
    </w:tbl>
    <w:p>
      <w:pPr>
        <w:tabs>
          <w:tab w:val="right" w:pos="11340"/>
        </w:tabs>
        <w:ind w:firstLine="480"/>
        <w:rPr>
          <w:rFonts w:cs="Times New Roman"/>
          <w:color w:val="auto"/>
          <w:kern w:val="0"/>
          <w:highlight w:val="none"/>
        </w:rPr>
      </w:pPr>
      <w:r>
        <w:rPr>
          <w:rFonts w:hAnsi="宋体" w:cs="Times New Roman"/>
          <w:color w:val="auto"/>
          <w:kern w:val="0"/>
          <w:highlight w:val="none"/>
        </w:rPr>
        <w:t>从表</w:t>
      </w:r>
      <w:r>
        <w:rPr>
          <w:rFonts w:hint="eastAsia" w:cs="Times New Roman"/>
          <w:color w:val="auto"/>
          <w:kern w:val="0"/>
          <w:highlight w:val="none"/>
          <w:lang w:val="en-US" w:eastAsia="zh-CN"/>
        </w:rPr>
        <w:t>4</w:t>
      </w:r>
      <w:r>
        <w:rPr>
          <w:rFonts w:hint="eastAsia" w:cs="Times New Roman"/>
          <w:color w:val="auto"/>
          <w:kern w:val="0"/>
          <w:highlight w:val="none"/>
        </w:rPr>
        <w:t>.1-2</w:t>
      </w:r>
      <w:r>
        <w:rPr>
          <w:rFonts w:hAnsi="宋体" w:cs="Times New Roman"/>
          <w:color w:val="auto"/>
          <w:kern w:val="0"/>
          <w:highlight w:val="none"/>
        </w:rPr>
        <w:t>可以看出，当大部分施工机械的施工点距离场界大于</w:t>
      </w:r>
      <w:r>
        <w:rPr>
          <w:rFonts w:cs="Times New Roman"/>
          <w:color w:val="auto"/>
          <w:kern w:val="0"/>
          <w:highlight w:val="none"/>
        </w:rPr>
        <w:t>100m</w:t>
      </w:r>
      <w:r>
        <w:rPr>
          <w:rFonts w:hAnsi="宋体" w:cs="Times New Roman"/>
          <w:color w:val="auto"/>
          <w:kern w:val="0"/>
          <w:highlight w:val="none"/>
        </w:rPr>
        <w:t>时，场界噪声值可以达到《建筑施工场界环境噪声排放标准》（</w:t>
      </w:r>
      <w:r>
        <w:rPr>
          <w:rFonts w:cs="Times New Roman"/>
          <w:color w:val="auto"/>
          <w:kern w:val="0"/>
          <w:highlight w:val="none"/>
        </w:rPr>
        <w:t>GB12523-2011</w:t>
      </w:r>
      <w:r>
        <w:rPr>
          <w:rFonts w:hAnsi="宋体" w:cs="Times New Roman"/>
          <w:color w:val="auto"/>
          <w:kern w:val="0"/>
          <w:highlight w:val="none"/>
        </w:rPr>
        <w:t>）昼间标准，但在实际施工中，在距离场界</w:t>
      </w:r>
      <w:r>
        <w:rPr>
          <w:rFonts w:cs="Times New Roman"/>
          <w:color w:val="auto"/>
          <w:kern w:val="0"/>
          <w:highlight w:val="none"/>
        </w:rPr>
        <w:t>100m</w:t>
      </w:r>
      <w:r>
        <w:rPr>
          <w:rFonts w:hAnsi="宋体" w:cs="Times New Roman"/>
          <w:color w:val="auto"/>
          <w:kern w:val="0"/>
          <w:highlight w:val="none"/>
        </w:rPr>
        <w:t>范围内施工仍是不可避免的，此时施工场界噪声将超过《建筑施工场界环境噪声排放标准》（</w:t>
      </w:r>
      <w:r>
        <w:rPr>
          <w:rFonts w:cs="Times New Roman"/>
          <w:color w:val="auto"/>
          <w:kern w:val="0"/>
          <w:highlight w:val="none"/>
        </w:rPr>
        <w:t>GB12523-2011</w:t>
      </w:r>
      <w:r>
        <w:rPr>
          <w:rFonts w:hAnsi="宋体" w:cs="Times New Roman"/>
          <w:color w:val="auto"/>
          <w:kern w:val="0"/>
          <w:highlight w:val="none"/>
        </w:rPr>
        <w:t>）昼间标准；若夜间施工，施工点周围</w:t>
      </w:r>
      <w:r>
        <w:rPr>
          <w:rFonts w:cs="Times New Roman"/>
          <w:color w:val="auto"/>
          <w:kern w:val="0"/>
          <w:highlight w:val="none"/>
        </w:rPr>
        <w:t>200</w:t>
      </w:r>
      <w:r>
        <w:rPr>
          <w:rFonts w:hAnsi="宋体" w:cs="Times New Roman"/>
          <w:color w:val="auto"/>
          <w:kern w:val="0"/>
          <w:highlight w:val="none"/>
        </w:rPr>
        <w:t>米的范围内噪声仍达不到《建筑施工场界环境噪声排放标准》（</w:t>
      </w:r>
      <w:r>
        <w:rPr>
          <w:rFonts w:cs="Times New Roman"/>
          <w:color w:val="auto"/>
          <w:kern w:val="0"/>
          <w:highlight w:val="none"/>
        </w:rPr>
        <w:t>GB12523-2011</w:t>
      </w:r>
      <w:r>
        <w:rPr>
          <w:rFonts w:hAnsi="宋体" w:cs="Times New Roman"/>
          <w:color w:val="auto"/>
          <w:kern w:val="0"/>
          <w:highlight w:val="none"/>
        </w:rPr>
        <w:t>）标准。</w:t>
      </w:r>
    </w:p>
    <w:p>
      <w:pPr>
        <w:tabs>
          <w:tab w:val="right" w:pos="11340"/>
        </w:tabs>
        <w:ind w:firstLine="480"/>
        <w:rPr>
          <w:rFonts w:cs="Times New Roman"/>
          <w:color w:val="auto"/>
          <w:kern w:val="0"/>
          <w:highlight w:val="none"/>
        </w:rPr>
      </w:pPr>
      <w:r>
        <w:rPr>
          <w:rFonts w:hAnsi="宋体" w:cs="Times New Roman"/>
          <w:color w:val="auto"/>
          <w:kern w:val="0"/>
          <w:highlight w:val="none"/>
        </w:rPr>
        <w:t>根据周围环境调查，</w:t>
      </w:r>
      <w:r>
        <w:rPr>
          <w:rFonts w:hint="eastAsia" w:hAnsi="宋体" w:cs="Times New Roman"/>
          <w:color w:val="auto"/>
          <w:kern w:val="0"/>
          <w:highlight w:val="none"/>
          <w:lang w:eastAsia="zh-CN"/>
        </w:rPr>
        <w:t>北侧</w:t>
      </w:r>
      <w:r>
        <w:rPr>
          <w:rFonts w:hint="eastAsia" w:hAnsi="宋体" w:cs="Times New Roman"/>
          <w:color w:val="auto"/>
          <w:kern w:val="0"/>
          <w:highlight w:val="none"/>
          <w:lang w:val="en-US" w:eastAsia="zh-CN"/>
        </w:rPr>
        <w:t>420</w:t>
      </w:r>
      <w:r>
        <w:rPr>
          <w:rFonts w:hint="eastAsia" w:hAnsi="宋体" w:cs="Times New Roman"/>
          <w:color w:val="auto"/>
          <w:kern w:val="0"/>
          <w:highlight w:val="none"/>
        </w:rPr>
        <w:t>m</w:t>
      </w:r>
      <w:r>
        <w:rPr>
          <w:rFonts w:hint="eastAsia" w:hAnsi="宋体" w:cs="Times New Roman"/>
          <w:color w:val="auto"/>
          <w:kern w:val="0"/>
          <w:highlight w:val="none"/>
          <w:lang w:eastAsia="zh-CN"/>
        </w:rPr>
        <w:t>吴自岐庄</w:t>
      </w:r>
      <w:r>
        <w:rPr>
          <w:rFonts w:hint="eastAsia" w:hAnsi="宋体" w:cs="Times New Roman"/>
          <w:color w:val="auto"/>
          <w:kern w:val="0"/>
          <w:highlight w:val="none"/>
        </w:rPr>
        <w:t>居民点</w:t>
      </w:r>
      <w:r>
        <w:rPr>
          <w:rFonts w:hAnsi="宋体" w:cs="Times New Roman"/>
          <w:color w:val="auto"/>
          <w:kern w:val="0"/>
          <w:highlight w:val="none"/>
        </w:rPr>
        <w:t>距离项目较近，</w:t>
      </w:r>
      <w:r>
        <w:rPr>
          <w:rFonts w:hint="eastAsia" w:hAnsi="宋体" w:cs="Times New Roman"/>
          <w:color w:val="auto"/>
          <w:kern w:val="0"/>
          <w:highlight w:val="none"/>
        </w:rPr>
        <w:t>施工噪声在</w:t>
      </w:r>
      <w:r>
        <w:rPr>
          <w:rFonts w:hint="eastAsia" w:hAnsi="宋体" w:cs="Times New Roman"/>
          <w:color w:val="auto"/>
          <w:kern w:val="0"/>
          <w:highlight w:val="none"/>
          <w:lang w:eastAsia="zh-CN"/>
        </w:rPr>
        <w:t>经过</w:t>
      </w:r>
      <w:r>
        <w:rPr>
          <w:rFonts w:hAnsi="宋体" w:cs="Times New Roman"/>
          <w:color w:val="auto"/>
          <w:kern w:val="0"/>
          <w:highlight w:val="none"/>
        </w:rPr>
        <w:t>距离衰减</w:t>
      </w:r>
      <w:r>
        <w:rPr>
          <w:rFonts w:hint="eastAsia" w:hAnsi="宋体" w:cs="Times New Roman"/>
          <w:color w:val="auto"/>
          <w:kern w:val="0"/>
          <w:highlight w:val="none"/>
          <w:lang w:eastAsia="zh-CN"/>
        </w:rPr>
        <w:t>后可</w:t>
      </w:r>
      <w:r>
        <w:rPr>
          <w:rFonts w:hint="eastAsia" w:hAnsi="宋体" w:cs="Times New Roman"/>
          <w:color w:val="auto"/>
          <w:kern w:val="0"/>
          <w:highlight w:val="none"/>
        </w:rPr>
        <w:t>达到《建筑施工场界环境噪声排放标准》（GB12523-2011）标准</w:t>
      </w:r>
      <w:r>
        <w:rPr>
          <w:rFonts w:hAnsi="宋体" w:cs="Times New Roman"/>
          <w:color w:val="auto"/>
          <w:kern w:val="0"/>
          <w:highlight w:val="none"/>
        </w:rPr>
        <w:t>。</w:t>
      </w:r>
    </w:p>
    <w:p>
      <w:pPr>
        <w:pStyle w:val="108"/>
        <w:spacing w:before="0" w:line="360" w:lineRule="auto"/>
        <w:ind w:firstLine="480"/>
        <w:contextualSpacing/>
        <w:rPr>
          <w:rStyle w:val="110"/>
          <w:color w:val="auto"/>
          <w:highlight w:val="none"/>
          <w:lang w:val="en-US"/>
        </w:rPr>
      </w:pPr>
      <w:r>
        <w:rPr>
          <w:rFonts w:hint="eastAsia" w:hAnsi="宋体"/>
          <w:color w:val="auto"/>
          <w:highlight w:val="none"/>
          <w:lang w:val="en-US"/>
        </w:rPr>
        <w:t>评价建议</w:t>
      </w:r>
      <w:r>
        <w:rPr>
          <w:rFonts w:hAnsi="宋体"/>
          <w:color w:val="auto"/>
          <w:highlight w:val="none"/>
          <w:lang w:val="en-US"/>
        </w:rPr>
        <w:t>项目施工期应加强管理，合理安排施工时间，在项目与敏感点之间设置临时隔声屏障；尽量将高噪声设备远离敏感点布置。</w:t>
      </w:r>
      <w:r>
        <w:rPr>
          <w:rStyle w:val="110"/>
          <w:rFonts w:hAnsi="宋体"/>
          <w:color w:val="auto"/>
          <w:highlight w:val="none"/>
          <w:lang w:val="en-US"/>
        </w:rPr>
        <w:t>主要采取以下措施。</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1</w:t>
      </w:r>
      <w:r>
        <w:rPr>
          <w:rFonts w:hAnsi="宋体"/>
          <w:color w:val="auto"/>
          <w:highlight w:val="none"/>
          <w:lang w:val="en-US"/>
        </w:rPr>
        <w:t>）合理选择施工时间，施工过程中应严格控制各施工机械的施工时间，主要噪声源尽量安排在昼间非正常休息时间内进行的要求，高噪声设备在夜间禁止施工，同时应避免高噪声设备同时施工。</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2</w:t>
      </w:r>
      <w:r>
        <w:rPr>
          <w:rFonts w:hAnsi="宋体"/>
          <w:color w:val="auto"/>
          <w:highlight w:val="none"/>
          <w:lang w:val="en-US"/>
        </w:rPr>
        <w:t>）对打桩机等高噪声设备，应设置临时隔声屏障。</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3</w:t>
      </w:r>
      <w:r>
        <w:rPr>
          <w:rFonts w:hAnsi="宋体"/>
          <w:color w:val="auto"/>
          <w:highlight w:val="none"/>
          <w:lang w:val="en-US"/>
        </w:rPr>
        <w:t>）合理选择施工机械，尽量选用低噪声设备，加强对施工机械和设备维护保养，避免由于设备性能减退而使噪声增大。</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4</w:t>
      </w:r>
      <w:r>
        <w:rPr>
          <w:rFonts w:hAnsi="宋体"/>
          <w:color w:val="auto"/>
          <w:highlight w:val="none"/>
          <w:lang w:val="en-US"/>
        </w:rPr>
        <w:t>）合理选择施工方法，避免连续施工，合理布置施工现场。</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5</w:t>
      </w:r>
      <w:r>
        <w:rPr>
          <w:rFonts w:hAnsi="宋体"/>
          <w:color w:val="auto"/>
          <w:highlight w:val="none"/>
          <w:lang w:val="en-US"/>
        </w:rPr>
        <w:t>）进出施工场地的物料运输车辆需限制行驶速度，并禁鸣喇叭，以最大程度减小运输车辆噪声对周边敏感目标的影响。</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6</w:t>
      </w:r>
      <w:r>
        <w:rPr>
          <w:rFonts w:hAnsi="宋体"/>
          <w:color w:val="auto"/>
          <w:highlight w:val="none"/>
          <w:lang w:val="en-US"/>
        </w:rPr>
        <w:t>）项目在装修阶段使用的电锯、电刨、电钻产生的噪声值较高，故禁止中午或夜间施工，在施工工序上建议先装门、窗，后进行其它方面的装修，利用先装好的门窗，可隔噪声</w:t>
      </w:r>
      <w:r>
        <w:rPr>
          <w:color w:val="auto"/>
          <w:highlight w:val="none"/>
          <w:lang w:val="en-US"/>
        </w:rPr>
        <w:t>10dB(A)</w:t>
      </w:r>
      <w:r>
        <w:rPr>
          <w:rFonts w:hAnsi="宋体"/>
          <w:color w:val="auto"/>
          <w:highlight w:val="none"/>
          <w:lang w:val="en-US"/>
        </w:rPr>
        <w:t>左右，以减小项目装修阶段其它工序产生的噪声对周边环境敏感目标的影响。</w:t>
      </w:r>
    </w:p>
    <w:p>
      <w:pPr>
        <w:tabs>
          <w:tab w:val="right" w:pos="11340"/>
        </w:tabs>
        <w:ind w:firstLine="480"/>
        <w:rPr>
          <w:rFonts w:cs="Times New Roman"/>
          <w:color w:val="auto"/>
          <w:kern w:val="0"/>
          <w:highlight w:val="none"/>
        </w:rPr>
      </w:pPr>
      <w:r>
        <w:rPr>
          <w:rFonts w:hAnsi="宋体" w:cs="Times New Roman"/>
          <w:color w:val="auto"/>
          <w:kern w:val="0"/>
          <w:highlight w:val="none"/>
        </w:rPr>
        <w:t>施工噪声具有阶段性、临时性和不固定性，随着施工阶段的不同，施工噪声影响也不同。施工结束时，施工噪声也自行消失。</w:t>
      </w:r>
    </w:p>
    <w:p>
      <w:pPr>
        <w:adjustRightInd w:val="0"/>
        <w:ind w:firstLine="482"/>
        <w:contextualSpacing/>
        <w:rPr>
          <w:rFonts w:cs="Times New Roman"/>
          <w:b/>
          <w:color w:val="auto"/>
          <w:highlight w:val="none"/>
        </w:rPr>
      </w:pPr>
      <w:r>
        <w:rPr>
          <w:rFonts w:cs="Times New Roman"/>
          <w:b/>
          <w:color w:val="auto"/>
          <w:highlight w:val="none"/>
        </w:rPr>
        <w:t>4</w:t>
      </w:r>
      <w:r>
        <w:rPr>
          <w:rFonts w:hAnsi="宋体" w:cs="Times New Roman"/>
          <w:b/>
          <w:color w:val="auto"/>
          <w:highlight w:val="none"/>
        </w:rPr>
        <w:t>、固体废物</w:t>
      </w:r>
    </w:p>
    <w:p>
      <w:pPr>
        <w:pStyle w:val="108"/>
        <w:spacing w:before="0" w:line="360" w:lineRule="auto"/>
        <w:ind w:firstLine="480"/>
        <w:contextualSpacing/>
        <w:rPr>
          <w:rStyle w:val="110"/>
          <w:color w:val="auto"/>
          <w:spacing w:val="4"/>
          <w:highlight w:val="none"/>
          <w:lang w:val="en-US"/>
        </w:rPr>
      </w:pPr>
      <w:r>
        <w:rPr>
          <w:rFonts w:hAnsi="宋体"/>
          <w:color w:val="auto"/>
          <w:highlight w:val="none"/>
          <w:lang w:val="en-US"/>
        </w:rPr>
        <w:t>本项目施工期的固体废物主要为多余渣土、施工建筑垃圾及生活垃圾等。</w:t>
      </w:r>
    </w:p>
    <w:p>
      <w:pPr>
        <w:pStyle w:val="108"/>
        <w:spacing w:before="0" w:line="360" w:lineRule="auto"/>
        <w:ind w:firstLine="496"/>
        <w:contextualSpacing/>
        <w:rPr>
          <w:color w:val="auto"/>
          <w:highlight w:val="none"/>
          <w:lang w:val="en-US"/>
        </w:rPr>
      </w:pPr>
      <w:r>
        <w:rPr>
          <w:rFonts w:hAnsi="宋体"/>
          <w:color w:val="auto"/>
          <w:spacing w:val="4"/>
          <w:highlight w:val="none"/>
          <w:lang w:val="en-US"/>
        </w:rPr>
        <w:t>本项目</w:t>
      </w:r>
      <w:r>
        <w:rPr>
          <w:rFonts w:hAnsi="宋体"/>
          <w:color w:val="auto"/>
          <w:highlight w:val="none"/>
          <w:lang w:val="en-US"/>
        </w:rPr>
        <w:t>施工期渣土可在厂内回填。</w:t>
      </w:r>
    </w:p>
    <w:p>
      <w:pPr>
        <w:pStyle w:val="108"/>
        <w:spacing w:before="0" w:line="360" w:lineRule="auto"/>
        <w:ind w:firstLine="480"/>
        <w:contextualSpacing/>
        <w:rPr>
          <w:color w:val="auto"/>
          <w:highlight w:val="none"/>
          <w:lang w:val="en-US"/>
        </w:rPr>
      </w:pPr>
      <w:r>
        <w:rPr>
          <w:rFonts w:hAnsi="宋体"/>
          <w:color w:val="auto"/>
          <w:highlight w:val="none"/>
          <w:lang w:val="en-US"/>
        </w:rPr>
        <w:t>建筑垃圾主要有建材损耗产生的垃圾，包括砂土、石块、水泥、碎木料、锯木屑、废金属、钢筋、铁丝等杂物。建设单位拟对建筑垃圾进行分类，能回收利用外卖给废品回收部门的回收利用，如钢筋、铁丝等，不能回收利用的收集后严格执行《城市建筑垃圾管理规定》，按照相关管理部门要求，及时清运至建筑垃圾消纳场所，对周边环境影响较小。</w:t>
      </w:r>
    </w:p>
    <w:p>
      <w:pPr>
        <w:pStyle w:val="108"/>
        <w:spacing w:before="0" w:line="360" w:lineRule="auto"/>
        <w:ind w:firstLine="480"/>
        <w:contextualSpacing/>
        <w:rPr>
          <w:color w:val="auto"/>
          <w:highlight w:val="none"/>
          <w:lang w:val="en-US"/>
        </w:rPr>
      </w:pPr>
      <w:r>
        <w:rPr>
          <w:rFonts w:hAnsi="宋体"/>
          <w:color w:val="auto"/>
          <w:highlight w:val="none"/>
          <w:lang w:val="en-US"/>
        </w:rPr>
        <w:t>施工过程中应对生活垃圾定点收集，交由环卫部门统一清运处理。</w:t>
      </w:r>
    </w:p>
    <w:p>
      <w:pPr>
        <w:pStyle w:val="108"/>
        <w:spacing w:before="0" w:line="360" w:lineRule="auto"/>
        <w:ind w:firstLine="480"/>
        <w:contextualSpacing/>
        <w:rPr>
          <w:color w:val="auto"/>
          <w:highlight w:val="none"/>
          <w:lang w:val="en-US"/>
        </w:rPr>
      </w:pPr>
      <w:r>
        <w:rPr>
          <w:rFonts w:hAnsi="宋体"/>
          <w:color w:val="auto"/>
          <w:highlight w:val="none"/>
          <w:lang w:val="en-US"/>
        </w:rPr>
        <w:t>采取以上措施后，评价认为施工期固废可得到妥善处置，对周围环境影响较小。</w:t>
      </w:r>
    </w:p>
    <w:p>
      <w:pPr>
        <w:ind w:firstLine="482"/>
        <w:rPr>
          <w:rFonts w:cs="Times New Roman"/>
          <w:b/>
          <w:color w:val="auto"/>
          <w:highlight w:val="none"/>
        </w:rPr>
      </w:pPr>
      <w:r>
        <w:rPr>
          <w:rFonts w:cs="Times New Roman"/>
          <w:b/>
          <w:color w:val="auto"/>
          <w:highlight w:val="none"/>
        </w:rPr>
        <w:t>5</w:t>
      </w:r>
      <w:r>
        <w:rPr>
          <w:rFonts w:hAnsi="宋体" w:cs="Times New Roman"/>
          <w:b/>
          <w:color w:val="auto"/>
          <w:highlight w:val="none"/>
        </w:rPr>
        <w:t>、水土流失</w:t>
      </w:r>
    </w:p>
    <w:p>
      <w:pPr>
        <w:pStyle w:val="108"/>
        <w:spacing w:before="0" w:line="360" w:lineRule="auto"/>
        <w:ind w:firstLine="480"/>
        <w:rPr>
          <w:color w:val="auto"/>
          <w:highlight w:val="none"/>
          <w:lang w:val="en-US"/>
        </w:rPr>
      </w:pPr>
      <w:r>
        <w:rPr>
          <w:rFonts w:hAnsi="宋体"/>
          <w:color w:val="auto"/>
          <w:highlight w:val="none"/>
          <w:lang w:val="en-US"/>
        </w:rPr>
        <w:t>为减少施工过程中的水土流失，项目在施工过程中要做好防范措施。</w:t>
      </w:r>
    </w:p>
    <w:p>
      <w:pPr>
        <w:pStyle w:val="108"/>
        <w:spacing w:before="0" w:line="360" w:lineRule="auto"/>
        <w:ind w:firstLine="480"/>
        <w:rPr>
          <w:color w:val="auto"/>
          <w:highlight w:val="none"/>
          <w:lang w:val="en-US"/>
        </w:rPr>
      </w:pPr>
      <w:r>
        <w:rPr>
          <w:rFonts w:hAnsi="宋体"/>
          <w:color w:val="auto"/>
          <w:highlight w:val="none"/>
          <w:lang w:val="en-US"/>
        </w:rPr>
        <w:t>（</w:t>
      </w:r>
      <w:r>
        <w:rPr>
          <w:color w:val="auto"/>
          <w:highlight w:val="none"/>
          <w:lang w:val="en-US"/>
        </w:rPr>
        <w:t>1</w:t>
      </w:r>
      <w:r>
        <w:rPr>
          <w:rFonts w:hAnsi="宋体"/>
          <w:color w:val="auto"/>
          <w:highlight w:val="none"/>
          <w:lang w:val="en-US"/>
        </w:rPr>
        <w:t>）合理安排施工时间，大面积破土的土建施工尽量避开雨季。</w:t>
      </w:r>
    </w:p>
    <w:p>
      <w:pPr>
        <w:pStyle w:val="108"/>
        <w:spacing w:before="0" w:line="360" w:lineRule="auto"/>
        <w:ind w:firstLine="480"/>
        <w:rPr>
          <w:color w:val="auto"/>
          <w:highlight w:val="none"/>
          <w:lang w:val="en-US"/>
        </w:rPr>
      </w:pPr>
      <w:r>
        <w:rPr>
          <w:rFonts w:hAnsi="宋体"/>
          <w:color w:val="auto"/>
          <w:highlight w:val="none"/>
          <w:lang w:val="en-US"/>
        </w:rPr>
        <w:t>（</w:t>
      </w:r>
      <w:r>
        <w:rPr>
          <w:color w:val="auto"/>
          <w:highlight w:val="none"/>
          <w:lang w:val="en-US"/>
        </w:rPr>
        <w:t>2</w:t>
      </w:r>
      <w:r>
        <w:rPr>
          <w:rFonts w:hAnsi="宋体"/>
          <w:color w:val="auto"/>
          <w:highlight w:val="none"/>
          <w:lang w:val="en-US"/>
        </w:rPr>
        <w:t>）项目应尽量减少开挖面积以及减少施工面的裸露时间，对新产生的裸露地表的松土及时压实，施工单位应根据施工进程及时进行绿化。</w:t>
      </w:r>
    </w:p>
    <w:p>
      <w:pPr>
        <w:pStyle w:val="108"/>
        <w:spacing w:before="0" w:line="360" w:lineRule="auto"/>
        <w:ind w:firstLine="480"/>
        <w:rPr>
          <w:color w:val="auto"/>
          <w:highlight w:val="none"/>
          <w:lang w:val="en-US"/>
        </w:rPr>
      </w:pPr>
      <w:r>
        <w:rPr>
          <w:rFonts w:hAnsi="宋体"/>
          <w:color w:val="auto"/>
          <w:highlight w:val="none"/>
          <w:lang w:val="en-US"/>
        </w:rPr>
        <w:t>（</w:t>
      </w:r>
      <w:r>
        <w:rPr>
          <w:color w:val="auto"/>
          <w:highlight w:val="none"/>
          <w:lang w:val="en-US"/>
        </w:rPr>
        <w:t>3</w:t>
      </w:r>
      <w:r>
        <w:rPr>
          <w:rFonts w:hAnsi="宋体"/>
          <w:color w:val="auto"/>
          <w:highlight w:val="none"/>
          <w:lang w:val="en-US"/>
        </w:rPr>
        <w:t>）在施工场地内开挖临时雨水排水沟，在施工区地势较低的地方修建沉淀池，并在排水口设置滤布，拦截大的块状物以及泥沙后，雨季产生的地表径流经沉淀后方可排放，沉淀池应定期清理。</w:t>
      </w:r>
    </w:p>
    <w:p>
      <w:pPr>
        <w:pStyle w:val="108"/>
        <w:spacing w:before="0" w:line="360" w:lineRule="auto"/>
        <w:ind w:firstLine="480"/>
        <w:rPr>
          <w:rFonts w:hAnsi="宋体"/>
          <w:color w:val="auto"/>
          <w:highlight w:val="none"/>
          <w:lang w:val="en-US"/>
        </w:rPr>
      </w:pPr>
      <w:r>
        <w:rPr>
          <w:rFonts w:hAnsi="宋体"/>
          <w:color w:val="auto"/>
          <w:highlight w:val="none"/>
        </w:rPr>
        <w:t>施工期产生的污染物，对项目周围附近区域环境的影响是不可避免的。但只要加强管理，合理施工，认真落实各项防治措施，同时与周围居民协调好关系，并注意听取周围单位的合理意见，就能尽量避免扰民事件的发生。施工期结束</w:t>
      </w:r>
      <w:r>
        <w:rPr>
          <w:rFonts w:hAnsi="宋体"/>
          <w:color w:val="auto"/>
          <w:highlight w:val="none"/>
          <w:lang w:val="en-US"/>
        </w:rPr>
        <w:t>后，相应的污染即随之消失，不会对周围环境产生长期不良影响。</w:t>
      </w:r>
    </w:p>
    <w:p>
      <w:pPr>
        <w:pStyle w:val="108"/>
        <w:spacing w:before="0" w:line="360" w:lineRule="auto"/>
        <w:ind w:firstLine="480"/>
        <w:rPr>
          <w:rFonts w:hAnsi="宋体"/>
          <w:color w:val="auto"/>
          <w:highlight w:val="none"/>
          <w:lang w:val="en-US"/>
        </w:rPr>
      </w:pPr>
      <w:r>
        <w:rPr>
          <w:rFonts w:hAnsi="宋体"/>
          <w:color w:val="auto"/>
          <w:highlight w:val="none"/>
          <w:lang w:val="en-US"/>
        </w:rPr>
        <w:t>环评建议在设备运进安装过程采取轻拿轻放，避免碰撞产生异常噪声；合理安排作业时间，避免在夜间及附近居民休息期间作业；同时，应将设备外包装固废及时收集处理废品外卖。采取上述措施后，本项目建设期噪声可达标排放，固废可得到妥善处理，对周边环境的影响较小。</w:t>
      </w:r>
    </w:p>
    <w:p>
      <w:pPr>
        <w:pStyle w:val="108"/>
        <w:spacing w:before="0" w:line="360" w:lineRule="auto"/>
        <w:ind w:firstLine="480"/>
        <w:rPr>
          <w:rFonts w:hAnsi="宋体"/>
          <w:color w:val="auto"/>
          <w:highlight w:val="none"/>
          <w:lang w:val="en-US"/>
        </w:rPr>
      </w:pPr>
      <w:r>
        <w:rPr>
          <w:rFonts w:hint="eastAsia" w:hAnsi="宋体"/>
          <w:color w:val="auto"/>
          <w:highlight w:val="none"/>
          <w:lang w:val="en-US"/>
        </w:rPr>
        <w:t>综上，本项目施工期环境影响不大。</w:t>
      </w:r>
    </w:p>
    <w:p>
      <w:pPr>
        <w:pStyle w:val="4"/>
        <w:spacing w:before="132"/>
        <w:rPr>
          <w:color w:val="auto"/>
          <w:highlight w:val="none"/>
        </w:rPr>
      </w:pPr>
      <w:bookmarkStart w:id="37" w:name="_Toc11413"/>
      <w:r>
        <w:rPr>
          <w:rFonts w:hint="eastAsia"/>
          <w:color w:val="auto"/>
          <w:highlight w:val="none"/>
          <w:lang w:val="en-US" w:eastAsia="zh-CN"/>
        </w:rPr>
        <w:t>4</w:t>
      </w:r>
      <w:r>
        <w:rPr>
          <w:rFonts w:hint="eastAsia"/>
          <w:color w:val="auto"/>
          <w:highlight w:val="none"/>
        </w:rPr>
        <w:t>.2运营期环境影响预测与评价</w:t>
      </w:r>
      <w:bookmarkEnd w:id="37"/>
    </w:p>
    <w:p>
      <w:pPr>
        <w:pStyle w:val="5"/>
        <w:spacing w:before="66"/>
        <w:ind w:firstLine="482"/>
        <w:rPr>
          <w:color w:val="auto"/>
          <w:highlight w:val="none"/>
        </w:rPr>
      </w:pPr>
      <w:r>
        <w:rPr>
          <w:rFonts w:hint="eastAsia"/>
          <w:color w:val="auto"/>
          <w:highlight w:val="none"/>
          <w:lang w:val="en-US" w:eastAsia="zh-CN"/>
        </w:rPr>
        <w:t>4</w:t>
      </w:r>
      <w:r>
        <w:rPr>
          <w:color w:val="auto"/>
          <w:highlight w:val="none"/>
        </w:rPr>
        <w:t>.</w:t>
      </w:r>
      <w:r>
        <w:rPr>
          <w:rFonts w:hint="eastAsia"/>
          <w:color w:val="auto"/>
          <w:highlight w:val="none"/>
        </w:rPr>
        <w:t>2.1大气环境影响预测</w:t>
      </w:r>
    </w:p>
    <w:p>
      <w:pPr>
        <w:pStyle w:val="6"/>
        <w:ind w:firstLine="482"/>
        <w:rPr>
          <w:color w:val="auto"/>
          <w:highlight w:val="none"/>
        </w:rPr>
      </w:pPr>
      <w:r>
        <w:rPr>
          <w:rFonts w:hint="eastAsia"/>
          <w:color w:val="auto"/>
          <w:highlight w:val="none"/>
          <w:lang w:val="en-US" w:eastAsia="zh-CN"/>
        </w:rPr>
        <w:t>4</w:t>
      </w:r>
      <w:r>
        <w:rPr>
          <w:rFonts w:hint="eastAsia"/>
          <w:color w:val="auto"/>
          <w:highlight w:val="none"/>
        </w:rPr>
        <w:t>.2.1.1气象特征</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auto"/>
          <w:sz w:val="24"/>
          <w:highlight w:val="none"/>
        </w:rPr>
      </w:pPr>
      <w:r>
        <w:rPr>
          <w:rFonts w:hint="eastAsia" w:ascii="Times New Roman" w:hAnsi="Times New Roman"/>
          <w:color w:val="auto"/>
          <w:sz w:val="24"/>
          <w:highlight w:val="none"/>
        </w:rPr>
        <w:t>平舆县气候属于大陆性暖温带季风型的亚湿润气候，四季分明，气候温和。据平舆县气象台多年气象资料统计，城区年平均气温14.8℃，年平均气压 1006.9hPa，年平均相对湿度72</w:t>
      </w:r>
      <w:r>
        <w:rPr>
          <w:rFonts w:hint="eastAsia"/>
          <w:color w:val="auto"/>
          <w:sz w:val="24"/>
          <w:highlight w:val="none"/>
          <w:lang w:val="en-US" w:eastAsia="zh-CN"/>
        </w:rPr>
        <w:t>%</w:t>
      </w:r>
      <w:r>
        <w:rPr>
          <w:rFonts w:hint="eastAsia" w:ascii="Times New Roman" w:hAnsi="Times New Roman"/>
          <w:color w:val="auto"/>
          <w:sz w:val="24"/>
          <w:highlight w:val="none"/>
        </w:rPr>
        <w:t>，年日照时数2089小时，平均年降水量 870.7mm，多年平均风速3.4m/s</w:t>
      </w:r>
      <w:r>
        <w:rPr>
          <w:rFonts w:ascii="Times New Roman" w:hAnsi="Times New Roman"/>
          <w:color w:val="auto"/>
          <w:sz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auto"/>
          <w:sz w:val="24"/>
          <w:highlight w:val="none"/>
        </w:rPr>
      </w:pPr>
      <w:r>
        <w:rPr>
          <w:rFonts w:ascii="Times New Roman" w:hAnsi="Times New Roman"/>
          <w:color w:val="auto"/>
          <w:sz w:val="24"/>
          <w:highlight w:val="none"/>
        </w:rPr>
        <w:t>1）</w:t>
      </w:r>
      <w:r>
        <w:rPr>
          <w:rFonts w:hint="eastAsia" w:ascii="Times New Roman" w:hAnsi="Times New Roman"/>
          <w:color w:val="auto"/>
          <w:sz w:val="24"/>
          <w:highlight w:val="none"/>
        </w:rPr>
        <w:t>气象资料分析</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hint="eastAsia"/>
          <w:color w:val="auto"/>
          <w:sz w:val="24"/>
          <w:highlight w:val="none"/>
          <w:lang w:eastAsia="zh-CN"/>
        </w:rPr>
      </w:pPr>
      <w:r>
        <w:rPr>
          <w:rFonts w:hint="eastAsia"/>
          <w:color w:val="auto"/>
          <w:sz w:val="24"/>
          <w:highlight w:val="none"/>
          <w:lang w:eastAsia="zh-CN"/>
        </w:rPr>
        <w:t>平舆县属暖温带大陆性季风气候区。境内气候差异很小，气候特点四季分明，春季气温多变，夏热冬冷，秋季降温较快，雨热同季，干湿冷暖适中。光、热、水资源丰富，但雨水集中，易旱、易涝。光照充足，全年无霜期220天。多年平均气温17.5℃，最高气温42.2℃。年平均风速1.89m/s，全年以SSE风为主，据多年的统计资料，极端最大风速20.7m/s，春夏偏南风，秋冬偏北风。降水量年内分布不均，年平均降水量为755.2mm，降水多集中在夏季，降水量为382.8mm，冬季降水量最小为41.9mm。年蒸发量为1744.8mm，相对湿度为71.6%。</w:t>
      </w:r>
    </w:p>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auto"/>
          <w:sz w:val="24"/>
          <w:highlight w:val="none"/>
        </w:rPr>
      </w:pPr>
      <w:r>
        <w:rPr>
          <w:rFonts w:hint="eastAsia"/>
          <w:color w:val="auto"/>
          <w:sz w:val="24"/>
          <w:highlight w:val="none"/>
          <w:lang w:eastAsia="zh-CN"/>
        </w:rPr>
        <w:t>平舆县近30年历史气象资料统计结果详见表4</w:t>
      </w:r>
      <w:r>
        <w:rPr>
          <w:rFonts w:hint="eastAsia"/>
          <w:color w:val="auto"/>
          <w:sz w:val="24"/>
          <w:highlight w:val="none"/>
          <w:lang w:val="en-US" w:eastAsia="zh-CN"/>
        </w:rPr>
        <w:t>.2-1</w:t>
      </w:r>
      <w:r>
        <w:rPr>
          <w:rFonts w:ascii="Times New Roman" w:hAnsi="Times New Roman"/>
          <w:color w:val="auto"/>
          <w:sz w:val="24"/>
          <w:highlight w:val="none"/>
        </w:rPr>
        <w:t>。</w:t>
      </w:r>
    </w:p>
    <w:p>
      <w:pPr>
        <w:pStyle w:val="40"/>
        <w:rPr>
          <w:rFonts w:hint="eastAsia" w:ascii="Times New Roman" w:hAnsi="Times New Roman" w:eastAsia="宋体" w:cs="Times New Roman"/>
          <w:b/>
          <w:color w:val="auto"/>
          <w:kern w:val="2"/>
          <w:sz w:val="21"/>
          <w:szCs w:val="24"/>
          <w:highlight w:val="none"/>
          <w:lang w:val="en-US" w:eastAsia="zh-CN" w:bidi="ar-SA"/>
        </w:rPr>
      </w:pPr>
      <w:r>
        <w:rPr>
          <w:rFonts w:hint="eastAsia" w:ascii="Times New Roman" w:hAnsi="Times New Roman" w:eastAsia="宋体" w:cs="Times New Roman"/>
          <w:b/>
          <w:color w:val="auto"/>
          <w:kern w:val="2"/>
          <w:sz w:val="21"/>
          <w:szCs w:val="24"/>
          <w:highlight w:val="none"/>
          <w:lang w:val="en-US" w:eastAsia="zh-CN" w:bidi="ar-SA"/>
        </w:rPr>
        <w:t>表</w:t>
      </w:r>
      <w:r>
        <w:rPr>
          <w:rFonts w:hint="eastAsia" w:cs="Times New Roman"/>
          <w:b/>
          <w:color w:val="auto"/>
          <w:kern w:val="2"/>
          <w:sz w:val="21"/>
          <w:szCs w:val="24"/>
          <w:highlight w:val="none"/>
          <w:lang w:val="en-US" w:eastAsia="zh-CN" w:bidi="ar-SA"/>
        </w:rPr>
        <w:t>4</w:t>
      </w:r>
      <w:r>
        <w:rPr>
          <w:rFonts w:hint="eastAsia" w:ascii="Times New Roman" w:hAnsi="Times New Roman" w:eastAsia="宋体" w:cs="Times New Roman"/>
          <w:b/>
          <w:color w:val="auto"/>
          <w:kern w:val="2"/>
          <w:sz w:val="21"/>
          <w:szCs w:val="24"/>
          <w:highlight w:val="none"/>
          <w:lang w:val="en-US" w:eastAsia="zh-CN" w:bidi="ar-SA"/>
        </w:rPr>
        <w:t>.2-1 平舆县近30年历史气候资料统计结果</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2920"/>
        <w:gridCol w:w="2115"/>
        <w:gridCol w:w="21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序号</w:t>
            </w:r>
          </w:p>
        </w:tc>
        <w:tc>
          <w:tcPr>
            <w:tcW w:w="1726"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项目</w:t>
            </w:r>
          </w:p>
        </w:tc>
        <w:tc>
          <w:tcPr>
            <w:tcW w:w="1250"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单位</w:t>
            </w:r>
          </w:p>
        </w:tc>
        <w:tc>
          <w:tcPr>
            <w:tcW w:w="1250"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数值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1</w:t>
            </w:r>
          </w:p>
        </w:tc>
        <w:tc>
          <w:tcPr>
            <w:tcW w:w="1726"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平均气温</w:t>
            </w:r>
          </w:p>
        </w:tc>
        <w:tc>
          <w:tcPr>
            <w:tcW w:w="1250"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1250"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17.5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2</w:t>
            </w:r>
          </w:p>
        </w:tc>
        <w:tc>
          <w:tcPr>
            <w:tcW w:w="1726"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极端最高气温</w:t>
            </w:r>
          </w:p>
        </w:tc>
        <w:tc>
          <w:tcPr>
            <w:tcW w:w="1250"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1250"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42.2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3</w:t>
            </w:r>
          </w:p>
        </w:tc>
        <w:tc>
          <w:tcPr>
            <w:tcW w:w="1726"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极端最低气温</w:t>
            </w:r>
          </w:p>
        </w:tc>
        <w:tc>
          <w:tcPr>
            <w:tcW w:w="1250"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1250"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-11.6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4</w:t>
            </w:r>
          </w:p>
        </w:tc>
        <w:tc>
          <w:tcPr>
            <w:tcW w:w="1726"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年平均相对湿度</w:t>
            </w:r>
          </w:p>
        </w:tc>
        <w:tc>
          <w:tcPr>
            <w:tcW w:w="1250"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1250"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71.6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5</w:t>
            </w:r>
          </w:p>
        </w:tc>
        <w:tc>
          <w:tcPr>
            <w:tcW w:w="1726"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多年平均降水量</w:t>
            </w:r>
          </w:p>
        </w:tc>
        <w:tc>
          <w:tcPr>
            <w:tcW w:w="1250"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mm</w:t>
            </w:r>
          </w:p>
        </w:tc>
        <w:tc>
          <w:tcPr>
            <w:tcW w:w="1250"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755.2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6</w:t>
            </w:r>
          </w:p>
        </w:tc>
        <w:tc>
          <w:tcPr>
            <w:tcW w:w="1726"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多年平均蒸发量</w:t>
            </w:r>
          </w:p>
        </w:tc>
        <w:tc>
          <w:tcPr>
            <w:tcW w:w="1250"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mm</w:t>
            </w:r>
          </w:p>
        </w:tc>
        <w:tc>
          <w:tcPr>
            <w:tcW w:w="1250"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1744.8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7</w:t>
            </w:r>
          </w:p>
        </w:tc>
        <w:tc>
          <w:tcPr>
            <w:tcW w:w="1726"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多年平均气压</w:t>
            </w:r>
          </w:p>
        </w:tc>
        <w:tc>
          <w:tcPr>
            <w:tcW w:w="1250"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hPa</w:t>
            </w:r>
          </w:p>
        </w:tc>
        <w:tc>
          <w:tcPr>
            <w:tcW w:w="1250"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979.1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8</w:t>
            </w:r>
          </w:p>
        </w:tc>
        <w:tc>
          <w:tcPr>
            <w:tcW w:w="1726"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多年平均风速</w:t>
            </w:r>
          </w:p>
        </w:tc>
        <w:tc>
          <w:tcPr>
            <w:tcW w:w="1250"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m/s</w:t>
            </w:r>
          </w:p>
        </w:tc>
        <w:tc>
          <w:tcPr>
            <w:tcW w:w="1250" w:type="pct"/>
            <w:tcBorders>
              <w:tl2br w:val="nil"/>
              <w:tr2bl w:val="nil"/>
            </w:tcBorders>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1.89</w:t>
            </w:r>
          </w:p>
        </w:tc>
      </w:tr>
    </w:tbl>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ascii="Times New Roman" w:hAnsi="Times New Roman"/>
          <w:color w:val="auto"/>
          <w:sz w:val="24"/>
          <w:highlight w:val="none"/>
        </w:rPr>
      </w:pPr>
      <w:r>
        <w:rPr>
          <w:rFonts w:ascii="Times New Roman" w:hAnsi="Times New Roman"/>
          <w:color w:val="auto"/>
          <w:sz w:val="24"/>
          <w:highlight w:val="none"/>
        </w:rPr>
        <w:t>A、</w:t>
      </w:r>
      <w:r>
        <w:rPr>
          <w:rFonts w:hint="eastAsia" w:ascii="Times New Roman" w:hAnsi="Times New Roman"/>
          <w:color w:val="auto"/>
          <w:sz w:val="24"/>
          <w:highlight w:val="none"/>
        </w:rPr>
        <w:t>温度</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olor w:val="auto"/>
          <w:sz w:val="24"/>
          <w:highlight w:val="none"/>
        </w:rPr>
      </w:pPr>
      <w:r>
        <w:rPr>
          <w:rFonts w:hint="eastAsia"/>
          <w:color w:val="auto"/>
          <w:highlight w:val="none"/>
        </w:rPr>
        <w:t>当地年平均气温月变化情况见表</w:t>
      </w:r>
      <w:r>
        <w:rPr>
          <w:rFonts w:hint="eastAsia"/>
          <w:color w:val="auto"/>
          <w:highlight w:val="none"/>
          <w:lang w:val="en-US" w:eastAsia="zh-CN"/>
        </w:rPr>
        <w:t>4.2-2</w:t>
      </w:r>
      <w:r>
        <w:rPr>
          <w:rFonts w:hint="eastAsia"/>
          <w:color w:val="auto"/>
          <w:highlight w:val="none"/>
        </w:rPr>
        <w:t>，年平均气温月变化曲线见图4-1。从年平均气温月变化资料中可以看出平舆县7月份平均气温最高（27.6ºC），2月份气温平均最低（3.1ºC）</w:t>
      </w:r>
      <w:r>
        <w:rPr>
          <w:rFonts w:ascii="Times New Roman" w:hAnsi="Times New Roman"/>
          <w:color w:val="auto"/>
          <w:sz w:val="24"/>
          <w:highlight w:val="none"/>
        </w:rPr>
        <w:t>。</w:t>
      </w:r>
    </w:p>
    <w:p>
      <w:pPr>
        <w:pStyle w:val="40"/>
        <w:rPr>
          <w:rFonts w:hint="eastAsia" w:ascii="Times New Roman" w:hAnsi="Times New Roman" w:eastAsia="宋体" w:cs="Times New Roman"/>
          <w:b/>
          <w:color w:val="auto"/>
          <w:kern w:val="2"/>
          <w:sz w:val="21"/>
          <w:szCs w:val="24"/>
          <w:highlight w:val="none"/>
          <w:lang w:val="en-US" w:eastAsia="zh-CN" w:bidi="ar-SA"/>
        </w:rPr>
      </w:pPr>
      <w:r>
        <w:rPr>
          <w:rFonts w:hint="eastAsia" w:ascii="Times New Roman" w:hAnsi="Times New Roman" w:eastAsia="宋体" w:cs="Times New Roman"/>
          <w:b/>
          <w:color w:val="auto"/>
          <w:kern w:val="2"/>
          <w:sz w:val="21"/>
          <w:szCs w:val="24"/>
          <w:highlight w:val="none"/>
          <w:lang w:val="en-US" w:eastAsia="zh-CN" w:bidi="ar-SA"/>
        </w:rPr>
        <w:t>表4</w:t>
      </w:r>
      <w:r>
        <w:rPr>
          <w:rFonts w:hint="eastAsia" w:cs="Times New Roman"/>
          <w:b/>
          <w:color w:val="auto"/>
          <w:kern w:val="2"/>
          <w:sz w:val="21"/>
          <w:szCs w:val="24"/>
          <w:highlight w:val="none"/>
          <w:lang w:val="en-US" w:eastAsia="zh-CN" w:bidi="ar-SA"/>
        </w:rPr>
        <w:t>.2</w:t>
      </w:r>
      <w:r>
        <w:rPr>
          <w:rFonts w:hint="eastAsia" w:ascii="Times New Roman" w:hAnsi="Times New Roman" w:eastAsia="宋体" w:cs="Times New Roman"/>
          <w:b/>
          <w:color w:val="auto"/>
          <w:kern w:val="2"/>
          <w:sz w:val="21"/>
          <w:szCs w:val="24"/>
          <w:highlight w:val="none"/>
          <w:lang w:val="en-US" w:eastAsia="zh-CN" w:bidi="ar-SA"/>
        </w:rPr>
        <w:t>-</w:t>
      </w:r>
      <w:r>
        <w:rPr>
          <w:rFonts w:hint="eastAsia" w:cs="Times New Roman"/>
          <w:b/>
          <w:color w:val="auto"/>
          <w:kern w:val="2"/>
          <w:sz w:val="21"/>
          <w:szCs w:val="24"/>
          <w:highlight w:val="none"/>
          <w:lang w:val="en-US" w:eastAsia="zh-CN" w:bidi="ar-SA"/>
        </w:rPr>
        <w:t>2</w:t>
      </w:r>
      <w:r>
        <w:rPr>
          <w:rFonts w:hint="eastAsia" w:ascii="Times New Roman" w:hAnsi="Times New Roman" w:eastAsia="宋体" w:cs="Times New Roman"/>
          <w:b/>
          <w:color w:val="auto"/>
          <w:kern w:val="2"/>
          <w:sz w:val="21"/>
          <w:szCs w:val="24"/>
          <w:highlight w:val="none"/>
          <w:lang w:val="en-US" w:eastAsia="zh-CN" w:bidi="ar-SA"/>
        </w:rPr>
        <w:t xml:space="preserve"> 年平均温度月变化</w:t>
      </w:r>
    </w:p>
    <w:tbl>
      <w:tblPr>
        <w:tblStyle w:val="24"/>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609"/>
        <w:gridCol w:w="496"/>
        <w:gridCol w:w="609"/>
        <w:gridCol w:w="609"/>
        <w:gridCol w:w="609"/>
        <w:gridCol w:w="609"/>
        <w:gridCol w:w="609"/>
        <w:gridCol w:w="609"/>
        <w:gridCol w:w="609"/>
        <w:gridCol w:w="609"/>
        <w:gridCol w:w="554"/>
        <w:gridCol w:w="554"/>
        <w:gridCol w:w="6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6"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月份</w:t>
            </w:r>
          </w:p>
        </w:tc>
        <w:tc>
          <w:tcPr>
            <w:tcW w:w="367"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1月</w:t>
            </w:r>
          </w:p>
        </w:tc>
        <w:tc>
          <w:tcPr>
            <w:tcW w:w="299"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2月</w:t>
            </w:r>
          </w:p>
        </w:tc>
        <w:tc>
          <w:tcPr>
            <w:tcW w:w="367"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3月</w:t>
            </w:r>
          </w:p>
        </w:tc>
        <w:tc>
          <w:tcPr>
            <w:tcW w:w="367"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4月</w:t>
            </w:r>
          </w:p>
        </w:tc>
        <w:tc>
          <w:tcPr>
            <w:tcW w:w="367"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5月</w:t>
            </w:r>
          </w:p>
        </w:tc>
        <w:tc>
          <w:tcPr>
            <w:tcW w:w="367"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6月</w:t>
            </w:r>
          </w:p>
        </w:tc>
        <w:tc>
          <w:tcPr>
            <w:tcW w:w="367"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7月</w:t>
            </w:r>
          </w:p>
        </w:tc>
        <w:tc>
          <w:tcPr>
            <w:tcW w:w="367"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8月</w:t>
            </w:r>
          </w:p>
        </w:tc>
        <w:tc>
          <w:tcPr>
            <w:tcW w:w="367"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9月</w:t>
            </w:r>
          </w:p>
        </w:tc>
        <w:tc>
          <w:tcPr>
            <w:tcW w:w="367"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10月</w:t>
            </w:r>
          </w:p>
        </w:tc>
        <w:tc>
          <w:tcPr>
            <w:tcW w:w="333"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11月</w:t>
            </w:r>
          </w:p>
        </w:tc>
        <w:tc>
          <w:tcPr>
            <w:tcW w:w="333"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12月</w:t>
            </w:r>
          </w:p>
        </w:tc>
        <w:tc>
          <w:tcPr>
            <w:tcW w:w="361"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全年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6"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温度</w:t>
            </w:r>
          </w:p>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r>
              <w:rPr>
                <w:rFonts w:hint="default" w:ascii="Times New Roman" w:hAnsi="Times New Roman" w:cs="Times New Roman"/>
                <w:color w:val="auto"/>
                <w:sz w:val="21"/>
                <w:szCs w:val="21"/>
                <w:highlight w:val="none"/>
              </w:rPr>
              <w:t>°C</w:t>
            </w:r>
            <w:r>
              <w:rPr>
                <w:rFonts w:hint="eastAsia" w:cs="Times New Roman"/>
                <w:color w:val="auto"/>
                <w:sz w:val="21"/>
                <w:szCs w:val="21"/>
                <w:highlight w:val="none"/>
              </w:rPr>
              <w:t>)</w:t>
            </w:r>
          </w:p>
        </w:tc>
        <w:tc>
          <w:tcPr>
            <w:tcW w:w="367"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-1.93</w:t>
            </w:r>
          </w:p>
        </w:tc>
        <w:tc>
          <w:tcPr>
            <w:tcW w:w="299"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0.51</w:t>
            </w:r>
          </w:p>
        </w:tc>
        <w:tc>
          <w:tcPr>
            <w:tcW w:w="367"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10.18</w:t>
            </w:r>
          </w:p>
        </w:tc>
        <w:tc>
          <w:tcPr>
            <w:tcW w:w="367"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14.74</w:t>
            </w:r>
          </w:p>
        </w:tc>
        <w:tc>
          <w:tcPr>
            <w:tcW w:w="367"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21.30</w:t>
            </w:r>
          </w:p>
        </w:tc>
        <w:tc>
          <w:tcPr>
            <w:tcW w:w="367"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24.23</w:t>
            </w:r>
          </w:p>
        </w:tc>
        <w:tc>
          <w:tcPr>
            <w:tcW w:w="367"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25.73</w:t>
            </w:r>
          </w:p>
        </w:tc>
        <w:tc>
          <w:tcPr>
            <w:tcW w:w="367"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25.56</w:t>
            </w:r>
          </w:p>
        </w:tc>
        <w:tc>
          <w:tcPr>
            <w:tcW w:w="367"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20.95</w:t>
            </w:r>
          </w:p>
        </w:tc>
        <w:tc>
          <w:tcPr>
            <w:tcW w:w="367"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16.12</w:t>
            </w:r>
          </w:p>
        </w:tc>
        <w:tc>
          <w:tcPr>
            <w:tcW w:w="333"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8.48</w:t>
            </w:r>
          </w:p>
        </w:tc>
        <w:tc>
          <w:tcPr>
            <w:tcW w:w="333"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1.86</w:t>
            </w:r>
          </w:p>
        </w:tc>
        <w:tc>
          <w:tcPr>
            <w:tcW w:w="361"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14.02</w:t>
            </w:r>
          </w:p>
        </w:tc>
      </w:tr>
    </w:tbl>
    <w:p>
      <w:pPr>
        <w:pStyle w:val="2"/>
        <w:rPr>
          <w:color w:val="auto"/>
          <w:highlight w:val="none"/>
        </w:rPr>
      </w:pPr>
      <w:r>
        <w:rPr>
          <w:color w:val="auto"/>
          <w:highlight w:val="none"/>
        </w:rPr>
        <w:drawing>
          <wp:inline distT="0" distB="0" distL="114300" distR="114300">
            <wp:extent cx="5231130" cy="1722120"/>
            <wp:effectExtent l="0" t="0" r="7620" b="1143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36"/>
                    <a:stretch>
                      <a:fillRect/>
                    </a:stretch>
                  </pic:blipFill>
                  <pic:spPr>
                    <a:xfrm>
                      <a:off x="0" y="0"/>
                      <a:ext cx="5231130" cy="1722120"/>
                    </a:xfrm>
                    <a:prstGeom prst="rect">
                      <a:avLst/>
                    </a:prstGeom>
                    <a:noFill/>
                    <a:ln>
                      <a:noFill/>
                    </a:ln>
                  </pic:spPr>
                </pic:pic>
              </a:graphicData>
            </a:graphic>
          </wp:inline>
        </w:drawing>
      </w:r>
    </w:p>
    <w:p>
      <w:pPr>
        <w:pStyle w:val="2"/>
        <w:jc w:val="center"/>
        <w:rPr>
          <w:rStyle w:val="43"/>
          <w:rFonts w:hint="eastAsia" w:ascii="Times New Roman" w:hAnsi="Times New Roman"/>
          <w:color w:val="auto"/>
          <w:szCs w:val="22"/>
          <w:highlight w:val="none"/>
          <w:lang w:val="en-US" w:eastAsia="zh-CN"/>
        </w:rPr>
      </w:pPr>
      <w:r>
        <w:rPr>
          <w:rStyle w:val="43"/>
          <w:rFonts w:hint="eastAsia" w:ascii="Times New Roman" w:hAnsi="Times New Roman"/>
          <w:color w:val="auto"/>
          <w:szCs w:val="22"/>
          <w:highlight w:val="none"/>
          <w:lang w:val="en-US" w:eastAsia="zh-CN"/>
        </w:rPr>
        <w:t>图4-1 年平均温度月变化图</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heme="minorBidi"/>
          <w:b w:val="0"/>
          <w:color w:val="auto"/>
          <w:kern w:val="2"/>
          <w:sz w:val="24"/>
          <w:szCs w:val="24"/>
          <w:highlight w:val="none"/>
          <w:lang w:val="en-US" w:eastAsia="zh-CN" w:bidi="ar-SA"/>
        </w:rPr>
      </w:pPr>
      <w:r>
        <w:rPr>
          <w:rFonts w:hint="eastAsia" w:cstheme="minorBidi"/>
          <w:b w:val="0"/>
          <w:color w:val="auto"/>
          <w:kern w:val="2"/>
          <w:sz w:val="24"/>
          <w:szCs w:val="24"/>
          <w:highlight w:val="none"/>
          <w:lang w:val="en-US" w:eastAsia="zh-CN" w:bidi="ar-SA"/>
        </w:rPr>
        <w:t>B、风速</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b w:val="0"/>
          <w:color w:val="auto"/>
          <w:kern w:val="2"/>
          <w:sz w:val="24"/>
          <w:szCs w:val="24"/>
          <w:highlight w:val="none"/>
          <w:lang w:val="en-US" w:eastAsia="zh-CN" w:bidi="ar-SA"/>
        </w:rPr>
      </w:pPr>
      <w:r>
        <w:rPr>
          <w:rFonts w:hint="eastAsia" w:ascii="Times New Roman" w:hAnsi="Times New Roman" w:eastAsia="宋体" w:cstheme="minorBidi"/>
          <w:b w:val="0"/>
          <w:color w:val="auto"/>
          <w:kern w:val="2"/>
          <w:sz w:val="24"/>
          <w:szCs w:val="24"/>
          <w:highlight w:val="none"/>
          <w:lang w:val="en-US" w:eastAsia="zh-CN" w:bidi="ar-SA"/>
        </w:rPr>
        <w:t>月平均风速随月份的变化和季小时平均风速的日变化情况分别见表4</w:t>
      </w:r>
      <w:r>
        <w:rPr>
          <w:rFonts w:hint="eastAsia" w:cstheme="minorBidi"/>
          <w:b w:val="0"/>
          <w:color w:val="auto"/>
          <w:kern w:val="2"/>
          <w:sz w:val="24"/>
          <w:szCs w:val="24"/>
          <w:highlight w:val="none"/>
          <w:lang w:val="en-US" w:eastAsia="zh-CN" w:bidi="ar-SA"/>
        </w:rPr>
        <w:t>.2</w:t>
      </w:r>
      <w:r>
        <w:rPr>
          <w:rFonts w:hint="eastAsia" w:ascii="Times New Roman" w:hAnsi="Times New Roman" w:eastAsia="宋体" w:cstheme="minorBidi"/>
          <w:b w:val="0"/>
          <w:color w:val="auto"/>
          <w:kern w:val="2"/>
          <w:sz w:val="24"/>
          <w:szCs w:val="24"/>
          <w:highlight w:val="none"/>
          <w:lang w:val="en-US" w:eastAsia="zh-CN" w:bidi="ar-SA"/>
        </w:rPr>
        <w:t>-</w:t>
      </w:r>
      <w:r>
        <w:rPr>
          <w:rFonts w:hint="eastAsia" w:cstheme="minorBidi"/>
          <w:b w:val="0"/>
          <w:color w:val="auto"/>
          <w:kern w:val="2"/>
          <w:sz w:val="24"/>
          <w:szCs w:val="24"/>
          <w:highlight w:val="none"/>
          <w:lang w:val="en-US" w:eastAsia="zh-CN" w:bidi="ar-SA"/>
        </w:rPr>
        <w:t>3</w:t>
      </w:r>
      <w:r>
        <w:rPr>
          <w:rFonts w:hint="eastAsia" w:ascii="Times New Roman" w:hAnsi="Times New Roman" w:eastAsia="宋体" w:cstheme="minorBidi"/>
          <w:b w:val="0"/>
          <w:color w:val="auto"/>
          <w:kern w:val="2"/>
          <w:sz w:val="24"/>
          <w:szCs w:val="24"/>
          <w:highlight w:val="none"/>
          <w:lang w:val="en-US" w:eastAsia="zh-CN" w:bidi="ar-SA"/>
        </w:rPr>
        <w:t>和表4</w:t>
      </w:r>
      <w:r>
        <w:rPr>
          <w:rFonts w:hint="eastAsia" w:cstheme="minorBidi"/>
          <w:b w:val="0"/>
          <w:color w:val="auto"/>
          <w:kern w:val="2"/>
          <w:sz w:val="24"/>
          <w:szCs w:val="24"/>
          <w:highlight w:val="none"/>
          <w:lang w:val="en-US" w:eastAsia="zh-CN" w:bidi="ar-SA"/>
        </w:rPr>
        <w:t>.2</w:t>
      </w:r>
      <w:r>
        <w:rPr>
          <w:rFonts w:hint="eastAsia" w:ascii="Times New Roman" w:hAnsi="Times New Roman" w:eastAsia="宋体" w:cstheme="minorBidi"/>
          <w:b w:val="0"/>
          <w:color w:val="auto"/>
          <w:kern w:val="2"/>
          <w:sz w:val="24"/>
          <w:szCs w:val="24"/>
          <w:highlight w:val="none"/>
          <w:lang w:val="en-US" w:eastAsia="zh-CN" w:bidi="ar-SA"/>
        </w:rPr>
        <w:t>-</w:t>
      </w:r>
      <w:r>
        <w:rPr>
          <w:rFonts w:hint="eastAsia" w:cstheme="minorBidi"/>
          <w:b w:val="0"/>
          <w:color w:val="auto"/>
          <w:kern w:val="2"/>
          <w:sz w:val="24"/>
          <w:szCs w:val="24"/>
          <w:highlight w:val="none"/>
          <w:lang w:val="en-US" w:eastAsia="zh-CN" w:bidi="ar-SA"/>
        </w:rPr>
        <w:t>4</w:t>
      </w:r>
      <w:r>
        <w:rPr>
          <w:rFonts w:hint="eastAsia" w:ascii="Times New Roman" w:hAnsi="Times New Roman" w:eastAsia="宋体" w:cstheme="minorBidi"/>
          <w:b w:val="0"/>
          <w:color w:val="auto"/>
          <w:kern w:val="2"/>
          <w:sz w:val="24"/>
          <w:szCs w:val="24"/>
          <w:highlight w:val="none"/>
          <w:lang w:val="en-US" w:eastAsia="zh-CN" w:bidi="ar-SA"/>
        </w:rPr>
        <w:t>，月平均风速、各季小时的平均风速变化曲线见</w:t>
      </w:r>
      <w:r>
        <w:rPr>
          <w:rFonts w:hint="eastAsia" w:cstheme="minorBidi"/>
          <w:b w:val="0"/>
          <w:color w:val="auto"/>
          <w:kern w:val="2"/>
          <w:sz w:val="24"/>
          <w:szCs w:val="24"/>
          <w:highlight w:val="none"/>
          <w:lang w:val="en-US" w:eastAsia="zh-CN" w:bidi="ar-SA"/>
        </w:rPr>
        <w:t>图</w:t>
      </w:r>
      <w:r>
        <w:rPr>
          <w:rFonts w:hint="eastAsia" w:ascii="Times New Roman" w:hAnsi="Times New Roman" w:eastAsia="宋体" w:cstheme="minorBidi"/>
          <w:b w:val="0"/>
          <w:color w:val="auto"/>
          <w:kern w:val="2"/>
          <w:sz w:val="24"/>
          <w:szCs w:val="24"/>
          <w:highlight w:val="none"/>
          <w:lang w:val="en-US" w:eastAsia="zh-CN" w:bidi="ar-SA"/>
        </w:rPr>
        <w:t>4</w:t>
      </w:r>
      <w:r>
        <w:rPr>
          <w:rFonts w:hint="eastAsia" w:cstheme="minorBidi"/>
          <w:b w:val="0"/>
          <w:color w:val="auto"/>
          <w:kern w:val="2"/>
          <w:sz w:val="24"/>
          <w:szCs w:val="24"/>
          <w:highlight w:val="none"/>
          <w:lang w:val="en-US" w:eastAsia="zh-CN" w:bidi="ar-SA"/>
        </w:rPr>
        <w:t>-2</w:t>
      </w:r>
      <w:r>
        <w:rPr>
          <w:rFonts w:hint="eastAsia" w:ascii="Times New Roman" w:hAnsi="Times New Roman" w:eastAsia="宋体" w:cstheme="minorBidi"/>
          <w:b w:val="0"/>
          <w:color w:val="auto"/>
          <w:kern w:val="2"/>
          <w:sz w:val="24"/>
          <w:szCs w:val="24"/>
          <w:highlight w:val="none"/>
          <w:lang w:val="en-US" w:eastAsia="zh-CN" w:bidi="ar-SA"/>
        </w:rPr>
        <w:t>和图4</w:t>
      </w:r>
      <w:r>
        <w:rPr>
          <w:rFonts w:hint="eastAsia" w:cstheme="minorBidi"/>
          <w:b w:val="0"/>
          <w:color w:val="auto"/>
          <w:kern w:val="2"/>
          <w:sz w:val="24"/>
          <w:szCs w:val="24"/>
          <w:highlight w:val="none"/>
          <w:lang w:val="en-US" w:eastAsia="zh-CN" w:bidi="ar-SA"/>
        </w:rPr>
        <w:t>-3</w:t>
      </w:r>
      <w:r>
        <w:rPr>
          <w:rFonts w:hint="eastAsia" w:ascii="Times New Roman" w:hAnsi="Times New Roman" w:eastAsia="宋体" w:cstheme="minorBidi"/>
          <w:b w:val="0"/>
          <w:color w:val="auto"/>
          <w:kern w:val="2"/>
          <w:sz w:val="24"/>
          <w:szCs w:val="24"/>
          <w:highlight w:val="none"/>
          <w:lang w:val="en-US" w:eastAsia="zh-CN" w:bidi="ar-SA"/>
        </w:rPr>
        <w:t>。</w:t>
      </w:r>
    </w:p>
    <w:p>
      <w:pPr>
        <w:pStyle w:val="40"/>
        <w:rPr>
          <w:rFonts w:hint="eastAsia"/>
          <w:color w:val="auto"/>
          <w:highlight w:val="none"/>
          <w:lang w:val="en-US" w:eastAsia="zh-CN"/>
        </w:rPr>
      </w:pPr>
      <w:r>
        <w:rPr>
          <w:rFonts w:hint="eastAsia"/>
          <w:color w:val="auto"/>
          <w:highlight w:val="none"/>
          <w:lang w:val="en-US" w:eastAsia="zh-CN"/>
        </w:rPr>
        <w:t>表4.2-3 年平均风速（m/s）  单位：m/s</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584"/>
        <w:gridCol w:w="584"/>
        <w:gridCol w:w="584"/>
        <w:gridCol w:w="584"/>
        <w:gridCol w:w="584"/>
        <w:gridCol w:w="584"/>
        <w:gridCol w:w="576"/>
        <w:gridCol w:w="584"/>
        <w:gridCol w:w="576"/>
        <w:gridCol w:w="584"/>
        <w:gridCol w:w="585"/>
        <w:gridCol w:w="585"/>
        <w:gridCol w:w="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71" w:type="pct"/>
            <w:tcBorders>
              <w:top w:val="single" w:color="auto" w:sz="12" w:space="0"/>
              <w:left w:val="single" w:color="auto" w:sz="12" w:space="0"/>
            </w:tcBorders>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月份</w:t>
            </w:r>
          </w:p>
        </w:tc>
        <w:tc>
          <w:tcPr>
            <w:tcW w:w="380" w:type="pct"/>
            <w:tcBorders>
              <w:top w:val="single" w:color="auto" w:sz="12" w:space="0"/>
            </w:tcBorders>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w:t>
            </w:r>
          </w:p>
        </w:tc>
        <w:tc>
          <w:tcPr>
            <w:tcW w:w="286" w:type="pct"/>
            <w:tcBorders>
              <w:top w:val="single" w:color="auto" w:sz="12" w:space="0"/>
            </w:tcBorders>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w:t>
            </w:r>
          </w:p>
        </w:tc>
        <w:tc>
          <w:tcPr>
            <w:tcW w:w="286" w:type="pct"/>
            <w:tcBorders>
              <w:top w:val="single" w:color="auto" w:sz="12" w:space="0"/>
            </w:tcBorders>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w:t>
            </w:r>
          </w:p>
        </w:tc>
        <w:tc>
          <w:tcPr>
            <w:tcW w:w="286" w:type="pct"/>
            <w:tcBorders>
              <w:top w:val="single" w:color="auto" w:sz="12" w:space="0"/>
            </w:tcBorders>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w:t>
            </w:r>
          </w:p>
        </w:tc>
        <w:tc>
          <w:tcPr>
            <w:tcW w:w="286" w:type="pct"/>
            <w:tcBorders>
              <w:top w:val="single" w:color="auto" w:sz="12" w:space="0"/>
            </w:tcBorders>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w:t>
            </w:r>
          </w:p>
        </w:tc>
        <w:tc>
          <w:tcPr>
            <w:tcW w:w="342" w:type="pct"/>
            <w:tcBorders>
              <w:top w:val="single" w:color="auto" w:sz="12" w:space="0"/>
            </w:tcBorders>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6</w:t>
            </w:r>
          </w:p>
        </w:tc>
        <w:tc>
          <w:tcPr>
            <w:tcW w:w="285" w:type="pct"/>
            <w:tcBorders>
              <w:top w:val="single" w:color="auto" w:sz="12" w:space="0"/>
            </w:tcBorders>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7</w:t>
            </w:r>
          </w:p>
        </w:tc>
        <w:tc>
          <w:tcPr>
            <w:tcW w:w="286" w:type="pct"/>
            <w:tcBorders>
              <w:top w:val="single" w:color="auto" w:sz="12" w:space="0"/>
            </w:tcBorders>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8</w:t>
            </w:r>
          </w:p>
        </w:tc>
        <w:tc>
          <w:tcPr>
            <w:tcW w:w="286" w:type="pct"/>
            <w:tcBorders>
              <w:top w:val="single" w:color="auto" w:sz="12" w:space="0"/>
            </w:tcBorders>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9</w:t>
            </w:r>
          </w:p>
        </w:tc>
        <w:tc>
          <w:tcPr>
            <w:tcW w:w="381" w:type="pct"/>
            <w:tcBorders>
              <w:top w:val="single" w:color="auto" w:sz="12" w:space="0"/>
            </w:tcBorders>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10</w:t>
            </w:r>
          </w:p>
        </w:tc>
        <w:tc>
          <w:tcPr>
            <w:tcW w:w="371" w:type="pct"/>
            <w:tcBorders>
              <w:top w:val="single" w:color="auto" w:sz="12" w:space="0"/>
            </w:tcBorders>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11</w:t>
            </w:r>
          </w:p>
        </w:tc>
        <w:tc>
          <w:tcPr>
            <w:tcW w:w="380" w:type="pct"/>
            <w:tcBorders>
              <w:top w:val="single" w:color="auto" w:sz="12" w:space="0"/>
            </w:tcBorders>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12</w:t>
            </w:r>
          </w:p>
        </w:tc>
        <w:tc>
          <w:tcPr>
            <w:tcW w:w="570" w:type="pct"/>
            <w:tcBorders>
              <w:top w:val="single" w:color="auto" w:sz="12" w:space="0"/>
              <w:right w:val="single" w:color="auto" w:sz="12" w:space="0"/>
            </w:tcBorders>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pct"/>
            <w:tcBorders>
              <w:left w:val="single" w:color="auto" w:sz="12" w:space="0"/>
              <w:bottom w:val="single" w:color="auto" w:sz="12" w:space="0"/>
            </w:tcBorders>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风速</w:t>
            </w:r>
          </w:p>
        </w:tc>
        <w:tc>
          <w:tcPr>
            <w:tcW w:w="643" w:type="dxa"/>
            <w:tcBorders>
              <w:bottom w:val="single" w:color="auto" w:sz="12" w:space="0"/>
            </w:tcBorders>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1.46</w:t>
            </w:r>
          </w:p>
        </w:tc>
        <w:tc>
          <w:tcPr>
            <w:tcW w:w="484" w:type="dxa"/>
            <w:tcBorders>
              <w:bottom w:val="single" w:color="auto" w:sz="12" w:space="0"/>
            </w:tcBorders>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1.62</w:t>
            </w:r>
          </w:p>
        </w:tc>
        <w:tc>
          <w:tcPr>
            <w:tcW w:w="484" w:type="dxa"/>
            <w:tcBorders>
              <w:bottom w:val="single" w:color="auto" w:sz="12" w:space="0"/>
            </w:tcBorders>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1.72</w:t>
            </w:r>
          </w:p>
        </w:tc>
        <w:tc>
          <w:tcPr>
            <w:tcW w:w="484" w:type="dxa"/>
            <w:tcBorders>
              <w:bottom w:val="single" w:color="auto" w:sz="12" w:space="0"/>
            </w:tcBorders>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1.34</w:t>
            </w:r>
          </w:p>
        </w:tc>
        <w:tc>
          <w:tcPr>
            <w:tcW w:w="484" w:type="dxa"/>
            <w:tcBorders>
              <w:bottom w:val="single" w:color="auto" w:sz="12" w:space="0"/>
            </w:tcBorders>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1.71</w:t>
            </w:r>
          </w:p>
        </w:tc>
        <w:tc>
          <w:tcPr>
            <w:tcW w:w="579" w:type="dxa"/>
            <w:tcBorders>
              <w:bottom w:val="single" w:color="auto" w:sz="12" w:space="0"/>
            </w:tcBorders>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1.32</w:t>
            </w:r>
          </w:p>
        </w:tc>
        <w:tc>
          <w:tcPr>
            <w:tcW w:w="483" w:type="dxa"/>
            <w:tcBorders>
              <w:bottom w:val="single" w:color="auto" w:sz="12" w:space="0"/>
            </w:tcBorders>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1.11</w:t>
            </w:r>
          </w:p>
        </w:tc>
        <w:tc>
          <w:tcPr>
            <w:tcW w:w="484" w:type="dxa"/>
            <w:tcBorders>
              <w:bottom w:val="single" w:color="auto" w:sz="12" w:space="0"/>
            </w:tcBorders>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1.01</w:t>
            </w:r>
          </w:p>
        </w:tc>
        <w:tc>
          <w:tcPr>
            <w:tcW w:w="484" w:type="dxa"/>
            <w:tcBorders>
              <w:bottom w:val="single" w:color="auto" w:sz="12" w:space="0"/>
            </w:tcBorders>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1.11</w:t>
            </w:r>
          </w:p>
        </w:tc>
        <w:tc>
          <w:tcPr>
            <w:tcW w:w="645" w:type="dxa"/>
            <w:tcBorders>
              <w:bottom w:val="single" w:color="auto" w:sz="12" w:space="0"/>
            </w:tcBorders>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1.29</w:t>
            </w:r>
          </w:p>
        </w:tc>
        <w:tc>
          <w:tcPr>
            <w:tcW w:w="629" w:type="dxa"/>
            <w:tcBorders>
              <w:bottom w:val="single" w:color="auto" w:sz="12" w:space="0"/>
            </w:tcBorders>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1.59</w:t>
            </w:r>
          </w:p>
        </w:tc>
        <w:tc>
          <w:tcPr>
            <w:tcW w:w="644" w:type="dxa"/>
            <w:tcBorders>
              <w:bottom w:val="single" w:color="auto" w:sz="12" w:space="0"/>
            </w:tcBorders>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1.30</w:t>
            </w:r>
          </w:p>
        </w:tc>
        <w:tc>
          <w:tcPr>
            <w:tcW w:w="966" w:type="dxa"/>
            <w:tcBorders>
              <w:bottom w:val="single" w:color="auto" w:sz="12" w:space="0"/>
              <w:right w:val="single" w:color="auto" w:sz="12" w:space="0"/>
            </w:tcBorders>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1.38</w:t>
            </w:r>
          </w:p>
        </w:tc>
      </w:tr>
    </w:tbl>
    <w:p>
      <w:pPr>
        <w:keepNext w:val="0"/>
        <w:keepLines w:val="0"/>
        <w:pageBreakBefore w:val="0"/>
        <w:widowControl/>
        <w:kinsoku/>
        <w:wordWrap/>
        <w:overflowPunct/>
        <w:topLinePunct w:val="0"/>
        <w:autoSpaceDE/>
        <w:autoSpaceDN/>
        <w:bidi w:val="0"/>
        <w:adjustRightInd/>
        <w:snapToGrid/>
        <w:ind w:left="0" w:leftChars="0" w:firstLine="0" w:firstLineChars="0"/>
        <w:jc w:val="left"/>
        <w:textAlignment w:val="auto"/>
        <w:rPr>
          <w:color w:val="auto"/>
          <w:highlight w:val="none"/>
        </w:rPr>
      </w:pPr>
      <w:r>
        <w:rPr>
          <w:color w:val="auto"/>
          <w:highlight w:val="none"/>
        </w:rPr>
        <w:drawing>
          <wp:inline distT="0" distB="0" distL="114300" distR="114300">
            <wp:extent cx="5232400" cy="1731645"/>
            <wp:effectExtent l="0" t="0" r="6350" b="190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37"/>
                    <a:stretch>
                      <a:fillRect/>
                    </a:stretch>
                  </pic:blipFill>
                  <pic:spPr>
                    <a:xfrm>
                      <a:off x="0" y="0"/>
                      <a:ext cx="5232400" cy="1731645"/>
                    </a:xfrm>
                    <a:prstGeom prst="rect">
                      <a:avLst/>
                    </a:prstGeom>
                    <a:noFill/>
                    <a:ln>
                      <a:noFill/>
                    </a:ln>
                  </pic:spPr>
                </pic:pic>
              </a:graphicData>
            </a:graphic>
          </wp:inline>
        </w:drawing>
      </w:r>
    </w:p>
    <w:p>
      <w:pPr>
        <w:pStyle w:val="2"/>
        <w:jc w:val="center"/>
        <w:rPr>
          <w:rStyle w:val="43"/>
          <w:rFonts w:hint="eastAsia" w:ascii="Times New Roman" w:hAnsi="Times New Roman"/>
          <w:color w:val="auto"/>
          <w:szCs w:val="22"/>
          <w:highlight w:val="none"/>
          <w:lang w:val="en-US" w:eastAsia="zh-CN"/>
        </w:rPr>
      </w:pPr>
      <w:r>
        <w:rPr>
          <w:rStyle w:val="43"/>
          <w:rFonts w:hint="eastAsia" w:ascii="Times New Roman" w:hAnsi="Times New Roman"/>
          <w:color w:val="auto"/>
          <w:szCs w:val="22"/>
          <w:highlight w:val="none"/>
          <w:lang w:val="en-US" w:eastAsia="zh-CN"/>
        </w:rPr>
        <w:t>图4-2 年平均风速月变化图</w:t>
      </w:r>
    </w:p>
    <w:p>
      <w:pPr>
        <w:pStyle w:val="40"/>
        <w:rPr>
          <w:rFonts w:hint="eastAsia"/>
          <w:color w:val="auto"/>
          <w:highlight w:val="none"/>
          <w:lang w:val="en-US" w:eastAsia="zh-CN"/>
        </w:rPr>
      </w:pPr>
      <w:r>
        <w:rPr>
          <w:rFonts w:hint="eastAsia"/>
          <w:color w:val="auto"/>
          <w:highlight w:val="none"/>
          <w:lang w:val="en-US" w:eastAsia="zh-CN"/>
        </w:rPr>
        <w:t>表4.2-4 季小时平均风速的日变化      单位：m/s</w:t>
      </w:r>
    </w:p>
    <w:tbl>
      <w:tblPr>
        <w:tblStyle w:val="24"/>
        <w:tblW w:w="499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615"/>
        <w:gridCol w:w="615"/>
        <w:gridCol w:w="615"/>
        <w:gridCol w:w="617"/>
        <w:gridCol w:w="617"/>
        <w:gridCol w:w="617"/>
        <w:gridCol w:w="617"/>
        <w:gridCol w:w="617"/>
        <w:gridCol w:w="617"/>
        <w:gridCol w:w="617"/>
        <w:gridCol w:w="618"/>
        <w:gridCol w:w="6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小时（h）</w:t>
            </w:r>
          </w:p>
        </w:tc>
        <w:tc>
          <w:tcPr>
            <w:tcW w:w="371"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w:t>
            </w:r>
          </w:p>
        </w:tc>
        <w:tc>
          <w:tcPr>
            <w:tcW w:w="371"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w:t>
            </w:r>
          </w:p>
        </w:tc>
        <w:tc>
          <w:tcPr>
            <w:tcW w:w="371"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6</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7</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8</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9</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11</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春季</w:t>
            </w:r>
          </w:p>
        </w:tc>
        <w:tc>
          <w:tcPr>
            <w:tcW w:w="371"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1"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1.23</w:t>
            </w:r>
          </w:p>
        </w:tc>
        <w:tc>
          <w:tcPr>
            <w:tcW w:w="371"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1.66</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夏季</w:t>
            </w:r>
          </w:p>
        </w:tc>
        <w:tc>
          <w:tcPr>
            <w:tcW w:w="371"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1"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0.72</w:t>
            </w:r>
          </w:p>
        </w:tc>
        <w:tc>
          <w:tcPr>
            <w:tcW w:w="371"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1.38</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秋季</w:t>
            </w:r>
          </w:p>
        </w:tc>
        <w:tc>
          <w:tcPr>
            <w:tcW w:w="371"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1"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1.01</w:t>
            </w:r>
          </w:p>
        </w:tc>
        <w:tc>
          <w:tcPr>
            <w:tcW w:w="371"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1.42</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冬季</w:t>
            </w:r>
          </w:p>
        </w:tc>
        <w:tc>
          <w:tcPr>
            <w:tcW w:w="371"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1"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1.27</w:t>
            </w:r>
          </w:p>
        </w:tc>
        <w:tc>
          <w:tcPr>
            <w:tcW w:w="371"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1.38</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小时（h）</w:t>
            </w:r>
          </w:p>
        </w:tc>
        <w:tc>
          <w:tcPr>
            <w:tcW w:w="371"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13</w:t>
            </w:r>
          </w:p>
        </w:tc>
        <w:tc>
          <w:tcPr>
            <w:tcW w:w="371"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14</w:t>
            </w:r>
          </w:p>
        </w:tc>
        <w:tc>
          <w:tcPr>
            <w:tcW w:w="371"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15</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16</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17</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18</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19</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21</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22</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23</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春季</w:t>
            </w:r>
          </w:p>
        </w:tc>
        <w:tc>
          <w:tcPr>
            <w:tcW w:w="371"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1"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2.38</w:t>
            </w:r>
          </w:p>
        </w:tc>
        <w:tc>
          <w:tcPr>
            <w:tcW w:w="371"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1.11</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夏季</w:t>
            </w:r>
          </w:p>
        </w:tc>
        <w:tc>
          <w:tcPr>
            <w:tcW w:w="371"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1"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1.79</w:t>
            </w:r>
          </w:p>
        </w:tc>
        <w:tc>
          <w:tcPr>
            <w:tcW w:w="371"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0.70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秋季</w:t>
            </w:r>
          </w:p>
        </w:tc>
        <w:tc>
          <w:tcPr>
            <w:tcW w:w="371"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1"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1.99</w:t>
            </w:r>
          </w:p>
        </w:tc>
        <w:tc>
          <w:tcPr>
            <w:tcW w:w="371"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0.91</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pct"/>
            <w:tcBorders>
              <w:tl2br w:val="nil"/>
              <w:tr2bl w:val="nil"/>
            </w:tcBorders>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冬季</w:t>
            </w:r>
          </w:p>
        </w:tc>
        <w:tc>
          <w:tcPr>
            <w:tcW w:w="371"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1"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2.12</w:t>
            </w:r>
          </w:p>
        </w:tc>
        <w:tc>
          <w:tcPr>
            <w:tcW w:w="371"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1.05</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372" w:type="pct"/>
            <w:tcBorders>
              <w:tl2br w:val="nil"/>
              <w:tr2bl w:val="nil"/>
            </w:tcBorders>
            <w:shd w:val="clear" w:color="auto" w:fill="FFFFFF"/>
            <w:tcMar>
              <w:top w:w="0" w:type="dxa"/>
              <w:left w:w="28" w:type="dxa"/>
              <w:bottom w:w="0" w:type="dxa"/>
              <w:right w:w="28"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r>
    </w:tbl>
    <w:p>
      <w:pPr>
        <w:pStyle w:val="2"/>
        <w:ind w:left="0" w:leftChars="0" w:firstLine="0" w:firstLineChars="0"/>
        <w:jc w:val="left"/>
        <w:rPr>
          <w:color w:val="auto"/>
          <w:highlight w:val="none"/>
        </w:rPr>
      </w:pPr>
      <w:r>
        <w:rPr>
          <w:color w:val="auto"/>
          <w:highlight w:val="none"/>
        </w:rPr>
        <w:drawing>
          <wp:inline distT="0" distB="0" distL="114300" distR="114300">
            <wp:extent cx="5230495" cy="2020570"/>
            <wp:effectExtent l="0" t="0" r="8255" b="1778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38"/>
                    <a:stretch>
                      <a:fillRect/>
                    </a:stretch>
                  </pic:blipFill>
                  <pic:spPr>
                    <a:xfrm>
                      <a:off x="0" y="0"/>
                      <a:ext cx="5230495" cy="2020570"/>
                    </a:xfrm>
                    <a:prstGeom prst="rect">
                      <a:avLst/>
                    </a:prstGeom>
                    <a:noFill/>
                    <a:ln>
                      <a:noFill/>
                    </a:ln>
                  </pic:spPr>
                </pic:pic>
              </a:graphicData>
            </a:graphic>
          </wp:inline>
        </w:drawing>
      </w:r>
    </w:p>
    <w:p>
      <w:pPr>
        <w:pStyle w:val="2"/>
        <w:jc w:val="center"/>
        <w:rPr>
          <w:rStyle w:val="43"/>
          <w:rFonts w:hint="eastAsia" w:ascii="Times New Roman" w:hAnsi="Times New Roman"/>
          <w:color w:val="auto"/>
          <w:szCs w:val="22"/>
          <w:highlight w:val="none"/>
          <w:lang w:val="en-US" w:eastAsia="zh-CN"/>
        </w:rPr>
      </w:pPr>
      <w:r>
        <w:rPr>
          <w:rStyle w:val="43"/>
          <w:rFonts w:hint="eastAsia" w:ascii="Times New Roman" w:hAnsi="Times New Roman"/>
          <w:color w:val="auto"/>
          <w:szCs w:val="22"/>
          <w:highlight w:val="none"/>
          <w:lang w:val="en-US" w:eastAsia="zh-CN"/>
        </w:rPr>
        <w:t>图4-</w:t>
      </w:r>
      <w:r>
        <w:rPr>
          <w:rStyle w:val="43"/>
          <w:rFonts w:hint="eastAsia"/>
          <w:color w:val="auto"/>
          <w:szCs w:val="22"/>
          <w:highlight w:val="none"/>
          <w:lang w:val="en-US" w:eastAsia="zh-CN"/>
        </w:rPr>
        <w:t>3</w:t>
      </w:r>
      <w:r>
        <w:rPr>
          <w:rStyle w:val="43"/>
          <w:rFonts w:hint="eastAsia" w:ascii="Times New Roman" w:hAnsi="Times New Roman"/>
          <w:color w:val="auto"/>
          <w:szCs w:val="22"/>
          <w:highlight w:val="none"/>
          <w:lang w:val="en-US" w:eastAsia="zh-CN"/>
        </w:rPr>
        <w:t xml:space="preserve"> 季小时平均风速日变化图</w:t>
      </w:r>
    </w:p>
    <w:p>
      <w:pPr>
        <w:pStyle w:val="2"/>
        <w:keepNext w:val="0"/>
        <w:keepLines w:val="0"/>
        <w:pageBreakBefore w:val="0"/>
        <w:widowControl/>
        <w:kinsoku/>
        <w:wordWrap/>
        <w:overflowPunct/>
        <w:topLinePunct w:val="0"/>
        <w:autoSpaceDE/>
        <w:autoSpaceDN/>
        <w:bidi w:val="0"/>
        <w:adjustRightInd/>
        <w:snapToGrid/>
        <w:ind w:left="0" w:leftChars="0" w:firstLine="480" w:firstLineChars="200"/>
        <w:jc w:val="both"/>
        <w:textAlignment w:val="auto"/>
        <w:rPr>
          <w:rFonts w:hint="eastAsia"/>
          <w:color w:val="auto"/>
          <w:highlight w:val="none"/>
          <w:lang w:val="en-US" w:eastAsia="zh-CN"/>
        </w:rPr>
      </w:pPr>
      <w:r>
        <w:rPr>
          <w:rFonts w:hint="eastAsia"/>
          <w:color w:val="auto"/>
          <w:highlight w:val="none"/>
          <w:lang w:val="en-US" w:eastAsia="zh-CN"/>
        </w:rPr>
        <w:t>从月平均风速统计资料中可以看出平舆县5月份平均风速最高（1.71m/s），8月份平均风速最低（1.01m/s）；从各季小时月平均风速统计资料中可以看出平舆县在春季最高，夏季风速最低，一天内14：00的平均风速最高。</w:t>
      </w:r>
    </w:p>
    <w:p>
      <w:pPr>
        <w:pStyle w:val="2"/>
        <w:keepNext w:val="0"/>
        <w:keepLines w:val="0"/>
        <w:pageBreakBefore w:val="0"/>
        <w:widowControl/>
        <w:numPr>
          <w:ilvl w:val="0"/>
          <w:numId w:val="15"/>
        </w:numPr>
        <w:kinsoku/>
        <w:wordWrap/>
        <w:overflowPunct/>
        <w:topLinePunct w:val="0"/>
        <w:autoSpaceDE/>
        <w:autoSpaceDN/>
        <w:bidi w:val="0"/>
        <w:adjustRightInd/>
        <w:snapToGrid/>
        <w:ind w:left="0" w:leftChars="0" w:firstLine="480" w:firstLineChars="200"/>
        <w:jc w:val="both"/>
        <w:textAlignment w:val="auto"/>
        <w:rPr>
          <w:rFonts w:hint="eastAsia"/>
          <w:color w:val="auto"/>
          <w:highlight w:val="none"/>
          <w:lang w:val="en-US" w:eastAsia="zh-CN"/>
        </w:rPr>
      </w:pPr>
      <w:r>
        <w:rPr>
          <w:rFonts w:hint="eastAsia"/>
          <w:color w:val="auto"/>
          <w:highlight w:val="none"/>
          <w:lang w:val="en-US" w:eastAsia="zh-CN"/>
        </w:rPr>
        <w:t>风向、风频</w:t>
      </w:r>
    </w:p>
    <w:p>
      <w:pPr>
        <w:pStyle w:val="2"/>
        <w:keepNext w:val="0"/>
        <w:keepLines w:val="0"/>
        <w:pageBreakBefore w:val="0"/>
        <w:widowControl/>
        <w:numPr>
          <w:ilvl w:val="0"/>
          <w:numId w:val="0"/>
        </w:numPr>
        <w:kinsoku/>
        <w:wordWrap/>
        <w:overflowPunct/>
        <w:topLinePunct w:val="0"/>
        <w:autoSpaceDE/>
        <w:autoSpaceDN/>
        <w:bidi w:val="0"/>
        <w:adjustRightInd/>
        <w:snapToGrid/>
        <w:ind w:leftChars="200"/>
        <w:jc w:val="both"/>
        <w:textAlignment w:val="auto"/>
        <w:rPr>
          <w:rFonts w:hint="default"/>
          <w:color w:val="auto"/>
          <w:highlight w:val="none"/>
          <w:lang w:val="en-US" w:eastAsia="zh-CN"/>
        </w:rPr>
      </w:pPr>
      <w:r>
        <w:rPr>
          <w:rFonts w:hint="default"/>
          <w:color w:val="auto"/>
          <w:highlight w:val="none"/>
          <w:lang w:val="en-US" w:eastAsia="zh-CN"/>
        </w:rPr>
        <w:t>每月、各季及长期平均各向风频变化情况见表4</w:t>
      </w:r>
      <w:r>
        <w:rPr>
          <w:rFonts w:hint="eastAsia"/>
          <w:color w:val="auto"/>
          <w:highlight w:val="none"/>
          <w:lang w:val="en-US" w:eastAsia="zh-CN"/>
        </w:rPr>
        <w:t>.2-5</w:t>
      </w:r>
      <w:r>
        <w:rPr>
          <w:rFonts w:hint="default"/>
          <w:color w:val="auto"/>
          <w:highlight w:val="none"/>
          <w:lang w:val="en-US" w:eastAsia="zh-CN"/>
        </w:rPr>
        <w:t>和表4</w:t>
      </w:r>
      <w:r>
        <w:rPr>
          <w:rFonts w:hint="eastAsia"/>
          <w:color w:val="auto"/>
          <w:highlight w:val="none"/>
          <w:lang w:val="en-US" w:eastAsia="zh-CN"/>
        </w:rPr>
        <w:t>.2-6</w:t>
      </w:r>
      <w:r>
        <w:rPr>
          <w:rFonts w:hint="default"/>
          <w:color w:val="auto"/>
          <w:highlight w:val="none"/>
          <w:lang w:val="en-US" w:eastAsia="zh-CN"/>
        </w:rPr>
        <w:t>。</w:t>
      </w:r>
    </w:p>
    <w:p>
      <w:pPr>
        <w:pStyle w:val="40"/>
        <w:rPr>
          <w:rFonts w:hint="eastAsia"/>
          <w:color w:val="auto"/>
          <w:highlight w:val="none"/>
          <w:lang w:val="en-US" w:eastAsia="zh-CN"/>
        </w:rPr>
      </w:pPr>
      <w:r>
        <w:rPr>
          <w:rFonts w:hint="eastAsia"/>
          <w:color w:val="auto"/>
          <w:highlight w:val="none"/>
          <w:lang w:val="en-US" w:eastAsia="zh-CN"/>
        </w:rPr>
        <w:t>表4.2-5 年平均风频的月变化  单位：%</w:t>
      </w:r>
    </w:p>
    <w:tbl>
      <w:tblPr>
        <w:tblStyle w:val="24"/>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550"/>
        <w:gridCol w:w="494"/>
        <w:gridCol w:w="483"/>
        <w:gridCol w:w="378"/>
        <w:gridCol w:w="483"/>
        <w:gridCol w:w="483"/>
        <w:gridCol w:w="483"/>
        <w:gridCol w:w="378"/>
        <w:gridCol w:w="378"/>
        <w:gridCol w:w="379"/>
        <w:gridCol w:w="443"/>
        <w:gridCol w:w="379"/>
        <w:gridCol w:w="525"/>
        <w:gridCol w:w="484"/>
        <w:gridCol w:w="560"/>
        <w:gridCol w:w="379"/>
        <w:gridCol w:w="513"/>
        <w:gridCol w:w="4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369"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风频</w:t>
            </w:r>
          </w:p>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w:t>
            </w:r>
          </w:p>
        </w:tc>
        <w:tc>
          <w:tcPr>
            <w:tcW w:w="335"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N</w:t>
            </w:r>
          </w:p>
        </w:tc>
        <w:tc>
          <w:tcPr>
            <w:tcW w:w="30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NNE</w:t>
            </w:r>
          </w:p>
        </w:tc>
        <w:tc>
          <w:tcPr>
            <w:tcW w:w="259"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NE</w:t>
            </w:r>
          </w:p>
        </w:tc>
        <w:tc>
          <w:tcPr>
            <w:tcW w:w="318"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ENE</w:t>
            </w:r>
          </w:p>
        </w:tc>
        <w:tc>
          <w:tcPr>
            <w:tcW w:w="318"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E</w:t>
            </w:r>
          </w:p>
        </w:tc>
        <w:tc>
          <w:tcPr>
            <w:tcW w:w="32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ESE</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SE</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SSE</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S</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SSW</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SW</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WSW</w:t>
            </w:r>
          </w:p>
        </w:tc>
        <w:tc>
          <w:tcPr>
            <w:tcW w:w="300"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W</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WNW</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NW</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NNW</w:t>
            </w:r>
          </w:p>
        </w:tc>
        <w:tc>
          <w:tcPr>
            <w:tcW w:w="300"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369"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一月</w:t>
            </w:r>
          </w:p>
        </w:tc>
        <w:tc>
          <w:tcPr>
            <w:tcW w:w="335"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15.32</w:t>
            </w:r>
          </w:p>
        </w:tc>
        <w:tc>
          <w:tcPr>
            <w:tcW w:w="30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7.26</w:t>
            </w:r>
          </w:p>
        </w:tc>
        <w:tc>
          <w:tcPr>
            <w:tcW w:w="259"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6.45</w:t>
            </w:r>
          </w:p>
        </w:tc>
        <w:tc>
          <w:tcPr>
            <w:tcW w:w="318"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6.45</w:t>
            </w:r>
          </w:p>
        </w:tc>
        <w:tc>
          <w:tcPr>
            <w:tcW w:w="318"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6.45</w:t>
            </w:r>
          </w:p>
        </w:tc>
        <w:tc>
          <w:tcPr>
            <w:tcW w:w="32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7.26</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4.84</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2.42</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3.23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4.84</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4.84</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4.03</w:t>
            </w:r>
          </w:p>
        </w:tc>
        <w:tc>
          <w:tcPr>
            <w:tcW w:w="300"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5.65</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3.23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4.03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8.06</w:t>
            </w:r>
          </w:p>
        </w:tc>
        <w:tc>
          <w:tcPr>
            <w:tcW w:w="300"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369"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二月</w:t>
            </w:r>
          </w:p>
        </w:tc>
        <w:tc>
          <w:tcPr>
            <w:tcW w:w="335"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3.45</w:t>
            </w:r>
          </w:p>
        </w:tc>
        <w:tc>
          <w:tcPr>
            <w:tcW w:w="30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6.03</w:t>
            </w:r>
          </w:p>
        </w:tc>
        <w:tc>
          <w:tcPr>
            <w:tcW w:w="259"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0.86</w:t>
            </w:r>
          </w:p>
        </w:tc>
        <w:tc>
          <w:tcPr>
            <w:tcW w:w="318"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3.45</w:t>
            </w:r>
          </w:p>
        </w:tc>
        <w:tc>
          <w:tcPr>
            <w:tcW w:w="318"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9.48</w:t>
            </w:r>
          </w:p>
        </w:tc>
        <w:tc>
          <w:tcPr>
            <w:tcW w:w="32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4.31</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7.76</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1.72</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4.31</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0.86</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6.90</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6.90</w:t>
            </w:r>
          </w:p>
        </w:tc>
        <w:tc>
          <w:tcPr>
            <w:tcW w:w="300"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19.83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3.45</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8.62</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5.17</w:t>
            </w:r>
          </w:p>
        </w:tc>
        <w:tc>
          <w:tcPr>
            <w:tcW w:w="300"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6.90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369"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三月</w:t>
            </w:r>
          </w:p>
        </w:tc>
        <w:tc>
          <w:tcPr>
            <w:tcW w:w="335"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3.23</w:t>
            </w:r>
          </w:p>
        </w:tc>
        <w:tc>
          <w:tcPr>
            <w:tcW w:w="30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3.23</w:t>
            </w:r>
          </w:p>
        </w:tc>
        <w:tc>
          <w:tcPr>
            <w:tcW w:w="259"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2.42</w:t>
            </w:r>
          </w:p>
        </w:tc>
        <w:tc>
          <w:tcPr>
            <w:tcW w:w="318"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14.52</w:t>
            </w:r>
          </w:p>
        </w:tc>
        <w:tc>
          <w:tcPr>
            <w:tcW w:w="318"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10.48</w:t>
            </w:r>
          </w:p>
        </w:tc>
        <w:tc>
          <w:tcPr>
            <w:tcW w:w="32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16.94</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6.45</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4.03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7.26</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4.03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7.26</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3.23</w:t>
            </w:r>
          </w:p>
        </w:tc>
        <w:tc>
          <w:tcPr>
            <w:tcW w:w="300"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3.23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0.81</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3.23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3.23</w:t>
            </w:r>
          </w:p>
        </w:tc>
        <w:tc>
          <w:tcPr>
            <w:tcW w:w="300"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6.45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369"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四月</w:t>
            </w:r>
          </w:p>
        </w:tc>
        <w:tc>
          <w:tcPr>
            <w:tcW w:w="335"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1.67</w:t>
            </w:r>
          </w:p>
        </w:tc>
        <w:tc>
          <w:tcPr>
            <w:tcW w:w="30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5.00</w:t>
            </w:r>
          </w:p>
        </w:tc>
        <w:tc>
          <w:tcPr>
            <w:tcW w:w="259"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5.00</w:t>
            </w:r>
          </w:p>
        </w:tc>
        <w:tc>
          <w:tcPr>
            <w:tcW w:w="318"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8.33</w:t>
            </w:r>
          </w:p>
        </w:tc>
        <w:tc>
          <w:tcPr>
            <w:tcW w:w="318"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20.83</w:t>
            </w:r>
          </w:p>
        </w:tc>
        <w:tc>
          <w:tcPr>
            <w:tcW w:w="32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17.50</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0.83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5.00</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4.17</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4.17</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5.00</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2.50</w:t>
            </w:r>
          </w:p>
        </w:tc>
        <w:tc>
          <w:tcPr>
            <w:tcW w:w="300"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5.83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0.83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2.50</w:t>
            </w:r>
          </w:p>
        </w:tc>
        <w:tc>
          <w:tcPr>
            <w:tcW w:w="300"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10.83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369"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五月</w:t>
            </w:r>
          </w:p>
        </w:tc>
        <w:tc>
          <w:tcPr>
            <w:tcW w:w="335"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5.65</w:t>
            </w:r>
          </w:p>
        </w:tc>
        <w:tc>
          <w:tcPr>
            <w:tcW w:w="30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4.84</w:t>
            </w:r>
          </w:p>
        </w:tc>
        <w:tc>
          <w:tcPr>
            <w:tcW w:w="259"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4.03</w:t>
            </w:r>
          </w:p>
        </w:tc>
        <w:tc>
          <w:tcPr>
            <w:tcW w:w="318"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5.65</w:t>
            </w:r>
          </w:p>
        </w:tc>
        <w:tc>
          <w:tcPr>
            <w:tcW w:w="318"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21.77</w:t>
            </w:r>
          </w:p>
        </w:tc>
        <w:tc>
          <w:tcPr>
            <w:tcW w:w="32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16.13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4.84</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1.61</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8.06</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4.03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3.23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1.61</w:t>
            </w:r>
          </w:p>
        </w:tc>
        <w:tc>
          <w:tcPr>
            <w:tcW w:w="300"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5.65</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1.61</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3.23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5.65</w:t>
            </w:r>
          </w:p>
        </w:tc>
        <w:tc>
          <w:tcPr>
            <w:tcW w:w="300"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369"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六月</w:t>
            </w:r>
          </w:p>
        </w:tc>
        <w:tc>
          <w:tcPr>
            <w:tcW w:w="335"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3.33</w:t>
            </w:r>
          </w:p>
        </w:tc>
        <w:tc>
          <w:tcPr>
            <w:tcW w:w="30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3.33</w:t>
            </w:r>
          </w:p>
        </w:tc>
        <w:tc>
          <w:tcPr>
            <w:tcW w:w="259"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2.50</w:t>
            </w:r>
          </w:p>
        </w:tc>
        <w:tc>
          <w:tcPr>
            <w:tcW w:w="318"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5.00</w:t>
            </w:r>
          </w:p>
        </w:tc>
        <w:tc>
          <w:tcPr>
            <w:tcW w:w="318"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20.00</w:t>
            </w:r>
          </w:p>
        </w:tc>
        <w:tc>
          <w:tcPr>
            <w:tcW w:w="32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22.50</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8.33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5.00</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4.17</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4.17</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5.00</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3.33</w:t>
            </w:r>
          </w:p>
        </w:tc>
        <w:tc>
          <w:tcPr>
            <w:tcW w:w="300"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4.17</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0.83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1.67</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1.67</w:t>
            </w:r>
          </w:p>
        </w:tc>
        <w:tc>
          <w:tcPr>
            <w:tcW w:w="300"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369"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七月</w:t>
            </w:r>
          </w:p>
        </w:tc>
        <w:tc>
          <w:tcPr>
            <w:tcW w:w="335"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2.42</w:t>
            </w:r>
          </w:p>
        </w:tc>
        <w:tc>
          <w:tcPr>
            <w:tcW w:w="30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1.61</w:t>
            </w:r>
          </w:p>
        </w:tc>
        <w:tc>
          <w:tcPr>
            <w:tcW w:w="259"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3.23</w:t>
            </w:r>
          </w:p>
        </w:tc>
        <w:tc>
          <w:tcPr>
            <w:tcW w:w="318"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8.06</w:t>
            </w:r>
          </w:p>
        </w:tc>
        <w:tc>
          <w:tcPr>
            <w:tcW w:w="318"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16.13</w:t>
            </w:r>
          </w:p>
        </w:tc>
        <w:tc>
          <w:tcPr>
            <w:tcW w:w="32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13.71</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3.23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2.42</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6.45</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7.26</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2.42</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5.65</w:t>
            </w:r>
          </w:p>
        </w:tc>
        <w:tc>
          <w:tcPr>
            <w:tcW w:w="300"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3.23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1.61</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0.81</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1.61</w:t>
            </w:r>
          </w:p>
        </w:tc>
        <w:tc>
          <w:tcPr>
            <w:tcW w:w="300"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369"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八月</w:t>
            </w:r>
          </w:p>
        </w:tc>
        <w:tc>
          <w:tcPr>
            <w:tcW w:w="335"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7.26</w:t>
            </w:r>
          </w:p>
        </w:tc>
        <w:tc>
          <w:tcPr>
            <w:tcW w:w="30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4.03</w:t>
            </w:r>
          </w:p>
        </w:tc>
        <w:tc>
          <w:tcPr>
            <w:tcW w:w="259"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4.84</w:t>
            </w:r>
          </w:p>
        </w:tc>
        <w:tc>
          <w:tcPr>
            <w:tcW w:w="318"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8.87</w:t>
            </w:r>
          </w:p>
        </w:tc>
        <w:tc>
          <w:tcPr>
            <w:tcW w:w="318"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10.48</w:t>
            </w:r>
          </w:p>
        </w:tc>
        <w:tc>
          <w:tcPr>
            <w:tcW w:w="32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8.87</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2.42</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3.23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3.23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4.03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2.42</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0.81</w:t>
            </w:r>
          </w:p>
        </w:tc>
        <w:tc>
          <w:tcPr>
            <w:tcW w:w="300"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5.65</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3.23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4.84</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4.03</w:t>
            </w:r>
          </w:p>
        </w:tc>
        <w:tc>
          <w:tcPr>
            <w:tcW w:w="300"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21.77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369"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九月</w:t>
            </w:r>
          </w:p>
        </w:tc>
        <w:tc>
          <w:tcPr>
            <w:tcW w:w="335"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8.33</w:t>
            </w:r>
          </w:p>
        </w:tc>
        <w:tc>
          <w:tcPr>
            <w:tcW w:w="30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0.00</w:t>
            </w:r>
          </w:p>
        </w:tc>
        <w:tc>
          <w:tcPr>
            <w:tcW w:w="259"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4.17</w:t>
            </w:r>
          </w:p>
        </w:tc>
        <w:tc>
          <w:tcPr>
            <w:tcW w:w="318"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12.50</w:t>
            </w:r>
          </w:p>
        </w:tc>
        <w:tc>
          <w:tcPr>
            <w:tcW w:w="318"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19.17</w:t>
            </w:r>
          </w:p>
        </w:tc>
        <w:tc>
          <w:tcPr>
            <w:tcW w:w="32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13.33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0.83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3.33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1.67</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0.83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1.67</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2.50</w:t>
            </w:r>
          </w:p>
        </w:tc>
        <w:tc>
          <w:tcPr>
            <w:tcW w:w="300"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2.50</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1.67</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1.67</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7.50</w:t>
            </w:r>
          </w:p>
        </w:tc>
        <w:tc>
          <w:tcPr>
            <w:tcW w:w="300"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18.33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369"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十月</w:t>
            </w:r>
          </w:p>
        </w:tc>
        <w:tc>
          <w:tcPr>
            <w:tcW w:w="335"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6.45</w:t>
            </w:r>
          </w:p>
        </w:tc>
        <w:tc>
          <w:tcPr>
            <w:tcW w:w="30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6.45</w:t>
            </w:r>
          </w:p>
        </w:tc>
        <w:tc>
          <w:tcPr>
            <w:tcW w:w="259"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2.42</w:t>
            </w:r>
          </w:p>
        </w:tc>
        <w:tc>
          <w:tcPr>
            <w:tcW w:w="318"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10.48</w:t>
            </w:r>
          </w:p>
        </w:tc>
        <w:tc>
          <w:tcPr>
            <w:tcW w:w="318"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17.74</w:t>
            </w:r>
          </w:p>
        </w:tc>
        <w:tc>
          <w:tcPr>
            <w:tcW w:w="32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3.23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3.23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3.23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3.23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0.81</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1.61</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4.84</w:t>
            </w:r>
          </w:p>
        </w:tc>
        <w:tc>
          <w:tcPr>
            <w:tcW w:w="300"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9.68</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1.61</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2.42</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4.03</w:t>
            </w:r>
          </w:p>
        </w:tc>
        <w:tc>
          <w:tcPr>
            <w:tcW w:w="300"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18.55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369"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十一月</w:t>
            </w:r>
          </w:p>
        </w:tc>
        <w:tc>
          <w:tcPr>
            <w:tcW w:w="335"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10.0</w:t>
            </w:r>
          </w:p>
        </w:tc>
        <w:tc>
          <w:tcPr>
            <w:tcW w:w="30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10.83</w:t>
            </w:r>
          </w:p>
        </w:tc>
        <w:tc>
          <w:tcPr>
            <w:tcW w:w="259"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7.50</w:t>
            </w:r>
          </w:p>
        </w:tc>
        <w:tc>
          <w:tcPr>
            <w:tcW w:w="318"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14.17</w:t>
            </w:r>
          </w:p>
        </w:tc>
        <w:tc>
          <w:tcPr>
            <w:tcW w:w="318"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12.50</w:t>
            </w:r>
          </w:p>
        </w:tc>
        <w:tc>
          <w:tcPr>
            <w:tcW w:w="32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11.67</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3.33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0.83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0.83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1.67</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1.67</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1.67</w:t>
            </w:r>
          </w:p>
        </w:tc>
        <w:tc>
          <w:tcPr>
            <w:tcW w:w="300"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1.67</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4.17</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5.00</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8.33</w:t>
            </w:r>
          </w:p>
        </w:tc>
        <w:tc>
          <w:tcPr>
            <w:tcW w:w="300"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369"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十二月</w:t>
            </w:r>
          </w:p>
        </w:tc>
        <w:tc>
          <w:tcPr>
            <w:tcW w:w="335"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8.06</w:t>
            </w:r>
          </w:p>
        </w:tc>
        <w:tc>
          <w:tcPr>
            <w:tcW w:w="30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2.42</w:t>
            </w:r>
          </w:p>
        </w:tc>
        <w:tc>
          <w:tcPr>
            <w:tcW w:w="259"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7.26</w:t>
            </w:r>
          </w:p>
        </w:tc>
        <w:tc>
          <w:tcPr>
            <w:tcW w:w="318"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6.45</w:t>
            </w:r>
          </w:p>
        </w:tc>
        <w:tc>
          <w:tcPr>
            <w:tcW w:w="318"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12.90</w:t>
            </w:r>
          </w:p>
        </w:tc>
        <w:tc>
          <w:tcPr>
            <w:tcW w:w="32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5.65</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4.03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4.03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1.61</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1.61</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4.84</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5.65</w:t>
            </w:r>
          </w:p>
        </w:tc>
        <w:tc>
          <w:tcPr>
            <w:tcW w:w="300"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14.52</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4.84</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3.23</w:t>
            </w:r>
          </w:p>
        </w:tc>
        <w:tc>
          <w:tcPr>
            <w:tcW w:w="241"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6.45</w:t>
            </w:r>
          </w:p>
        </w:tc>
        <w:tc>
          <w:tcPr>
            <w:tcW w:w="300"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6.45</w:t>
            </w:r>
          </w:p>
        </w:tc>
      </w:tr>
    </w:tbl>
    <w:p>
      <w:pPr>
        <w:pStyle w:val="40"/>
        <w:rPr>
          <w:rFonts w:hint="eastAsia"/>
          <w:color w:val="auto"/>
          <w:highlight w:val="none"/>
          <w:lang w:val="en-US" w:eastAsia="zh-CN"/>
        </w:rPr>
      </w:pPr>
      <w:r>
        <w:rPr>
          <w:rFonts w:hint="eastAsia"/>
          <w:color w:val="auto"/>
          <w:highlight w:val="none"/>
          <w:lang w:val="en-US" w:eastAsia="zh-CN"/>
        </w:rPr>
        <w:t>表4.2-6 年平均风频的季变化及年均风频  单位：%</w:t>
      </w:r>
    </w:p>
    <w:tbl>
      <w:tblPr>
        <w:tblStyle w:val="24"/>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391"/>
        <w:gridCol w:w="457"/>
        <w:gridCol w:w="391"/>
        <w:gridCol w:w="500"/>
        <w:gridCol w:w="500"/>
        <w:gridCol w:w="500"/>
        <w:gridCol w:w="391"/>
        <w:gridCol w:w="391"/>
        <w:gridCol w:w="391"/>
        <w:gridCol w:w="457"/>
        <w:gridCol w:w="391"/>
        <w:gridCol w:w="542"/>
        <w:gridCol w:w="500"/>
        <w:gridCol w:w="578"/>
        <w:gridCol w:w="391"/>
        <w:gridCol w:w="531"/>
        <w:gridCol w:w="5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风频</w:t>
            </w:r>
          </w:p>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w:t>
            </w:r>
          </w:p>
        </w:tc>
        <w:tc>
          <w:tcPr>
            <w:tcW w:w="236"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N</w:t>
            </w:r>
          </w:p>
        </w:tc>
        <w:tc>
          <w:tcPr>
            <w:tcW w:w="276"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NNE</w:t>
            </w:r>
          </w:p>
        </w:tc>
        <w:tc>
          <w:tcPr>
            <w:tcW w:w="236"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NE</w:t>
            </w:r>
          </w:p>
        </w:tc>
        <w:tc>
          <w:tcPr>
            <w:tcW w:w="302"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ENE</w:t>
            </w:r>
          </w:p>
        </w:tc>
        <w:tc>
          <w:tcPr>
            <w:tcW w:w="302"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E</w:t>
            </w:r>
          </w:p>
        </w:tc>
        <w:tc>
          <w:tcPr>
            <w:tcW w:w="302"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ESE</w:t>
            </w:r>
          </w:p>
        </w:tc>
        <w:tc>
          <w:tcPr>
            <w:tcW w:w="236"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SE</w:t>
            </w:r>
          </w:p>
        </w:tc>
        <w:tc>
          <w:tcPr>
            <w:tcW w:w="236"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SSE</w:t>
            </w:r>
          </w:p>
        </w:tc>
        <w:tc>
          <w:tcPr>
            <w:tcW w:w="236"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S</w:t>
            </w:r>
          </w:p>
        </w:tc>
        <w:tc>
          <w:tcPr>
            <w:tcW w:w="276"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SSW</w:t>
            </w:r>
          </w:p>
        </w:tc>
        <w:tc>
          <w:tcPr>
            <w:tcW w:w="236"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SW</w:t>
            </w:r>
          </w:p>
        </w:tc>
        <w:tc>
          <w:tcPr>
            <w:tcW w:w="327"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WSW</w:t>
            </w:r>
          </w:p>
        </w:tc>
        <w:tc>
          <w:tcPr>
            <w:tcW w:w="302"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W</w:t>
            </w:r>
          </w:p>
        </w:tc>
        <w:tc>
          <w:tcPr>
            <w:tcW w:w="349"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WNW</w:t>
            </w:r>
          </w:p>
        </w:tc>
        <w:tc>
          <w:tcPr>
            <w:tcW w:w="236"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NW</w:t>
            </w:r>
          </w:p>
        </w:tc>
        <w:tc>
          <w:tcPr>
            <w:tcW w:w="320"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NNW</w:t>
            </w:r>
          </w:p>
        </w:tc>
        <w:tc>
          <w:tcPr>
            <w:tcW w:w="308"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春季</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3.53</w:t>
            </w:r>
          </w:p>
        </w:tc>
        <w:tc>
          <w:tcPr>
            <w:tcW w:w="27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4.35</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3.80</w:t>
            </w:r>
          </w:p>
        </w:tc>
        <w:tc>
          <w:tcPr>
            <w:tcW w:w="302"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9.51</w:t>
            </w:r>
          </w:p>
        </w:tc>
        <w:tc>
          <w:tcPr>
            <w:tcW w:w="302"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17.66</w:t>
            </w:r>
          </w:p>
        </w:tc>
        <w:tc>
          <w:tcPr>
            <w:tcW w:w="302"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16.85</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4.08</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3.53</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6.52</w:t>
            </w:r>
          </w:p>
        </w:tc>
        <w:tc>
          <w:tcPr>
            <w:tcW w:w="27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4.08</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5.16</w:t>
            </w:r>
          </w:p>
        </w:tc>
        <w:tc>
          <w:tcPr>
            <w:tcW w:w="327"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2.45</w:t>
            </w:r>
          </w:p>
        </w:tc>
        <w:tc>
          <w:tcPr>
            <w:tcW w:w="302"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4.89</w:t>
            </w:r>
          </w:p>
        </w:tc>
        <w:tc>
          <w:tcPr>
            <w:tcW w:w="349"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0.82</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2.45</w:t>
            </w:r>
          </w:p>
        </w:tc>
        <w:tc>
          <w:tcPr>
            <w:tcW w:w="320"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3.80</w:t>
            </w:r>
          </w:p>
        </w:tc>
        <w:tc>
          <w:tcPr>
            <w:tcW w:w="308"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6.52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夏季</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4.35</w:t>
            </w:r>
          </w:p>
        </w:tc>
        <w:tc>
          <w:tcPr>
            <w:tcW w:w="27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2.99</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3.53</w:t>
            </w:r>
          </w:p>
        </w:tc>
        <w:tc>
          <w:tcPr>
            <w:tcW w:w="302"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7.34</w:t>
            </w:r>
          </w:p>
        </w:tc>
        <w:tc>
          <w:tcPr>
            <w:tcW w:w="302"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15.49</w:t>
            </w:r>
          </w:p>
        </w:tc>
        <w:tc>
          <w:tcPr>
            <w:tcW w:w="302"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14.95</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4.62</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3.53</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4.62</w:t>
            </w:r>
          </w:p>
        </w:tc>
        <w:tc>
          <w:tcPr>
            <w:tcW w:w="27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5.16</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3.26</w:t>
            </w:r>
          </w:p>
        </w:tc>
        <w:tc>
          <w:tcPr>
            <w:tcW w:w="327"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3.26</w:t>
            </w:r>
          </w:p>
        </w:tc>
        <w:tc>
          <w:tcPr>
            <w:tcW w:w="302"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4.35</w:t>
            </w:r>
          </w:p>
        </w:tc>
        <w:tc>
          <w:tcPr>
            <w:tcW w:w="349"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1.90</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2.45</w:t>
            </w:r>
          </w:p>
        </w:tc>
        <w:tc>
          <w:tcPr>
            <w:tcW w:w="320"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2.45</w:t>
            </w:r>
          </w:p>
        </w:tc>
        <w:tc>
          <w:tcPr>
            <w:tcW w:w="308"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15.76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秋季</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8.24</w:t>
            </w:r>
          </w:p>
        </w:tc>
        <w:tc>
          <w:tcPr>
            <w:tcW w:w="27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5.77</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4.67</w:t>
            </w:r>
          </w:p>
        </w:tc>
        <w:tc>
          <w:tcPr>
            <w:tcW w:w="302"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12.36</w:t>
            </w:r>
          </w:p>
        </w:tc>
        <w:tc>
          <w:tcPr>
            <w:tcW w:w="302"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16.48</w:t>
            </w:r>
          </w:p>
        </w:tc>
        <w:tc>
          <w:tcPr>
            <w:tcW w:w="302"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9.34</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2.47</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2.47</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1.92</w:t>
            </w:r>
          </w:p>
        </w:tc>
        <w:tc>
          <w:tcPr>
            <w:tcW w:w="27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1.10</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1.65</w:t>
            </w:r>
          </w:p>
        </w:tc>
        <w:tc>
          <w:tcPr>
            <w:tcW w:w="327"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3.02</w:t>
            </w:r>
          </w:p>
        </w:tc>
        <w:tc>
          <w:tcPr>
            <w:tcW w:w="302"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4.67</w:t>
            </w:r>
          </w:p>
        </w:tc>
        <w:tc>
          <w:tcPr>
            <w:tcW w:w="349"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2.47</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3.02</w:t>
            </w:r>
          </w:p>
        </w:tc>
        <w:tc>
          <w:tcPr>
            <w:tcW w:w="320"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6.59</w:t>
            </w:r>
          </w:p>
        </w:tc>
        <w:tc>
          <w:tcPr>
            <w:tcW w:w="308"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13.74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冬季</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9.07</w:t>
            </w:r>
          </w:p>
        </w:tc>
        <w:tc>
          <w:tcPr>
            <w:tcW w:w="27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5.22</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4.95</w:t>
            </w:r>
          </w:p>
        </w:tc>
        <w:tc>
          <w:tcPr>
            <w:tcW w:w="302"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5.49</w:t>
            </w:r>
          </w:p>
        </w:tc>
        <w:tc>
          <w:tcPr>
            <w:tcW w:w="302"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9.62</w:t>
            </w:r>
          </w:p>
        </w:tc>
        <w:tc>
          <w:tcPr>
            <w:tcW w:w="302"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5.77</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5.49</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2.75</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3.02</w:t>
            </w:r>
          </w:p>
        </w:tc>
        <w:tc>
          <w:tcPr>
            <w:tcW w:w="27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2.47</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5.49</w:t>
            </w:r>
          </w:p>
        </w:tc>
        <w:tc>
          <w:tcPr>
            <w:tcW w:w="327"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5.49</w:t>
            </w:r>
          </w:p>
        </w:tc>
        <w:tc>
          <w:tcPr>
            <w:tcW w:w="302"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13.19</w:t>
            </w:r>
          </w:p>
        </w:tc>
        <w:tc>
          <w:tcPr>
            <w:tcW w:w="349"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3.85</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5.22</w:t>
            </w:r>
          </w:p>
        </w:tc>
        <w:tc>
          <w:tcPr>
            <w:tcW w:w="320"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6.59</w:t>
            </w:r>
          </w:p>
        </w:tc>
        <w:tc>
          <w:tcPr>
            <w:tcW w:w="308"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6.32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 w:type="pct"/>
            <w:tcBorders>
              <w:tl2br w:val="nil"/>
              <w:tr2bl w:val="nil"/>
            </w:tcBorders>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全年</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6.28</w:t>
            </w:r>
          </w:p>
        </w:tc>
        <w:tc>
          <w:tcPr>
            <w:tcW w:w="27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4.58</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4.23</w:t>
            </w:r>
          </w:p>
        </w:tc>
        <w:tc>
          <w:tcPr>
            <w:tcW w:w="302"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8.67</w:t>
            </w:r>
          </w:p>
        </w:tc>
        <w:tc>
          <w:tcPr>
            <w:tcW w:w="302"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14.82</w:t>
            </w:r>
          </w:p>
        </w:tc>
        <w:tc>
          <w:tcPr>
            <w:tcW w:w="302"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11.75</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4.17</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3.07</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4.03</w:t>
            </w:r>
          </w:p>
        </w:tc>
        <w:tc>
          <w:tcPr>
            <w:tcW w:w="27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3.21</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3.89</w:t>
            </w:r>
          </w:p>
        </w:tc>
        <w:tc>
          <w:tcPr>
            <w:tcW w:w="327"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3.55</w:t>
            </w:r>
          </w:p>
        </w:tc>
        <w:tc>
          <w:tcPr>
            <w:tcW w:w="302"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6.76</w:t>
            </w:r>
          </w:p>
        </w:tc>
        <w:tc>
          <w:tcPr>
            <w:tcW w:w="349"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2.25</w:t>
            </w:r>
          </w:p>
        </w:tc>
        <w:tc>
          <w:tcPr>
            <w:tcW w:w="236"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3.28</w:t>
            </w:r>
          </w:p>
        </w:tc>
        <w:tc>
          <w:tcPr>
            <w:tcW w:w="320"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4.85</w:t>
            </w:r>
          </w:p>
        </w:tc>
        <w:tc>
          <w:tcPr>
            <w:tcW w:w="308" w:type="pct"/>
            <w:tcBorders>
              <w:tl2br w:val="nil"/>
              <w:tr2bl w:val="nil"/>
            </w:tcBorders>
            <w:shd w:val="clear" w:color="auto" w:fill="FFFFFF"/>
            <w:tcMar>
              <w:top w:w="0" w:type="dxa"/>
              <w:left w:w="0" w:type="dxa"/>
              <w:bottom w:w="0" w:type="dxa"/>
              <w:right w:w="0" w:type="dxa"/>
            </w:tcMar>
            <w:vAlign w:val="center"/>
          </w:tcPr>
          <w:p>
            <w:pPr>
              <w:spacing w:line="240" w:lineRule="auto"/>
              <w:ind w:firstLine="0" w:firstLineChars="0"/>
              <w:jc w:val="center"/>
              <w:rPr>
                <w:rFonts w:hint="eastAsia" w:cs="Times New Roman"/>
                <w:b w:val="0"/>
                <w:bCs/>
                <w:color w:val="auto"/>
                <w:sz w:val="21"/>
                <w:szCs w:val="21"/>
                <w:highlight w:val="none"/>
              </w:rPr>
            </w:pPr>
            <w:r>
              <w:rPr>
                <w:rFonts w:hint="eastAsia" w:cs="Times New Roman"/>
                <w:b w:val="0"/>
                <w:bCs/>
                <w:color w:val="auto"/>
                <w:sz w:val="21"/>
                <w:szCs w:val="21"/>
                <w:highlight w:val="none"/>
              </w:rPr>
              <w:t>10.59</w:t>
            </w:r>
          </w:p>
        </w:tc>
      </w:tr>
    </w:tbl>
    <w:p>
      <w:pPr>
        <w:adjustRightInd w:val="0"/>
        <w:snapToGrid w:val="0"/>
        <w:spacing w:line="520" w:lineRule="exact"/>
        <w:ind w:firstLine="480" w:firstLineChars="200"/>
        <w:rPr>
          <w:bCs/>
          <w:snapToGrid w:val="0"/>
          <w:color w:val="auto"/>
          <w:kern w:val="0"/>
          <w:sz w:val="24"/>
          <w:highlight w:val="none"/>
        </w:rPr>
      </w:pPr>
      <w:r>
        <w:rPr>
          <w:bCs/>
          <w:snapToGrid w:val="0"/>
          <w:color w:val="auto"/>
          <w:kern w:val="0"/>
          <w:sz w:val="24"/>
          <w:highlight w:val="none"/>
        </w:rPr>
        <w:t>由年均风频的变化统计资料可以看出，平舆县近一年年均风频最大风向为</w:t>
      </w:r>
      <w:r>
        <w:rPr>
          <w:bCs/>
          <w:color w:val="auto"/>
          <w:kern w:val="0"/>
          <w:sz w:val="24"/>
          <w:highlight w:val="none"/>
        </w:rPr>
        <w:t>E风向</w:t>
      </w:r>
      <w:r>
        <w:rPr>
          <w:bCs/>
          <w:snapToGrid w:val="0"/>
          <w:color w:val="auto"/>
          <w:kern w:val="0"/>
          <w:sz w:val="24"/>
          <w:highlight w:val="none"/>
        </w:rPr>
        <w:t>，风频为</w:t>
      </w:r>
      <w:r>
        <w:rPr>
          <w:bCs/>
          <w:color w:val="auto"/>
          <w:kern w:val="0"/>
          <w:sz w:val="24"/>
          <w:highlight w:val="none"/>
        </w:rPr>
        <w:t>14.82%</w:t>
      </w:r>
      <w:r>
        <w:rPr>
          <w:bCs/>
          <w:snapToGrid w:val="0"/>
          <w:color w:val="auto"/>
          <w:kern w:val="0"/>
          <w:sz w:val="24"/>
          <w:highlight w:val="none"/>
        </w:rPr>
        <w:t>。按照方位扇面统计，扇形方位</w:t>
      </w:r>
      <w:r>
        <w:rPr>
          <w:bCs/>
          <w:color w:val="auto"/>
          <w:kern w:val="0"/>
          <w:sz w:val="24"/>
          <w:highlight w:val="none"/>
        </w:rPr>
        <w:t>E</w:t>
      </w:r>
      <w:r>
        <w:rPr>
          <w:bCs/>
          <w:snapToGrid w:val="0"/>
          <w:color w:val="auto"/>
          <w:kern w:val="0"/>
          <w:sz w:val="24"/>
          <w:highlight w:val="none"/>
        </w:rPr>
        <w:t>～</w:t>
      </w:r>
      <w:r>
        <w:rPr>
          <w:bCs/>
          <w:color w:val="auto"/>
          <w:kern w:val="0"/>
          <w:sz w:val="24"/>
          <w:highlight w:val="none"/>
        </w:rPr>
        <w:t>SE</w:t>
      </w:r>
      <w:r>
        <w:rPr>
          <w:bCs/>
          <w:snapToGrid w:val="0"/>
          <w:color w:val="auto"/>
          <w:kern w:val="0"/>
          <w:sz w:val="24"/>
          <w:highlight w:val="none"/>
        </w:rPr>
        <w:t>风频和为</w:t>
      </w:r>
      <w:r>
        <w:rPr>
          <w:bCs/>
          <w:color w:val="auto"/>
          <w:kern w:val="0"/>
          <w:sz w:val="24"/>
          <w:highlight w:val="none"/>
        </w:rPr>
        <w:t>30.74%</w:t>
      </w:r>
      <w:r>
        <w:rPr>
          <w:bCs/>
          <w:snapToGrid w:val="0"/>
          <w:color w:val="auto"/>
          <w:kern w:val="0"/>
          <w:sz w:val="24"/>
          <w:highlight w:val="none"/>
        </w:rPr>
        <w:t>，</w:t>
      </w:r>
      <w:r>
        <w:rPr>
          <w:snapToGrid w:val="0"/>
          <w:color w:val="auto"/>
          <w:kern w:val="0"/>
          <w:sz w:val="24"/>
          <w:highlight w:val="none"/>
        </w:rPr>
        <w:t>风频之和大于</w:t>
      </w:r>
      <w:r>
        <w:rPr>
          <w:color w:val="auto"/>
          <w:kern w:val="0"/>
          <w:sz w:val="24"/>
          <w:highlight w:val="none"/>
        </w:rPr>
        <w:t>30%</w:t>
      </w:r>
      <w:r>
        <w:rPr>
          <w:snapToGrid w:val="0"/>
          <w:color w:val="auto"/>
          <w:kern w:val="0"/>
          <w:sz w:val="24"/>
          <w:highlight w:val="none"/>
        </w:rPr>
        <w:t>，因此平舆县近一年内全年主导风向为东风，</w:t>
      </w:r>
      <w:r>
        <w:rPr>
          <w:bCs/>
          <w:color w:val="auto"/>
          <w:sz w:val="24"/>
          <w:highlight w:val="none"/>
        </w:rPr>
        <w:t>次多风向为E</w:t>
      </w:r>
      <w:r>
        <w:rPr>
          <w:bCs/>
          <w:color w:val="auto"/>
          <w:kern w:val="0"/>
          <w:sz w:val="24"/>
          <w:highlight w:val="none"/>
        </w:rPr>
        <w:t>SE</w:t>
      </w:r>
      <w:r>
        <w:rPr>
          <w:bCs/>
          <w:color w:val="auto"/>
          <w:sz w:val="24"/>
          <w:highlight w:val="none"/>
        </w:rPr>
        <w:t>。</w:t>
      </w:r>
    </w:p>
    <w:p>
      <w:pPr>
        <w:pStyle w:val="40"/>
        <w:rPr>
          <w:rFonts w:hint="eastAsia"/>
          <w:color w:val="auto"/>
          <w:highlight w:val="none"/>
          <w:lang w:val="en-US" w:eastAsia="zh-CN"/>
        </w:rPr>
      </w:pPr>
      <w:r>
        <w:rPr>
          <w:rFonts w:hint="eastAsia"/>
          <w:color w:val="auto"/>
          <w:highlight w:val="none"/>
          <w:lang w:val="en-US" w:eastAsia="zh-CN"/>
        </w:rPr>
        <w:t>表4.2-7  各季及全年各风向平均风速   单位：m/s</w:t>
      </w:r>
    </w:p>
    <w:tbl>
      <w:tblPr>
        <w:tblStyle w:val="24"/>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355"/>
        <w:gridCol w:w="423"/>
        <w:gridCol w:w="489"/>
        <w:gridCol w:w="429"/>
        <w:gridCol w:w="467"/>
        <w:gridCol w:w="425"/>
        <w:gridCol w:w="430"/>
        <w:gridCol w:w="422"/>
        <w:gridCol w:w="425"/>
        <w:gridCol w:w="419"/>
        <w:gridCol w:w="497"/>
        <w:gridCol w:w="432"/>
        <w:gridCol w:w="584"/>
        <w:gridCol w:w="427"/>
        <w:gridCol w:w="559"/>
        <w:gridCol w:w="447"/>
        <w:gridCol w:w="576"/>
        <w:gridCol w:w="4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9" w:hRule="atLeast"/>
          <w:jc w:val="center"/>
        </w:trPr>
        <w:tc>
          <w:tcPr>
            <w:tcW w:w="216"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季</w:t>
            </w:r>
          </w:p>
        </w:tc>
        <w:tc>
          <w:tcPr>
            <w:tcW w:w="257"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N</w:t>
            </w:r>
          </w:p>
        </w:tc>
        <w:tc>
          <w:tcPr>
            <w:tcW w:w="297"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NNE</w:t>
            </w:r>
          </w:p>
        </w:tc>
        <w:tc>
          <w:tcPr>
            <w:tcW w:w="261"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NE</w:t>
            </w:r>
          </w:p>
        </w:tc>
        <w:tc>
          <w:tcPr>
            <w:tcW w:w="284"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ENE</w:t>
            </w:r>
          </w:p>
        </w:tc>
        <w:tc>
          <w:tcPr>
            <w:tcW w:w="258"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E</w:t>
            </w:r>
          </w:p>
        </w:tc>
        <w:tc>
          <w:tcPr>
            <w:tcW w:w="261"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ESE</w:t>
            </w:r>
          </w:p>
        </w:tc>
        <w:tc>
          <w:tcPr>
            <w:tcW w:w="256"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SE</w:t>
            </w:r>
          </w:p>
        </w:tc>
        <w:tc>
          <w:tcPr>
            <w:tcW w:w="258"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SSE</w:t>
            </w:r>
          </w:p>
        </w:tc>
        <w:tc>
          <w:tcPr>
            <w:tcW w:w="254"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S</w:t>
            </w:r>
          </w:p>
        </w:tc>
        <w:tc>
          <w:tcPr>
            <w:tcW w:w="301"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SSW</w:t>
            </w:r>
          </w:p>
        </w:tc>
        <w:tc>
          <w:tcPr>
            <w:tcW w:w="262"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SW</w:t>
            </w:r>
          </w:p>
        </w:tc>
        <w:tc>
          <w:tcPr>
            <w:tcW w:w="354"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WSW</w:t>
            </w:r>
          </w:p>
        </w:tc>
        <w:tc>
          <w:tcPr>
            <w:tcW w:w="259"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w:t>
            </w:r>
          </w:p>
        </w:tc>
        <w:tc>
          <w:tcPr>
            <w:tcW w:w="313"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WNW</w:t>
            </w:r>
          </w:p>
        </w:tc>
        <w:tc>
          <w:tcPr>
            <w:tcW w:w="271"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NW</w:t>
            </w:r>
          </w:p>
        </w:tc>
        <w:tc>
          <w:tcPr>
            <w:tcW w:w="349"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NNW</w:t>
            </w:r>
          </w:p>
        </w:tc>
        <w:tc>
          <w:tcPr>
            <w:tcW w:w="279"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平均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7" w:hRule="atLeast"/>
          <w:jc w:val="center"/>
        </w:trPr>
        <w:tc>
          <w:tcPr>
            <w:tcW w:w="216"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春</w:t>
            </w:r>
          </w:p>
        </w:tc>
        <w:tc>
          <w:tcPr>
            <w:tcW w:w="257"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3.07</w:t>
            </w:r>
          </w:p>
        </w:tc>
        <w:tc>
          <w:tcPr>
            <w:tcW w:w="297"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3.46</w:t>
            </w:r>
          </w:p>
        </w:tc>
        <w:tc>
          <w:tcPr>
            <w:tcW w:w="261"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2.59</w:t>
            </w:r>
          </w:p>
        </w:tc>
        <w:tc>
          <w:tcPr>
            <w:tcW w:w="284"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1.96</w:t>
            </w:r>
          </w:p>
        </w:tc>
        <w:tc>
          <w:tcPr>
            <w:tcW w:w="258"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2.25</w:t>
            </w:r>
          </w:p>
        </w:tc>
        <w:tc>
          <w:tcPr>
            <w:tcW w:w="261"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1.97</w:t>
            </w:r>
          </w:p>
        </w:tc>
        <w:tc>
          <w:tcPr>
            <w:tcW w:w="256"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1.51</w:t>
            </w:r>
          </w:p>
        </w:tc>
        <w:tc>
          <w:tcPr>
            <w:tcW w:w="258"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1.67</w:t>
            </w:r>
          </w:p>
        </w:tc>
        <w:tc>
          <w:tcPr>
            <w:tcW w:w="254"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1.64</w:t>
            </w:r>
          </w:p>
        </w:tc>
        <w:tc>
          <w:tcPr>
            <w:tcW w:w="301"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2.47</w:t>
            </w:r>
          </w:p>
        </w:tc>
        <w:tc>
          <w:tcPr>
            <w:tcW w:w="262"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2.55</w:t>
            </w:r>
          </w:p>
        </w:tc>
        <w:tc>
          <w:tcPr>
            <w:tcW w:w="354"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2.64</w:t>
            </w:r>
          </w:p>
        </w:tc>
        <w:tc>
          <w:tcPr>
            <w:tcW w:w="259"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2.55</w:t>
            </w:r>
          </w:p>
        </w:tc>
        <w:tc>
          <w:tcPr>
            <w:tcW w:w="313"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3.12</w:t>
            </w:r>
          </w:p>
        </w:tc>
        <w:tc>
          <w:tcPr>
            <w:tcW w:w="271"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2.57</w:t>
            </w:r>
          </w:p>
        </w:tc>
        <w:tc>
          <w:tcPr>
            <w:tcW w:w="349"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3.20</w:t>
            </w:r>
          </w:p>
        </w:tc>
        <w:tc>
          <w:tcPr>
            <w:tcW w:w="279"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9" w:hRule="atLeast"/>
          <w:jc w:val="center"/>
        </w:trPr>
        <w:tc>
          <w:tcPr>
            <w:tcW w:w="216"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夏</w:t>
            </w:r>
          </w:p>
        </w:tc>
        <w:tc>
          <w:tcPr>
            <w:tcW w:w="257"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2.52</w:t>
            </w:r>
          </w:p>
        </w:tc>
        <w:tc>
          <w:tcPr>
            <w:tcW w:w="297"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2.89</w:t>
            </w:r>
          </w:p>
        </w:tc>
        <w:tc>
          <w:tcPr>
            <w:tcW w:w="261"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2.26</w:t>
            </w:r>
          </w:p>
        </w:tc>
        <w:tc>
          <w:tcPr>
            <w:tcW w:w="284"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2.31</w:t>
            </w:r>
          </w:p>
        </w:tc>
        <w:tc>
          <w:tcPr>
            <w:tcW w:w="258"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2.28</w:t>
            </w:r>
          </w:p>
        </w:tc>
        <w:tc>
          <w:tcPr>
            <w:tcW w:w="261"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1.91</w:t>
            </w:r>
          </w:p>
        </w:tc>
        <w:tc>
          <w:tcPr>
            <w:tcW w:w="256"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1.53</w:t>
            </w:r>
          </w:p>
        </w:tc>
        <w:tc>
          <w:tcPr>
            <w:tcW w:w="258"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1.82</w:t>
            </w:r>
          </w:p>
        </w:tc>
        <w:tc>
          <w:tcPr>
            <w:tcW w:w="254"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1.79</w:t>
            </w:r>
          </w:p>
        </w:tc>
        <w:tc>
          <w:tcPr>
            <w:tcW w:w="301"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1.87</w:t>
            </w:r>
          </w:p>
        </w:tc>
        <w:tc>
          <w:tcPr>
            <w:tcW w:w="262"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1.52</w:t>
            </w:r>
          </w:p>
        </w:tc>
        <w:tc>
          <w:tcPr>
            <w:tcW w:w="354"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1.87</w:t>
            </w:r>
          </w:p>
        </w:tc>
        <w:tc>
          <w:tcPr>
            <w:tcW w:w="259"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1.52</w:t>
            </w:r>
          </w:p>
        </w:tc>
        <w:tc>
          <w:tcPr>
            <w:tcW w:w="313"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1.84</w:t>
            </w:r>
          </w:p>
        </w:tc>
        <w:tc>
          <w:tcPr>
            <w:tcW w:w="271"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1.59</w:t>
            </w:r>
          </w:p>
        </w:tc>
        <w:tc>
          <w:tcPr>
            <w:tcW w:w="349"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2.39</w:t>
            </w:r>
          </w:p>
        </w:tc>
        <w:tc>
          <w:tcPr>
            <w:tcW w:w="279"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7" w:hRule="atLeast"/>
          <w:jc w:val="center"/>
        </w:trPr>
        <w:tc>
          <w:tcPr>
            <w:tcW w:w="216"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秋</w:t>
            </w:r>
          </w:p>
        </w:tc>
        <w:tc>
          <w:tcPr>
            <w:tcW w:w="257"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3.0</w:t>
            </w:r>
          </w:p>
        </w:tc>
        <w:tc>
          <w:tcPr>
            <w:tcW w:w="297"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2.62</w:t>
            </w:r>
          </w:p>
        </w:tc>
        <w:tc>
          <w:tcPr>
            <w:tcW w:w="261"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1.80</w:t>
            </w:r>
          </w:p>
        </w:tc>
        <w:tc>
          <w:tcPr>
            <w:tcW w:w="284"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3.0</w:t>
            </w:r>
          </w:p>
        </w:tc>
        <w:tc>
          <w:tcPr>
            <w:tcW w:w="258"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1.13</w:t>
            </w:r>
          </w:p>
        </w:tc>
        <w:tc>
          <w:tcPr>
            <w:tcW w:w="261"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1.79</w:t>
            </w:r>
          </w:p>
        </w:tc>
        <w:tc>
          <w:tcPr>
            <w:tcW w:w="256"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1.22</w:t>
            </w:r>
          </w:p>
        </w:tc>
        <w:tc>
          <w:tcPr>
            <w:tcW w:w="258"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1.45</w:t>
            </w:r>
          </w:p>
        </w:tc>
        <w:tc>
          <w:tcPr>
            <w:tcW w:w="254"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1.20</w:t>
            </w:r>
          </w:p>
        </w:tc>
        <w:tc>
          <w:tcPr>
            <w:tcW w:w="301"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1.43</w:t>
            </w:r>
          </w:p>
        </w:tc>
        <w:tc>
          <w:tcPr>
            <w:tcW w:w="262"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1.75</w:t>
            </w:r>
          </w:p>
        </w:tc>
        <w:tc>
          <w:tcPr>
            <w:tcW w:w="354"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3.00</w:t>
            </w:r>
          </w:p>
        </w:tc>
        <w:tc>
          <w:tcPr>
            <w:tcW w:w="259"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1.75</w:t>
            </w:r>
          </w:p>
        </w:tc>
        <w:tc>
          <w:tcPr>
            <w:tcW w:w="313"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2.50</w:t>
            </w:r>
          </w:p>
        </w:tc>
        <w:tc>
          <w:tcPr>
            <w:tcW w:w="271"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2.33</w:t>
            </w:r>
          </w:p>
        </w:tc>
        <w:tc>
          <w:tcPr>
            <w:tcW w:w="349"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3.40</w:t>
            </w:r>
          </w:p>
        </w:tc>
        <w:tc>
          <w:tcPr>
            <w:tcW w:w="279"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9" w:hRule="atLeast"/>
          <w:jc w:val="center"/>
        </w:trPr>
        <w:tc>
          <w:tcPr>
            <w:tcW w:w="216"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冬</w:t>
            </w:r>
          </w:p>
        </w:tc>
        <w:tc>
          <w:tcPr>
            <w:tcW w:w="257"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2.44</w:t>
            </w:r>
          </w:p>
        </w:tc>
        <w:tc>
          <w:tcPr>
            <w:tcW w:w="297"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2.76</w:t>
            </w:r>
          </w:p>
        </w:tc>
        <w:tc>
          <w:tcPr>
            <w:tcW w:w="261"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2.88</w:t>
            </w:r>
          </w:p>
        </w:tc>
        <w:tc>
          <w:tcPr>
            <w:tcW w:w="284"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2.71</w:t>
            </w:r>
          </w:p>
        </w:tc>
        <w:tc>
          <w:tcPr>
            <w:tcW w:w="258"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2.69</w:t>
            </w:r>
          </w:p>
        </w:tc>
        <w:tc>
          <w:tcPr>
            <w:tcW w:w="261"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2.19</w:t>
            </w:r>
          </w:p>
        </w:tc>
        <w:tc>
          <w:tcPr>
            <w:tcW w:w="256"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1.58</w:t>
            </w:r>
          </w:p>
        </w:tc>
        <w:tc>
          <w:tcPr>
            <w:tcW w:w="258"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1.90</w:t>
            </w:r>
          </w:p>
        </w:tc>
        <w:tc>
          <w:tcPr>
            <w:tcW w:w="254"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1.32</w:t>
            </w:r>
          </w:p>
        </w:tc>
        <w:tc>
          <w:tcPr>
            <w:tcW w:w="301"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1.86</w:t>
            </w:r>
          </w:p>
        </w:tc>
        <w:tc>
          <w:tcPr>
            <w:tcW w:w="262"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2.29</w:t>
            </w:r>
          </w:p>
        </w:tc>
        <w:tc>
          <w:tcPr>
            <w:tcW w:w="354"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2.41</w:t>
            </w:r>
          </w:p>
        </w:tc>
        <w:tc>
          <w:tcPr>
            <w:tcW w:w="259"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2.29</w:t>
            </w:r>
          </w:p>
        </w:tc>
        <w:tc>
          <w:tcPr>
            <w:tcW w:w="313"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2.04</w:t>
            </w:r>
          </w:p>
        </w:tc>
        <w:tc>
          <w:tcPr>
            <w:tcW w:w="271"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2.95</w:t>
            </w:r>
          </w:p>
        </w:tc>
        <w:tc>
          <w:tcPr>
            <w:tcW w:w="349"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2.48</w:t>
            </w:r>
          </w:p>
        </w:tc>
        <w:tc>
          <w:tcPr>
            <w:tcW w:w="279"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5" w:hRule="atLeast"/>
          <w:jc w:val="center"/>
        </w:trPr>
        <w:tc>
          <w:tcPr>
            <w:tcW w:w="216"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全年</w:t>
            </w:r>
          </w:p>
        </w:tc>
        <w:tc>
          <w:tcPr>
            <w:tcW w:w="257"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2.7</w:t>
            </w:r>
          </w:p>
        </w:tc>
        <w:tc>
          <w:tcPr>
            <w:tcW w:w="297"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2.93</w:t>
            </w:r>
          </w:p>
        </w:tc>
        <w:tc>
          <w:tcPr>
            <w:tcW w:w="261"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2.42</w:t>
            </w:r>
          </w:p>
        </w:tc>
        <w:tc>
          <w:tcPr>
            <w:tcW w:w="284"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2.51</w:t>
            </w:r>
          </w:p>
        </w:tc>
        <w:tc>
          <w:tcPr>
            <w:tcW w:w="258"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2.09</w:t>
            </w:r>
          </w:p>
        </w:tc>
        <w:tc>
          <w:tcPr>
            <w:tcW w:w="261"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1.98</w:t>
            </w:r>
          </w:p>
        </w:tc>
        <w:tc>
          <w:tcPr>
            <w:tcW w:w="256"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1.49</w:t>
            </w:r>
          </w:p>
        </w:tc>
        <w:tc>
          <w:tcPr>
            <w:tcW w:w="258"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1.74</w:t>
            </w:r>
          </w:p>
        </w:tc>
        <w:tc>
          <w:tcPr>
            <w:tcW w:w="254"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1.56</w:t>
            </w:r>
          </w:p>
        </w:tc>
        <w:tc>
          <w:tcPr>
            <w:tcW w:w="301"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2.08</w:t>
            </w:r>
          </w:p>
        </w:tc>
        <w:tc>
          <w:tcPr>
            <w:tcW w:w="262"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2.19</w:t>
            </w:r>
          </w:p>
        </w:tc>
        <w:tc>
          <w:tcPr>
            <w:tcW w:w="354"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2.48</w:t>
            </w:r>
          </w:p>
        </w:tc>
        <w:tc>
          <w:tcPr>
            <w:tcW w:w="259"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2.19</w:t>
            </w:r>
          </w:p>
        </w:tc>
        <w:tc>
          <w:tcPr>
            <w:tcW w:w="313"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2.31</w:t>
            </w:r>
          </w:p>
        </w:tc>
        <w:tc>
          <w:tcPr>
            <w:tcW w:w="271"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2.56</w:t>
            </w:r>
          </w:p>
        </w:tc>
        <w:tc>
          <w:tcPr>
            <w:tcW w:w="349"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2.89</w:t>
            </w:r>
          </w:p>
        </w:tc>
        <w:tc>
          <w:tcPr>
            <w:tcW w:w="279" w:type="pct"/>
            <w:tcBorders>
              <w:tl2br w:val="nil"/>
              <w:tr2bl w:val="nil"/>
            </w:tcBorders>
            <w:vAlign w:val="center"/>
          </w:tcPr>
          <w:p>
            <w:pPr>
              <w:spacing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1.89</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olor w:val="auto"/>
          <w:sz w:val="24"/>
          <w:highlight w:val="none"/>
        </w:rPr>
      </w:pPr>
      <w:r>
        <w:rPr>
          <w:rFonts w:ascii="Times New Roman" w:hAnsi="Times New Roman"/>
          <w:color w:val="auto"/>
          <w:sz w:val="24"/>
          <w:highlight w:val="none"/>
        </w:rPr>
        <w:t>（4）高空气象参数</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b w:val="0"/>
          <w:bCs w:val="0"/>
          <w:color w:val="auto"/>
          <w:sz w:val="24"/>
          <w:highlight w:val="none"/>
        </w:rPr>
      </w:pPr>
      <w:r>
        <w:rPr>
          <w:rFonts w:hint="eastAsia" w:ascii="Times New Roman" w:hAnsi="Times New Roman"/>
          <w:b w:val="0"/>
          <w:bCs w:val="0"/>
          <w:color w:val="auto"/>
          <w:sz w:val="24"/>
          <w:highlight w:val="none"/>
        </w:rPr>
        <w:t>因为项目周围50km范围内无高空气象探测站点，高空气象数据采用环境工程评估中心环境质量模拟重点实验室的中尺度气象模拟数据。模拟高空气象数据模拟网格点编号为（135300），网格点位置经度115.19794°，纬度33.88542°，年限为2016年。</w:t>
      </w:r>
    </w:p>
    <w:p>
      <w:pPr>
        <w:pStyle w:val="40"/>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 w:val="0"/>
          <w:bCs w:val="0"/>
          <w:color w:val="auto"/>
          <w:sz w:val="24"/>
          <w:highlight w:val="none"/>
        </w:rPr>
      </w:pPr>
      <w:r>
        <w:rPr>
          <w:rFonts w:hint="eastAsia" w:ascii="Times New Roman" w:hAnsi="Times New Roman"/>
          <w:b w:val="0"/>
          <w:bCs w:val="0"/>
          <w:color w:val="auto"/>
          <w:sz w:val="24"/>
          <w:highlight w:val="none"/>
        </w:rPr>
        <w:t>该高空气象数据是采用中尺度数值模式WRF模拟生成，把全国共划分为189×159个网格，每个网格的分辨率为27km×27km。该模式采用的原始数据有地形高度、土地利用、陆地—水体标志、植被组成等数据，数据源主要为美国的USGS数据，模式采用美国国家环境预报中心（NCEP）的在分析数据作为模型输入场和边界场。全年共输出高空气象模拟数据文件12个，每个文件包括各月逐日一日两次高空气象模拟数据。数据文件文件名共12位，前4为代表年，第5～6位代表月份，第7～12位代表该网格点编号。各文件中所包括的高空气象数据内容</w:t>
      </w:r>
      <w:r>
        <w:rPr>
          <w:rFonts w:ascii="Times New Roman" w:hAnsi="Times New Roman"/>
          <w:b w:val="0"/>
          <w:bCs w:val="0"/>
          <w:color w:val="auto"/>
          <w:sz w:val="24"/>
          <w:highlight w:val="none"/>
        </w:rPr>
        <w:t>见表</w:t>
      </w:r>
      <w:r>
        <w:rPr>
          <w:rFonts w:hint="eastAsia"/>
          <w:b w:val="0"/>
          <w:bCs w:val="0"/>
          <w:color w:val="auto"/>
          <w:sz w:val="24"/>
          <w:highlight w:val="none"/>
          <w:lang w:val="en-US" w:eastAsia="zh-CN"/>
        </w:rPr>
        <w:t>4</w:t>
      </w:r>
      <w:r>
        <w:rPr>
          <w:rFonts w:hint="eastAsia" w:ascii="Times New Roman" w:hAnsi="Times New Roman"/>
          <w:b w:val="0"/>
          <w:bCs w:val="0"/>
          <w:color w:val="auto"/>
          <w:sz w:val="24"/>
          <w:highlight w:val="none"/>
          <w:lang w:val="en-US" w:eastAsia="zh-CN"/>
        </w:rPr>
        <w:t>.2-7</w:t>
      </w:r>
      <w:r>
        <w:rPr>
          <w:rFonts w:ascii="Times New Roman" w:hAnsi="Times New Roman"/>
          <w:b w:val="0"/>
          <w:bCs w:val="0"/>
          <w:color w:val="auto"/>
          <w:sz w:val="24"/>
          <w:highlight w:val="none"/>
        </w:rPr>
        <w:t>。</w:t>
      </w:r>
    </w:p>
    <w:p>
      <w:pPr>
        <w:pStyle w:val="40"/>
        <w:rPr>
          <w:rFonts w:hint="eastAsia" w:cs="Times New Roman"/>
          <w:color w:val="auto"/>
          <w:highlight w:val="none"/>
          <w:lang w:val="en-US" w:eastAsia="zh-CN"/>
        </w:rPr>
      </w:pPr>
      <w:r>
        <w:rPr>
          <w:rFonts w:hint="eastAsia" w:cs="Times New Roman"/>
          <w:color w:val="auto"/>
          <w:highlight w:val="none"/>
          <w:lang w:val="en-US" w:eastAsia="zh-CN"/>
        </w:rPr>
        <w:t>表4.2-7 高空气象数据内容</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277"/>
        <w:gridCol w:w="1416"/>
        <w:gridCol w:w="2347"/>
        <w:gridCol w:w="14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tblHeader/>
        </w:trPr>
        <w:tc>
          <w:tcPr>
            <w:tcW w:w="1937" w:type="pct"/>
            <w:tcBorders>
              <w:righ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名称</w:t>
            </w:r>
          </w:p>
        </w:tc>
        <w:tc>
          <w:tcPr>
            <w:tcW w:w="837" w:type="pct"/>
            <w:tcBorders>
              <w:lef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单位</w:t>
            </w:r>
          </w:p>
        </w:tc>
        <w:tc>
          <w:tcPr>
            <w:tcW w:w="1387" w:type="pct"/>
            <w:tcBorders>
              <w:righ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名称</w:t>
            </w:r>
          </w:p>
        </w:tc>
        <w:tc>
          <w:tcPr>
            <w:tcW w:w="837" w:type="pct"/>
            <w:tcBorders>
              <w:lef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trPr>
        <w:tc>
          <w:tcPr>
            <w:tcW w:w="1937" w:type="pct"/>
            <w:tcBorders>
              <w:righ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年月日时</w:t>
            </w:r>
          </w:p>
        </w:tc>
        <w:tc>
          <w:tcPr>
            <w:tcW w:w="837" w:type="pct"/>
            <w:tcBorders>
              <w:lef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w:t>
            </w:r>
          </w:p>
        </w:tc>
        <w:tc>
          <w:tcPr>
            <w:tcW w:w="1387" w:type="pct"/>
            <w:tcBorders>
              <w:righ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干球温度</w:t>
            </w:r>
          </w:p>
        </w:tc>
        <w:tc>
          <w:tcPr>
            <w:tcW w:w="837" w:type="pct"/>
            <w:tcBorders>
              <w:left w:val="single" w:color="auto" w:sz="4" w:space="0"/>
            </w:tcBorders>
            <w:noWrap w:val="0"/>
            <w:vAlign w:val="center"/>
          </w:tcPr>
          <w:p>
            <w:pPr>
              <w:pStyle w:val="108"/>
              <w:spacing w:before="0" w:line="240" w:lineRule="auto"/>
              <w:ind w:firstLine="0" w:firstLineChars="0"/>
              <w:jc w:val="center"/>
              <w:rPr>
                <w:rFonts w:hint="eastAsia" w:asciiTheme="minorEastAsia" w:hAnsiTheme="minorEastAsia" w:eastAsiaTheme="minorEastAsia" w:cstheme="minorEastAsia"/>
                <w:b w:val="0"/>
                <w:bCs/>
                <w:color w:val="auto"/>
                <w:sz w:val="21"/>
                <w:highlight w:val="none"/>
              </w:rPr>
            </w:pPr>
            <w:r>
              <w:rPr>
                <w:rFonts w:hint="eastAsia" w:asciiTheme="minorEastAsia" w:hAnsiTheme="minorEastAsia" w:eastAsiaTheme="minorEastAsia" w:cstheme="minorEastAsia"/>
                <w:b w:val="0"/>
                <w:bCs/>
                <w:color w:val="auto"/>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trPr>
        <w:tc>
          <w:tcPr>
            <w:tcW w:w="1937" w:type="pct"/>
            <w:tcBorders>
              <w:righ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探空数据层数</w:t>
            </w:r>
          </w:p>
        </w:tc>
        <w:tc>
          <w:tcPr>
            <w:tcW w:w="837" w:type="pct"/>
            <w:tcBorders>
              <w:lef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w:t>
            </w:r>
          </w:p>
        </w:tc>
        <w:tc>
          <w:tcPr>
            <w:tcW w:w="1387" w:type="pct"/>
            <w:tcBorders>
              <w:righ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露点温度</w:t>
            </w:r>
          </w:p>
        </w:tc>
        <w:tc>
          <w:tcPr>
            <w:tcW w:w="837" w:type="pct"/>
            <w:tcBorders>
              <w:left w:val="single" w:color="auto" w:sz="4" w:space="0"/>
            </w:tcBorders>
            <w:noWrap w:val="0"/>
            <w:vAlign w:val="center"/>
          </w:tcPr>
          <w:p>
            <w:pPr>
              <w:pStyle w:val="108"/>
              <w:spacing w:before="0" w:line="240" w:lineRule="auto"/>
              <w:ind w:firstLine="0" w:firstLineChars="0"/>
              <w:jc w:val="center"/>
              <w:rPr>
                <w:rFonts w:hint="eastAsia" w:asciiTheme="minorEastAsia" w:hAnsiTheme="minorEastAsia" w:eastAsiaTheme="minorEastAsia" w:cstheme="minorEastAsia"/>
                <w:b w:val="0"/>
                <w:bCs/>
                <w:color w:val="auto"/>
                <w:sz w:val="21"/>
                <w:highlight w:val="none"/>
              </w:rPr>
            </w:pPr>
            <w:r>
              <w:rPr>
                <w:rFonts w:hint="eastAsia" w:asciiTheme="minorEastAsia" w:hAnsiTheme="minorEastAsia" w:eastAsiaTheme="minorEastAsia" w:cstheme="minorEastAsia"/>
                <w:b w:val="0"/>
                <w:bCs/>
                <w:color w:val="auto"/>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trPr>
        <w:tc>
          <w:tcPr>
            <w:tcW w:w="1937" w:type="pct"/>
            <w:tcBorders>
              <w:righ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气压</w:t>
            </w:r>
          </w:p>
        </w:tc>
        <w:tc>
          <w:tcPr>
            <w:tcW w:w="837" w:type="pct"/>
            <w:tcBorders>
              <w:lef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hPa</w:t>
            </w:r>
          </w:p>
        </w:tc>
        <w:tc>
          <w:tcPr>
            <w:tcW w:w="1387" w:type="pct"/>
            <w:tcBorders>
              <w:righ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风速</w:t>
            </w:r>
          </w:p>
        </w:tc>
        <w:tc>
          <w:tcPr>
            <w:tcW w:w="837" w:type="pct"/>
            <w:tcBorders>
              <w:lef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m/s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trPr>
        <w:tc>
          <w:tcPr>
            <w:tcW w:w="1937" w:type="pct"/>
            <w:tcBorders>
              <w:righ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高度</w:t>
            </w:r>
          </w:p>
        </w:tc>
        <w:tc>
          <w:tcPr>
            <w:tcW w:w="837" w:type="pct"/>
            <w:tcBorders>
              <w:lef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m</w:t>
            </w:r>
          </w:p>
        </w:tc>
        <w:tc>
          <w:tcPr>
            <w:tcW w:w="1387" w:type="pct"/>
            <w:tcBorders>
              <w:righ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风向</w:t>
            </w:r>
          </w:p>
        </w:tc>
        <w:tc>
          <w:tcPr>
            <w:tcW w:w="837" w:type="pct"/>
            <w:tcBorders>
              <w:left w:val="single" w:color="auto" w:sz="4" w:space="0"/>
            </w:tcBorders>
            <w:noWrap w:val="0"/>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w:t>
            </w:r>
          </w:p>
        </w:tc>
      </w:tr>
    </w:tbl>
    <w:p>
      <w:pPr>
        <w:pStyle w:val="6"/>
        <w:ind w:firstLine="482"/>
        <w:rPr>
          <w:color w:val="auto"/>
          <w:highlight w:val="none"/>
        </w:rPr>
      </w:pPr>
      <w:r>
        <w:rPr>
          <w:rFonts w:hint="eastAsia"/>
          <w:color w:val="auto"/>
          <w:highlight w:val="none"/>
          <w:lang w:val="en-US" w:eastAsia="zh-CN"/>
        </w:rPr>
        <w:t>4</w:t>
      </w:r>
      <w:r>
        <w:rPr>
          <w:color w:val="auto"/>
          <w:highlight w:val="none"/>
        </w:rPr>
        <w:t>.</w:t>
      </w:r>
      <w:r>
        <w:rPr>
          <w:rFonts w:hint="eastAsia"/>
          <w:color w:val="auto"/>
          <w:highlight w:val="none"/>
        </w:rPr>
        <w:t>2</w:t>
      </w:r>
      <w:r>
        <w:rPr>
          <w:color w:val="auto"/>
          <w:highlight w:val="none"/>
        </w:rPr>
        <w:t>.</w:t>
      </w:r>
      <w:r>
        <w:rPr>
          <w:rFonts w:hint="eastAsia"/>
          <w:color w:val="auto"/>
          <w:highlight w:val="none"/>
        </w:rPr>
        <w:t>1.2废气预测与评价</w:t>
      </w:r>
    </w:p>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rPr>
      </w:pPr>
      <w:r>
        <w:rPr>
          <w:rFonts w:hint="eastAsia"/>
          <w:color w:val="auto"/>
          <w:highlight w:val="none"/>
        </w:rPr>
        <w:t>根据工程分析，本项目运营期废气主要为养殖过程猪舍产生的恶臭气体、污水处理过程及固粪处理区产生的恶臭气体、</w:t>
      </w:r>
      <w:r>
        <w:rPr>
          <w:rFonts w:hint="eastAsia"/>
          <w:color w:val="auto"/>
          <w:highlight w:val="none"/>
          <w:lang w:eastAsia="zh-CN"/>
        </w:rPr>
        <w:t>无害化处理车间</w:t>
      </w:r>
      <w:r>
        <w:rPr>
          <w:rFonts w:hint="eastAsia"/>
          <w:color w:val="auto"/>
          <w:highlight w:val="none"/>
        </w:rPr>
        <w:t>废气、沼气</w:t>
      </w:r>
      <w:r>
        <w:rPr>
          <w:rFonts w:hint="eastAsia"/>
          <w:color w:val="auto"/>
          <w:highlight w:val="none"/>
          <w:lang w:eastAsia="zh-CN"/>
        </w:rPr>
        <w:t>锅炉</w:t>
      </w:r>
      <w:r>
        <w:rPr>
          <w:rFonts w:hint="eastAsia"/>
          <w:color w:val="auto"/>
          <w:highlight w:val="none"/>
        </w:rPr>
        <w:t>燃烧废气、</w:t>
      </w:r>
      <w:r>
        <w:rPr>
          <w:rFonts w:hint="eastAsia"/>
          <w:color w:val="auto"/>
          <w:highlight w:val="none"/>
          <w:lang w:eastAsia="zh-CN"/>
        </w:rPr>
        <w:t>火炬燃烧废气、</w:t>
      </w:r>
      <w:r>
        <w:rPr>
          <w:rFonts w:hint="eastAsia"/>
          <w:color w:val="auto"/>
          <w:highlight w:val="none"/>
        </w:rPr>
        <w:t>食堂油烟等。根据《环境影响评价技术导则 大气环境》（HJ2.2-2018）推荐的估算模式AERSCREEN进行预测，估算模式采用的</w:t>
      </w:r>
      <w:r>
        <w:rPr>
          <w:rFonts w:hint="eastAsia"/>
          <w:color w:val="auto"/>
          <w:highlight w:val="none"/>
          <w:lang w:eastAsia="zh-CN"/>
        </w:rPr>
        <w:t>模型</w:t>
      </w:r>
      <w:r>
        <w:rPr>
          <w:rFonts w:hint="eastAsia"/>
          <w:color w:val="auto"/>
          <w:highlight w:val="none"/>
        </w:rPr>
        <w:t>参数见表</w:t>
      </w:r>
      <w:r>
        <w:rPr>
          <w:rFonts w:hint="eastAsia"/>
          <w:color w:val="auto"/>
          <w:highlight w:val="none"/>
          <w:lang w:val="en-US" w:eastAsia="zh-CN"/>
        </w:rPr>
        <w:t>4</w:t>
      </w:r>
      <w:r>
        <w:rPr>
          <w:rFonts w:hint="eastAsia"/>
          <w:color w:val="auto"/>
          <w:highlight w:val="none"/>
        </w:rPr>
        <w:t>.2-</w:t>
      </w:r>
      <w:r>
        <w:rPr>
          <w:rFonts w:hint="eastAsia"/>
          <w:color w:val="auto"/>
          <w:highlight w:val="none"/>
          <w:lang w:val="en-US" w:eastAsia="zh-CN"/>
        </w:rPr>
        <w:t>8，污染源排放参数见表4.2-9、4.2-10</w:t>
      </w:r>
      <w:r>
        <w:rPr>
          <w:rFonts w:hint="eastAsia"/>
          <w:color w:val="auto"/>
          <w:highlight w:val="none"/>
        </w:rPr>
        <w:t>。</w:t>
      </w:r>
    </w:p>
    <w:p>
      <w:pPr>
        <w:pStyle w:val="40"/>
        <w:rPr>
          <w:rFonts w:hint="eastAsia" w:cs="Times New Roman"/>
          <w:color w:val="auto"/>
          <w:highlight w:val="none"/>
          <w:lang w:val="en-US" w:eastAsia="zh-CN"/>
        </w:rPr>
      </w:pPr>
      <w:r>
        <w:rPr>
          <w:rFonts w:hint="eastAsia" w:cs="Times New Roman"/>
          <w:color w:val="auto"/>
          <w:highlight w:val="none"/>
          <w:lang w:val="en-US" w:eastAsia="zh-CN"/>
        </w:rPr>
        <w:t>表4.2-8 模型参数一览表</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18"/>
        <w:gridCol w:w="2821"/>
        <w:gridCol w:w="28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33" w:type="pct"/>
            <w:gridSpan w:val="2"/>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参数</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restar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城市/农村选项</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城市/农村</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农村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continue"/>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人口数（城市选项时）</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33" w:type="pct"/>
            <w:gridSpan w:val="2"/>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最高环境温度/℃</w:t>
            </w:r>
          </w:p>
        </w:tc>
        <w:tc>
          <w:tcPr>
            <w:tcW w:w="1666" w:type="pct"/>
            <w:noWrap/>
            <w:vAlign w:val="center"/>
          </w:tcPr>
          <w:p>
            <w:pPr>
              <w:pStyle w:val="108"/>
              <w:spacing w:before="0" w:line="240" w:lineRule="auto"/>
              <w:ind w:firstLine="0" w:firstLineChars="0"/>
              <w:jc w:val="center"/>
              <w:rPr>
                <w:rFonts w:hint="default"/>
                <w:b w:val="0"/>
                <w:bCs/>
                <w:color w:val="auto"/>
                <w:sz w:val="21"/>
                <w:highlight w:val="none"/>
                <w:lang w:val="en-US" w:eastAsia="zh-CN"/>
              </w:rPr>
            </w:pPr>
            <w:r>
              <w:rPr>
                <w:rFonts w:hint="eastAsia"/>
                <w:b w:val="0"/>
                <w:bCs/>
                <w:color w:val="auto"/>
                <w:sz w:val="21"/>
                <w:highlight w:val="none"/>
                <w:lang w:val="en-US" w:eastAsia="zh-CN"/>
              </w:rPr>
              <w:t>38.4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3" w:type="pct"/>
            <w:gridSpan w:val="2"/>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最低环境温度/℃</w:t>
            </w:r>
          </w:p>
        </w:tc>
        <w:tc>
          <w:tcPr>
            <w:tcW w:w="1666" w:type="pct"/>
            <w:noWrap/>
            <w:vAlign w:val="center"/>
          </w:tcPr>
          <w:p>
            <w:pPr>
              <w:pStyle w:val="108"/>
              <w:spacing w:before="0" w:line="240" w:lineRule="auto"/>
              <w:ind w:firstLine="0" w:firstLineChars="0"/>
              <w:jc w:val="center"/>
              <w:rPr>
                <w:rFonts w:hint="default"/>
                <w:b w:val="0"/>
                <w:bCs/>
                <w:color w:val="auto"/>
                <w:sz w:val="21"/>
                <w:highlight w:val="none"/>
                <w:lang w:val="en-US" w:eastAsia="zh-CN"/>
              </w:rPr>
            </w:pPr>
            <w:r>
              <w:rPr>
                <w:rFonts w:hint="eastAsia"/>
                <w:b w:val="0"/>
                <w:bCs/>
                <w:color w:val="auto"/>
                <w:sz w:val="21"/>
                <w:highlight w:val="none"/>
                <w:lang w:val="en-US" w:eastAsia="zh-CN"/>
              </w:rPr>
              <w:t>-10.2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33" w:type="pct"/>
            <w:gridSpan w:val="2"/>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土地利用类型</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农用地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33" w:type="pct"/>
            <w:gridSpan w:val="2"/>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区域湿度条件</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中等湿度气候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restar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是否考虑地形</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考虑地形</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continue"/>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地形数据分辨率/m</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6" w:type="pct"/>
            <w:vMerge w:val="restar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是否考虑岸线熏烟</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考虑岸线熏烟</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continue"/>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岸线距离/km</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continue"/>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岸线方向/°</w:t>
            </w:r>
          </w:p>
        </w:tc>
        <w:tc>
          <w:tcPr>
            <w:tcW w:w="1666"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w:t>
            </w:r>
          </w:p>
        </w:tc>
      </w:tr>
    </w:tbl>
    <w:p>
      <w:pPr>
        <w:pStyle w:val="21"/>
        <w:rPr>
          <w:bCs w:val="0"/>
          <w:color w:val="auto"/>
          <w:highlight w:val="none"/>
        </w:rPr>
      </w:pPr>
      <w:r>
        <w:rPr>
          <w:rFonts w:hint="eastAsia" w:ascii="Times New Roman" w:hAnsi="Times New Roman" w:eastAsia="宋体" w:cs="Times New Roman"/>
          <w:b/>
          <w:bCs w:val="0"/>
          <w:color w:val="auto"/>
          <w:kern w:val="2"/>
          <w:sz w:val="21"/>
          <w:szCs w:val="24"/>
          <w:highlight w:val="none"/>
          <w:lang w:val="en-US" w:eastAsia="zh-CN" w:bidi="ar-SA"/>
        </w:rPr>
        <w:t>表</w:t>
      </w:r>
      <w:r>
        <w:rPr>
          <w:rFonts w:hint="eastAsia" w:cs="Times New Roman"/>
          <w:b/>
          <w:bCs w:val="0"/>
          <w:color w:val="auto"/>
          <w:kern w:val="2"/>
          <w:sz w:val="21"/>
          <w:szCs w:val="24"/>
          <w:highlight w:val="none"/>
          <w:lang w:val="en-US" w:eastAsia="zh-CN" w:bidi="ar-SA"/>
        </w:rPr>
        <w:t>4</w:t>
      </w:r>
      <w:r>
        <w:rPr>
          <w:rFonts w:hint="eastAsia" w:ascii="Times New Roman" w:hAnsi="Times New Roman" w:eastAsia="宋体" w:cs="Times New Roman"/>
          <w:b/>
          <w:bCs w:val="0"/>
          <w:color w:val="auto"/>
          <w:kern w:val="2"/>
          <w:sz w:val="21"/>
          <w:szCs w:val="24"/>
          <w:highlight w:val="none"/>
          <w:lang w:val="en-US" w:eastAsia="zh-CN" w:bidi="ar-SA"/>
        </w:rPr>
        <w:t>.2-9 项目废气排放源强参数一览表</w:t>
      </w:r>
    </w:p>
    <w:tbl>
      <w:tblPr>
        <w:tblStyle w:val="24"/>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06"/>
        <w:gridCol w:w="702"/>
        <w:gridCol w:w="589"/>
        <w:gridCol w:w="648"/>
        <w:gridCol w:w="924"/>
        <w:gridCol w:w="442"/>
        <w:gridCol w:w="584"/>
        <w:gridCol w:w="812"/>
        <w:gridCol w:w="531"/>
        <w:gridCol w:w="636"/>
        <w:gridCol w:w="426"/>
        <w:gridCol w:w="10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编号</w:t>
            </w:r>
          </w:p>
        </w:tc>
        <w:tc>
          <w:tcPr>
            <w:tcW w:w="417"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名称</w:t>
            </w:r>
          </w:p>
        </w:tc>
        <w:tc>
          <w:tcPr>
            <w:tcW w:w="415"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污染物名称</w:t>
            </w:r>
          </w:p>
        </w:tc>
        <w:tc>
          <w:tcPr>
            <w:tcW w:w="731" w:type="pct"/>
            <w:gridSpan w:val="2"/>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排气筒底部中心坐标</w:t>
            </w:r>
            <w:r>
              <w:rPr>
                <w:rFonts w:hint="eastAsia"/>
                <w:b w:val="0"/>
                <w:bCs/>
                <w:color w:val="auto"/>
                <w:sz w:val="21"/>
                <w:highlight w:val="none"/>
              </w:rPr>
              <w:t>/m</w:t>
            </w:r>
          </w:p>
        </w:tc>
        <w:tc>
          <w:tcPr>
            <w:tcW w:w="546"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排气筒底部海拔高度/m</w:t>
            </w:r>
          </w:p>
        </w:tc>
        <w:tc>
          <w:tcPr>
            <w:tcW w:w="261"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排气筒高度/m</w:t>
            </w:r>
          </w:p>
        </w:tc>
        <w:tc>
          <w:tcPr>
            <w:tcW w:w="345"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排气筒出口内径/m</w:t>
            </w:r>
          </w:p>
        </w:tc>
        <w:tc>
          <w:tcPr>
            <w:tcW w:w="480"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烟气流量/(</w:t>
            </w:r>
            <w:r>
              <w:rPr>
                <w:b w:val="0"/>
                <w:bCs/>
                <w:color w:val="auto"/>
                <w:sz w:val="21"/>
                <w:szCs w:val="21"/>
                <w:highlight w:val="none"/>
              </w:rPr>
              <w:t>m</w:t>
            </w:r>
            <w:r>
              <w:rPr>
                <w:b w:val="0"/>
                <w:bCs/>
                <w:color w:val="auto"/>
                <w:sz w:val="21"/>
                <w:szCs w:val="21"/>
                <w:highlight w:val="none"/>
                <w:vertAlign w:val="superscript"/>
              </w:rPr>
              <w:t>3</w:t>
            </w:r>
            <w:r>
              <w:rPr>
                <w:b w:val="0"/>
                <w:bCs/>
                <w:color w:val="auto"/>
                <w:sz w:val="21"/>
                <w:szCs w:val="21"/>
                <w:highlight w:val="none"/>
              </w:rPr>
              <w:t>/h</w:t>
            </w:r>
            <w:r>
              <w:rPr>
                <w:b w:val="0"/>
                <w:bCs/>
                <w:color w:val="auto"/>
                <w:sz w:val="21"/>
                <w:highlight w:val="none"/>
              </w:rPr>
              <w:t>)</w:t>
            </w:r>
          </w:p>
        </w:tc>
        <w:tc>
          <w:tcPr>
            <w:tcW w:w="314"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烟气温度/℃</w:t>
            </w:r>
          </w:p>
        </w:tc>
        <w:tc>
          <w:tcPr>
            <w:tcW w:w="376"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年排放小时数/h</w:t>
            </w:r>
          </w:p>
        </w:tc>
        <w:tc>
          <w:tcPr>
            <w:tcW w:w="252"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排放工况</w:t>
            </w:r>
          </w:p>
        </w:tc>
        <w:tc>
          <w:tcPr>
            <w:tcW w:w="606" w:type="pct"/>
            <w:vMerge w:val="restar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污染物排放速率/(</w:t>
            </w:r>
            <w:r>
              <w:rPr>
                <w:rFonts w:hint="eastAsia"/>
                <w:b w:val="0"/>
                <w:bCs/>
                <w:color w:val="auto"/>
                <w:sz w:val="21"/>
                <w:highlight w:val="none"/>
                <w:lang w:val="en-US" w:eastAsia="zh-CN"/>
              </w:rPr>
              <w:t>t/a</w:t>
            </w:r>
            <w:r>
              <w:rPr>
                <w:b w:val="0"/>
                <w:bCs/>
                <w:color w:val="auto"/>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continue"/>
            <w:tcBorders>
              <w:tl2br w:val="nil"/>
              <w:tr2bl w:val="nil"/>
            </w:tcBorders>
            <w:shd w:val="clear" w:color="auto" w:fill="auto"/>
          </w:tcPr>
          <w:p>
            <w:pPr>
              <w:pStyle w:val="108"/>
              <w:spacing w:before="0" w:line="240" w:lineRule="auto"/>
              <w:ind w:firstLine="0" w:firstLineChars="0"/>
              <w:jc w:val="center"/>
              <w:rPr>
                <w:b/>
                <w:color w:val="auto"/>
                <w:sz w:val="21"/>
                <w:highlight w:val="none"/>
              </w:rPr>
            </w:pPr>
          </w:p>
        </w:tc>
        <w:tc>
          <w:tcPr>
            <w:tcW w:w="417" w:type="pct"/>
            <w:vMerge w:val="continue"/>
            <w:tcBorders>
              <w:tl2br w:val="nil"/>
              <w:tr2bl w:val="nil"/>
            </w:tcBorders>
            <w:shd w:val="clear" w:color="auto" w:fill="auto"/>
          </w:tcPr>
          <w:p>
            <w:pPr>
              <w:pStyle w:val="108"/>
              <w:spacing w:before="0" w:line="240" w:lineRule="auto"/>
              <w:ind w:firstLine="0" w:firstLineChars="0"/>
              <w:jc w:val="center"/>
              <w:rPr>
                <w:b/>
                <w:color w:val="auto"/>
                <w:sz w:val="21"/>
                <w:highlight w:val="none"/>
              </w:rPr>
            </w:pPr>
          </w:p>
        </w:tc>
        <w:tc>
          <w:tcPr>
            <w:tcW w:w="415" w:type="pct"/>
            <w:vMerge w:val="continue"/>
            <w:tcBorders>
              <w:tl2br w:val="nil"/>
              <w:tr2bl w:val="nil"/>
            </w:tcBorders>
            <w:shd w:val="clear" w:color="auto" w:fill="auto"/>
          </w:tcPr>
          <w:p>
            <w:pPr>
              <w:pStyle w:val="108"/>
              <w:spacing w:before="0" w:line="240" w:lineRule="auto"/>
              <w:ind w:firstLine="0" w:firstLineChars="0"/>
              <w:jc w:val="center"/>
              <w:rPr>
                <w:b/>
                <w:color w:val="auto"/>
                <w:sz w:val="21"/>
                <w:highlight w:val="none"/>
              </w:rPr>
            </w:pPr>
          </w:p>
        </w:tc>
        <w:tc>
          <w:tcPr>
            <w:tcW w:w="348" w:type="pc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X</w:t>
            </w:r>
          </w:p>
        </w:tc>
        <w:tc>
          <w:tcPr>
            <w:tcW w:w="383" w:type="pct"/>
            <w:tcBorders>
              <w:tl2br w:val="nil"/>
              <w:tr2bl w:val="nil"/>
            </w:tcBorders>
            <w:shd w:val="clear" w:color="auto" w:fill="auto"/>
            <w:vAlign w:val="center"/>
          </w:tcPr>
          <w:p>
            <w:pPr>
              <w:pStyle w:val="108"/>
              <w:spacing w:before="0" w:line="240" w:lineRule="auto"/>
              <w:ind w:firstLine="0" w:firstLineChars="0"/>
              <w:jc w:val="center"/>
              <w:rPr>
                <w:b w:val="0"/>
                <w:bCs/>
                <w:color w:val="auto"/>
                <w:sz w:val="21"/>
                <w:highlight w:val="none"/>
              </w:rPr>
            </w:pPr>
            <w:r>
              <w:rPr>
                <w:b w:val="0"/>
                <w:bCs/>
                <w:color w:val="auto"/>
                <w:sz w:val="21"/>
                <w:highlight w:val="none"/>
              </w:rPr>
              <w:t>Y</w:t>
            </w:r>
          </w:p>
        </w:tc>
        <w:tc>
          <w:tcPr>
            <w:tcW w:w="546" w:type="pct"/>
            <w:vMerge w:val="continue"/>
            <w:tcBorders>
              <w:tl2br w:val="nil"/>
              <w:tr2bl w:val="nil"/>
            </w:tcBorders>
          </w:tcPr>
          <w:p>
            <w:pPr>
              <w:pStyle w:val="108"/>
              <w:spacing w:before="0" w:line="240" w:lineRule="auto"/>
              <w:ind w:firstLine="0" w:firstLineChars="0"/>
              <w:jc w:val="center"/>
              <w:rPr>
                <w:b/>
                <w:color w:val="auto"/>
                <w:sz w:val="21"/>
                <w:highlight w:val="none"/>
              </w:rPr>
            </w:pPr>
          </w:p>
        </w:tc>
        <w:tc>
          <w:tcPr>
            <w:tcW w:w="261" w:type="pct"/>
            <w:vMerge w:val="continue"/>
            <w:tcBorders>
              <w:tl2br w:val="nil"/>
              <w:tr2bl w:val="nil"/>
            </w:tcBorders>
          </w:tcPr>
          <w:p>
            <w:pPr>
              <w:pStyle w:val="108"/>
              <w:spacing w:before="0" w:line="240" w:lineRule="auto"/>
              <w:ind w:firstLine="0" w:firstLineChars="0"/>
              <w:jc w:val="center"/>
              <w:rPr>
                <w:b/>
                <w:color w:val="auto"/>
                <w:sz w:val="21"/>
                <w:highlight w:val="none"/>
              </w:rPr>
            </w:pPr>
          </w:p>
        </w:tc>
        <w:tc>
          <w:tcPr>
            <w:tcW w:w="345" w:type="pct"/>
            <w:vMerge w:val="continue"/>
            <w:tcBorders>
              <w:tl2br w:val="nil"/>
              <w:tr2bl w:val="nil"/>
            </w:tcBorders>
          </w:tcPr>
          <w:p>
            <w:pPr>
              <w:pStyle w:val="108"/>
              <w:spacing w:before="0" w:line="240" w:lineRule="auto"/>
              <w:ind w:firstLine="0" w:firstLineChars="0"/>
              <w:jc w:val="center"/>
              <w:rPr>
                <w:b/>
                <w:color w:val="auto"/>
                <w:sz w:val="21"/>
                <w:highlight w:val="none"/>
              </w:rPr>
            </w:pPr>
          </w:p>
        </w:tc>
        <w:tc>
          <w:tcPr>
            <w:tcW w:w="480" w:type="pct"/>
            <w:vMerge w:val="continue"/>
            <w:tcBorders>
              <w:tl2br w:val="nil"/>
              <w:tr2bl w:val="nil"/>
            </w:tcBorders>
          </w:tcPr>
          <w:p>
            <w:pPr>
              <w:pStyle w:val="108"/>
              <w:spacing w:before="0" w:line="240" w:lineRule="auto"/>
              <w:ind w:firstLine="0" w:firstLineChars="0"/>
              <w:jc w:val="center"/>
              <w:rPr>
                <w:b/>
                <w:color w:val="auto"/>
                <w:sz w:val="21"/>
                <w:highlight w:val="none"/>
              </w:rPr>
            </w:pPr>
          </w:p>
        </w:tc>
        <w:tc>
          <w:tcPr>
            <w:tcW w:w="314" w:type="pct"/>
            <w:vMerge w:val="continue"/>
            <w:tcBorders>
              <w:tl2br w:val="nil"/>
              <w:tr2bl w:val="nil"/>
            </w:tcBorders>
          </w:tcPr>
          <w:p>
            <w:pPr>
              <w:pStyle w:val="108"/>
              <w:spacing w:before="0" w:line="240" w:lineRule="auto"/>
              <w:ind w:firstLine="0" w:firstLineChars="0"/>
              <w:jc w:val="center"/>
              <w:rPr>
                <w:b/>
                <w:color w:val="auto"/>
                <w:sz w:val="21"/>
                <w:highlight w:val="none"/>
              </w:rPr>
            </w:pPr>
          </w:p>
        </w:tc>
        <w:tc>
          <w:tcPr>
            <w:tcW w:w="376" w:type="pct"/>
            <w:vMerge w:val="continue"/>
            <w:tcBorders>
              <w:tl2br w:val="nil"/>
              <w:tr2bl w:val="nil"/>
            </w:tcBorders>
          </w:tcPr>
          <w:p>
            <w:pPr>
              <w:pStyle w:val="108"/>
              <w:spacing w:before="0" w:line="240" w:lineRule="auto"/>
              <w:ind w:firstLine="0" w:firstLineChars="0"/>
              <w:jc w:val="center"/>
              <w:rPr>
                <w:b/>
                <w:color w:val="auto"/>
                <w:sz w:val="21"/>
                <w:highlight w:val="none"/>
              </w:rPr>
            </w:pPr>
          </w:p>
        </w:tc>
        <w:tc>
          <w:tcPr>
            <w:tcW w:w="252" w:type="pct"/>
            <w:vMerge w:val="continue"/>
            <w:tcBorders>
              <w:tl2br w:val="nil"/>
              <w:tr2bl w:val="nil"/>
            </w:tcBorders>
          </w:tcPr>
          <w:p>
            <w:pPr>
              <w:pStyle w:val="108"/>
              <w:spacing w:before="0" w:line="240" w:lineRule="auto"/>
              <w:ind w:firstLine="0" w:firstLineChars="0"/>
              <w:jc w:val="center"/>
              <w:rPr>
                <w:b/>
                <w:color w:val="auto"/>
                <w:sz w:val="21"/>
                <w:highlight w:val="none"/>
              </w:rPr>
            </w:pPr>
          </w:p>
        </w:tc>
        <w:tc>
          <w:tcPr>
            <w:tcW w:w="606" w:type="pct"/>
            <w:vMerge w:val="continue"/>
            <w:tcBorders>
              <w:tl2br w:val="nil"/>
              <w:tr2bl w:val="nil"/>
            </w:tcBorders>
          </w:tcPr>
          <w:p>
            <w:pPr>
              <w:pStyle w:val="108"/>
              <w:spacing w:before="0" w:line="240" w:lineRule="auto"/>
              <w:ind w:firstLine="0" w:firstLineChars="0"/>
              <w:jc w:val="center"/>
              <w:rPr>
                <w:b/>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restart"/>
            <w:tcBorders>
              <w:tl2br w:val="nil"/>
              <w:tr2bl w:val="nil"/>
            </w:tcBorders>
            <w:vAlign w:val="center"/>
          </w:tcPr>
          <w:p>
            <w:pPr>
              <w:pStyle w:val="108"/>
              <w:spacing w:before="0" w:line="240" w:lineRule="auto"/>
              <w:ind w:firstLine="0" w:firstLineChars="0"/>
              <w:jc w:val="center"/>
              <w:rPr>
                <w:rFonts w:hint="default"/>
                <w:b w:val="0"/>
                <w:bCs/>
                <w:color w:val="auto"/>
                <w:sz w:val="21"/>
                <w:highlight w:val="none"/>
                <w:lang w:val="en-US" w:eastAsia="zh-CN"/>
              </w:rPr>
            </w:pPr>
            <w:r>
              <w:rPr>
                <w:rFonts w:hint="eastAsia"/>
                <w:b w:val="0"/>
                <w:bCs/>
                <w:color w:val="auto"/>
                <w:sz w:val="21"/>
                <w:highlight w:val="none"/>
                <w:lang w:val="en-US" w:eastAsia="zh-CN"/>
              </w:rPr>
              <w:t>1</w:t>
            </w:r>
          </w:p>
        </w:tc>
        <w:tc>
          <w:tcPr>
            <w:tcW w:w="417" w:type="pct"/>
            <w:vMerge w:val="restart"/>
            <w:tcBorders>
              <w:tl2br w:val="nil"/>
              <w:tr2bl w:val="nil"/>
            </w:tcBorders>
            <w:vAlign w:val="center"/>
          </w:tcPr>
          <w:p>
            <w:pPr>
              <w:pStyle w:val="108"/>
              <w:spacing w:before="0" w:line="240" w:lineRule="auto"/>
              <w:ind w:firstLine="0" w:firstLineChars="0"/>
              <w:jc w:val="center"/>
              <w:rPr>
                <w:rFonts w:hint="default" w:eastAsia="宋体"/>
                <w:b/>
                <w:color w:val="auto"/>
                <w:sz w:val="21"/>
                <w:highlight w:val="none"/>
                <w:lang w:val="en-US" w:eastAsia="zh-CN"/>
              </w:rPr>
            </w:pPr>
            <w:r>
              <w:rPr>
                <w:rFonts w:hint="eastAsia"/>
                <w:b w:val="0"/>
                <w:bCs/>
                <w:color w:val="auto"/>
                <w:sz w:val="21"/>
                <w:highlight w:val="none"/>
                <w:lang w:val="en-US" w:eastAsia="zh-CN"/>
              </w:rPr>
              <w:t>沼气锅炉</w:t>
            </w:r>
          </w:p>
        </w:tc>
        <w:tc>
          <w:tcPr>
            <w:tcW w:w="415"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SO</w:t>
            </w:r>
            <w:r>
              <w:rPr>
                <w:rFonts w:hint="eastAsia"/>
                <w:bCs/>
                <w:color w:val="auto"/>
                <w:sz w:val="21"/>
                <w:highlight w:val="none"/>
                <w:vertAlign w:val="subscript"/>
                <w:lang w:val="en-US" w:eastAsia="zh-CN"/>
              </w:rPr>
              <w:t>2</w:t>
            </w:r>
          </w:p>
        </w:tc>
        <w:tc>
          <w:tcPr>
            <w:tcW w:w="348" w:type="pct"/>
            <w:vMerge w:val="restar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-6</w:t>
            </w:r>
          </w:p>
        </w:tc>
        <w:tc>
          <w:tcPr>
            <w:tcW w:w="383" w:type="pct"/>
            <w:vMerge w:val="restar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465</w:t>
            </w:r>
          </w:p>
        </w:tc>
        <w:tc>
          <w:tcPr>
            <w:tcW w:w="546" w:type="pct"/>
            <w:vMerge w:val="restar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43.503</w:t>
            </w:r>
          </w:p>
        </w:tc>
        <w:tc>
          <w:tcPr>
            <w:tcW w:w="261" w:type="pct"/>
            <w:vMerge w:val="restar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8</w:t>
            </w:r>
          </w:p>
        </w:tc>
        <w:tc>
          <w:tcPr>
            <w:tcW w:w="345" w:type="pct"/>
            <w:vMerge w:val="restar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0.06</w:t>
            </w:r>
          </w:p>
        </w:tc>
        <w:tc>
          <w:tcPr>
            <w:tcW w:w="480" w:type="pct"/>
            <w:vMerge w:val="restart"/>
            <w:tcBorders>
              <w:tl2br w:val="nil"/>
              <w:tr2bl w:val="nil"/>
            </w:tcBorders>
            <w:vAlign w:val="center"/>
          </w:tcPr>
          <w:p>
            <w:pPr>
              <w:pStyle w:val="108"/>
              <w:spacing w:before="0" w:line="240" w:lineRule="auto"/>
              <w:ind w:firstLine="0" w:firstLineChars="0"/>
              <w:jc w:val="center"/>
              <w:rPr>
                <w:rFonts w:hint="default" w:ascii="Times New Roman" w:hAnsi="Times New Roman" w:eastAsia="宋体" w:cs="Times New Roman"/>
                <w:bCs/>
                <w:color w:val="auto"/>
                <w:kern w:val="0"/>
                <w:sz w:val="21"/>
                <w:szCs w:val="20"/>
                <w:highlight w:val="none"/>
                <w:u w:color="000000"/>
                <w:lang w:val="en-US" w:eastAsia="zh-CN" w:bidi="ar-SA"/>
              </w:rPr>
            </w:pPr>
            <w:r>
              <w:rPr>
                <w:rFonts w:hint="eastAsia"/>
                <w:bCs/>
                <w:color w:val="auto"/>
                <w:sz w:val="21"/>
                <w:highlight w:val="none"/>
                <w:lang w:val="en-US" w:eastAsia="zh-CN"/>
              </w:rPr>
              <w:t>109</w:t>
            </w:r>
          </w:p>
        </w:tc>
        <w:tc>
          <w:tcPr>
            <w:tcW w:w="314"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100</w:t>
            </w:r>
          </w:p>
        </w:tc>
        <w:tc>
          <w:tcPr>
            <w:tcW w:w="376" w:type="pct"/>
            <w:vMerge w:val="restar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72</w:t>
            </w:r>
          </w:p>
        </w:tc>
        <w:tc>
          <w:tcPr>
            <w:tcW w:w="252" w:type="pct"/>
            <w:vMerge w:val="restar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bCs/>
                <w:color w:val="auto"/>
                <w:sz w:val="21"/>
                <w:highlight w:val="none"/>
              </w:rPr>
              <w:t>正常</w:t>
            </w:r>
          </w:p>
        </w:tc>
        <w:tc>
          <w:tcPr>
            <w:tcW w:w="606" w:type="pct"/>
            <w:tcBorders>
              <w:tl2br w:val="nil"/>
              <w:tr2bl w:val="nil"/>
            </w:tcBorders>
            <w:vAlign w:val="center"/>
          </w:tcPr>
          <w:p>
            <w:pPr>
              <w:pStyle w:val="108"/>
              <w:spacing w:before="0" w:line="240" w:lineRule="auto"/>
              <w:ind w:firstLine="0" w:firstLineChars="0"/>
              <w:jc w:val="center"/>
              <w:rPr>
                <w:rFonts w:hint="default"/>
                <w:color w:val="auto"/>
                <w:sz w:val="21"/>
                <w:szCs w:val="21"/>
                <w:highlight w:val="none"/>
                <w:lang w:val="en-US"/>
              </w:rPr>
            </w:pPr>
            <w:r>
              <w:rPr>
                <w:rFonts w:hint="eastAsia" w:cs="Times New Roman"/>
                <w:b w:val="0"/>
                <w:bCs/>
                <w:color w:val="auto"/>
                <w:sz w:val="21"/>
                <w:szCs w:val="21"/>
                <w:highlight w:val="none"/>
                <w:lang w:val="en-US" w:eastAsia="zh-CN"/>
              </w:rPr>
              <w:t>0.00002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continue"/>
            <w:tcBorders>
              <w:tl2br w:val="nil"/>
              <w:tr2bl w:val="nil"/>
            </w:tcBorders>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417" w:type="pct"/>
            <w:vMerge w:val="continue"/>
            <w:tcBorders>
              <w:tl2br w:val="nil"/>
              <w:tr2bl w:val="nil"/>
            </w:tcBorders>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415" w:type="pct"/>
            <w:tcBorders>
              <w:tl2br w:val="nil"/>
              <w:tr2bl w:val="nil"/>
            </w:tcBorders>
            <w:vAlign w:val="center"/>
          </w:tcPr>
          <w:p>
            <w:pPr>
              <w:pStyle w:val="108"/>
              <w:spacing w:before="0" w:line="240" w:lineRule="auto"/>
              <w:ind w:firstLine="0" w:firstLineChars="0"/>
              <w:jc w:val="center"/>
              <w:rPr>
                <w:rFonts w:hint="eastAsia"/>
                <w:bCs/>
                <w:color w:val="auto"/>
                <w:sz w:val="21"/>
                <w:highlight w:val="none"/>
                <w:lang w:val="en-US" w:eastAsia="zh-CN"/>
              </w:rPr>
            </w:pPr>
            <w:r>
              <w:rPr>
                <w:rFonts w:hint="eastAsia"/>
                <w:b w:val="0"/>
                <w:bCs/>
                <w:color w:val="auto"/>
                <w:sz w:val="21"/>
                <w:highlight w:val="none"/>
                <w:lang w:val="en-US" w:eastAsia="zh-CN"/>
              </w:rPr>
              <w:t>NO</w:t>
            </w:r>
            <w:r>
              <w:rPr>
                <w:rFonts w:hint="eastAsia"/>
                <w:b w:val="0"/>
                <w:bCs/>
                <w:color w:val="auto"/>
                <w:sz w:val="21"/>
                <w:highlight w:val="none"/>
                <w:vertAlign w:val="subscript"/>
                <w:lang w:val="en-US" w:eastAsia="zh-CN"/>
              </w:rPr>
              <w:t>X</w:t>
            </w:r>
          </w:p>
        </w:tc>
        <w:tc>
          <w:tcPr>
            <w:tcW w:w="348" w:type="pct"/>
            <w:vMerge w:val="continue"/>
            <w:tcBorders>
              <w:tl2br w:val="nil"/>
              <w:tr2bl w:val="nil"/>
            </w:tcBorders>
            <w:vAlign w:val="center"/>
          </w:tcPr>
          <w:p>
            <w:pPr>
              <w:pStyle w:val="108"/>
              <w:spacing w:before="0" w:line="240" w:lineRule="auto"/>
              <w:ind w:firstLine="0" w:firstLineChars="0"/>
              <w:jc w:val="center"/>
              <w:rPr>
                <w:rFonts w:hint="eastAsia"/>
                <w:bCs/>
                <w:color w:val="auto"/>
                <w:sz w:val="21"/>
                <w:highlight w:val="none"/>
              </w:rPr>
            </w:pPr>
          </w:p>
        </w:tc>
        <w:tc>
          <w:tcPr>
            <w:tcW w:w="383" w:type="pct"/>
            <w:vMerge w:val="continue"/>
            <w:tcBorders>
              <w:tl2br w:val="nil"/>
              <w:tr2bl w:val="nil"/>
            </w:tcBorders>
            <w:vAlign w:val="center"/>
          </w:tcPr>
          <w:p>
            <w:pPr>
              <w:pStyle w:val="108"/>
              <w:spacing w:before="0" w:line="240" w:lineRule="auto"/>
              <w:ind w:firstLine="0" w:firstLineChars="0"/>
              <w:jc w:val="center"/>
              <w:rPr>
                <w:rFonts w:hint="eastAsia"/>
                <w:bCs/>
                <w:color w:val="auto"/>
                <w:sz w:val="21"/>
                <w:highlight w:val="none"/>
              </w:rPr>
            </w:pPr>
          </w:p>
        </w:tc>
        <w:tc>
          <w:tcPr>
            <w:tcW w:w="546" w:type="pct"/>
            <w:vMerge w:val="continue"/>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p>
        </w:tc>
        <w:tc>
          <w:tcPr>
            <w:tcW w:w="261"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rPr>
            </w:pPr>
          </w:p>
        </w:tc>
        <w:tc>
          <w:tcPr>
            <w:tcW w:w="345"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rPr>
            </w:pPr>
          </w:p>
        </w:tc>
        <w:tc>
          <w:tcPr>
            <w:tcW w:w="480" w:type="pct"/>
            <w:vMerge w:val="continue"/>
            <w:tcBorders>
              <w:tl2br w:val="nil"/>
              <w:tr2bl w:val="nil"/>
            </w:tcBorders>
            <w:vAlign w:val="center"/>
          </w:tcPr>
          <w:p>
            <w:pPr>
              <w:pStyle w:val="108"/>
              <w:spacing w:before="0" w:line="240" w:lineRule="auto"/>
              <w:ind w:firstLine="0" w:firstLineChars="0"/>
              <w:jc w:val="center"/>
              <w:rPr>
                <w:rFonts w:hint="eastAsia" w:ascii="Times New Roman" w:hAnsi="Times New Roman" w:eastAsia="宋体" w:cs="Times New Roman"/>
                <w:bCs/>
                <w:color w:val="auto"/>
                <w:kern w:val="0"/>
                <w:sz w:val="21"/>
                <w:szCs w:val="20"/>
                <w:highlight w:val="none"/>
                <w:u w:color="000000"/>
                <w:lang w:val="en-US" w:eastAsia="zh-CN" w:bidi="ar-SA"/>
              </w:rPr>
            </w:pPr>
          </w:p>
        </w:tc>
        <w:tc>
          <w:tcPr>
            <w:tcW w:w="314"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100</w:t>
            </w:r>
          </w:p>
        </w:tc>
        <w:tc>
          <w:tcPr>
            <w:tcW w:w="376"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rPr>
            </w:pPr>
          </w:p>
        </w:tc>
        <w:tc>
          <w:tcPr>
            <w:tcW w:w="2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rPr>
            </w:pPr>
          </w:p>
        </w:tc>
        <w:tc>
          <w:tcPr>
            <w:tcW w:w="606" w:type="pct"/>
            <w:tcBorders>
              <w:tl2br w:val="nil"/>
              <w:tr2bl w:val="nil"/>
            </w:tcBorders>
            <w:vAlign w:val="center"/>
          </w:tcPr>
          <w:p>
            <w:pPr>
              <w:pStyle w:val="108"/>
              <w:spacing w:before="0" w:line="240" w:lineRule="auto"/>
              <w:ind w:firstLine="0" w:firstLineChars="0"/>
              <w:jc w:val="center"/>
              <w:rPr>
                <w:rFonts w:hint="default"/>
                <w:color w:val="auto"/>
                <w:sz w:val="21"/>
                <w:szCs w:val="21"/>
                <w:highlight w:val="none"/>
                <w:lang w:val="en-US"/>
              </w:rPr>
            </w:pPr>
            <w:r>
              <w:rPr>
                <w:rFonts w:hint="eastAsia" w:cs="Times New Roman"/>
                <w:b w:val="0"/>
                <w:bCs/>
                <w:color w:val="auto"/>
                <w:sz w:val="21"/>
                <w:szCs w:val="21"/>
                <w:highlight w:val="none"/>
                <w:lang w:val="en-US" w:eastAsia="zh-CN"/>
              </w:rP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continue"/>
            <w:tcBorders>
              <w:tl2br w:val="nil"/>
              <w:tr2bl w:val="nil"/>
            </w:tcBorders>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417" w:type="pct"/>
            <w:vMerge w:val="continue"/>
            <w:tcBorders>
              <w:tl2br w:val="nil"/>
              <w:tr2bl w:val="nil"/>
            </w:tcBorders>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415" w:type="pct"/>
            <w:tcBorders>
              <w:tl2br w:val="nil"/>
              <w:tr2bl w:val="nil"/>
            </w:tcBorders>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Cs/>
                <w:color w:val="auto"/>
                <w:sz w:val="21"/>
                <w:highlight w:val="none"/>
                <w:lang w:val="en-US"/>
              </w:rPr>
              <w:t>PM</w:t>
            </w:r>
            <w:r>
              <w:rPr>
                <w:rFonts w:hint="eastAsia"/>
                <w:bCs/>
                <w:color w:val="auto"/>
                <w:sz w:val="21"/>
                <w:highlight w:val="none"/>
                <w:vertAlign w:val="subscript"/>
                <w:lang w:val="en-US"/>
              </w:rPr>
              <w:t>10</w:t>
            </w:r>
          </w:p>
        </w:tc>
        <w:tc>
          <w:tcPr>
            <w:tcW w:w="348" w:type="pct"/>
            <w:vMerge w:val="continue"/>
            <w:tcBorders>
              <w:tl2br w:val="nil"/>
              <w:tr2bl w:val="nil"/>
            </w:tcBorders>
            <w:vAlign w:val="center"/>
          </w:tcPr>
          <w:p>
            <w:pPr>
              <w:pStyle w:val="108"/>
              <w:spacing w:before="0" w:line="240" w:lineRule="auto"/>
              <w:ind w:firstLine="0" w:firstLineChars="0"/>
              <w:jc w:val="center"/>
              <w:rPr>
                <w:rFonts w:hint="eastAsia"/>
                <w:bCs/>
                <w:color w:val="auto"/>
                <w:sz w:val="21"/>
                <w:highlight w:val="none"/>
              </w:rPr>
            </w:pPr>
          </w:p>
        </w:tc>
        <w:tc>
          <w:tcPr>
            <w:tcW w:w="383" w:type="pct"/>
            <w:vMerge w:val="continue"/>
            <w:tcBorders>
              <w:tl2br w:val="nil"/>
              <w:tr2bl w:val="nil"/>
            </w:tcBorders>
            <w:vAlign w:val="center"/>
          </w:tcPr>
          <w:p>
            <w:pPr>
              <w:pStyle w:val="108"/>
              <w:spacing w:before="0" w:line="240" w:lineRule="auto"/>
              <w:ind w:firstLine="0" w:firstLineChars="0"/>
              <w:jc w:val="center"/>
              <w:rPr>
                <w:rFonts w:hint="eastAsia"/>
                <w:bCs/>
                <w:color w:val="auto"/>
                <w:sz w:val="21"/>
                <w:highlight w:val="none"/>
              </w:rPr>
            </w:pPr>
          </w:p>
        </w:tc>
        <w:tc>
          <w:tcPr>
            <w:tcW w:w="546" w:type="pct"/>
            <w:vMerge w:val="continue"/>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p>
        </w:tc>
        <w:tc>
          <w:tcPr>
            <w:tcW w:w="261"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rPr>
            </w:pPr>
          </w:p>
        </w:tc>
        <w:tc>
          <w:tcPr>
            <w:tcW w:w="345"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rPr>
            </w:pPr>
          </w:p>
        </w:tc>
        <w:tc>
          <w:tcPr>
            <w:tcW w:w="480" w:type="pct"/>
            <w:vMerge w:val="continue"/>
            <w:tcBorders>
              <w:tl2br w:val="nil"/>
              <w:tr2bl w:val="nil"/>
            </w:tcBorders>
            <w:vAlign w:val="center"/>
          </w:tcPr>
          <w:p>
            <w:pPr>
              <w:pStyle w:val="108"/>
              <w:spacing w:before="0" w:line="240" w:lineRule="auto"/>
              <w:ind w:firstLine="0" w:firstLineChars="0"/>
              <w:jc w:val="center"/>
              <w:rPr>
                <w:rFonts w:hint="eastAsia" w:ascii="Times New Roman" w:hAnsi="Times New Roman" w:eastAsia="宋体" w:cs="Times New Roman"/>
                <w:bCs/>
                <w:color w:val="auto"/>
                <w:kern w:val="0"/>
                <w:sz w:val="21"/>
                <w:szCs w:val="20"/>
                <w:highlight w:val="none"/>
                <w:u w:color="000000"/>
                <w:lang w:val="en-US" w:eastAsia="zh-CN" w:bidi="ar-SA"/>
              </w:rPr>
            </w:pPr>
          </w:p>
        </w:tc>
        <w:tc>
          <w:tcPr>
            <w:tcW w:w="314" w:type="pc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100</w:t>
            </w:r>
          </w:p>
        </w:tc>
        <w:tc>
          <w:tcPr>
            <w:tcW w:w="376"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rPr>
            </w:pPr>
          </w:p>
        </w:tc>
        <w:tc>
          <w:tcPr>
            <w:tcW w:w="2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rPr>
            </w:pPr>
          </w:p>
        </w:tc>
        <w:tc>
          <w:tcPr>
            <w:tcW w:w="606" w:type="pct"/>
            <w:tcBorders>
              <w:tl2br w:val="nil"/>
              <w:tr2bl w:val="nil"/>
            </w:tcBorders>
            <w:vAlign w:val="center"/>
          </w:tcPr>
          <w:p>
            <w:pPr>
              <w:pStyle w:val="108"/>
              <w:spacing w:before="0" w:line="240" w:lineRule="auto"/>
              <w:ind w:firstLine="0" w:firstLineChars="0"/>
              <w:jc w:val="center"/>
              <w:rPr>
                <w:rFonts w:hint="default"/>
                <w:color w:val="auto"/>
                <w:sz w:val="21"/>
                <w:szCs w:val="21"/>
                <w:highlight w:val="none"/>
                <w:lang w:val="en-US"/>
              </w:rPr>
            </w:pPr>
            <w:r>
              <w:rPr>
                <w:rFonts w:hint="eastAsia" w:cs="Times New Roman"/>
                <w:b w:val="0"/>
                <w:bCs/>
                <w:color w:val="auto"/>
                <w:sz w:val="21"/>
                <w:szCs w:val="21"/>
                <w:highlight w:val="none"/>
                <w:lang w:val="en-US" w:eastAsia="zh-CN"/>
              </w:rPr>
              <w:t>0.00004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restart"/>
            <w:tcBorders>
              <w:tl2br w:val="nil"/>
              <w:tr2bl w:val="nil"/>
            </w:tcBorders>
            <w:vAlign w:val="center"/>
          </w:tcPr>
          <w:p>
            <w:pPr>
              <w:pStyle w:val="108"/>
              <w:spacing w:before="0" w:line="240" w:lineRule="auto"/>
              <w:ind w:firstLine="0" w:firstLineChars="0"/>
              <w:jc w:val="center"/>
              <w:rPr>
                <w:rFonts w:hint="default"/>
                <w:b w:val="0"/>
                <w:bCs/>
                <w:color w:val="auto"/>
                <w:sz w:val="21"/>
                <w:highlight w:val="none"/>
                <w:lang w:val="en-US" w:eastAsia="zh-CN"/>
              </w:rPr>
            </w:pPr>
            <w:r>
              <w:rPr>
                <w:rFonts w:hint="eastAsia"/>
                <w:b w:val="0"/>
                <w:bCs/>
                <w:color w:val="auto"/>
                <w:sz w:val="21"/>
                <w:highlight w:val="none"/>
                <w:lang w:val="en-US" w:eastAsia="zh-CN"/>
              </w:rPr>
              <w:t>2</w:t>
            </w:r>
          </w:p>
        </w:tc>
        <w:tc>
          <w:tcPr>
            <w:tcW w:w="417" w:type="pct"/>
            <w:vMerge w:val="restart"/>
            <w:tcBorders>
              <w:tl2br w:val="nil"/>
              <w:tr2bl w:val="nil"/>
            </w:tcBorders>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火炬燃烧</w:t>
            </w:r>
          </w:p>
        </w:tc>
        <w:tc>
          <w:tcPr>
            <w:tcW w:w="415" w:type="pct"/>
            <w:tcBorders>
              <w:tl2br w:val="nil"/>
              <w:tr2bl w:val="nil"/>
            </w:tcBorders>
            <w:vAlign w:val="center"/>
          </w:tcPr>
          <w:p>
            <w:pPr>
              <w:pStyle w:val="108"/>
              <w:spacing w:before="0" w:line="240" w:lineRule="auto"/>
              <w:ind w:firstLine="0" w:firstLineChars="0"/>
              <w:jc w:val="center"/>
              <w:rPr>
                <w:rFonts w:hint="eastAsia"/>
                <w:bCs/>
                <w:color w:val="auto"/>
                <w:sz w:val="21"/>
                <w:highlight w:val="none"/>
                <w:lang w:val="en-US"/>
              </w:rPr>
            </w:pPr>
            <w:r>
              <w:rPr>
                <w:rFonts w:hint="eastAsia"/>
                <w:bCs/>
                <w:color w:val="auto"/>
                <w:sz w:val="21"/>
                <w:highlight w:val="none"/>
                <w:lang w:val="en-US" w:eastAsia="zh-CN"/>
              </w:rPr>
              <w:t>SO</w:t>
            </w:r>
            <w:r>
              <w:rPr>
                <w:rFonts w:hint="eastAsia"/>
                <w:bCs/>
                <w:color w:val="auto"/>
                <w:sz w:val="21"/>
                <w:highlight w:val="none"/>
                <w:vertAlign w:val="subscript"/>
                <w:lang w:val="en-US" w:eastAsia="zh-CN"/>
              </w:rPr>
              <w:t>2</w:t>
            </w:r>
          </w:p>
        </w:tc>
        <w:tc>
          <w:tcPr>
            <w:tcW w:w="348" w:type="pct"/>
            <w:vMerge w:val="restar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152</w:t>
            </w:r>
          </w:p>
        </w:tc>
        <w:tc>
          <w:tcPr>
            <w:tcW w:w="383" w:type="pct"/>
            <w:vMerge w:val="restar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404</w:t>
            </w:r>
          </w:p>
        </w:tc>
        <w:tc>
          <w:tcPr>
            <w:tcW w:w="546" w:type="pct"/>
            <w:vMerge w:val="restar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43.412</w:t>
            </w:r>
          </w:p>
        </w:tc>
        <w:tc>
          <w:tcPr>
            <w:tcW w:w="261" w:type="pct"/>
            <w:vMerge w:val="restart"/>
            <w:tcBorders>
              <w:tl2br w:val="nil"/>
              <w:tr2bl w:val="nil"/>
            </w:tcBorders>
            <w:vAlign w:val="center"/>
          </w:tcPr>
          <w:p>
            <w:pPr>
              <w:pStyle w:val="108"/>
              <w:spacing w:before="0" w:line="240" w:lineRule="auto"/>
              <w:ind w:firstLine="0" w:firstLineChars="0"/>
              <w:jc w:val="center"/>
              <w:rPr>
                <w:rFonts w:hint="eastAsia" w:eastAsia="宋体"/>
                <w:bCs/>
                <w:color w:val="auto"/>
                <w:sz w:val="21"/>
                <w:highlight w:val="none"/>
                <w:lang w:val="en-US" w:eastAsia="zh-CN"/>
              </w:rPr>
            </w:pPr>
            <w:r>
              <w:rPr>
                <w:rFonts w:hint="eastAsia"/>
                <w:bCs/>
                <w:color w:val="auto"/>
                <w:sz w:val="21"/>
                <w:highlight w:val="none"/>
                <w:lang w:val="en-US" w:eastAsia="zh-CN"/>
              </w:rPr>
              <w:t>3</w:t>
            </w:r>
          </w:p>
        </w:tc>
        <w:tc>
          <w:tcPr>
            <w:tcW w:w="345" w:type="pct"/>
            <w:vMerge w:val="restar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0.1</w:t>
            </w:r>
          </w:p>
        </w:tc>
        <w:tc>
          <w:tcPr>
            <w:tcW w:w="480" w:type="pct"/>
            <w:vMerge w:val="restart"/>
            <w:tcBorders>
              <w:tl2br w:val="nil"/>
              <w:tr2bl w:val="nil"/>
            </w:tcBorders>
            <w:vAlign w:val="center"/>
          </w:tcPr>
          <w:p>
            <w:pPr>
              <w:pStyle w:val="108"/>
              <w:spacing w:before="0" w:line="240" w:lineRule="auto"/>
              <w:ind w:firstLine="0" w:firstLineChars="0"/>
              <w:jc w:val="center"/>
              <w:rPr>
                <w:rFonts w:hint="default" w:ascii="Times New Roman" w:hAnsi="Times New Roman" w:eastAsia="宋体" w:cs="Times New Roman"/>
                <w:bCs/>
                <w:color w:val="auto"/>
                <w:kern w:val="0"/>
                <w:sz w:val="21"/>
                <w:szCs w:val="20"/>
                <w:highlight w:val="none"/>
                <w:u w:color="000000"/>
                <w:lang w:val="en-US" w:eastAsia="zh-CN" w:bidi="ar-SA"/>
              </w:rPr>
            </w:pPr>
            <w:r>
              <w:rPr>
                <w:rFonts w:hint="eastAsia" w:cs="Times New Roman"/>
                <w:bCs/>
                <w:color w:val="auto"/>
                <w:kern w:val="0"/>
                <w:sz w:val="21"/>
                <w:szCs w:val="20"/>
                <w:highlight w:val="none"/>
                <w:u w:color="000000"/>
                <w:lang w:val="en-US" w:eastAsia="zh-CN" w:bidi="ar-SA"/>
              </w:rPr>
              <w:t>558.95</w:t>
            </w:r>
          </w:p>
        </w:tc>
        <w:tc>
          <w:tcPr>
            <w:tcW w:w="314" w:type="pct"/>
            <w:tcBorders>
              <w:tl2br w:val="nil"/>
              <w:tr2bl w:val="nil"/>
            </w:tcBorders>
            <w:vAlign w:val="center"/>
          </w:tcPr>
          <w:p>
            <w:pPr>
              <w:pStyle w:val="108"/>
              <w:spacing w:before="0" w:line="240" w:lineRule="auto"/>
              <w:ind w:firstLine="0" w:firstLineChars="0"/>
              <w:jc w:val="center"/>
              <w:rPr>
                <w:rFonts w:hint="default"/>
                <w:bCs/>
                <w:color w:val="auto"/>
                <w:sz w:val="21"/>
                <w:highlight w:val="none"/>
                <w:lang w:val="en-US" w:eastAsia="zh-CN"/>
              </w:rPr>
            </w:pPr>
            <w:r>
              <w:rPr>
                <w:rFonts w:hint="eastAsia"/>
                <w:bCs/>
                <w:color w:val="auto"/>
                <w:sz w:val="21"/>
                <w:highlight w:val="none"/>
                <w:lang w:val="en-US" w:eastAsia="zh-CN"/>
              </w:rPr>
              <w:t>400</w:t>
            </w:r>
          </w:p>
        </w:tc>
        <w:tc>
          <w:tcPr>
            <w:tcW w:w="376" w:type="pct"/>
            <w:vMerge w:val="restart"/>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r>
              <w:rPr>
                <w:rFonts w:hint="eastAsia"/>
                <w:bCs/>
                <w:color w:val="auto"/>
                <w:sz w:val="21"/>
                <w:highlight w:val="none"/>
                <w:lang w:val="en-US" w:eastAsia="zh-CN"/>
              </w:rPr>
              <w:t>8760</w:t>
            </w:r>
          </w:p>
        </w:tc>
        <w:tc>
          <w:tcPr>
            <w:tcW w:w="252" w:type="pct"/>
            <w:vMerge w:val="restart"/>
            <w:tcBorders>
              <w:tl2br w:val="nil"/>
              <w:tr2bl w:val="nil"/>
            </w:tcBorders>
            <w:vAlign w:val="center"/>
          </w:tcPr>
          <w:p>
            <w:pPr>
              <w:pStyle w:val="108"/>
              <w:spacing w:before="0" w:line="240" w:lineRule="auto"/>
              <w:ind w:firstLine="0" w:firstLineChars="0"/>
              <w:jc w:val="center"/>
              <w:rPr>
                <w:bCs/>
                <w:color w:val="auto"/>
                <w:sz w:val="21"/>
                <w:highlight w:val="none"/>
              </w:rPr>
            </w:pPr>
            <w:r>
              <w:rPr>
                <w:bCs/>
                <w:color w:val="auto"/>
                <w:sz w:val="21"/>
                <w:highlight w:val="none"/>
              </w:rPr>
              <w:t>正常</w:t>
            </w:r>
          </w:p>
        </w:tc>
        <w:tc>
          <w:tcPr>
            <w:tcW w:w="606" w:type="pct"/>
            <w:tcBorders>
              <w:tl2br w:val="nil"/>
              <w:tr2bl w:val="nil"/>
            </w:tcBorders>
            <w:vAlign w:val="center"/>
          </w:tcPr>
          <w:p>
            <w:pPr>
              <w:pStyle w:val="108"/>
              <w:spacing w:before="0"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continue"/>
            <w:tcBorders>
              <w:tl2br w:val="nil"/>
              <w:tr2bl w:val="nil"/>
            </w:tcBorders>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417" w:type="pct"/>
            <w:vMerge w:val="continue"/>
            <w:tcBorders>
              <w:tl2br w:val="nil"/>
              <w:tr2bl w:val="nil"/>
            </w:tcBorders>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415" w:type="pct"/>
            <w:tcBorders>
              <w:tl2br w:val="nil"/>
              <w:tr2bl w:val="nil"/>
            </w:tcBorders>
            <w:vAlign w:val="center"/>
          </w:tcPr>
          <w:p>
            <w:pPr>
              <w:pStyle w:val="108"/>
              <w:spacing w:before="0" w:line="240" w:lineRule="auto"/>
              <w:ind w:firstLine="0" w:firstLineChars="0"/>
              <w:jc w:val="center"/>
              <w:rPr>
                <w:rFonts w:hint="eastAsia"/>
                <w:bCs/>
                <w:color w:val="auto"/>
                <w:sz w:val="21"/>
                <w:highlight w:val="none"/>
                <w:lang w:val="en-US"/>
              </w:rPr>
            </w:pPr>
            <w:r>
              <w:rPr>
                <w:rFonts w:hint="eastAsia"/>
                <w:b w:val="0"/>
                <w:bCs/>
                <w:color w:val="auto"/>
                <w:sz w:val="21"/>
                <w:highlight w:val="none"/>
                <w:lang w:val="en-US" w:eastAsia="zh-CN"/>
              </w:rPr>
              <w:t>NO</w:t>
            </w:r>
            <w:r>
              <w:rPr>
                <w:rFonts w:hint="eastAsia"/>
                <w:b w:val="0"/>
                <w:bCs/>
                <w:color w:val="auto"/>
                <w:sz w:val="21"/>
                <w:highlight w:val="none"/>
                <w:vertAlign w:val="subscript"/>
                <w:lang w:val="en-US" w:eastAsia="zh-CN"/>
              </w:rPr>
              <w:t>X</w:t>
            </w:r>
          </w:p>
        </w:tc>
        <w:tc>
          <w:tcPr>
            <w:tcW w:w="348" w:type="pct"/>
            <w:vMerge w:val="continue"/>
            <w:tcBorders>
              <w:tl2br w:val="nil"/>
              <w:tr2bl w:val="nil"/>
            </w:tcBorders>
            <w:vAlign w:val="center"/>
          </w:tcPr>
          <w:p>
            <w:pPr>
              <w:pStyle w:val="108"/>
              <w:spacing w:before="0" w:line="240" w:lineRule="auto"/>
              <w:ind w:firstLine="0" w:firstLineChars="0"/>
              <w:jc w:val="center"/>
              <w:rPr>
                <w:rFonts w:hint="eastAsia"/>
                <w:bCs/>
                <w:color w:val="auto"/>
                <w:sz w:val="21"/>
                <w:highlight w:val="none"/>
              </w:rPr>
            </w:pPr>
          </w:p>
        </w:tc>
        <w:tc>
          <w:tcPr>
            <w:tcW w:w="383" w:type="pct"/>
            <w:vMerge w:val="continue"/>
            <w:tcBorders>
              <w:tl2br w:val="nil"/>
              <w:tr2bl w:val="nil"/>
            </w:tcBorders>
            <w:vAlign w:val="center"/>
          </w:tcPr>
          <w:p>
            <w:pPr>
              <w:pStyle w:val="108"/>
              <w:spacing w:before="0" w:line="240" w:lineRule="auto"/>
              <w:ind w:firstLine="0" w:firstLineChars="0"/>
              <w:jc w:val="center"/>
              <w:rPr>
                <w:rFonts w:hint="eastAsia"/>
                <w:bCs/>
                <w:color w:val="auto"/>
                <w:sz w:val="21"/>
                <w:highlight w:val="none"/>
              </w:rPr>
            </w:pPr>
          </w:p>
        </w:tc>
        <w:tc>
          <w:tcPr>
            <w:tcW w:w="546" w:type="pct"/>
            <w:vMerge w:val="continue"/>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p>
        </w:tc>
        <w:tc>
          <w:tcPr>
            <w:tcW w:w="261"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rPr>
            </w:pPr>
          </w:p>
        </w:tc>
        <w:tc>
          <w:tcPr>
            <w:tcW w:w="345"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rPr>
            </w:pPr>
          </w:p>
        </w:tc>
        <w:tc>
          <w:tcPr>
            <w:tcW w:w="480" w:type="pct"/>
            <w:vMerge w:val="continue"/>
            <w:tcBorders>
              <w:tl2br w:val="nil"/>
              <w:tr2bl w:val="nil"/>
            </w:tcBorders>
            <w:vAlign w:val="center"/>
          </w:tcPr>
          <w:p>
            <w:pPr>
              <w:pStyle w:val="108"/>
              <w:spacing w:before="0" w:line="240" w:lineRule="auto"/>
              <w:ind w:firstLine="0" w:firstLineChars="0"/>
              <w:jc w:val="center"/>
              <w:rPr>
                <w:rFonts w:hint="eastAsia" w:ascii="Times New Roman" w:hAnsi="Times New Roman" w:eastAsia="宋体" w:cs="Times New Roman"/>
                <w:bCs/>
                <w:color w:val="auto"/>
                <w:kern w:val="0"/>
                <w:sz w:val="21"/>
                <w:szCs w:val="20"/>
                <w:highlight w:val="none"/>
                <w:u w:color="000000"/>
                <w:lang w:val="en-US" w:eastAsia="zh-CN" w:bidi="ar-SA"/>
              </w:rPr>
            </w:pPr>
          </w:p>
        </w:tc>
        <w:tc>
          <w:tcPr>
            <w:tcW w:w="314" w:type="pct"/>
            <w:tcBorders>
              <w:tl2br w:val="nil"/>
              <w:tr2bl w:val="nil"/>
            </w:tcBorders>
            <w:vAlign w:val="center"/>
          </w:tcPr>
          <w:p>
            <w:pPr>
              <w:pStyle w:val="108"/>
              <w:spacing w:before="0" w:line="240" w:lineRule="auto"/>
              <w:ind w:firstLine="0" w:firstLineChars="0"/>
              <w:jc w:val="center"/>
              <w:rPr>
                <w:rFonts w:hint="default"/>
                <w:bCs/>
                <w:color w:val="auto"/>
                <w:sz w:val="21"/>
                <w:highlight w:val="none"/>
                <w:lang w:val="en-US" w:eastAsia="zh-CN"/>
              </w:rPr>
            </w:pPr>
            <w:r>
              <w:rPr>
                <w:rFonts w:hint="eastAsia"/>
                <w:bCs/>
                <w:color w:val="auto"/>
                <w:sz w:val="21"/>
                <w:highlight w:val="none"/>
                <w:lang w:val="en-US" w:eastAsia="zh-CN"/>
              </w:rPr>
              <w:t>400</w:t>
            </w:r>
          </w:p>
        </w:tc>
        <w:tc>
          <w:tcPr>
            <w:tcW w:w="376"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rPr>
            </w:pPr>
          </w:p>
        </w:tc>
        <w:tc>
          <w:tcPr>
            <w:tcW w:w="2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rPr>
            </w:pPr>
          </w:p>
        </w:tc>
        <w:tc>
          <w:tcPr>
            <w:tcW w:w="606" w:type="pct"/>
            <w:tcBorders>
              <w:tl2br w:val="nil"/>
              <w:tr2bl w:val="nil"/>
            </w:tcBorders>
            <w:vAlign w:val="center"/>
          </w:tcPr>
          <w:p>
            <w:pPr>
              <w:pStyle w:val="108"/>
              <w:spacing w:before="0" w:line="240" w:lineRule="auto"/>
              <w:ind w:firstLine="0" w:firstLineChars="0"/>
              <w:jc w:val="center"/>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continue"/>
            <w:tcBorders>
              <w:tl2br w:val="nil"/>
              <w:tr2bl w:val="nil"/>
            </w:tcBorders>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417" w:type="pct"/>
            <w:vMerge w:val="continue"/>
            <w:tcBorders>
              <w:tl2br w:val="nil"/>
              <w:tr2bl w:val="nil"/>
            </w:tcBorders>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415" w:type="pct"/>
            <w:tcBorders>
              <w:tl2br w:val="nil"/>
              <w:tr2bl w:val="nil"/>
            </w:tcBorders>
            <w:vAlign w:val="center"/>
          </w:tcPr>
          <w:p>
            <w:pPr>
              <w:pStyle w:val="108"/>
              <w:spacing w:before="0" w:line="240" w:lineRule="auto"/>
              <w:ind w:firstLine="0" w:firstLineChars="0"/>
              <w:jc w:val="center"/>
              <w:rPr>
                <w:rFonts w:hint="eastAsia"/>
                <w:bCs/>
                <w:color w:val="auto"/>
                <w:sz w:val="21"/>
                <w:highlight w:val="none"/>
                <w:lang w:val="en-US"/>
              </w:rPr>
            </w:pPr>
            <w:r>
              <w:rPr>
                <w:rFonts w:hint="eastAsia"/>
                <w:bCs/>
                <w:color w:val="auto"/>
                <w:sz w:val="21"/>
                <w:highlight w:val="none"/>
                <w:lang w:val="en-US"/>
              </w:rPr>
              <w:t>PM</w:t>
            </w:r>
            <w:r>
              <w:rPr>
                <w:rFonts w:hint="eastAsia"/>
                <w:bCs/>
                <w:color w:val="auto"/>
                <w:sz w:val="21"/>
                <w:highlight w:val="none"/>
                <w:vertAlign w:val="subscript"/>
                <w:lang w:val="en-US"/>
              </w:rPr>
              <w:t>10</w:t>
            </w:r>
          </w:p>
        </w:tc>
        <w:tc>
          <w:tcPr>
            <w:tcW w:w="348" w:type="pct"/>
            <w:vMerge w:val="continue"/>
            <w:tcBorders>
              <w:tl2br w:val="nil"/>
              <w:tr2bl w:val="nil"/>
            </w:tcBorders>
            <w:vAlign w:val="center"/>
          </w:tcPr>
          <w:p>
            <w:pPr>
              <w:pStyle w:val="108"/>
              <w:spacing w:before="0" w:line="240" w:lineRule="auto"/>
              <w:ind w:firstLine="0" w:firstLineChars="0"/>
              <w:jc w:val="center"/>
              <w:rPr>
                <w:rFonts w:hint="eastAsia"/>
                <w:bCs/>
                <w:color w:val="auto"/>
                <w:sz w:val="21"/>
                <w:highlight w:val="none"/>
              </w:rPr>
            </w:pPr>
          </w:p>
        </w:tc>
        <w:tc>
          <w:tcPr>
            <w:tcW w:w="383" w:type="pct"/>
            <w:vMerge w:val="continue"/>
            <w:tcBorders>
              <w:tl2br w:val="nil"/>
              <w:tr2bl w:val="nil"/>
            </w:tcBorders>
            <w:vAlign w:val="center"/>
          </w:tcPr>
          <w:p>
            <w:pPr>
              <w:pStyle w:val="108"/>
              <w:spacing w:before="0" w:line="240" w:lineRule="auto"/>
              <w:ind w:firstLine="0" w:firstLineChars="0"/>
              <w:jc w:val="center"/>
              <w:rPr>
                <w:rFonts w:hint="eastAsia"/>
                <w:bCs/>
                <w:color w:val="auto"/>
                <w:sz w:val="21"/>
                <w:highlight w:val="none"/>
              </w:rPr>
            </w:pPr>
          </w:p>
        </w:tc>
        <w:tc>
          <w:tcPr>
            <w:tcW w:w="546" w:type="pct"/>
            <w:vMerge w:val="continue"/>
            <w:tcBorders>
              <w:tl2br w:val="nil"/>
              <w:tr2bl w:val="nil"/>
            </w:tcBorders>
            <w:vAlign w:val="center"/>
          </w:tcPr>
          <w:p>
            <w:pPr>
              <w:pStyle w:val="108"/>
              <w:spacing w:before="0" w:line="240" w:lineRule="auto"/>
              <w:ind w:firstLine="0" w:firstLineChars="0"/>
              <w:jc w:val="center"/>
              <w:rPr>
                <w:rFonts w:hint="default" w:eastAsia="宋体"/>
                <w:bCs/>
                <w:color w:val="auto"/>
                <w:sz w:val="21"/>
                <w:highlight w:val="none"/>
                <w:lang w:val="en-US" w:eastAsia="zh-CN"/>
              </w:rPr>
            </w:pPr>
          </w:p>
        </w:tc>
        <w:tc>
          <w:tcPr>
            <w:tcW w:w="261"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rPr>
            </w:pPr>
          </w:p>
        </w:tc>
        <w:tc>
          <w:tcPr>
            <w:tcW w:w="345"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rPr>
            </w:pPr>
          </w:p>
        </w:tc>
        <w:tc>
          <w:tcPr>
            <w:tcW w:w="480" w:type="pct"/>
            <w:vMerge w:val="continue"/>
            <w:tcBorders>
              <w:tl2br w:val="nil"/>
              <w:tr2bl w:val="nil"/>
            </w:tcBorders>
            <w:vAlign w:val="center"/>
          </w:tcPr>
          <w:p>
            <w:pPr>
              <w:pStyle w:val="108"/>
              <w:spacing w:before="0" w:line="240" w:lineRule="auto"/>
              <w:ind w:firstLine="0" w:firstLineChars="0"/>
              <w:jc w:val="center"/>
              <w:rPr>
                <w:rFonts w:hint="eastAsia" w:ascii="Times New Roman" w:hAnsi="Times New Roman" w:eastAsia="宋体" w:cs="Times New Roman"/>
                <w:bCs/>
                <w:color w:val="auto"/>
                <w:kern w:val="0"/>
                <w:sz w:val="21"/>
                <w:szCs w:val="20"/>
                <w:highlight w:val="none"/>
                <w:u w:color="000000"/>
                <w:lang w:val="en-US" w:eastAsia="zh-CN" w:bidi="ar-SA"/>
              </w:rPr>
            </w:pPr>
          </w:p>
        </w:tc>
        <w:tc>
          <w:tcPr>
            <w:tcW w:w="314" w:type="pct"/>
            <w:tcBorders>
              <w:tl2br w:val="nil"/>
              <w:tr2bl w:val="nil"/>
            </w:tcBorders>
            <w:vAlign w:val="center"/>
          </w:tcPr>
          <w:p>
            <w:pPr>
              <w:pStyle w:val="108"/>
              <w:spacing w:before="0" w:line="240" w:lineRule="auto"/>
              <w:ind w:firstLine="0" w:firstLineChars="0"/>
              <w:jc w:val="center"/>
              <w:rPr>
                <w:rFonts w:hint="default"/>
                <w:bCs/>
                <w:color w:val="auto"/>
                <w:sz w:val="21"/>
                <w:highlight w:val="none"/>
                <w:lang w:val="en-US" w:eastAsia="zh-CN"/>
              </w:rPr>
            </w:pPr>
            <w:r>
              <w:rPr>
                <w:rFonts w:hint="eastAsia"/>
                <w:bCs/>
                <w:color w:val="auto"/>
                <w:sz w:val="21"/>
                <w:highlight w:val="none"/>
                <w:lang w:val="en-US" w:eastAsia="zh-CN"/>
              </w:rPr>
              <w:t>400</w:t>
            </w:r>
          </w:p>
        </w:tc>
        <w:tc>
          <w:tcPr>
            <w:tcW w:w="376"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rPr>
            </w:pPr>
          </w:p>
        </w:tc>
        <w:tc>
          <w:tcPr>
            <w:tcW w:w="2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rPr>
            </w:pPr>
          </w:p>
        </w:tc>
        <w:tc>
          <w:tcPr>
            <w:tcW w:w="606" w:type="pct"/>
            <w:tcBorders>
              <w:tl2br w:val="nil"/>
              <w:tr2bl w:val="nil"/>
            </w:tcBorders>
            <w:vAlign w:val="center"/>
          </w:tcPr>
          <w:p>
            <w:pPr>
              <w:pStyle w:val="108"/>
              <w:spacing w:before="0"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0.024</w:t>
            </w:r>
          </w:p>
        </w:tc>
      </w:tr>
    </w:tbl>
    <w:p>
      <w:pPr>
        <w:pStyle w:val="21"/>
        <w:rPr>
          <w:rFonts w:hint="eastAsia" w:ascii="Times New Roman" w:hAnsi="Times New Roman" w:eastAsia="宋体" w:cs="Times New Roman"/>
          <w:b/>
          <w:bCs w:val="0"/>
          <w:color w:val="auto"/>
          <w:kern w:val="2"/>
          <w:sz w:val="21"/>
          <w:szCs w:val="24"/>
          <w:highlight w:val="none"/>
          <w:lang w:val="en-US" w:eastAsia="zh-CN" w:bidi="ar-SA"/>
        </w:rPr>
      </w:pPr>
      <w:r>
        <w:rPr>
          <w:rFonts w:hint="eastAsia" w:ascii="Times New Roman" w:hAnsi="Times New Roman" w:eastAsia="宋体" w:cs="Times New Roman"/>
          <w:b/>
          <w:bCs w:val="0"/>
          <w:color w:val="auto"/>
          <w:kern w:val="2"/>
          <w:sz w:val="21"/>
          <w:szCs w:val="24"/>
          <w:highlight w:val="none"/>
          <w:lang w:val="en-US" w:eastAsia="zh-CN" w:bidi="ar-SA"/>
        </w:rPr>
        <w:t>表</w:t>
      </w:r>
      <w:r>
        <w:rPr>
          <w:rFonts w:hint="eastAsia" w:cs="Times New Roman"/>
          <w:b/>
          <w:bCs w:val="0"/>
          <w:color w:val="auto"/>
          <w:kern w:val="2"/>
          <w:sz w:val="21"/>
          <w:szCs w:val="24"/>
          <w:highlight w:val="none"/>
          <w:lang w:val="en-US" w:eastAsia="zh-CN" w:bidi="ar-SA"/>
        </w:rPr>
        <w:t>4</w:t>
      </w:r>
      <w:r>
        <w:rPr>
          <w:rFonts w:hint="eastAsia" w:ascii="Times New Roman" w:hAnsi="Times New Roman" w:eastAsia="宋体" w:cs="Times New Roman"/>
          <w:b/>
          <w:bCs w:val="0"/>
          <w:color w:val="auto"/>
          <w:kern w:val="2"/>
          <w:sz w:val="21"/>
          <w:szCs w:val="24"/>
          <w:highlight w:val="none"/>
          <w:lang w:val="en-US" w:eastAsia="zh-CN" w:bidi="ar-SA"/>
        </w:rPr>
        <w:t>.2-10 项目无组织废气排放源强参数一览表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596"/>
        <w:gridCol w:w="963"/>
        <w:gridCol w:w="1090"/>
        <w:gridCol w:w="967"/>
        <w:gridCol w:w="909"/>
        <w:gridCol w:w="735"/>
        <w:gridCol w:w="894"/>
        <w:gridCol w:w="594"/>
        <w:gridCol w:w="11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restart"/>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编号</w:t>
            </w:r>
          </w:p>
        </w:tc>
        <w:tc>
          <w:tcPr>
            <w:tcW w:w="352" w:type="pct"/>
            <w:vMerge w:val="restart"/>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名称</w:t>
            </w:r>
          </w:p>
        </w:tc>
        <w:tc>
          <w:tcPr>
            <w:tcW w:w="569" w:type="pct"/>
            <w:vMerge w:val="restart"/>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污染物名称</w:t>
            </w:r>
          </w:p>
        </w:tc>
        <w:tc>
          <w:tcPr>
            <w:tcW w:w="1215" w:type="pct"/>
            <w:gridSpan w:val="2"/>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面源各顶点坐标/m</w:t>
            </w:r>
          </w:p>
        </w:tc>
        <w:tc>
          <w:tcPr>
            <w:tcW w:w="537" w:type="pct"/>
            <w:vMerge w:val="restart"/>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面源海拔高度/m</w:t>
            </w:r>
          </w:p>
        </w:tc>
        <w:tc>
          <w:tcPr>
            <w:tcW w:w="434" w:type="pct"/>
            <w:vMerge w:val="restart"/>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面源有效排放度/m</w:t>
            </w:r>
          </w:p>
        </w:tc>
        <w:tc>
          <w:tcPr>
            <w:tcW w:w="528" w:type="pct"/>
            <w:vMerge w:val="restart"/>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年排放小时数/h</w:t>
            </w:r>
          </w:p>
        </w:tc>
        <w:tc>
          <w:tcPr>
            <w:tcW w:w="351" w:type="pct"/>
            <w:vMerge w:val="restart"/>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排放工况</w:t>
            </w:r>
          </w:p>
        </w:tc>
        <w:tc>
          <w:tcPr>
            <w:tcW w:w="687" w:type="pct"/>
            <w:vMerge w:val="restart"/>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rFonts w:hint="eastAsia"/>
                <w:b w:val="0"/>
                <w:bCs/>
                <w:color w:val="auto"/>
                <w:sz w:val="21"/>
                <w:highlight w:val="none"/>
                <w:u w:val="none" w:color="auto"/>
              </w:rPr>
              <w:t>污染物排放速率/</w:t>
            </w:r>
            <w:r>
              <w:rPr>
                <w:rFonts w:hint="eastAsia"/>
                <w:b w:val="0"/>
                <w:bCs/>
                <w:color w:val="auto"/>
                <w:sz w:val="21"/>
                <w:highlight w:val="none"/>
                <w:u w:val="none" w:color="auto"/>
                <w:lang w:val="en-US" w:eastAsia="zh-CN"/>
              </w:rPr>
              <w:t>(kg/h</w:t>
            </w:r>
            <w:r>
              <w:rPr>
                <w:rFonts w:hint="eastAsia"/>
                <w:b w:val="0"/>
                <w:bCs/>
                <w:color w:val="auto"/>
                <w:sz w:val="21"/>
                <w:highlight w:val="none"/>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tcPr>
          <w:p>
            <w:pPr>
              <w:pStyle w:val="108"/>
              <w:spacing w:before="0" w:line="240" w:lineRule="auto"/>
              <w:ind w:firstLine="0" w:firstLineChars="0"/>
              <w:jc w:val="center"/>
              <w:rPr>
                <w:b/>
                <w:color w:val="auto"/>
                <w:sz w:val="21"/>
                <w:highlight w:val="none"/>
                <w:u w:val="none" w:color="auto"/>
              </w:rPr>
            </w:pPr>
          </w:p>
        </w:tc>
        <w:tc>
          <w:tcPr>
            <w:tcW w:w="569" w:type="pct"/>
            <w:vMerge w:val="continue"/>
            <w:tcBorders>
              <w:tl2br w:val="nil"/>
              <w:tr2bl w:val="nil"/>
            </w:tcBorders>
          </w:tcPr>
          <w:p>
            <w:pPr>
              <w:pStyle w:val="108"/>
              <w:spacing w:before="0" w:line="240" w:lineRule="auto"/>
              <w:ind w:firstLine="0" w:firstLineChars="0"/>
              <w:jc w:val="center"/>
              <w:rPr>
                <w:b/>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b w:val="0"/>
                <w:bCs/>
                <w:color w:val="auto"/>
                <w:sz w:val="21"/>
                <w:highlight w:val="none"/>
                <w:u w:val="none" w:color="auto"/>
              </w:rPr>
              <w:t>X</w:t>
            </w:r>
          </w:p>
        </w:tc>
        <w:tc>
          <w:tcPr>
            <w:tcW w:w="571" w:type="pct"/>
            <w:tcBorders>
              <w:tl2br w:val="nil"/>
              <w:tr2bl w:val="nil"/>
            </w:tcBorders>
            <w:vAlign w:val="center"/>
          </w:tcPr>
          <w:p>
            <w:pPr>
              <w:pStyle w:val="108"/>
              <w:spacing w:before="0" w:line="240" w:lineRule="auto"/>
              <w:ind w:firstLine="0" w:firstLineChars="0"/>
              <w:jc w:val="center"/>
              <w:rPr>
                <w:b w:val="0"/>
                <w:bCs/>
                <w:color w:val="auto"/>
                <w:sz w:val="21"/>
                <w:highlight w:val="none"/>
                <w:u w:val="none" w:color="auto"/>
              </w:rPr>
            </w:pPr>
            <w:r>
              <w:rPr>
                <w:b w:val="0"/>
                <w:bCs/>
                <w:color w:val="auto"/>
                <w:sz w:val="21"/>
                <w:highlight w:val="none"/>
                <w:u w:val="none" w:color="auto"/>
              </w:rPr>
              <w:t>Y</w:t>
            </w:r>
          </w:p>
        </w:tc>
        <w:tc>
          <w:tcPr>
            <w:tcW w:w="537" w:type="pct"/>
            <w:vMerge w:val="continue"/>
            <w:tcBorders>
              <w:tl2br w:val="nil"/>
              <w:tr2bl w:val="nil"/>
            </w:tcBorders>
          </w:tcPr>
          <w:p>
            <w:pPr>
              <w:pStyle w:val="108"/>
              <w:spacing w:before="0" w:line="240" w:lineRule="auto"/>
              <w:ind w:firstLine="0" w:firstLineChars="0"/>
              <w:jc w:val="center"/>
              <w:rPr>
                <w:b/>
                <w:color w:val="auto"/>
                <w:sz w:val="21"/>
                <w:highlight w:val="none"/>
                <w:u w:val="none" w:color="auto"/>
              </w:rPr>
            </w:pPr>
          </w:p>
        </w:tc>
        <w:tc>
          <w:tcPr>
            <w:tcW w:w="434" w:type="pct"/>
            <w:vMerge w:val="continue"/>
            <w:tcBorders>
              <w:tl2br w:val="nil"/>
              <w:tr2bl w:val="nil"/>
            </w:tcBorders>
          </w:tcPr>
          <w:p>
            <w:pPr>
              <w:pStyle w:val="108"/>
              <w:spacing w:before="0" w:line="240" w:lineRule="auto"/>
              <w:ind w:firstLine="0" w:firstLineChars="0"/>
              <w:jc w:val="center"/>
              <w:rPr>
                <w:b/>
                <w:color w:val="auto"/>
                <w:sz w:val="21"/>
                <w:highlight w:val="none"/>
                <w:u w:val="none" w:color="auto"/>
              </w:rPr>
            </w:pPr>
          </w:p>
        </w:tc>
        <w:tc>
          <w:tcPr>
            <w:tcW w:w="528" w:type="pct"/>
            <w:vMerge w:val="continue"/>
            <w:tcBorders>
              <w:tl2br w:val="nil"/>
              <w:tr2bl w:val="nil"/>
            </w:tcBorders>
          </w:tcPr>
          <w:p>
            <w:pPr>
              <w:pStyle w:val="108"/>
              <w:spacing w:before="0" w:line="240" w:lineRule="auto"/>
              <w:ind w:firstLine="0" w:firstLineChars="0"/>
              <w:jc w:val="center"/>
              <w:rPr>
                <w:b/>
                <w:color w:val="auto"/>
                <w:sz w:val="21"/>
                <w:highlight w:val="none"/>
                <w:u w:val="none" w:color="auto"/>
              </w:rPr>
            </w:pPr>
          </w:p>
        </w:tc>
        <w:tc>
          <w:tcPr>
            <w:tcW w:w="351" w:type="pct"/>
            <w:vMerge w:val="continue"/>
            <w:tcBorders>
              <w:tl2br w:val="nil"/>
              <w:tr2bl w:val="nil"/>
            </w:tcBorders>
          </w:tcPr>
          <w:p>
            <w:pPr>
              <w:pStyle w:val="108"/>
              <w:spacing w:before="0" w:line="240" w:lineRule="auto"/>
              <w:ind w:firstLine="0" w:firstLineChars="0"/>
              <w:jc w:val="center"/>
              <w:rPr>
                <w:b/>
                <w:color w:val="auto"/>
                <w:sz w:val="21"/>
                <w:highlight w:val="none"/>
                <w:u w:val="none" w:color="auto"/>
              </w:rPr>
            </w:pPr>
          </w:p>
        </w:tc>
        <w:tc>
          <w:tcPr>
            <w:tcW w:w="687" w:type="pct"/>
            <w:vMerge w:val="continue"/>
            <w:tcBorders>
              <w:tl2br w:val="nil"/>
              <w:tr2bl w:val="nil"/>
            </w:tcBorders>
          </w:tcPr>
          <w:p>
            <w:pPr>
              <w:pStyle w:val="108"/>
              <w:spacing w:before="0" w:line="240" w:lineRule="auto"/>
              <w:ind w:firstLine="0" w:firstLineChars="0"/>
              <w:jc w:val="center"/>
              <w:rPr>
                <w:b/>
                <w:color w:val="auto"/>
                <w:sz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restart"/>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r>
              <w:rPr>
                <w:b/>
                <w:color w:val="auto"/>
                <w:sz w:val="21"/>
                <w:highlight w:val="none"/>
                <w:u w:val="none" w:color="auto"/>
              </w:rPr>
              <w:t>1</w:t>
            </w:r>
          </w:p>
        </w:tc>
        <w:tc>
          <w:tcPr>
            <w:tcW w:w="352" w:type="pct"/>
            <w:vMerge w:val="restart"/>
            <w:tcBorders>
              <w:tl2br w:val="nil"/>
              <w:tr2bl w:val="nil"/>
            </w:tcBorders>
            <w:vAlign w:val="center"/>
          </w:tcPr>
          <w:p>
            <w:pPr>
              <w:pStyle w:val="108"/>
              <w:spacing w:before="0" w:line="240" w:lineRule="auto"/>
              <w:ind w:firstLine="0" w:firstLineChars="0"/>
              <w:jc w:val="center"/>
              <w:rPr>
                <w:rFonts w:hint="eastAsia" w:eastAsia="宋体"/>
                <w:b/>
                <w:color w:val="auto"/>
                <w:sz w:val="21"/>
                <w:highlight w:val="none"/>
                <w:u w:val="none" w:color="auto"/>
                <w:lang w:val="en-US" w:eastAsia="zh-CN"/>
              </w:rPr>
            </w:pPr>
            <w:r>
              <w:rPr>
                <w:rFonts w:hint="eastAsia"/>
                <w:bCs/>
                <w:color w:val="auto"/>
                <w:sz w:val="21"/>
                <w:highlight w:val="none"/>
                <w:u w:val="none" w:color="auto"/>
                <w:lang w:eastAsia="zh-CN"/>
              </w:rPr>
              <w:t>厂区</w:t>
            </w:r>
          </w:p>
        </w:tc>
        <w:tc>
          <w:tcPr>
            <w:tcW w:w="569" w:type="pct"/>
            <w:vMerge w:val="restart"/>
            <w:tcBorders>
              <w:tl2br w:val="nil"/>
              <w:tr2bl w:val="nil"/>
            </w:tcBorders>
            <w:vAlign w:val="center"/>
          </w:tcPr>
          <w:p>
            <w:pPr>
              <w:pStyle w:val="108"/>
              <w:spacing w:before="0" w:line="240" w:lineRule="auto"/>
              <w:ind w:firstLine="0" w:firstLineChars="0"/>
              <w:jc w:val="center"/>
              <w:rPr>
                <w:rFonts w:hint="default" w:eastAsia="宋体"/>
                <w:b/>
                <w:color w:val="auto"/>
                <w:sz w:val="21"/>
                <w:highlight w:val="none"/>
                <w:u w:val="none" w:color="auto"/>
                <w:lang w:val="en-US" w:eastAsia="zh-CN"/>
              </w:rPr>
            </w:pPr>
            <w:r>
              <w:rPr>
                <w:rFonts w:hint="eastAsia"/>
                <w:color w:val="auto"/>
                <w:sz w:val="21"/>
                <w:highlight w:val="none"/>
                <w:u w:val="none" w:color="auto"/>
                <w:lang w:val="en-US" w:eastAsia="zh-CN"/>
              </w:rPr>
              <w:t>NH</w:t>
            </w:r>
            <w:r>
              <w:rPr>
                <w:rFonts w:hint="eastAsia"/>
                <w:color w:val="auto"/>
                <w:sz w:val="21"/>
                <w:highlight w:val="none"/>
                <w:u w:val="none" w:color="auto"/>
                <w:vertAlign w:val="subscript"/>
                <w:lang w:val="en-US" w:eastAsia="zh-CN"/>
              </w:rPr>
              <w:t>3</w:t>
            </w:r>
          </w:p>
        </w:tc>
        <w:tc>
          <w:tcPr>
            <w:tcW w:w="644" w:type="pct"/>
            <w:tcBorders>
              <w:tl2br w:val="nil"/>
              <w:tr2bl w:val="nil"/>
            </w:tcBorders>
            <w:vAlign w:val="center"/>
          </w:tcPr>
          <w:p>
            <w:pPr>
              <w:pStyle w:val="108"/>
              <w:spacing w:before="0" w:line="240" w:lineRule="auto"/>
              <w:ind w:firstLine="0" w:firstLineChars="0"/>
              <w:jc w:val="center"/>
              <w:rPr>
                <w:rFonts w:hint="default"/>
                <w:color w:val="auto"/>
                <w:sz w:val="21"/>
                <w:highlight w:val="none"/>
                <w:u w:val="none" w:color="auto"/>
                <w:lang w:val="en-US" w:eastAsia="zh-CN"/>
              </w:rPr>
            </w:pPr>
            <w:r>
              <w:rPr>
                <w:rFonts w:hint="eastAsia"/>
                <w:color w:val="auto"/>
                <w:sz w:val="21"/>
                <w:highlight w:val="none"/>
                <w:u w:val="none" w:color="auto"/>
                <w:lang w:val="en-US" w:eastAsia="zh-CN"/>
              </w:rPr>
              <w:t>-106</w:t>
            </w:r>
          </w:p>
        </w:tc>
        <w:tc>
          <w:tcPr>
            <w:tcW w:w="571" w:type="pct"/>
            <w:tcBorders>
              <w:tl2br w:val="nil"/>
              <w:tr2bl w:val="nil"/>
            </w:tcBorders>
            <w:vAlign w:val="center"/>
          </w:tcPr>
          <w:p>
            <w:pPr>
              <w:pStyle w:val="108"/>
              <w:spacing w:before="0" w:line="240" w:lineRule="auto"/>
              <w:ind w:firstLine="0" w:firstLineChars="0"/>
              <w:jc w:val="center"/>
              <w:rPr>
                <w:rFonts w:hint="default"/>
                <w:color w:val="auto"/>
                <w:sz w:val="21"/>
                <w:highlight w:val="none"/>
                <w:u w:val="none" w:color="auto"/>
                <w:lang w:val="en-US" w:eastAsia="zh-CN"/>
              </w:rPr>
            </w:pPr>
            <w:r>
              <w:rPr>
                <w:rFonts w:hint="eastAsia"/>
                <w:color w:val="auto"/>
                <w:sz w:val="21"/>
                <w:highlight w:val="none"/>
                <w:u w:val="none" w:color="auto"/>
                <w:lang w:val="en-US" w:eastAsia="zh-CN"/>
              </w:rPr>
              <w:t>477</w:t>
            </w:r>
          </w:p>
        </w:tc>
        <w:tc>
          <w:tcPr>
            <w:tcW w:w="537" w:type="pct"/>
            <w:tcBorders>
              <w:tl2br w:val="nil"/>
              <w:tr2bl w:val="nil"/>
            </w:tcBorders>
            <w:vAlign w:val="center"/>
          </w:tcPr>
          <w:p>
            <w:pPr>
              <w:pStyle w:val="108"/>
              <w:spacing w:before="0" w:line="240" w:lineRule="auto"/>
              <w:ind w:firstLine="0" w:firstLineChars="0"/>
              <w:jc w:val="center"/>
              <w:rPr>
                <w:rFonts w:hint="default" w:eastAsia="宋体"/>
                <w:color w:val="auto"/>
                <w:sz w:val="21"/>
                <w:highlight w:val="none"/>
                <w:u w:val="none" w:color="auto"/>
                <w:lang w:val="en-US" w:eastAsia="zh-CN"/>
              </w:rPr>
            </w:pPr>
            <w:r>
              <w:rPr>
                <w:rFonts w:hint="eastAsia"/>
                <w:color w:val="auto"/>
                <w:sz w:val="21"/>
                <w:highlight w:val="none"/>
                <w:u w:val="none" w:color="auto"/>
                <w:lang w:val="en-US" w:eastAsia="zh-CN"/>
              </w:rPr>
              <w:t>44.927</w:t>
            </w:r>
          </w:p>
        </w:tc>
        <w:tc>
          <w:tcPr>
            <w:tcW w:w="434" w:type="pct"/>
            <w:vMerge w:val="restart"/>
            <w:tcBorders>
              <w:tl2br w:val="nil"/>
              <w:tr2bl w:val="nil"/>
            </w:tcBorders>
            <w:vAlign w:val="center"/>
          </w:tcPr>
          <w:p>
            <w:pPr>
              <w:pStyle w:val="108"/>
              <w:spacing w:before="0" w:line="240" w:lineRule="auto"/>
              <w:ind w:firstLine="0" w:firstLineChars="0"/>
              <w:jc w:val="center"/>
              <w:rPr>
                <w:rFonts w:hint="default" w:eastAsia="宋体"/>
                <w:color w:val="auto"/>
                <w:sz w:val="21"/>
                <w:highlight w:val="none"/>
                <w:u w:val="none" w:color="auto"/>
                <w:lang w:val="en-US" w:eastAsia="zh-CN"/>
              </w:rPr>
            </w:pPr>
            <w:r>
              <w:rPr>
                <w:rFonts w:hint="eastAsia"/>
                <w:color w:val="auto"/>
                <w:sz w:val="21"/>
                <w:highlight w:val="none"/>
                <w:u w:val="none" w:color="auto"/>
                <w:lang w:val="en-US" w:eastAsia="zh-CN"/>
              </w:rPr>
              <w:t>10</w:t>
            </w:r>
          </w:p>
        </w:tc>
        <w:tc>
          <w:tcPr>
            <w:tcW w:w="528" w:type="pct"/>
            <w:vMerge w:val="restart"/>
            <w:tcBorders>
              <w:tl2br w:val="nil"/>
              <w:tr2bl w:val="nil"/>
            </w:tcBorders>
            <w:vAlign w:val="center"/>
          </w:tcPr>
          <w:p>
            <w:pPr>
              <w:pStyle w:val="108"/>
              <w:spacing w:before="0" w:line="240" w:lineRule="auto"/>
              <w:ind w:firstLine="0" w:firstLineChars="0"/>
              <w:jc w:val="center"/>
              <w:rPr>
                <w:rFonts w:hint="default" w:eastAsia="宋体"/>
                <w:color w:val="auto"/>
                <w:sz w:val="21"/>
                <w:highlight w:val="none"/>
                <w:u w:val="none" w:color="auto"/>
                <w:lang w:val="en-US" w:eastAsia="zh-CN"/>
              </w:rPr>
            </w:pPr>
            <w:r>
              <w:rPr>
                <w:rFonts w:hint="eastAsia"/>
                <w:color w:val="auto"/>
                <w:sz w:val="21"/>
                <w:highlight w:val="none"/>
                <w:u w:val="none" w:color="auto"/>
                <w:lang w:val="en-US" w:eastAsia="zh-CN"/>
              </w:rPr>
              <w:t>8760</w:t>
            </w:r>
          </w:p>
        </w:tc>
        <w:tc>
          <w:tcPr>
            <w:tcW w:w="351" w:type="pct"/>
            <w:vMerge w:val="restar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rPr>
              <w:t>正常</w:t>
            </w:r>
          </w:p>
        </w:tc>
        <w:tc>
          <w:tcPr>
            <w:tcW w:w="687" w:type="pct"/>
            <w:vMerge w:val="restart"/>
            <w:tcBorders>
              <w:tl2br w:val="nil"/>
              <w:tr2bl w:val="nil"/>
            </w:tcBorders>
            <w:vAlign w:val="center"/>
          </w:tcPr>
          <w:p>
            <w:pPr>
              <w:spacing w:line="240" w:lineRule="auto"/>
              <w:ind w:firstLine="0" w:firstLineChars="0"/>
              <w:jc w:val="center"/>
              <w:rPr>
                <w:rFonts w:hint="default" w:eastAsia="宋体"/>
                <w:color w:val="auto"/>
                <w:sz w:val="21"/>
                <w:highlight w:val="none"/>
                <w:u w:val="none" w:color="auto"/>
                <w:lang w:val="en-US" w:eastAsia="zh-CN"/>
              </w:rPr>
            </w:pPr>
            <w:r>
              <w:rPr>
                <w:rFonts w:hint="eastAsia"/>
                <w:color w:val="auto"/>
                <w:sz w:val="21"/>
                <w:highlight w:val="none"/>
                <w:u w:val="none" w:color="auto"/>
                <w:lang w:val="en-US" w:eastAsia="zh-CN"/>
              </w:rPr>
              <w:t>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rFonts w:hint="default"/>
                <w:color w:val="auto"/>
                <w:sz w:val="21"/>
                <w:highlight w:val="none"/>
                <w:u w:val="none" w:color="auto"/>
                <w:lang w:val="en-US" w:eastAsia="zh-CN"/>
              </w:rPr>
            </w:pPr>
            <w:r>
              <w:rPr>
                <w:rFonts w:hint="eastAsia"/>
                <w:color w:val="auto"/>
                <w:sz w:val="21"/>
                <w:highlight w:val="none"/>
                <w:u w:val="none" w:color="auto"/>
                <w:lang w:val="en-US" w:eastAsia="zh-CN"/>
              </w:rPr>
              <w:t>-6</w:t>
            </w:r>
          </w:p>
        </w:tc>
        <w:tc>
          <w:tcPr>
            <w:tcW w:w="571" w:type="pct"/>
            <w:tcBorders>
              <w:tl2br w:val="nil"/>
              <w:tr2bl w:val="nil"/>
            </w:tcBorders>
            <w:vAlign w:val="center"/>
          </w:tcPr>
          <w:p>
            <w:pPr>
              <w:pStyle w:val="108"/>
              <w:spacing w:before="0" w:line="240" w:lineRule="auto"/>
              <w:ind w:firstLine="0" w:firstLineChars="0"/>
              <w:jc w:val="center"/>
              <w:rPr>
                <w:rFonts w:hint="default"/>
                <w:color w:val="auto"/>
                <w:sz w:val="21"/>
                <w:highlight w:val="none"/>
                <w:u w:val="none" w:color="auto"/>
                <w:lang w:val="en-US" w:eastAsia="zh-CN"/>
              </w:rPr>
            </w:pPr>
            <w:r>
              <w:rPr>
                <w:rFonts w:hint="eastAsia"/>
                <w:color w:val="auto"/>
                <w:sz w:val="21"/>
                <w:highlight w:val="none"/>
                <w:u w:val="none" w:color="auto"/>
                <w:lang w:val="en-US" w:eastAsia="zh-CN"/>
              </w:rPr>
              <w:t>455</w:t>
            </w:r>
          </w:p>
        </w:tc>
        <w:tc>
          <w:tcPr>
            <w:tcW w:w="537"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44.927</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7" w:type="pct"/>
            <w:vMerge w:val="continue"/>
            <w:tcBorders>
              <w:tl2br w:val="nil"/>
              <w:tr2bl w:val="nil"/>
            </w:tcBorders>
            <w:vAlign w:val="center"/>
          </w:tcPr>
          <w:p>
            <w:pPr>
              <w:spacing w:line="240" w:lineRule="auto"/>
              <w:ind w:firstLine="0" w:firstLineChars="0"/>
              <w:jc w:val="center"/>
              <w:rPr>
                <w:rFonts w:cs="Times New Roman"/>
                <w:color w:val="auto"/>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rFonts w:hint="default"/>
                <w:color w:val="auto"/>
                <w:sz w:val="21"/>
                <w:highlight w:val="none"/>
                <w:u w:val="none" w:color="auto"/>
                <w:lang w:val="en-US"/>
              </w:rPr>
            </w:pPr>
            <w:r>
              <w:rPr>
                <w:rFonts w:hint="eastAsia"/>
                <w:color w:val="auto"/>
                <w:sz w:val="21"/>
                <w:highlight w:val="none"/>
                <w:u w:val="none" w:color="auto"/>
                <w:lang w:val="en-US" w:eastAsia="zh-CN"/>
              </w:rPr>
              <w:t>351</w:t>
            </w:r>
          </w:p>
        </w:tc>
        <w:tc>
          <w:tcPr>
            <w:tcW w:w="571" w:type="pct"/>
            <w:tcBorders>
              <w:tl2br w:val="nil"/>
              <w:tr2bl w:val="nil"/>
            </w:tcBorders>
            <w:vAlign w:val="center"/>
          </w:tcPr>
          <w:p>
            <w:pPr>
              <w:pStyle w:val="108"/>
              <w:spacing w:before="0" w:line="240" w:lineRule="auto"/>
              <w:ind w:firstLine="0" w:firstLineChars="0"/>
              <w:jc w:val="center"/>
              <w:rPr>
                <w:rFonts w:hint="default"/>
                <w:color w:val="auto"/>
                <w:sz w:val="21"/>
                <w:highlight w:val="none"/>
                <w:u w:val="none" w:color="auto"/>
                <w:lang w:val="en-US"/>
              </w:rPr>
            </w:pPr>
            <w:r>
              <w:rPr>
                <w:rFonts w:hint="eastAsia"/>
                <w:color w:val="auto"/>
                <w:sz w:val="21"/>
                <w:highlight w:val="none"/>
                <w:u w:val="none" w:color="auto"/>
                <w:lang w:val="en-US" w:eastAsia="zh-CN"/>
              </w:rPr>
              <w:t>438</w:t>
            </w:r>
          </w:p>
        </w:tc>
        <w:tc>
          <w:tcPr>
            <w:tcW w:w="537"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44.927</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7" w:type="pct"/>
            <w:vMerge w:val="continue"/>
            <w:tcBorders>
              <w:tl2br w:val="nil"/>
              <w:tr2bl w:val="nil"/>
            </w:tcBorders>
            <w:vAlign w:val="center"/>
          </w:tcPr>
          <w:p>
            <w:pPr>
              <w:spacing w:line="240" w:lineRule="auto"/>
              <w:ind w:firstLine="0" w:firstLineChars="0"/>
              <w:jc w:val="center"/>
              <w:rPr>
                <w:rFonts w:cs="Times New Roman"/>
                <w:color w:val="auto"/>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rFonts w:hint="default"/>
                <w:color w:val="auto"/>
                <w:sz w:val="21"/>
                <w:highlight w:val="none"/>
                <w:u w:val="none" w:color="auto"/>
                <w:lang w:val="en-US"/>
              </w:rPr>
            </w:pPr>
            <w:r>
              <w:rPr>
                <w:rFonts w:hint="eastAsia"/>
                <w:color w:val="auto"/>
                <w:sz w:val="21"/>
                <w:highlight w:val="none"/>
                <w:u w:val="none" w:color="auto"/>
                <w:lang w:val="en-US" w:eastAsia="zh-CN"/>
              </w:rPr>
              <w:t>331</w:t>
            </w:r>
          </w:p>
        </w:tc>
        <w:tc>
          <w:tcPr>
            <w:tcW w:w="571" w:type="pct"/>
            <w:tcBorders>
              <w:tl2br w:val="nil"/>
              <w:tr2bl w:val="nil"/>
            </w:tcBorders>
            <w:vAlign w:val="center"/>
          </w:tcPr>
          <w:p>
            <w:pPr>
              <w:pStyle w:val="108"/>
              <w:spacing w:before="0" w:line="240" w:lineRule="auto"/>
              <w:ind w:firstLine="0" w:firstLineChars="0"/>
              <w:jc w:val="center"/>
              <w:rPr>
                <w:rFonts w:hint="default"/>
                <w:color w:val="auto"/>
                <w:sz w:val="21"/>
                <w:highlight w:val="none"/>
                <w:u w:val="none" w:color="auto"/>
                <w:lang w:val="en-US"/>
              </w:rPr>
            </w:pPr>
            <w:r>
              <w:rPr>
                <w:rFonts w:hint="eastAsia"/>
                <w:color w:val="auto"/>
                <w:sz w:val="21"/>
                <w:highlight w:val="none"/>
                <w:u w:val="none" w:color="auto"/>
                <w:lang w:val="en-US" w:eastAsia="zh-CN"/>
              </w:rPr>
              <w:t>-16</w:t>
            </w:r>
          </w:p>
        </w:tc>
        <w:tc>
          <w:tcPr>
            <w:tcW w:w="537"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44.927</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7" w:type="pct"/>
            <w:vMerge w:val="continue"/>
            <w:tcBorders>
              <w:tl2br w:val="nil"/>
              <w:tr2bl w:val="nil"/>
            </w:tcBorders>
            <w:vAlign w:val="center"/>
          </w:tcPr>
          <w:p>
            <w:pPr>
              <w:spacing w:line="240" w:lineRule="auto"/>
              <w:ind w:firstLine="0" w:firstLineChars="0"/>
              <w:jc w:val="center"/>
              <w:rPr>
                <w:rFonts w:cs="Times New Roman"/>
                <w:color w:val="auto"/>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rFonts w:hint="default"/>
                <w:color w:val="auto"/>
                <w:sz w:val="21"/>
                <w:highlight w:val="none"/>
                <w:u w:val="none" w:color="auto"/>
                <w:lang w:val="en-US"/>
              </w:rPr>
            </w:pPr>
            <w:r>
              <w:rPr>
                <w:rFonts w:hint="eastAsia"/>
                <w:color w:val="auto"/>
                <w:sz w:val="21"/>
                <w:highlight w:val="none"/>
                <w:u w:val="none" w:color="auto"/>
                <w:lang w:val="en-US" w:eastAsia="zh-CN"/>
              </w:rPr>
              <w:t>0</w:t>
            </w:r>
          </w:p>
        </w:tc>
        <w:tc>
          <w:tcPr>
            <w:tcW w:w="571"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2</w:t>
            </w:r>
          </w:p>
        </w:tc>
        <w:tc>
          <w:tcPr>
            <w:tcW w:w="537"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44.927</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7" w:type="pct"/>
            <w:vMerge w:val="continue"/>
            <w:tcBorders>
              <w:tl2br w:val="nil"/>
              <w:tr2bl w:val="nil"/>
            </w:tcBorders>
            <w:vAlign w:val="center"/>
          </w:tcPr>
          <w:p>
            <w:pPr>
              <w:spacing w:line="240" w:lineRule="auto"/>
              <w:ind w:firstLine="0" w:firstLineChars="0"/>
              <w:jc w:val="center"/>
              <w:rPr>
                <w:rFonts w:cs="Times New Roman"/>
                <w:color w:val="auto"/>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rFonts w:hint="default"/>
                <w:color w:val="auto"/>
                <w:sz w:val="21"/>
                <w:highlight w:val="none"/>
                <w:u w:val="none" w:color="auto"/>
                <w:lang w:val="en-US"/>
              </w:rPr>
            </w:pPr>
            <w:r>
              <w:rPr>
                <w:rFonts w:hint="eastAsia"/>
                <w:color w:val="auto"/>
                <w:sz w:val="21"/>
                <w:highlight w:val="none"/>
                <w:u w:val="none" w:color="auto"/>
                <w:lang w:val="en-US" w:eastAsia="zh-CN"/>
              </w:rPr>
              <w:t>0</w:t>
            </w:r>
          </w:p>
        </w:tc>
        <w:tc>
          <w:tcPr>
            <w:tcW w:w="571" w:type="pct"/>
            <w:tcBorders>
              <w:tl2br w:val="nil"/>
              <w:tr2bl w:val="nil"/>
            </w:tcBorders>
            <w:vAlign w:val="center"/>
          </w:tcPr>
          <w:p>
            <w:pPr>
              <w:pStyle w:val="108"/>
              <w:spacing w:before="0" w:line="240" w:lineRule="auto"/>
              <w:ind w:firstLine="0" w:firstLineChars="0"/>
              <w:jc w:val="center"/>
              <w:rPr>
                <w:rFonts w:hint="default"/>
                <w:color w:val="auto"/>
                <w:sz w:val="21"/>
                <w:highlight w:val="none"/>
                <w:u w:val="none" w:color="auto"/>
                <w:lang w:val="en-US"/>
              </w:rPr>
            </w:pPr>
            <w:r>
              <w:rPr>
                <w:rFonts w:hint="eastAsia"/>
                <w:color w:val="auto"/>
                <w:sz w:val="21"/>
                <w:highlight w:val="none"/>
                <w:u w:val="none" w:color="auto"/>
                <w:lang w:val="en-US" w:eastAsia="zh-CN"/>
              </w:rPr>
              <w:t>351</w:t>
            </w:r>
          </w:p>
        </w:tc>
        <w:tc>
          <w:tcPr>
            <w:tcW w:w="537"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44.927</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7" w:type="pct"/>
            <w:vMerge w:val="continue"/>
            <w:tcBorders>
              <w:tl2br w:val="nil"/>
              <w:tr2bl w:val="nil"/>
            </w:tcBorders>
            <w:vAlign w:val="center"/>
          </w:tcPr>
          <w:p>
            <w:pPr>
              <w:spacing w:line="240" w:lineRule="auto"/>
              <w:ind w:firstLine="0" w:firstLineChars="0"/>
              <w:jc w:val="center"/>
              <w:rPr>
                <w:rFonts w:cs="Times New Roman"/>
                <w:color w:val="auto"/>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rFonts w:hint="default"/>
                <w:color w:val="auto"/>
                <w:sz w:val="21"/>
                <w:highlight w:val="none"/>
                <w:u w:val="none" w:color="auto"/>
                <w:lang w:val="en-US"/>
              </w:rPr>
            </w:pPr>
            <w:r>
              <w:rPr>
                <w:rFonts w:hint="eastAsia"/>
                <w:color w:val="auto"/>
                <w:sz w:val="21"/>
                <w:highlight w:val="none"/>
                <w:u w:val="none" w:color="auto"/>
                <w:lang w:val="en-US" w:eastAsia="zh-CN"/>
              </w:rPr>
              <w:t>-101</w:t>
            </w:r>
          </w:p>
        </w:tc>
        <w:tc>
          <w:tcPr>
            <w:tcW w:w="571" w:type="pct"/>
            <w:tcBorders>
              <w:tl2br w:val="nil"/>
              <w:tr2bl w:val="nil"/>
            </w:tcBorders>
            <w:vAlign w:val="center"/>
          </w:tcPr>
          <w:p>
            <w:pPr>
              <w:pStyle w:val="108"/>
              <w:spacing w:before="0" w:line="240" w:lineRule="auto"/>
              <w:ind w:firstLine="0" w:firstLineChars="0"/>
              <w:jc w:val="center"/>
              <w:rPr>
                <w:rFonts w:hint="default"/>
                <w:color w:val="auto"/>
                <w:sz w:val="21"/>
                <w:highlight w:val="none"/>
                <w:u w:val="none" w:color="auto"/>
                <w:lang w:val="en-US"/>
              </w:rPr>
            </w:pPr>
            <w:r>
              <w:rPr>
                <w:rFonts w:hint="eastAsia"/>
                <w:color w:val="auto"/>
                <w:sz w:val="21"/>
                <w:highlight w:val="none"/>
                <w:u w:val="none" w:color="auto"/>
                <w:lang w:val="en-US" w:eastAsia="zh-CN"/>
              </w:rPr>
              <w:t>355</w:t>
            </w:r>
          </w:p>
        </w:tc>
        <w:tc>
          <w:tcPr>
            <w:tcW w:w="537"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44.927</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7" w:type="pct"/>
            <w:vMerge w:val="continue"/>
            <w:tcBorders>
              <w:tl2br w:val="nil"/>
              <w:tr2bl w:val="nil"/>
            </w:tcBorders>
            <w:vAlign w:val="center"/>
          </w:tcPr>
          <w:p>
            <w:pPr>
              <w:spacing w:line="240" w:lineRule="auto"/>
              <w:ind w:firstLine="0" w:firstLineChars="0"/>
              <w:jc w:val="center"/>
              <w:rPr>
                <w:rFonts w:cs="Times New Roman"/>
                <w:color w:val="auto"/>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rFonts w:hint="default"/>
                <w:color w:val="auto"/>
                <w:sz w:val="21"/>
                <w:highlight w:val="none"/>
                <w:u w:val="none" w:color="auto"/>
                <w:lang w:val="en-US" w:eastAsia="zh-CN"/>
              </w:rPr>
            </w:pPr>
            <w:r>
              <w:rPr>
                <w:rFonts w:hint="eastAsia"/>
                <w:color w:val="auto"/>
                <w:sz w:val="21"/>
                <w:highlight w:val="none"/>
                <w:u w:val="none" w:color="auto"/>
                <w:lang w:val="en-US" w:eastAsia="zh-CN"/>
              </w:rPr>
              <w:t>-110</w:t>
            </w:r>
          </w:p>
        </w:tc>
        <w:tc>
          <w:tcPr>
            <w:tcW w:w="571" w:type="pct"/>
            <w:tcBorders>
              <w:tl2br w:val="nil"/>
              <w:tr2bl w:val="nil"/>
            </w:tcBorders>
            <w:vAlign w:val="center"/>
          </w:tcPr>
          <w:p>
            <w:pPr>
              <w:pStyle w:val="108"/>
              <w:spacing w:before="0" w:line="240" w:lineRule="auto"/>
              <w:ind w:firstLine="0" w:firstLineChars="0"/>
              <w:jc w:val="center"/>
              <w:rPr>
                <w:rFonts w:hint="default"/>
                <w:color w:val="auto"/>
                <w:sz w:val="21"/>
                <w:highlight w:val="none"/>
                <w:u w:val="none" w:color="auto"/>
                <w:lang w:val="en-US" w:eastAsia="zh-CN"/>
              </w:rPr>
            </w:pPr>
            <w:r>
              <w:rPr>
                <w:rFonts w:hint="eastAsia"/>
                <w:color w:val="auto"/>
                <w:sz w:val="21"/>
                <w:highlight w:val="none"/>
                <w:u w:val="none" w:color="auto"/>
                <w:lang w:val="en-US" w:eastAsia="zh-CN"/>
              </w:rPr>
              <w:t>481</w:t>
            </w:r>
          </w:p>
        </w:tc>
        <w:tc>
          <w:tcPr>
            <w:tcW w:w="537"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44.927</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7" w:type="pct"/>
            <w:vMerge w:val="continue"/>
            <w:tcBorders>
              <w:tl2br w:val="nil"/>
              <w:tr2bl w:val="nil"/>
            </w:tcBorders>
            <w:vAlign w:val="center"/>
          </w:tcPr>
          <w:p>
            <w:pPr>
              <w:spacing w:line="240" w:lineRule="auto"/>
              <w:ind w:firstLine="0" w:firstLineChars="0"/>
              <w:jc w:val="center"/>
              <w:rPr>
                <w:rFonts w:cs="Times New Roman"/>
                <w:color w:val="auto"/>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restart"/>
            <w:tcBorders>
              <w:tl2br w:val="nil"/>
              <w:tr2bl w:val="nil"/>
            </w:tcBorders>
            <w:vAlign w:val="center"/>
          </w:tcPr>
          <w:p>
            <w:pPr>
              <w:pStyle w:val="108"/>
              <w:spacing w:before="0" w:line="240" w:lineRule="auto"/>
              <w:ind w:firstLine="0" w:firstLineChars="0"/>
              <w:jc w:val="center"/>
              <w:rPr>
                <w:rFonts w:hint="default" w:eastAsia="宋体"/>
                <w:color w:val="auto"/>
                <w:sz w:val="21"/>
                <w:highlight w:val="none"/>
                <w:u w:val="none" w:color="auto"/>
                <w:lang w:val="en-US" w:eastAsia="zh-CN"/>
              </w:rPr>
            </w:pPr>
            <w:r>
              <w:rPr>
                <w:rFonts w:hint="eastAsia"/>
                <w:color w:val="auto"/>
                <w:sz w:val="21"/>
                <w:highlight w:val="none"/>
                <w:u w:val="none" w:color="auto"/>
                <w:lang w:val="en-US" w:eastAsia="zh-CN"/>
              </w:rPr>
              <w:t>H</w:t>
            </w:r>
            <w:r>
              <w:rPr>
                <w:rFonts w:hint="eastAsia"/>
                <w:color w:val="auto"/>
                <w:sz w:val="21"/>
                <w:highlight w:val="none"/>
                <w:u w:val="none" w:color="auto"/>
                <w:vertAlign w:val="subscript"/>
                <w:lang w:val="en-US" w:eastAsia="zh-CN"/>
              </w:rPr>
              <w:t>2</w:t>
            </w:r>
            <w:r>
              <w:rPr>
                <w:rFonts w:hint="eastAsia"/>
                <w:color w:val="auto"/>
                <w:sz w:val="21"/>
                <w:highlight w:val="none"/>
                <w:u w:val="none" w:color="auto"/>
                <w:lang w:val="en-US" w:eastAsia="zh-CN"/>
              </w:rPr>
              <w:t>S</w:t>
            </w: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-106</w:t>
            </w:r>
          </w:p>
        </w:tc>
        <w:tc>
          <w:tcPr>
            <w:tcW w:w="571"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477</w:t>
            </w:r>
          </w:p>
        </w:tc>
        <w:tc>
          <w:tcPr>
            <w:tcW w:w="537"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44.927</w:t>
            </w:r>
          </w:p>
        </w:tc>
        <w:tc>
          <w:tcPr>
            <w:tcW w:w="434" w:type="pct"/>
            <w:vMerge w:val="restart"/>
            <w:tcBorders>
              <w:tl2br w:val="nil"/>
              <w:tr2bl w:val="nil"/>
            </w:tcBorders>
            <w:vAlign w:val="center"/>
          </w:tcPr>
          <w:p>
            <w:pPr>
              <w:pStyle w:val="108"/>
              <w:spacing w:before="0" w:line="240" w:lineRule="auto"/>
              <w:ind w:firstLine="0" w:firstLineChars="0"/>
              <w:jc w:val="center"/>
              <w:rPr>
                <w:rFonts w:hint="default" w:eastAsia="宋体"/>
                <w:color w:val="auto"/>
                <w:sz w:val="21"/>
                <w:highlight w:val="none"/>
                <w:u w:val="none" w:color="auto"/>
                <w:lang w:val="en-US" w:eastAsia="zh-CN"/>
              </w:rPr>
            </w:pPr>
            <w:r>
              <w:rPr>
                <w:rFonts w:hint="eastAsia"/>
                <w:color w:val="auto"/>
                <w:sz w:val="21"/>
                <w:highlight w:val="none"/>
                <w:u w:val="none" w:color="auto"/>
                <w:lang w:val="en-US" w:eastAsia="zh-CN"/>
              </w:rPr>
              <w:t>10</w:t>
            </w:r>
          </w:p>
        </w:tc>
        <w:tc>
          <w:tcPr>
            <w:tcW w:w="528" w:type="pct"/>
            <w:vMerge w:val="restar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876</w:t>
            </w:r>
            <w:r>
              <w:rPr>
                <w:color w:val="auto"/>
                <w:sz w:val="21"/>
                <w:highlight w:val="none"/>
                <w:u w:val="none" w:color="auto"/>
              </w:rPr>
              <w:t>0</w:t>
            </w:r>
          </w:p>
        </w:tc>
        <w:tc>
          <w:tcPr>
            <w:tcW w:w="351" w:type="pct"/>
            <w:vMerge w:val="restar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rPr>
              <w:t>正常</w:t>
            </w:r>
          </w:p>
        </w:tc>
        <w:tc>
          <w:tcPr>
            <w:tcW w:w="687" w:type="pct"/>
            <w:vMerge w:val="restart"/>
            <w:tcBorders>
              <w:tl2br w:val="nil"/>
              <w:tr2bl w:val="nil"/>
            </w:tcBorders>
            <w:vAlign w:val="center"/>
          </w:tcPr>
          <w:p>
            <w:pPr>
              <w:spacing w:line="240" w:lineRule="auto"/>
              <w:ind w:firstLine="0" w:firstLineChars="0"/>
              <w:jc w:val="center"/>
              <w:rPr>
                <w:rFonts w:hint="default"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-6</w:t>
            </w:r>
          </w:p>
        </w:tc>
        <w:tc>
          <w:tcPr>
            <w:tcW w:w="571"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455</w:t>
            </w:r>
          </w:p>
        </w:tc>
        <w:tc>
          <w:tcPr>
            <w:tcW w:w="537"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44.927</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7" w:type="pct"/>
            <w:vMerge w:val="continue"/>
            <w:tcBorders>
              <w:tl2br w:val="nil"/>
              <w:tr2bl w:val="nil"/>
            </w:tcBorders>
            <w:vAlign w:val="center"/>
          </w:tcPr>
          <w:p>
            <w:pPr>
              <w:spacing w:line="240" w:lineRule="auto"/>
              <w:ind w:firstLine="0" w:firstLineChars="0"/>
              <w:jc w:val="center"/>
              <w:rPr>
                <w:rFonts w:cs="Times New Roman"/>
                <w:color w:val="auto"/>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351</w:t>
            </w:r>
          </w:p>
        </w:tc>
        <w:tc>
          <w:tcPr>
            <w:tcW w:w="571"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438</w:t>
            </w:r>
          </w:p>
        </w:tc>
        <w:tc>
          <w:tcPr>
            <w:tcW w:w="537"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44.927</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7" w:type="pct"/>
            <w:vMerge w:val="continue"/>
            <w:tcBorders>
              <w:tl2br w:val="nil"/>
              <w:tr2bl w:val="nil"/>
            </w:tcBorders>
            <w:vAlign w:val="center"/>
          </w:tcPr>
          <w:p>
            <w:pPr>
              <w:spacing w:line="240" w:lineRule="auto"/>
              <w:ind w:firstLine="0" w:firstLineChars="0"/>
              <w:jc w:val="center"/>
              <w:rPr>
                <w:rFonts w:cs="Times New Roman"/>
                <w:color w:val="auto"/>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331</w:t>
            </w:r>
          </w:p>
        </w:tc>
        <w:tc>
          <w:tcPr>
            <w:tcW w:w="571"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-16</w:t>
            </w:r>
          </w:p>
        </w:tc>
        <w:tc>
          <w:tcPr>
            <w:tcW w:w="537"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44.927</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7" w:type="pct"/>
            <w:vMerge w:val="continue"/>
            <w:tcBorders>
              <w:tl2br w:val="nil"/>
              <w:tr2bl w:val="nil"/>
            </w:tcBorders>
            <w:vAlign w:val="center"/>
          </w:tcPr>
          <w:p>
            <w:pPr>
              <w:spacing w:line="240" w:lineRule="auto"/>
              <w:ind w:firstLine="0" w:firstLineChars="0"/>
              <w:jc w:val="center"/>
              <w:rPr>
                <w:rFonts w:cs="Times New Roman"/>
                <w:color w:val="auto"/>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0</w:t>
            </w:r>
          </w:p>
        </w:tc>
        <w:tc>
          <w:tcPr>
            <w:tcW w:w="571"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2</w:t>
            </w:r>
          </w:p>
        </w:tc>
        <w:tc>
          <w:tcPr>
            <w:tcW w:w="537"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44.927</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7" w:type="pct"/>
            <w:vMerge w:val="continue"/>
            <w:tcBorders>
              <w:tl2br w:val="nil"/>
              <w:tr2bl w:val="nil"/>
            </w:tcBorders>
            <w:vAlign w:val="center"/>
          </w:tcPr>
          <w:p>
            <w:pPr>
              <w:spacing w:line="240" w:lineRule="auto"/>
              <w:ind w:firstLine="0" w:firstLineChars="0"/>
              <w:jc w:val="center"/>
              <w:rPr>
                <w:rFonts w:cs="Times New Roman"/>
                <w:color w:val="auto"/>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Cs/>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0</w:t>
            </w:r>
          </w:p>
        </w:tc>
        <w:tc>
          <w:tcPr>
            <w:tcW w:w="571"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351</w:t>
            </w:r>
          </w:p>
        </w:tc>
        <w:tc>
          <w:tcPr>
            <w:tcW w:w="537"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44.927</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7" w:type="pct"/>
            <w:vMerge w:val="continue"/>
            <w:tcBorders>
              <w:tl2br w:val="nil"/>
              <w:tr2bl w:val="nil"/>
            </w:tcBorders>
            <w:vAlign w:val="center"/>
          </w:tcPr>
          <w:p>
            <w:pPr>
              <w:spacing w:line="240" w:lineRule="auto"/>
              <w:ind w:firstLine="0" w:firstLineChars="0"/>
              <w:jc w:val="center"/>
              <w:rPr>
                <w:rFonts w:cs="Times New Roman"/>
                <w:color w:val="auto"/>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lang w:val="en-US"/>
              </w:rPr>
            </w:pPr>
          </w:p>
        </w:tc>
        <w:tc>
          <w:tcPr>
            <w:tcW w:w="644"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-101</w:t>
            </w:r>
          </w:p>
        </w:tc>
        <w:tc>
          <w:tcPr>
            <w:tcW w:w="571"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355</w:t>
            </w:r>
          </w:p>
        </w:tc>
        <w:tc>
          <w:tcPr>
            <w:tcW w:w="537"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44.927</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7" w:type="pct"/>
            <w:vMerge w:val="continue"/>
            <w:tcBorders>
              <w:tl2br w:val="nil"/>
              <w:tr2bl w:val="nil"/>
            </w:tcBorders>
            <w:vAlign w:val="center"/>
          </w:tcPr>
          <w:p>
            <w:pPr>
              <w:spacing w:line="240" w:lineRule="auto"/>
              <w:ind w:firstLine="0" w:firstLineChars="0"/>
              <w:jc w:val="center"/>
              <w:rPr>
                <w:rFonts w:cs="Times New Roman"/>
                <w:color w:val="auto"/>
                <w:sz w:val="21"/>
                <w:szCs w:val="21"/>
                <w:highlight w:val="none"/>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352" w:type="pct"/>
            <w:vMerge w:val="continue"/>
            <w:tcBorders>
              <w:tl2br w:val="nil"/>
              <w:tr2bl w:val="nil"/>
            </w:tcBorders>
            <w:vAlign w:val="center"/>
          </w:tcPr>
          <w:p>
            <w:pPr>
              <w:pStyle w:val="108"/>
              <w:spacing w:before="0" w:line="240" w:lineRule="auto"/>
              <w:ind w:firstLine="0" w:firstLineChars="0"/>
              <w:jc w:val="center"/>
              <w:rPr>
                <w:b/>
                <w:color w:val="auto"/>
                <w:sz w:val="21"/>
                <w:highlight w:val="none"/>
                <w:u w:val="none" w:color="auto"/>
              </w:rPr>
            </w:pPr>
          </w:p>
        </w:tc>
        <w:tc>
          <w:tcPr>
            <w:tcW w:w="569"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lang w:val="en-US"/>
              </w:rPr>
            </w:pPr>
          </w:p>
        </w:tc>
        <w:tc>
          <w:tcPr>
            <w:tcW w:w="644"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-110</w:t>
            </w:r>
          </w:p>
        </w:tc>
        <w:tc>
          <w:tcPr>
            <w:tcW w:w="571" w:type="pct"/>
            <w:tcBorders>
              <w:tl2br w:val="nil"/>
              <w:tr2bl w:val="nil"/>
            </w:tcBorders>
            <w:vAlign w:val="center"/>
          </w:tcPr>
          <w:p>
            <w:pPr>
              <w:pStyle w:val="108"/>
              <w:spacing w:before="0" w:line="240" w:lineRule="auto"/>
              <w:ind w:firstLine="0" w:firstLineChars="0"/>
              <w:jc w:val="center"/>
              <w:rPr>
                <w:color w:val="auto"/>
                <w:sz w:val="21"/>
                <w:highlight w:val="none"/>
                <w:u w:val="none" w:color="auto"/>
              </w:rPr>
            </w:pPr>
            <w:r>
              <w:rPr>
                <w:rFonts w:hint="eastAsia"/>
                <w:color w:val="auto"/>
                <w:sz w:val="21"/>
                <w:highlight w:val="none"/>
                <w:u w:val="none" w:color="auto"/>
                <w:lang w:val="en-US" w:eastAsia="zh-CN"/>
              </w:rPr>
              <w:t>481</w:t>
            </w:r>
          </w:p>
        </w:tc>
        <w:tc>
          <w:tcPr>
            <w:tcW w:w="537" w:type="pct"/>
            <w:tcBorders>
              <w:tl2br w:val="nil"/>
              <w:tr2bl w:val="nil"/>
            </w:tcBorders>
            <w:vAlign w:val="center"/>
          </w:tcPr>
          <w:p>
            <w:pPr>
              <w:pStyle w:val="108"/>
              <w:spacing w:before="0" w:line="240" w:lineRule="auto"/>
              <w:ind w:firstLine="0" w:firstLineChars="0"/>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44.927</w:t>
            </w:r>
          </w:p>
        </w:tc>
        <w:tc>
          <w:tcPr>
            <w:tcW w:w="434" w:type="pct"/>
            <w:vMerge w:val="continue"/>
            <w:tcBorders>
              <w:tl2br w:val="nil"/>
              <w:tr2bl w:val="nil"/>
            </w:tcBorders>
            <w:vAlign w:val="center"/>
          </w:tcPr>
          <w:p>
            <w:pPr>
              <w:pStyle w:val="108"/>
              <w:spacing w:before="0" w:line="240" w:lineRule="auto"/>
              <w:ind w:firstLine="0" w:firstLineChars="0"/>
              <w:jc w:val="center"/>
              <w:rPr>
                <w:color w:val="auto"/>
                <w:sz w:val="21"/>
                <w:szCs w:val="21"/>
                <w:highlight w:val="none"/>
                <w:u w:val="none" w:color="auto"/>
              </w:rPr>
            </w:pPr>
          </w:p>
        </w:tc>
        <w:tc>
          <w:tcPr>
            <w:tcW w:w="528"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351" w:type="pct"/>
            <w:vMerge w:val="continue"/>
            <w:tcBorders>
              <w:tl2br w:val="nil"/>
              <w:tr2bl w:val="nil"/>
            </w:tcBorders>
            <w:vAlign w:val="center"/>
          </w:tcPr>
          <w:p>
            <w:pPr>
              <w:pStyle w:val="108"/>
              <w:spacing w:before="0" w:line="240" w:lineRule="auto"/>
              <w:ind w:firstLine="0" w:firstLineChars="0"/>
              <w:jc w:val="center"/>
              <w:rPr>
                <w:color w:val="auto"/>
                <w:sz w:val="21"/>
                <w:highlight w:val="none"/>
                <w:u w:val="none" w:color="auto"/>
              </w:rPr>
            </w:pPr>
          </w:p>
        </w:tc>
        <w:tc>
          <w:tcPr>
            <w:tcW w:w="687" w:type="pct"/>
            <w:vMerge w:val="continue"/>
            <w:tcBorders>
              <w:tl2br w:val="nil"/>
              <w:tr2bl w:val="nil"/>
            </w:tcBorders>
            <w:vAlign w:val="center"/>
          </w:tcPr>
          <w:p>
            <w:pPr>
              <w:spacing w:line="240" w:lineRule="auto"/>
              <w:ind w:firstLine="0" w:firstLineChars="0"/>
              <w:jc w:val="center"/>
              <w:rPr>
                <w:rFonts w:cs="Times New Roman"/>
                <w:color w:val="auto"/>
                <w:sz w:val="21"/>
                <w:szCs w:val="21"/>
                <w:highlight w:val="none"/>
                <w:u w:val="none" w:color="auto"/>
              </w:rPr>
            </w:pPr>
          </w:p>
        </w:tc>
      </w:tr>
    </w:tbl>
    <w:p>
      <w:pPr>
        <w:pStyle w:val="6"/>
        <w:ind w:firstLine="482"/>
        <w:rPr>
          <w:rFonts w:hint="eastAsia" w:eastAsia="宋体"/>
          <w:color w:val="auto"/>
          <w:highlight w:val="none"/>
          <w:lang w:eastAsia="zh-CN"/>
        </w:rPr>
      </w:pPr>
      <w:r>
        <w:rPr>
          <w:rFonts w:hint="eastAsia"/>
          <w:color w:val="auto"/>
          <w:highlight w:val="none"/>
          <w:lang w:val="en-US" w:eastAsia="zh-CN"/>
        </w:rPr>
        <w:t>4</w:t>
      </w:r>
      <w:r>
        <w:rPr>
          <w:color w:val="auto"/>
          <w:highlight w:val="none"/>
        </w:rPr>
        <w:t>.</w:t>
      </w:r>
      <w:r>
        <w:rPr>
          <w:rFonts w:hint="eastAsia"/>
          <w:color w:val="auto"/>
          <w:highlight w:val="none"/>
        </w:rPr>
        <w:t>2</w:t>
      </w:r>
      <w:r>
        <w:rPr>
          <w:color w:val="auto"/>
          <w:highlight w:val="none"/>
        </w:rPr>
        <w:t>.1</w:t>
      </w:r>
      <w:r>
        <w:rPr>
          <w:rFonts w:hint="eastAsia"/>
          <w:color w:val="auto"/>
          <w:highlight w:val="none"/>
        </w:rPr>
        <w:t>.</w:t>
      </w:r>
      <w:r>
        <w:rPr>
          <w:rFonts w:hint="eastAsia"/>
          <w:color w:val="auto"/>
          <w:highlight w:val="none"/>
          <w:lang w:val="en-US" w:eastAsia="zh-CN"/>
        </w:rPr>
        <w:t>3</w:t>
      </w:r>
      <w:r>
        <w:rPr>
          <w:color w:val="auto"/>
          <w:highlight w:val="none"/>
        </w:rPr>
        <w:t>评价</w:t>
      </w:r>
      <w:r>
        <w:rPr>
          <w:rFonts w:hint="eastAsia"/>
          <w:color w:val="auto"/>
          <w:highlight w:val="none"/>
          <w:lang w:eastAsia="zh-CN"/>
        </w:rPr>
        <w:t>标准</w:t>
      </w:r>
    </w:p>
    <w:p>
      <w:pPr>
        <w:keepNext w:val="0"/>
        <w:keepLines w:val="0"/>
        <w:pageBreakBefore w:val="0"/>
        <w:widowControl/>
        <w:tabs>
          <w:tab w:val="left" w:pos="864"/>
        </w:tabs>
        <w:kinsoku/>
        <w:wordWrap/>
        <w:overflowPunct/>
        <w:topLinePunct w:val="0"/>
        <w:autoSpaceDE/>
        <w:autoSpaceDN/>
        <w:bidi w:val="0"/>
        <w:adjustRightInd/>
        <w:snapToGrid/>
        <w:ind w:firstLine="482"/>
        <w:jc w:val="both"/>
        <w:textAlignment w:val="auto"/>
        <w:outlineLvl w:val="9"/>
        <w:rPr>
          <w:rFonts w:ascii="Times New Roman" w:hAnsi="Times New Roman" w:eastAsia="宋体" w:cstheme="minorBidi"/>
          <w:b/>
          <w:bCs w:val="0"/>
          <w:color w:val="auto"/>
          <w:kern w:val="2"/>
          <w:sz w:val="21"/>
          <w:szCs w:val="24"/>
          <w:highlight w:val="none"/>
          <w:lang w:val="en-US" w:eastAsia="zh-CN" w:bidi="ar-SA"/>
        </w:rPr>
      </w:pPr>
      <w:r>
        <w:rPr>
          <w:rFonts w:hint="eastAsia"/>
          <w:color w:val="auto"/>
          <w:highlight w:val="none"/>
          <w:lang w:val="en-US" w:eastAsia="zh-CN"/>
        </w:rPr>
        <w:t>评价标准见表4.2-11。</w:t>
      </w:r>
    </w:p>
    <w:p>
      <w:pPr>
        <w:pStyle w:val="21"/>
        <w:rPr>
          <w:rFonts w:hint="eastAsia" w:ascii="Times New Roman" w:hAnsi="Times New Roman" w:eastAsia="宋体" w:cs="Times New Roman"/>
          <w:b/>
          <w:bCs w:val="0"/>
          <w:color w:val="auto"/>
          <w:kern w:val="2"/>
          <w:sz w:val="21"/>
          <w:szCs w:val="24"/>
          <w:highlight w:val="none"/>
          <w:lang w:val="en-US" w:eastAsia="zh-CN" w:bidi="ar-SA"/>
        </w:rPr>
      </w:pPr>
      <w:r>
        <w:rPr>
          <w:rFonts w:hint="eastAsia" w:ascii="Times New Roman" w:hAnsi="Times New Roman" w:eastAsia="宋体" w:cs="Times New Roman"/>
          <w:b/>
          <w:bCs w:val="0"/>
          <w:color w:val="auto"/>
          <w:kern w:val="2"/>
          <w:sz w:val="21"/>
          <w:szCs w:val="24"/>
          <w:highlight w:val="none"/>
          <w:lang w:val="en-US" w:eastAsia="zh-CN" w:bidi="ar-SA"/>
        </w:rPr>
        <w:t>表</w:t>
      </w:r>
      <w:r>
        <w:rPr>
          <w:rFonts w:hint="eastAsia" w:cs="Times New Roman"/>
          <w:b/>
          <w:bCs w:val="0"/>
          <w:color w:val="auto"/>
          <w:kern w:val="2"/>
          <w:sz w:val="21"/>
          <w:szCs w:val="24"/>
          <w:highlight w:val="none"/>
          <w:lang w:val="en-US" w:eastAsia="zh-CN" w:bidi="ar-SA"/>
        </w:rPr>
        <w:t>4</w:t>
      </w:r>
      <w:r>
        <w:rPr>
          <w:rFonts w:hint="eastAsia" w:ascii="Times New Roman" w:hAnsi="Times New Roman" w:eastAsia="宋体" w:cs="Times New Roman"/>
          <w:b/>
          <w:bCs w:val="0"/>
          <w:color w:val="auto"/>
          <w:kern w:val="2"/>
          <w:sz w:val="21"/>
          <w:szCs w:val="24"/>
          <w:highlight w:val="none"/>
          <w:lang w:val="en-US" w:eastAsia="zh-CN" w:bidi="ar-SA"/>
        </w:rPr>
        <w:t>.2-11 项目评价标准一览表   单位：</w:t>
      </w:r>
      <w:r>
        <w:rPr>
          <w:rFonts w:hint="default" w:ascii="Times New Roman" w:hAnsi="Times New Roman" w:eastAsia="宋体" w:cs="Times New Roman"/>
          <w:b/>
          <w:bCs w:val="0"/>
          <w:color w:val="auto"/>
          <w:kern w:val="2"/>
          <w:sz w:val="21"/>
          <w:szCs w:val="24"/>
          <w:highlight w:val="none"/>
          <w:lang w:val="en-US" w:eastAsia="zh-CN" w:bidi="ar-SA"/>
        </w:rPr>
        <w:t>μg/</w:t>
      </w:r>
      <w:r>
        <w:rPr>
          <w:rFonts w:hint="eastAsia" w:ascii="Times New Roman" w:hAnsi="Times New Roman" w:eastAsia="宋体" w:cs="Times New Roman"/>
          <w:b/>
          <w:bCs w:val="0"/>
          <w:color w:val="auto"/>
          <w:kern w:val="2"/>
          <w:sz w:val="21"/>
          <w:szCs w:val="24"/>
          <w:highlight w:val="none"/>
          <w:lang w:val="en-US" w:eastAsia="zh-CN" w:bidi="ar-SA"/>
        </w:rPr>
        <w:t>m</w:t>
      </w:r>
      <w:r>
        <w:rPr>
          <w:rFonts w:hint="eastAsia" w:ascii="Times New Roman" w:hAnsi="Times New Roman" w:eastAsia="宋体" w:cs="Times New Roman"/>
          <w:b/>
          <w:bCs w:val="0"/>
          <w:color w:val="auto"/>
          <w:kern w:val="2"/>
          <w:sz w:val="21"/>
          <w:szCs w:val="24"/>
          <w:highlight w:val="none"/>
          <w:vertAlign w:val="superscript"/>
          <w:lang w:val="en-US" w:eastAsia="zh-CN" w:bidi="ar-SA"/>
        </w:rPr>
        <w:t>3</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932"/>
        <w:gridCol w:w="1103"/>
        <w:gridCol w:w="44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3" w:type="pct"/>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污染物名称</w:t>
            </w: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取值时间</w:t>
            </w:r>
          </w:p>
        </w:tc>
        <w:tc>
          <w:tcPr>
            <w:tcW w:w="65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浓度限值</w:t>
            </w:r>
          </w:p>
        </w:tc>
        <w:tc>
          <w:tcPr>
            <w:tcW w:w="2622" w:type="pct"/>
            <w:tcBorders>
              <w:righ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583" w:type="pct"/>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H</w:t>
            </w:r>
            <w:r>
              <w:rPr>
                <w:rFonts w:hint="eastAsia"/>
                <w:b w:val="0"/>
                <w:bCs/>
                <w:color w:val="auto"/>
                <w:sz w:val="21"/>
                <w:highlight w:val="none"/>
                <w:vertAlign w:val="subscript"/>
                <w:lang w:val="en-US" w:eastAsia="zh-CN"/>
              </w:rPr>
              <w:t>2</w:t>
            </w:r>
            <w:r>
              <w:rPr>
                <w:rFonts w:hint="eastAsia"/>
                <w:b w:val="0"/>
                <w:bCs/>
                <w:color w:val="auto"/>
                <w:sz w:val="21"/>
                <w:highlight w:val="none"/>
                <w:lang w:val="en-US" w:eastAsia="zh-CN"/>
              </w:rPr>
              <w:t>S</w:t>
            </w: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1h平均</w:t>
            </w:r>
          </w:p>
        </w:tc>
        <w:tc>
          <w:tcPr>
            <w:tcW w:w="65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10</w:t>
            </w:r>
          </w:p>
        </w:tc>
        <w:tc>
          <w:tcPr>
            <w:tcW w:w="2622" w:type="pct"/>
            <w:vMerge w:val="restart"/>
            <w:tcBorders>
              <w:righ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《环境影响评价技术导则—大气环境》（HJ2.2-2018）附录D 表D.1浓度参考限值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0" w:hRule="atLeast"/>
          <w:jc w:val="center"/>
        </w:trPr>
        <w:tc>
          <w:tcPr>
            <w:tcW w:w="583" w:type="pct"/>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NH</w:t>
            </w:r>
            <w:r>
              <w:rPr>
                <w:rFonts w:hint="eastAsia"/>
                <w:b w:val="0"/>
                <w:bCs/>
                <w:color w:val="auto"/>
                <w:sz w:val="21"/>
                <w:highlight w:val="none"/>
                <w:vertAlign w:val="subscript"/>
                <w:lang w:val="en-US" w:eastAsia="zh-CN"/>
              </w:rPr>
              <w:t>3</w:t>
            </w: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1h平均</w:t>
            </w:r>
          </w:p>
        </w:tc>
        <w:tc>
          <w:tcPr>
            <w:tcW w:w="65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200</w:t>
            </w:r>
          </w:p>
        </w:tc>
        <w:tc>
          <w:tcPr>
            <w:tcW w:w="2622" w:type="pct"/>
            <w:vMerge w:val="continue"/>
            <w:tcBorders>
              <w:righ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3" w:hRule="atLeast"/>
          <w:jc w:val="center"/>
        </w:trPr>
        <w:tc>
          <w:tcPr>
            <w:tcW w:w="583" w:type="pct"/>
            <w:vMerge w:val="restart"/>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SO</w:t>
            </w:r>
            <w:r>
              <w:rPr>
                <w:rFonts w:hint="eastAsia"/>
                <w:b w:val="0"/>
                <w:bCs/>
                <w:color w:val="auto"/>
                <w:sz w:val="21"/>
                <w:highlight w:val="none"/>
                <w:vertAlign w:val="subscript"/>
                <w:lang w:val="en-US" w:eastAsia="zh-CN"/>
              </w:rPr>
              <w:t>2</w:t>
            </w: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年平均</w:t>
            </w:r>
          </w:p>
        </w:tc>
        <w:tc>
          <w:tcPr>
            <w:tcW w:w="65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60</w:t>
            </w:r>
          </w:p>
        </w:tc>
        <w:tc>
          <w:tcPr>
            <w:tcW w:w="2622" w:type="pct"/>
            <w:vMerge w:val="restart"/>
            <w:tcBorders>
              <w:right w:val="single" w:color="auto" w:sz="12" w:space="0"/>
            </w:tcBorders>
            <w:noWrap/>
            <w:vAlign w:val="center"/>
          </w:tcPr>
          <w:p>
            <w:pPr>
              <w:pStyle w:val="108"/>
              <w:spacing w:before="0" w:line="240" w:lineRule="auto"/>
              <w:ind w:firstLine="0" w:firstLineChars="0"/>
              <w:jc w:val="both"/>
              <w:rPr>
                <w:rFonts w:hint="eastAsia"/>
                <w:b w:val="0"/>
                <w:bCs/>
                <w:color w:val="auto"/>
                <w:sz w:val="21"/>
                <w:highlight w:val="none"/>
                <w:lang w:val="en-US" w:eastAsia="zh-CN"/>
              </w:rPr>
            </w:pPr>
            <w:r>
              <w:rPr>
                <w:rFonts w:hint="eastAsia"/>
                <w:b w:val="0"/>
                <w:bCs/>
                <w:color w:val="auto"/>
                <w:sz w:val="21"/>
                <w:highlight w:val="none"/>
                <w:lang w:val="en-US" w:eastAsia="zh-CN"/>
              </w:rPr>
              <w:t>《环境空气质量标准》（GB3095—2012）</w:t>
            </w:r>
          </w:p>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12" w:hRule="atLeast"/>
          <w:jc w:val="center"/>
        </w:trPr>
        <w:tc>
          <w:tcPr>
            <w:tcW w:w="583" w:type="pct"/>
            <w:vMerge w:val="continue"/>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日平均</w:t>
            </w:r>
          </w:p>
        </w:tc>
        <w:tc>
          <w:tcPr>
            <w:tcW w:w="65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150</w:t>
            </w:r>
          </w:p>
        </w:tc>
        <w:tc>
          <w:tcPr>
            <w:tcW w:w="2622" w:type="pct"/>
            <w:vMerge w:val="continue"/>
            <w:tcBorders>
              <w:righ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83" w:type="pct"/>
            <w:vMerge w:val="continue"/>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1h平均</w:t>
            </w:r>
          </w:p>
        </w:tc>
        <w:tc>
          <w:tcPr>
            <w:tcW w:w="65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500</w:t>
            </w:r>
          </w:p>
        </w:tc>
        <w:tc>
          <w:tcPr>
            <w:tcW w:w="2622" w:type="pct"/>
            <w:vMerge w:val="continue"/>
            <w:tcBorders>
              <w:righ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83" w:type="pct"/>
            <w:vMerge w:val="restart"/>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NO</w:t>
            </w:r>
            <w:r>
              <w:rPr>
                <w:rFonts w:hint="eastAsia"/>
                <w:b w:val="0"/>
                <w:bCs/>
                <w:color w:val="auto"/>
                <w:sz w:val="21"/>
                <w:highlight w:val="none"/>
                <w:vertAlign w:val="subscript"/>
                <w:lang w:val="en-US" w:eastAsia="zh-CN"/>
              </w:rPr>
              <w:t>X</w:t>
            </w: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年平均</w:t>
            </w:r>
          </w:p>
        </w:tc>
        <w:tc>
          <w:tcPr>
            <w:tcW w:w="651" w:type="pct"/>
            <w:noWrap/>
            <w:vAlign w:val="center"/>
          </w:tcPr>
          <w:p>
            <w:pPr>
              <w:pStyle w:val="108"/>
              <w:spacing w:before="0" w:line="240" w:lineRule="auto"/>
              <w:ind w:firstLine="0" w:firstLineChars="0"/>
              <w:jc w:val="center"/>
              <w:rPr>
                <w:rFonts w:hint="default"/>
                <w:b w:val="0"/>
                <w:bCs/>
                <w:color w:val="auto"/>
                <w:sz w:val="21"/>
                <w:highlight w:val="none"/>
                <w:lang w:val="en-US" w:eastAsia="zh-CN"/>
              </w:rPr>
            </w:pPr>
            <w:r>
              <w:rPr>
                <w:rFonts w:hint="eastAsia"/>
                <w:b w:val="0"/>
                <w:bCs/>
                <w:color w:val="auto"/>
                <w:sz w:val="21"/>
                <w:highlight w:val="none"/>
                <w:lang w:val="en-US" w:eastAsia="zh-CN"/>
              </w:rPr>
              <w:t>50</w:t>
            </w:r>
          </w:p>
        </w:tc>
        <w:tc>
          <w:tcPr>
            <w:tcW w:w="2622" w:type="pct"/>
            <w:vMerge w:val="continue"/>
            <w:tcBorders>
              <w:right w:val="single" w:color="auto" w:sz="12" w:space="0"/>
            </w:tcBorders>
            <w:noWrap/>
            <w:vAlign w:val="center"/>
          </w:tcPr>
          <w:p>
            <w:pPr>
              <w:jc w:val="center"/>
              <w:rPr>
                <w:rFonts w:ascii="Times New Roman" w:hAnsi="Times New Roman"/>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90" w:hRule="atLeast"/>
          <w:jc w:val="center"/>
        </w:trPr>
        <w:tc>
          <w:tcPr>
            <w:tcW w:w="583" w:type="pct"/>
            <w:vMerge w:val="continue"/>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日平均</w:t>
            </w:r>
          </w:p>
        </w:tc>
        <w:tc>
          <w:tcPr>
            <w:tcW w:w="651" w:type="pct"/>
            <w:noWrap/>
            <w:vAlign w:val="center"/>
          </w:tcPr>
          <w:p>
            <w:pPr>
              <w:pStyle w:val="108"/>
              <w:spacing w:before="0" w:line="240" w:lineRule="auto"/>
              <w:ind w:firstLine="0" w:firstLineChars="0"/>
              <w:jc w:val="center"/>
              <w:rPr>
                <w:rFonts w:hint="default"/>
                <w:b w:val="0"/>
                <w:bCs/>
                <w:color w:val="auto"/>
                <w:sz w:val="21"/>
                <w:highlight w:val="none"/>
                <w:lang w:val="en-US" w:eastAsia="zh-CN"/>
              </w:rPr>
            </w:pPr>
            <w:r>
              <w:rPr>
                <w:rFonts w:hint="eastAsia"/>
                <w:b w:val="0"/>
                <w:bCs/>
                <w:color w:val="auto"/>
                <w:sz w:val="21"/>
                <w:highlight w:val="none"/>
                <w:lang w:val="en-US" w:eastAsia="zh-CN"/>
              </w:rPr>
              <w:t>100</w:t>
            </w:r>
          </w:p>
        </w:tc>
        <w:tc>
          <w:tcPr>
            <w:tcW w:w="2622" w:type="pct"/>
            <w:vMerge w:val="continue"/>
            <w:tcBorders>
              <w:right w:val="single" w:color="auto" w:sz="12" w:space="0"/>
            </w:tcBorders>
            <w:noWrap/>
            <w:vAlign w:val="center"/>
          </w:tcPr>
          <w:p>
            <w:pPr>
              <w:jc w:val="center"/>
              <w:rPr>
                <w:rFonts w:ascii="Times New Roman" w:hAnsi="Times New Roman"/>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83" w:type="pct"/>
            <w:vMerge w:val="continue"/>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1h平均</w:t>
            </w:r>
          </w:p>
        </w:tc>
        <w:tc>
          <w:tcPr>
            <w:tcW w:w="65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250</w:t>
            </w:r>
          </w:p>
        </w:tc>
        <w:tc>
          <w:tcPr>
            <w:tcW w:w="2622" w:type="pct"/>
            <w:vMerge w:val="continue"/>
            <w:tcBorders>
              <w:right w:val="single" w:color="auto" w:sz="12" w:space="0"/>
            </w:tcBorders>
            <w:noWrap/>
            <w:vAlign w:val="center"/>
          </w:tcPr>
          <w:p>
            <w:pPr>
              <w:jc w:val="center"/>
              <w:rPr>
                <w:rFonts w:ascii="Times New Roman" w:hAnsi="Times New Roman"/>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83" w:type="pct"/>
            <w:vMerge w:val="restart"/>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PM</w:t>
            </w:r>
            <w:r>
              <w:rPr>
                <w:rFonts w:hint="eastAsia"/>
                <w:b w:val="0"/>
                <w:bCs/>
                <w:color w:val="auto"/>
                <w:sz w:val="21"/>
                <w:highlight w:val="none"/>
                <w:vertAlign w:val="subscript"/>
                <w:lang w:val="en-US" w:eastAsia="zh-CN"/>
              </w:rPr>
              <w:t>10</w:t>
            </w: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年平均</w:t>
            </w:r>
          </w:p>
        </w:tc>
        <w:tc>
          <w:tcPr>
            <w:tcW w:w="65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70</w:t>
            </w:r>
          </w:p>
        </w:tc>
        <w:tc>
          <w:tcPr>
            <w:tcW w:w="2622" w:type="pct"/>
            <w:vMerge w:val="continue"/>
            <w:tcBorders>
              <w:right w:val="single" w:color="auto" w:sz="12" w:space="0"/>
            </w:tcBorders>
            <w:noWrap/>
            <w:vAlign w:val="center"/>
          </w:tcPr>
          <w:p>
            <w:pPr>
              <w:jc w:val="center"/>
              <w:rPr>
                <w:rFonts w:ascii="Times New Roman" w:hAnsi="Times New Roman"/>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83" w:type="pct"/>
            <w:vMerge w:val="continue"/>
            <w:tcBorders>
              <w:left w:val="single" w:color="auto" w:sz="12" w:space="0"/>
            </w:tcBorders>
            <w:noWrap/>
            <w:vAlign w:val="center"/>
          </w:tcPr>
          <w:p>
            <w:pPr>
              <w:pStyle w:val="108"/>
              <w:spacing w:before="0" w:line="240" w:lineRule="auto"/>
              <w:ind w:firstLine="0" w:firstLineChars="0"/>
              <w:jc w:val="center"/>
              <w:rPr>
                <w:rFonts w:hint="eastAsia"/>
                <w:b w:val="0"/>
                <w:bCs/>
                <w:color w:val="auto"/>
                <w:sz w:val="21"/>
                <w:highlight w:val="none"/>
                <w:lang w:val="en-US" w:eastAsia="zh-CN"/>
              </w:rPr>
            </w:pPr>
          </w:p>
        </w:tc>
        <w:tc>
          <w:tcPr>
            <w:tcW w:w="114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日平均</w:t>
            </w:r>
          </w:p>
        </w:tc>
        <w:tc>
          <w:tcPr>
            <w:tcW w:w="651" w:type="pct"/>
            <w:noWrap/>
            <w:vAlign w:val="center"/>
          </w:tcPr>
          <w:p>
            <w:pPr>
              <w:pStyle w:val="108"/>
              <w:spacing w:before="0" w:line="240" w:lineRule="auto"/>
              <w:ind w:firstLine="0" w:firstLineChars="0"/>
              <w:jc w:val="center"/>
              <w:rPr>
                <w:rFonts w:hint="eastAsia"/>
                <w:b w:val="0"/>
                <w:bCs/>
                <w:color w:val="auto"/>
                <w:sz w:val="21"/>
                <w:highlight w:val="none"/>
                <w:lang w:val="en-US" w:eastAsia="zh-CN"/>
              </w:rPr>
            </w:pPr>
            <w:r>
              <w:rPr>
                <w:rFonts w:hint="eastAsia"/>
                <w:b w:val="0"/>
                <w:bCs/>
                <w:color w:val="auto"/>
                <w:sz w:val="21"/>
                <w:highlight w:val="none"/>
                <w:lang w:val="en-US" w:eastAsia="zh-CN"/>
              </w:rPr>
              <w:t>150</w:t>
            </w:r>
          </w:p>
        </w:tc>
        <w:tc>
          <w:tcPr>
            <w:tcW w:w="2622" w:type="pct"/>
            <w:vMerge w:val="continue"/>
            <w:tcBorders>
              <w:right w:val="single" w:color="auto" w:sz="12" w:space="0"/>
            </w:tcBorders>
            <w:noWrap/>
            <w:vAlign w:val="center"/>
          </w:tcPr>
          <w:p>
            <w:pPr>
              <w:jc w:val="center"/>
              <w:rPr>
                <w:rFonts w:ascii="Times New Roman" w:hAnsi="Times New Roman"/>
                <w:color w:val="auto"/>
                <w:kern w:val="0"/>
                <w:sz w:val="21"/>
                <w:szCs w:val="21"/>
                <w:highlight w:val="none"/>
              </w:rPr>
            </w:pPr>
          </w:p>
        </w:tc>
      </w:tr>
    </w:tbl>
    <w:p>
      <w:pPr>
        <w:pStyle w:val="6"/>
        <w:ind w:firstLine="482"/>
        <w:rPr>
          <w:color w:val="auto"/>
          <w:highlight w:val="none"/>
        </w:rPr>
      </w:pPr>
      <w:r>
        <w:rPr>
          <w:rFonts w:hint="eastAsia"/>
          <w:color w:val="auto"/>
          <w:highlight w:val="none"/>
          <w:lang w:val="en-US" w:eastAsia="zh-CN"/>
        </w:rPr>
        <w:t>4</w:t>
      </w:r>
      <w:r>
        <w:rPr>
          <w:color w:val="auto"/>
          <w:highlight w:val="none"/>
        </w:rPr>
        <w:t>.</w:t>
      </w:r>
      <w:r>
        <w:rPr>
          <w:rFonts w:hint="eastAsia"/>
          <w:color w:val="auto"/>
          <w:highlight w:val="none"/>
        </w:rPr>
        <w:t>2</w:t>
      </w:r>
      <w:r>
        <w:rPr>
          <w:color w:val="auto"/>
          <w:highlight w:val="none"/>
        </w:rPr>
        <w:t>.1</w:t>
      </w:r>
      <w:r>
        <w:rPr>
          <w:rFonts w:hint="eastAsia"/>
          <w:color w:val="auto"/>
          <w:highlight w:val="none"/>
        </w:rPr>
        <w:t>.4估算结果</w:t>
      </w:r>
    </w:p>
    <w:p>
      <w:pPr>
        <w:ind w:firstLine="480"/>
        <w:rPr>
          <w:rFonts w:cs="Times New Roman"/>
          <w:color w:val="auto"/>
          <w:highlight w:val="none"/>
        </w:rPr>
      </w:pPr>
      <w:r>
        <w:rPr>
          <w:rFonts w:cs="Times New Roman"/>
          <w:color w:val="auto"/>
          <w:highlight w:val="none"/>
        </w:rPr>
        <w:t>根据</w:t>
      </w:r>
      <w:r>
        <w:rPr>
          <w:color w:val="auto"/>
          <w:highlight w:val="none"/>
        </w:rPr>
        <w:t>《环境影响评价技术导则大气环境》（HJ2.2-20</w:t>
      </w:r>
      <w:r>
        <w:rPr>
          <w:rFonts w:hint="eastAsia"/>
          <w:color w:val="auto"/>
          <w:highlight w:val="none"/>
        </w:rPr>
        <w:t>1</w:t>
      </w:r>
      <w:r>
        <w:rPr>
          <w:color w:val="auto"/>
          <w:highlight w:val="none"/>
        </w:rPr>
        <w:t>8）</w:t>
      </w:r>
      <w:r>
        <w:rPr>
          <w:rFonts w:cs="Times New Roman"/>
          <w:color w:val="auto"/>
          <w:highlight w:val="none"/>
        </w:rPr>
        <w:t>，估算模式的计算结果</w:t>
      </w:r>
      <w:r>
        <w:rPr>
          <w:rFonts w:hint="eastAsia" w:cs="Times New Roman"/>
          <w:color w:val="auto"/>
          <w:highlight w:val="none"/>
        </w:rPr>
        <w:t>如下表所示</w:t>
      </w:r>
      <w:r>
        <w:rPr>
          <w:rFonts w:cs="Times New Roman"/>
          <w:color w:val="auto"/>
          <w:highlight w:val="none"/>
        </w:rPr>
        <w:t>。</w:t>
      </w:r>
    </w:p>
    <w:p>
      <w:pPr>
        <w:pStyle w:val="21"/>
        <w:rPr>
          <w:rFonts w:hint="eastAsia" w:ascii="Times New Roman" w:hAnsi="Times New Roman" w:eastAsia="宋体" w:cs="Times New Roman"/>
          <w:b/>
          <w:bCs w:val="0"/>
          <w:color w:val="auto"/>
          <w:kern w:val="2"/>
          <w:sz w:val="21"/>
          <w:szCs w:val="24"/>
          <w:highlight w:val="none"/>
          <w:lang w:val="en-US" w:eastAsia="zh-CN" w:bidi="ar-SA"/>
        </w:rPr>
      </w:pPr>
      <w:r>
        <w:rPr>
          <w:rFonts w:hint="eastAsia" w:ascii="Times New Roman" w:hAnsi="Times New Roman" w:eastAsia="宋体" w:cs="Times New Roman"/>
          <w:b/>
          <w:bCs w:val="0"/>
          <w:color w:val="auto"/>
          <w:kern w:val="2"/>
          <w:sz w:val="21"/>
          <w:szCs w:val="24"/>
          <w:highlight w:val="none"/>
          <w:lang w:val="en-US" w:eastAsia="zh-CN" w:bidi="ar-SA"/>
        </w:rPr>
        <w:t>表</w:t>
      </w:r>
      <w:r>
        <w:rPr>
          <w:rFonts w:hint="eastAsia" w:cs="Times New Roman"/>
          <w:b/>
          <w:bCs w:val="0"/>
          <w:color w:val="auto"/>
          <w:kern w:val="2"/>
          <w:sz w:val="21"/>
          <w:szCs w:val="24"/>
          <w:highlight w:val="none"/>
          <w:lang w:val="en-US" w:eastAsia="zh-CN" w:bidi="ar-SA"/>
        </w:rPr>
        <w:t>4</w:t>
      </w:r>
      <w:r>
        <w:rPr>
          <w:rFonts w:hint="eastAsia" w:ascii="Times New Roman" w:hAnsi="Times New Roman" w:eastAsia="宋体" w:cs="Times New Roman"/>
          <w:b/>
          <w:bCs w:val="0"/>
          <w:color w:val="auto"/>
          <w:kern w:val="2"/>
          <w:sz w:val="21"/>
          <w:szCs w:val="24"/>
          <w:highlight w:val="none"/>
          <w:lang w:val="en-US" w:eastAsia="zh-CN" w:bidi="ar-SA"/>
        </w:rPr>
        <w:t>.2-12 项目</w:t>
      </w:r>
      <w:r>
        <w:rPr>
          <w:rFonts w:hint="eastAsia" w:cs="Times New Roman"/>
          <w:b/>
          <w:bCs w:val="0"/>
          <w:color w:val="auto"/>
          <w:kern w:val="2"/>
          <w:sz w:val="21"/>
          <w:szCs w:val="24"/>
          <w:highlight w:val="none"/>
          <w:lang w:val="en-US" w:eastAsia="zh-CN" w:bidi="ar-SA"/>
        </w:rPr>
        <w:t>沼气锅炉燃烧</w:t>
      </w:r>
      <w:r>
        <w:rPr>
          <w:rFonts w:hint="eastAsia" w:ascii="Times New Roman" w:hAnsi="Times New Roman" w:eastAsia="宋体" w:cs="Times New Roman"/>
          <w:b/>
          <w:bCs w:val="0"/>
          <w:color w:val="auto"/>
          <w:kern w:val="2"/>
          <w:sz w:val="21"/>
          <w:szCs w:val="24"/>
          <w:highlight w:val="none"/>
          <w:lang w:val="en-US" w:eastAsia="zh-CN" w:bidi="ar-SA"/>
        </w:rPr>
        <w:t>废气排放预测结果一览表</w:t>
      </w: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948"/>
        <w:gridCol w:w="598"/>
        <w:gridCol w:w="1108"/>
        <w:gridCol w:w="1108"/>
        <w:gridCol w:w="758"/>
        <w:gridCol w:w="1109"/>
        <w:gridCol w:w="1109"/>
        <w:gridCol w:w="7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0" w:type="auto"/>
            <w:vMerge w:val="restart"/>
            <w:tcBorders>
              <w:tl2br w:val="nil"/>
              <w:tr2bl w:val="nil"/>
            </w:tcBorders>
            <w:vAlign w:val="center"/>
          </w:tcPr>
          <w:p>
            <w:pPr>
              <w:pStyle w:val="42"/>
              <w:spacing w:line="360" w:lineRule="auto"/>
              <w:ind w:firstLine="0" w:firstLineChars="0"/>
              <w:jc w:val="center"/>
              <w:rPr>
                <w:rFonts w:hint="default" w:ascii="Times New Roman" w:hAnsi="Times New Roman" w:cs="Times New Roman"/>
                <w:b w:val="0"/>
                <w:bCs/>
                <w:color w:val="auto"/>
                <w:kern w:val="2"/>
                <w:sz w:val="21"/>
                <w:szCs w:val="21"/>
                <w:highlight w:val="none"/>
              </w:rPr>
            </w:pPr>
            <w:r>
              <w:rPr>
                <w:rFonts w:hint="default" w:ascii="Times New Roman" w:hAnsi="Times New Roman" w:cs="Times New Roman"/>
                <w:b w:val="0"/>
                <w:bCs/>
                <w:color w:val="auto"/>
                <w:kern w:val="2"/>
                <w:sz w:val="21"/>
                <w:szCs w:val="21"/>
                <w:highlight w:val="none"/>
              </w:rPr>
              <w:t>距点源下</w:t>
            </w:r>
          </w:p>
          <w:p>
            <w:pPr>
              <w:pStyle w:val="42"/>
              <w:spacing w:line="360" w:lineRule="auto"/>
              <w:ind w:firstLine="0" w:firstLineChars="0"/>
              <w:jc w:val="center"/>
              <w:rPr>
                <w:rFonts w:hint="default" w:ascii="Times New Roman" w:hAnsi="Times New Roman" w:cs="Times New Roman"/>
                <w:b w:val="0"/>
                <w:bCs/>
                <w:color w:val="auto"/>
                <w:kern w:val="2"/>
                <w:sz w:val="21"/>
                <w:szCs w:val="21"/>
                <w:highlight w:val="none"/>
              </w:rPr>
            </w:pPr>
            <w:r>
              <w:rPr>
                <w:rFonts w:hint="default" w:ascii="Times New Roman" w:hAnsi="Times New Roman" w:cs="Times New Roman"/>
                <w:b w:val="0"/>
                <w:bCs/>
                <w:color w:val="auto"/>
                <w:kern w:val="2"/>
                <w:sz w:val="21"/>
                <w:szCs w:val="21"/>
                <w:highlight w:val="none"/>
              </w:rPr>
              <w:t>风向距离D（m）</w:t>
            </w:r>
          </w:p>
        </w:tc>
        <w:tc>
          <w:tcPr>
            <w:tcW w:w="0" w:type="auto"/>
            <w:gridSpan w:val="2"/>
            <w:tcBorders>
              <w:tl2br w:val="nil"/>
              <w:tr2bl w:val="nil"/>
            </w:tcBorders>
            <w:tcMar>
              <w:left w:w="28" w:type="dxa"/>
              <w:right w:w="28" w:type="dxa"/>
            </w:tcMar>
            <w:vAlign w:val="center"/>
          </w:tcPr>
          <w:p>
            <w:pPr>
              <w:pStyle w:val="42"/>
              <w:spacing w:line="360" w:lineRule="auto"/>
              <w:ind w:firstLine="0" w:firstLineChars="0"/>
              <w:jc w:val="center"/>
              <w:rPr>
                <w:rFonts w:hint="default" w:ascii="Times New Roman" w:hAnsi="Times New Roman" w:cs="Times New Roman"/>
                <w:b w:val="0"/>
                <w:bCs/>
                <w:color w:val="auto"/>
                <w:kern w:val="2"/>
                <w:sz w:val="21"/>
                <w:szCs w:val="21"/>
                <w:highlight w:val="none"/>
              </w:rPr>
            </w:pPr>
            <w:r>
              <w:rPr>
                <w:rFonts w:hint="default" w:ascii="Times New Roman" w:hAnsi="Times New Roman" w:cs="Times New Roman"/>
                <w:b w:val="0"/>
                <w:bCs/>
                <w:color w:val="auto"/>
                <w:kern w:val="2"/>
                <w:sz w:val="21"/>
                <w:szCs w:val="21"/>
                <w:highlight w:val="none"/>
                <w:lang w:val="en-US" w:eastAsia="zh-CN"/>
              </w:rPr>
              <w:t>PM</w:t>
            </w:r>
            <w:r>
              <w:rPr>
                <w:rFonts w:hint="default" w:ascii="Times New Roman" w:hAnsi="Times New Roman" w:cs="Times New Roman"/>
                <w:b w:val="0"/>
                <w:bCs/>
                <w:color w:val="auto"/>
                <w:kern w:val="2"/>
                <w:sz w:val="21"/>
                <w:szCs w:val="21"/>
                <w:highlight w:val="none"/>
                <w:vertAlign w:val="subscript"/>
                <w:lang w:val="en-US" w:eastAsia="zh-CN"/>
              </w:rPr>
              <w:t>10</w:t>
            </w:r>
          </w:p>
        </w:tc>
        <w:tc>
          <w:tcPr>
            <w:tcW w:w="0" w:type="auto"/>
            <w:vMerge w:val="restart"/>
            <w:tcBorders>
              <w:tl2br w:val="nil"/>
              <w:tr2bl w:val="nil"/>
            </w:tcBorders>
            <w:vAlign w:val="center"/>
          </w:tcPr>
          <w:p>
            <w:pPr>
              <w:pStyle w:val="42"/>
              <w:spacing w:line="360" w:lineRule="auto"/>
              <w:ind w:firstLine="0" w:firstLineChars="0"/>
              <w:jc w:val="center"/>
              <w:rPr>
                <w:rFonts w:hint="default" w:ascii="Times New Roman" w:hAnsi="Times New Roman" w:cs="Times New Roman"/>
                <w:b w:val="0"/>
                <w:bCs/>
                <w:color w:val="auto"/>
                <w:kern w:val="2"/>
                <w:sz w:val="21"/>
                <w:szCs w:val="21"/>
                <w:highlight w:val="none"/>
              </w:rPr>
            </w:pPr>
            <w:r>
              <w:rPr>
                <w:rFonts w:hint="default" w:ascii="Times New Roman" w:hAnsi="Times New Roman" w:cs="Times New Roman"/>
                <w:b w:val="0"/>
                <w:bCs/>
                <w:color w:val="auto"/>
                <w:kern w:val="2"/>
                <w:sz w:val="21"/>
                <w:szCs w:val="21"/>
                <w:highlight w:val="none"/>
              </w:rPr>
              <w:t>距点源下风向距离D（m）</w:t>
            </w:r>
          </w:p>
        </w:tc>
        <w:tc>
          <w:tcPr>
            <w:tcW w:w="0" w:type="auto"/>
            <w:gridSpan w:val="2"/>
            <w:tcBorders>
              <w:tl2br w:val="nil"/>
              <w:tr2bl w:val="nil"/>
            </w:tcBorders>
            <w:vAlign w:val="center"/>
          </w:tcPr>
          <w:p>
            <w:pPr>
              <w:pStyle w:val="42"/>
              <w:spacing w:line="360" w:lineRule="auto"/>
              <w:ind w:firstLine="0" w:firstLineChars="0"/>
              <w:jc w:val="center"/>
              <w:rPr>
                <w:rFonts w:hint="default" w:ascii="Times New Roman" w:hAnsi="Times New Roman" w:cs="Times New Roman"/>
                <w:b w:val="0"/>
                <w:bCs/>
                <w:color w:val="auto"/>
                <w:kern w:val="2"/>
                <w:sz w:val="21"/>
                <w:szCs w:val="21"/>
                <w:highlight w:val="none"/>
              </w:rPr>
            </w:pPr>
            <w:r>
              <w:rPr>
                <w:rFonts w:hint="default" w:ascii="Times New Roman" w:hAnsi="Times New Roman" w:cs="Times New Roman"/>
                <w:b w:val="0"/>
                <w:bCs/>
                <w:color w:val="auto"/>
                <w:kern w:val="2"/>
                <w:sz w:val="21"/>
                <w:szCs w:val="21"/>
                <w:highlight w:val="none"/>
                <w:lang w:val="en-US" w:eastAsia="zh-CN"/>
              </w:rPr>
              <w:t>SO</w:t>
            </w:r>
            <w:r>
              <w:rPr>
                <w:rFonts w:hint="default" w:ascii="Times New Roman" w:hAnsi="Times New Roman" w:cs="Times New Roman"/>
                <w:b w:val="0"/>
                <w:bCs/>
                <w:color w:val="auto"/>
                <w:kern w:val="2"/>
                <w:sz w:val="21"/>
                <w:szCs w:val="21"/>
                <w:highlight w:val="none"/>
                <w:vertAlign w:val="subscript"/>
                <w:lang w:val="en-US" w:eastAsia="zh-CN"/>
              </w:rPr>
              <w:t>2</w:t>
            </w:r>
          </w:p>
        </w:tc>
        <w:tc>
          <w:tcPr>
            <w:tcW w:w="0" w:type="auto"/>
            <w:vMerge w:val="restart"/>
            <w:tcBorders>
              <w:tl2br w:val="nil"/>
              <w:tr2bl w:val="nil"/>
            </w:tcBorders>
            <w:vAlign w:val="center"/>
          </w:tcPr>
          <w:p>
            <w:pPr>
              <w:pStyle w:val="42"/>
              <w:spacing w:line="360" w:lineRule="auto"/>
              <w:ind w:firstLine="0" w:firstLineChars="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kern w:val="2"/>
                <w:sz w:val="21"/>
                <w:szCs w:val="21"/>
                <w:highlight w:val="none"/>
              </w:rPr>
              <w:t>距点源下风向距离D（m）</w:t>
            </w:r>
          </w:p>
        </w:tc>
        <w:tc>
          <w:tcPr>
            <w:tcW w:w="0" w:type="auto"/>
            <w:gridSpan w:val="2"/>
            <w:tcBorders>
              <w:tl2br w:val="nil"/>
              <w:tr2bl w:val="nil"/>
            </w:tcBorders>
            <w:vAlign w:val="center"/>
          </w:tcPr>
          <w:p>
            <w:pPr>
              <w:pStyle w:val="42"/>
              <w:spacing w:line="360" w:lineRule="auto"/>
              <w:ind w:firstLine="0" w:firstLineChars="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NO</w:t>
            </w:r>
            <w:r>
              <w:rPr>
                <w:rFonts w:hint="default" w:ascii="Times New Roman" w:hAnsi="Times New Roman" w:cs="Times New Roman"/>
                <w:b w:val="0"/>
                <w:bCs/>
                <w:color w:val="auto"/>
                <w:sz w:val="21"/>
                <w:szCs w:val="21"/>
                <w:highlight w:val="none"/>
                <w:vertAlign w:val="subscript"/>
                <w:lang w:val="en-US" w:eastAsia="zh-CN"/>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blHeader/>
        </w:trPr>
        <w:tc>
          <w:tcPr>
            <w:tcW w:w="0" w:type="auto"/>
            <w:vMerge w:val="continue"/>
            <w:tcBorders>
              <w:tl2br w:val="nil"/>
              <w:tr2bl w:val="nil"/>
            </w:tcBorders>
            <w:tcMar>
              <w:left w:w="28" w:type="dxa"/>
              <w:right w:w="28" w:type="dxa"/>
            </w:tcMar>
            <w:vAlign w:val="center"/>
          </w:tcPr>
          <w:p>
            <w:pPr>
              <w:pStyle w:val="42"/>
              <w:spacing w:line="360" w:lineRule="auto"/>
              <w:ind w:firstLine="422"/>
              <w:jc w:val="center"/>
              <w:rPr>
                <w:rFonts w:hint="default" w:ascii="Times New Roman" w:hAnsi="Times New Roman" w:cs="Times New Roman"/>
                <w:b w:val="0"/>
                <w:bCs/>
                <w:color w:val="auto"/>
                <w:kern w:val="2"/>
                <w:sz w:val="21"/>
                <w:szCs w:val="21"/>
                <w:highlight w:val="none"/>
              </w:rPr>
            </w:pPr>
          </w:p>
        </w:tc>
        <w:tc>
          <w:tcPr>
            <w:tcW w:w="0" w:type="auto"/>
            <w:tcBorders>
              <w:tl2br w:val="nil"/>
              <w:tr2bl w:val="nil"/>
            </w:tcBorders>
            <w:tcMar>
              <w:left w:w="28" w:type="dxa"/>
              <w:right w:w="28" w:type="dxa"/>
            </w:tcMar>
            <w:vAlign w:val="center"/>
          </w:tcPr>
          <w:p>
            <w:pPr>
              <w:pStyle w:val="42"/>
              <w:spacing w:line="360" w:lineRule="auto"/>
              <w:ind w:firstLine="0" w:firstLineChars="0"/>
              <w:jc w:val="center"/>
              <w:rPr>
                <w:rFonts w:hint="default" w:ascii="Times New Roman" w:hAnsi="Times New Roman" w:cs="Times New Roman"/>
                <w:b w:val="0"/>
                <w:bCs/>
                <w:color w:val="auto"/>
                <w:kern w:val="2"/>
                <w:sz w:val="21"/>
                <w:szCs w:val="21"/>
                <w:highlight w:val="none"/>
              </w:rPr>
            </w:pPr>
            <w:r>
              <w:rPr>
                <w:rFonts w:hint="default" w:ascii="Times New Roman" w:hAnsi="Times New Roman" w:cs="Times New Roman"/>
                <w:b w:val="0"/>
                <w:bCs/>
                <w:color w:val="auto"/>
                <w:sz w:val="21"/>
                <w:szCs w:val="21"/>
                <w:highlight w:val="none"/>
              </w:rPr>
              <w:t>1小时浓度</w:t>
            </w:r>
            <w:r>
              <w:rPr>
                <w:rFonts w:hint="default" w:ascii="Times New Roman" w:hAnsi="Times New Roman" w:cs="Times New Roman"/>
                <w:b w:val="0"/>
                <w:bCs/>
                <w:color w:val="auto"/>
                <w:kern w:val="2"/>
                <w:sz w:val="21"/>
                <w:szCs w:val="21"/>
                <w:highlight w:val="none"/>
              </w:rPr>
              <w:t>（mg/m</w:t>
            </w:r>
            <w:r>
              <w:rPr>
                <w:rFonts w:hint="default" w:ascii="Times New Roman" w:hAnsi="Times New Roman" w:cs="Times New Roman"/>
                <w:b w:val="0"/>
                <w:bCs/>
                <w:color w:val="auto"/>
                <w:kern w:val="2"/>
                <w:sz w:val="21"/>
                <w:szCs w:val="21"/>
                <w:highlight w:val="none"/>
                <w:vertAlign w:val="superscript"/>
              </w:rPr>
              <w:t>3</w:t>
            </w:r>
            <w:r>
              <w:rPr>
                <w:rFonts w:hint="default" w:ascii="Times New Roman" w:hAnsi="Times New Roman" w:cs="Times New Roman"/>
                <w:b w:val="0"/>
                <w:bCs/>
                <w:color w:val="auto"/>
                <w:kern w:val="2"/>
                <w:sz w:val="21"/>
                <w:szCs w:val="21"/>
                <w:highlight w:val="none"/>
              </w:rPr>
              <w:t>）</w:t>
            </w:r>
          </w:p>
        </w:tc>
        <w:tc>
          <w:tcPr>
            <w:tcW w:w="0" w:type="auto"/>
            <w:tcBorders>
              <w:tl2br w:val="nil"/>
              <w:tr2bl w:val="nil"/>
            </w:tcBorders>
            <w:tcMar>
              <w:left w:w="28" w:type="dxa"/>
              <w:right w:w="28" w:type="dxa"/>
            </w:tcMar>
            <w:vAlign w:val="center"/>
          </w:tcPr>
          <w:p>
            <w:pPr>
              <w:pStyle w:val="42"/>
              <w:spacing w:line="360" w:lineRule="auto"/>
              <w:ind w:firstLine="0" w:firstLineChars="0"/>
              <w:jc w:val="center"/>
              <w:rPr>
                <w:rFonts w:hint="default" w:ascii="Times New Roman" w:hAnsi="Times New Roman" w:cs="Times New Roman"/>
                <w:b w:val="0"/>
                <w:bCs/>
                <w:color w:val="auto"/>
                <w:kern w:val="2"/>
                <w:sz w:val="21"/>
                <w:szCs w:val="21"/>
                <w:highlight w:val="none"/>
              </w:rPr>
            </w:pPr>
            <w:r>
              <w:rPr>
                <w:rFonts w:hint="default" w:ascii="Times New Roman" w:hAnsi="Times New Roman" w:cs="Times New Roman"/>
                <w:b w:val="0"/>
                <w:bCs/>
                <w:color w:val="auto"/>
                <w:sz w:val="21"/>
                <w:szCs w:val="21"/>
                <w:highlight w:val="none"/>
              </w:rPr>
              <w:t>1小时浓度</w:t>
            </w:r>
            <w:r>
              <w:rPr>
                <w:rFonts w:hint="default" w:ascii="Times New Roman" w:hAnsi="Times New Roman" w:cs="Times New Roman"/>
                <w:b w:val="0"/>
                <w:bCs/>
                <w:color w:val="auto"/>
                <w:kern w:val="2"/>
                <w:sz w:val="21"/>
                <w:szCs w:val="21"/>
                <w:highlight w:val="none"/>
              </w:rPr>
              <w:t>占标率（%）</w:t>
            </w:r>
          </w:p>
        </w:tc>
        <w:tc>
          <w:tcPr>
            <w:tcW w:w="0" w:type="auto"/>
            <w:vMerge w:val="continue"/>
            <w:tcBorders>
              <w:tl2br w:val="nil"/>
              <w:tr2bl w:val="nil"/>
            </w:tcBorders>
            <w:vAlign w:val="center"/>
          </w:tcPr>
          <w:p>
            <w:pPr>
              <w:tabs>
                <w:tab w:val="left" w:pos="1021"/>
              </w:tabs>
              <w:adjustRightInd w:val="0"/>
              <w:snapToGrid w:val="0"/>
              <w:spacing w:line="360" w:lineRule="auto"/>
              <w:ind w:firstLine="0" w:firstLineChars="0"/>
              <w:jc w:val="center"/>
              <w:rPr>
                <w:rFonts w:hint="default" w:ascii="Times New Roman" w:hAnsi="Times New Roman" w:cs="Times New Roman"/>
                <w:b w:val="0"/>
                <w:bCs/>
                <w:snapToGrid w:val="0"/>
                <w:color w:val="auto"/>
                <w:sz w:val="21"/>
                <w:szCs w:val="21"/>
                <w:highlight w:val="none"/>
              </w:rPr>
            </w:pPr>
          </w:p>
        </w:tc>
        <w:tc>
          <w:tcPr>
            <w:tcW w:w="0" w:type="auto"/>
            <w:tcBorders>
              <w:tl2br w:val="nil"/>
              <w:tr2bl w:val="nil"/>
            </w:tcBorders>
            <w:vAlign w:val="center"/>
          </w:tcPr>
          <w:p>
            <w:pPr>
              <w:pStyle w:val="42"/>
              <w:spacing w:line="360" w:lineRule="auto"/>
              <w:ind w:firstLine="0" w:firstLineChars="0"/>
              <w:jc w:val="center"/>
              <w:rPr>
                <w:rFonts w:hint="default" w:ascii="Times New Roman" w:hAnsi="Times New Roman" w:cs="Times New Roman"/>
                <w:b w:val="0"/>
                <w:bCs/>
                <w:color w:val="auto"/>
                <w:kern w:val="2"/>
                <w:sz w:val="21"/>
                <w:szCs w:val="21"/>
                <w:highlight w:val="none"/>
              </w:rPr>
            </w:pPr>
            <w:r>
              <w:rPr>
                <w:rFonts w:hint="default" w:ascii="Times New Roman" w:hAnsi="Times New Roman" w:cs="Times New Roman"/>
                <w:b w:val="0"/>
                <w:bCs/>
                <w:color w:val="auto"/>
                <w:sz w:val="21"/>
                <w:szCs w:val="21"/>
                <w:highlight w:val="none"/>
              </w:rPr>
              <w:t>1小时浓度</w:t>
            </w:r>
            <w:r>
              <w:rPr>
                <w:rFonts w:hint="default" w:ascii="Times New Roman" w:hAnsi="Times New Roman" w:cs="Times New Roman"/>
                <w:b w:val="0"/>
                <w:bCs/>
                <w:color w:val="auto"/>
                <w:kern w:val="2"/>
                <w:sz w:val="21"/>
                <w:szCs w:val="21"/>
                <w:highlight w:val="none"/>
              </w:rPr>
              <w:t>（mg/m</w:t>
            </w:r>
            <w:r>
              <w:rPr>
                <w:rFonts w:hint="default" w:ascii="Times New Roman" w:hAnsi="Times New Roman" w:cs="Times New Roman"/>
                <w:b w:val="0"/>
                <w:bCs/>
                <w:color w:val="auto"/>
                <w:kern w:val="2"/>
                <w:sz w:val="21"/>
                <w:szCs w:val="21"/>
                <w:highlight w:val="none"/>
                <w:vertAlign w:val="superscript"/>
              </w:rPr>
              <w:t>3</w:t>
            </w:r>
            <w:r>
              <w:rPr>
                <w:rFonts w:hint="default" w:ascii="Times New Roman" w:hAnsi="Times New Roman" w:cs="Times New Roman"/>
                <w:b w:val="0"/>
                <w:bCs/>
                <w:color w:val="auto"/>
                <w:kern w:val="2"/>
                <w:sz w:val="21"/>
                <w:szCs w:val="21"/>
                <w:highlight w:val="none"/>
              </w:rPr>
              <w:t>）</w:t>
            </w:r>
          </w:p>
        </w:tc>
        <w:tc>
          <w:tcPr>
            <w:tcW w:w="0" w:type="auto"/>
            <w:tcBorders>
              <w:tl2br w:val="nil"/>
              <w:tr2bl w:val="nil"/>
            </w:tcBorders>
            <w:vAlign w:val="center"/>
          </w:tcPr>
          <w:p>
            <w:pPr>
              <w:pStyle w:val="42"/>
              <w:spacing w:line="360" w:lineRule="auto"/>
              <w:ind w:firstLine="0" w:firstLineChars="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1小时浓度</w:t>
            </w:r>
            <w:r>
              <w:rPr>
                <w:rFonts w:hint="default" w:ascii="Times New Roman" w:hAnsi="Times New Roman" w:cs="Times New Roman"/>
                <w:b w:val="0"/>
                <w:bCs/>
                <w:color w:val="auto"/>
                <w:kern w:val="2"/>
                <w:sz w:val="21"/>
                <w:szCs w:val="21"/>
                <w:highlight w:val="none"/>
              </w:rPr>
              <w:t>占标率（%）</w:t>
            </w:r>
          </w:p>
        </w:tc>
        <w:tc>
          <w:tcPr>
            <w:tcW w:w="0" w:type="auto"/>
            <w:vMerge w:val="continue"/>
            <w:tcBorders>
              <w:tl2br w:val="nil"/>
              <w:tr2bl w:val="nil"/>
            </w:tcBorders>
            <w:vAlign w:val="center"/>
          </w:tcPr>
          <w:p>
            <w:pPr>
              <w:pStyle w:val="42"/>
              <w:spacing w:line="360" w:lineRule="auto"/>
              <w:ind w:firstLine="0" w:firstLineChars="0"/>
              <w:jc w:val="center"/>
              <w:rPr>
                <w:rFonts w:hint="default" w:ascii="Times New Roman" w:hAnsi="Times New Roman" w:cs="Times New Roman"/>
                <w:b w:val="0"/>
                <w:bCs/>
                <w:color w:val="auto"/>
                <w:sz w:val="21"/>
                <w:szCs w:val="21"/>
                <w:highlight w:val="none"/>
              </w:rPr>
            </w:pPr>
          </w:p>
        </w:tc>
        <w:tc>
          <w:tcPr>
            <w:tcW w:w="0" w:type="auto"/>
            <w:tcBorders>
              <w:tl2br w:val="nil"/>
              <w:tr2bl w:val="nil"/>
            </w:tcBorders>
            <w:vAlign w:val="center"/>
          </w:tcPr>
          <w:p>
            <w:pPr>
              <w:pStyle w:val="42"/>
              <w:spacing w:line="360" w:lineRule="auto"/>
              <w:ind w:firstLine="0" w:firstLineChars="0"/>
              <w:jc w:val="center"/>
              <w:rPr>
                <w:rFonts w:hint="default" w:ascii="Times New Roman" w:hAnsi="Times New Roman" w:cs="Times New Roman"/>
                <w:b w:val="0"/>
                <w:bCs/>
                <w:color w:val="auto"/>
                <w:kern w:val="2"/>
                <w:sz w:val="21"/>
                <w:szCs w:val="21"/>
                <w:highlight w:val="none"/>
              </w:rPr>
            </w:pPr>
            <w:r>
              <w:rPr>
                <w:rFonts w:hint="default" w:ascii="Times New Roman" w:hAnsi="Times New Roman" w:cs="Times New Roman"/>
                <w:b w:val="0"/>
                <w:bCs/>
                <w:color w:val="auto"/>
                <w:sz w:val="21"/>
                <w:szCs w:val="21"/>
                <w:highlight w:val="none"/>
              </w:rPr>
              <w:t>1小时浓度</w:t>
            </w:r>
            <w:r>
              <w:rPr>
                <w:rFonts w:hint="default" w:ascii="Times New Roman" w:hAnsi="Times New Roman" w:cs="Times New Roman"/>
                <w:b w:val="0"/>
                <w:bCs/>
                <w:color w:val="auto"/>
                <w:kern w:val="2"/>
                <w:sz w:val="21"/>
                <w:szCs w:val="21"/>
                <w:highlight w:val="none"/>
              </w:rPr>
              <w:t>（mg/m</w:t>
            </w:r>
            <w:r>
              <w:rPr>
                <w:rFonts w:hint="default" w:ascii="Times New Roman" w:hAnsi="Times New Roman" w:cs="Times New Roman"/>
                <w:b w:val="0"/>
                <w:bCs/>
                <w:color w:val="auto"/>
                <w:kern w:val="2"/>
                <w:sz w:val="21"/>
                <w:szCs w:val="21"/>
                <w:highlight w:val="none"/>
                <w:vertAlign w:val="superscript"/>
              </w:rPr>
              <w:t>3</w:t>
            </w:r>
            <w:r>
              <w:rPr>
                <w:rFonts w:hint="default" w:ascii="Times New Roman" w:hAnsi="Times New Roman" w:cs="Times New Roman"/>
                <w:b w:val="0"/>
                <w:bCs/>
                <w:color w:val="auto"/>
                <w:kern w:val="2"/>
                <w:sz w:val="21"/>
                <w:szCs w:val="21"/>
                <w:highlight w:val="none"/>
              </w:rPr>
              <w:t>）</w:t>
            </w:r>
          </w:p>
        </w:tc>
        <w:tc>
          <w:tcPr>
            <w:tcW w:w="0" w:type="auto"/>
            <w:tcBorders>
              <w:tl2br w:val="nil"/>
              <w:tr2bl w:val="nil"/>
            </w:tcBorders>
            <w:vAlign w:val="center"/>
          </w:tcPr>
          <w:p>
            <w:pPr>
              <w:pStyle w:val="42"/>
              <w:spacing w:line="360" w:lineRule="auto"/>
              <w:ind w:firstLine="0" w:firstLineChars="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1小时浓度</w:t>
            </w:r>
            <w:r>
              <w:rPr>
                <w:rFonts w:hint="default" w:ascii="Times New Roman" w:hAnsi="Times New Roman" w:cs="Times New Roman"/>
                <w:b w:val="0"/>
                <w:bCs/>
                <w:color w:val="auto"/>
                <w:kern w:val="2"/>
                <w:sz w:val="21"/>
                <w:szCs w:val="21"/>
                <w:highlight w:val="none"/>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10</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1.86E-04</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1.08E-04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0.02</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5.95E-04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35</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1.07E-03</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0.24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35</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6.22E-04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0.12</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35</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3.42E-03</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1.37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100</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9.50E-04</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0.21</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5.54E-04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0.11</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3.05E-03</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200</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6.71E-04</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0.15</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3.92E-04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0.08</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2.15E-03</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300</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4.82E-04</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0.11</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300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2.81E-04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0.06</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300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1.55E-03</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400</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3.93E-04</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0.09</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400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2.29E-04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0.05</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400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1.26E-03</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500</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3.62E-04</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0.08</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500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2.11E-04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500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1.16E-03</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600</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3.24E-04</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0.07</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600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1.89E-04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600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1.04E-03</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700</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3.00E-04</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0.07</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700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1.75E-04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700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9.63E-04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800</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2.82E-04</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0.06</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800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1.65E-04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0.03</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800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9.06E-04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900</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2.64E-04</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0.06</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900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1.54E-04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0.03</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900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8.46E-04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1000</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2.45E-04</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0.05</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1000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1.43E-04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0.03</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1000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7.88E-04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1100</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2.29E-04</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0.05</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1100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1.33E-04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0.03</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1100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7.34E-04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1200</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2.15E-04</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0.05</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1200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1.25E-04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0.03</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1200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6.90E-04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1300</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2.02E-04</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1300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1.18E-04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0.02</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1300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6.49E-04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1400</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1.90E-04</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1400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1.11E-04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0.02</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1400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6.11E-04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1500</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1.79E-04</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1500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1.05E-04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0.02</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1500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5.75E-04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1600</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1.69E-04</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1600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9.87E-05</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0.02</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1600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5.43E-04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1700</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1.60E-04</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1700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9.32E-05</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0.02</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1700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5.13E-04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1800</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1.51E-04</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0.03</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1800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8.82E-05</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0.02</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1800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4.85E-04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1900</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1.43E-04</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0.03</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1900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8.36E-05</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0.02</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1900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4.60E-04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2000</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1.36E-04</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0.03</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2000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7.93E-05</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0.02</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2000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4.36E-04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2100</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1.29E-04</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0.03</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2100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7.54E-05</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0.02</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2100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4.15E-04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2200</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1.23E-04</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0.03</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2200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7.18E-05</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0.01</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2200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3.95E-04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2300</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1.17E-04</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0.03</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2300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6.84E-05</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0.01</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2300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3.76E-04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2400</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1.12E-04</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0.02</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2400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6.55E-05</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0.01</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2400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3.60E-04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2500</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1.08E-04</w:t>
            </w:r>
          </w:p>
        </w:tc>
        <w:tc>
          <w:tcPr>
            <w:tcW w:w="0" w:type="auto"/>
            <w:tcBorders>
              <w:tl2br w:val="nil"/>
              <w:tr2bl w:val="nil"/>
            </w:tcBorders>
            <w:tcMar>
              <w:left w:w="28" w:type="dxa"/>
              <w:right w:w="28" w:type="dxa"/>
            </w:tcMar>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0.02</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2500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6.28E-05</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0.01</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2500</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3.45E-04</w:t>
            </w:r>
          </w:p>
        </w:tc>
        <w:tc>
          <w:tcPr>
            <w:tcW w:w="0" w:type="auto"/>
            <w:tcBorders>
              <w:tl2br w:val="nil"/>
              <w:tr2bl w:val="nil"/>
            </w:tcBorders>
            <w:vAlign w:val="center"/>
          </w:tcPr>
          <w:p>
            <w:pPr>
              <w:spacing w:line="36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0" w:type="auto"/>
            <w:tcBorders>
              <w:tl2br w:val="nil"/>
              <w:tr2bl w:val="nil"/>
            </w:tcBorders>
            <w:tcMar>
              <w:left w:w="28" w:type="dxa"/>
              <w:right w:w="28" w:type="dxa"/>
            </w:tcMar>
            <w:vAlign w:val="center"/>
          </w:tcPr>
          <w:p>
            <w:pPr>
              <w:pStyle w:val="4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最大落地浓度距离（m）</w:t>
            </w:r>
          </w:p>
        </w:tc>
        <w:tc>
          <w:tcPr>
            <w:tcW w:w="0" w:type="auto"/>
            <w:gridSpan w:val="2"/>
            <w:tcBorders>
              <w:tl2br w:val="nil"/>
              <w:tr2bl w:val="nil"/>
            </w:tcBorders>
            <w:tcMar>
              <w:left w:w="28" w:type="dxa"/>
              <w:right w:w="28" w:type="dxa"/>
            </w:tcMar>
            <w:vAlign w:val="center"/>
          </w:tcPr>
          <w:p>
            <w:pPr>
              <w:pStyle w:val="42"/>
              <w:spacing w:line="360" w:lineRule="auto"/>
              <w:ind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35</w:t>
            </w:r>
          </w:p>
        </w:tc>
        <w:tc>
          <w:tcPr>
            <w:tcW w:w="0" w:type="auto"/>
            <w:tcBorders>
              <w:tl2br w:val="nil"/>
              <w:tr2bl w:val="nil"/>
            </w:tcBorders>
            <w:vAlign w:val="center"/>
          </w:tcPr>
          <w:p>
            <w:pPr>
              <w:pStyle w:val="42"/>
              <w:spacing w:line="360" w:lineRule="auto"/>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最大落地浓度距离（m）</w:t>
            </w:r>
          </w:p>
        </w:tc>
        <w:tc>
          <w:tcPr>
            <w:tcW w:w="0" w:type="auto"/>
            <w:gridSpan w:val="2"/>
            <w:tcBorders>
              <w:tl2br w:val="nil"/>
              <w:tr2bl w:val="nil"/>
            </w:tcBorders>
            <w:vAlign w:val="center"/>
          </w:tcPr>
          <w:p>
            <w:pPr>
              <w:pStyle w:val="42"/>
              <w:spacing w:line="360" w:lineRule="auto"/>
              <w:ind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35</w:t>
            </w:r>
          </w:p>
        </w:tc>
        <w:tc>
          <w:tcPr>
            <w:tcW w:w="0" w:type="auto"/>
            <w:tcBorders>
              <w:tl2br w:val="nil"/>
              <w:tr2bl w:val="nil"/>
            </w:tcBorders>
            <w:vAlign w:val="center"/>
          </w:tcPr>
          <w:p>
            <w:pPr>
              <w:pStyle w:val="42"/>
              <w:spacing w:line="360" w:lineRule="auto"/>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最大落地浓度距离（m）</w:t>
            </w:r>
          </w:p>
        </w:tc>
        <w:tc>
          <w:tcPr>
            <w:tcW w:w="0" w:type="auto"/>
            <w:gridSpan w:val="2"/>
            <w:tcBorders>
              <w:tl2br w:val="nil"/>
              <w:tr2bl w:val="nil"/>
            </w:tcBorders>
            <w:vAlign w:val="center"/>
          </w:tcPr>
          <w:p>
            <w:pPr>
              <w:pStyle w:val="42"/>
              <w:spacing w:line="360" w:lineRule="auto"/>
              <w:ind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pStyle w:val="4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最大占标率（%）</w:t>
            </w:r>
          </w:p>
        </w:tc>
        <w:tc>
          <w:tcPr>
            <w:tcW w:w="0" w:type="auto"/>
            <w:gridSpan w:val="2"/>
            <w:tcBorders>
              <w:tl2br w:val="nil"/>
              <w:tr2bl w:val="nil"/>
            </w:tcBorders>
            <w:tcMar>
              <w:left w:w="28" w:type="dxa"/>
              <w:right w:w="28" w:type="dxa"/>
            </w:tcMar>
            <w:vAlign w:val="center"/>
          </w:tcPr>
          <w:p>
            <w:pPr>
              <w:pStyle w:val="42"/>
              <w:spacing w:line="360" w:lineRule="auto"/>
              <w:ind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0.24</w:t>
            </w:r>
          </w:p>
        </w:tc>
        <w:tc>
          <w:tcPr>
            <w:tcW w:w="0" w:type="auto"/>
            <w:tcBorders>
              <w:tl2br w:val="nil"/>
              <w:tr2bl w:val="nil"/>
            </w:tcBorders>
            <w:vAlign w:val="center"/>
          </w:tcPr>
          <w:p>
            <w:pPr>
              <w:pStyle w:val="42"/>
              <w:spacing w:line="360" w:lineRule="auto"/>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最大占标率（%）</w:t>
            </w:r>
          </w:p>
        </w:tc>
        <w:tc>
          <w:tcPr>
            <w:tcW w:w="0" w:type="auto"/>
            <w:gridSpan w:val="2"/>
            <w:tcBorders>
              <w:tl2br w:val="nil"/>
              <w:tr2bl w:val="nil"/>
            </w:tcBorders>
            <w:vAlign w:val="center"/>
          </w:tcPr>
          <w:p>
            <w:pPr>
              <w:pStyle w:val="42"/>
              <w:spacing w:line="360" w:lineRule="auto"/>
              <w:ind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w:t>
            </w:r>
            <w:r>
              <w:rPr>
                <w:rFonts w:hint="eastAsia" w:cs="Times New Roman"/>
                <w:color w:val="auto"/>
                <w:kern w:val="2"/>
                <w:sz w:val="21"/>
                <w:szCs w:val="21"/>
                <w:highlight w:val="none"/>
                <w:lang w:val="en-US" w:eastAsia="zh-CN"/>
              </w:rPr>
              <w:t>.12</w:t>
            </w:r>
          </w:p>
        </w:tc>
        <w:tc>
          <w:tcPr>
            <w:tcW w:w="0" w:type="auto"/>
            <w:tcBorders>
              <w:tl2br w:val="nil"/>
              <w:tr2bl w:val="nil"/>
            </w:tcBorders>
            <w:vAlign w:val="center"/>
          </w:tcPr>
          <w:p>
            <w:pPr>
              <w:pStyle w:val="42"/>
              <w:spacing w:line="360" w:lineRule="auto"/>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最大占标率（%）</w:t>
            </w:r>
          </w:p>
        </w:tc>
        <w:tc>
          <w:tcPr>
            <w:tcW w:w="0" w:type="auto"/>
            <w:gridSpan w:val="2"/>
            <w:tcBorders>
              <w:tl2br w:val="nil"/>
              <w:tr2bl w:val="nil"/>
            </w:tcBorders>
            <w:vAlign w:val="center"/>
          </w:tcPr>
          <w:p>
            <w:pPr>
              <w:pStyle w:val="42"/>
              <w:spacing w:line="360" w:lineRule="auto"/>
              <w:ind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tcMar>
              <w:left w:w="28" w:type="dxa"/>
              <w:right w:w="28" w:type="dxa"/>
            </w:tcMar>
            <w:vAlign w:val="center"/>
          </w:tcPr>
          <w:p>
            <w:pPr>
              <w:pStyle w:val="4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最大落地浓度（mg/m</w:t>
            </w:r>
            <w:r>
              <w:rPr>
                <w:rFonts w:hint="default" w:ascii="Times New Roman" w:hAnsi="Times New Roman" w:cs="Times New Roman"/>
                <w:color w:val="auto"/>
                <w:kern w:val="2"/>
                <w:sz w:val="21"/>
                <w:szCs w:val="21"/>
                <w:highlight w:val="none"/>
                <w:vertAlign w:val="superscript"/>
              </w:rPr>
              <w:t>3</w:t>
            </w:r>
            <w:r>
              <w:rPr>
                <w:rFonts w:hint="default" w:ascii="Times New Roman" w:hAnsi="Times New Roman" w:cs="Times New Roman"/>
                <w:color w:val="auto"/>
                <w:kern w:val="2"/>
                <w:sz w:val="21"/>
                <w:szCs w:val="21"/>
                <w:highlight w:val="none"/>
              </w:rPr>
              <w:t>）</w:t>
            </w:r>
          </w:p>
        </w:tc>
        <w:tc>
          <w:tcPr>
            <w:tcW w:w="0" w:type="auto"/>
            <w:gridSpan w:val="2"/>
            <w:tcBorders>
              <w:tl2br w:val="nil"/>
              <w:tr2bl w:val="nil"/>
            </w:tcBorders>
            <w:tcMar>
              <w:left w:w="28" w:type="dxa"/>
              <w:right w:w="28" w:type="dxa"/>
            </w:tcMar>
            <w:vAlign w:val="center"/>
          </w:tcPr>
          <w:p>
            <w:pPr>
              <w:pStyle w:val="42"/>
              <w:spacing w:line="360" w:lineRule="auto"/>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0.00107</w:t>
            </w:r>
          </w:p>
        </w:tc>
        <w:tc>
          <w:tcPr>
            <w:tcW w:w="0" w:type="auto"/>
            <w:tcBorders>
              <w:tl2br w:val="nil"/>
              <w:tr2bl w:val="nil"/>
            </w:tcBorders>
            <w:vAlign w:val="center"/>
          </w:tcPr>
          <w:p>
            <w:pPr>
              <w:pStyle w:val="42"/>
              <w:spacing w:line="360" w:lineRule="auto"/>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最大落地浓度（mg/m</w:t>
            </w:r>
            <w:r>
              <w:rPr>
                <w:rFonts w:hint="default" w:ascii="Times New Roman" w:hAnsi="Times New Roman" w:cs="Times New Roman"/>
                <w:color w:val="auto"/>
                <w:kern w:val="2"/>
                <w:sz w:val="21"/>
                <w:szCs w:val="21"/>
                <w:highlight w:val="none"/>
                <w:vertAlign w:val="superscript"/>
              </w:rPr>
              <w:t>3</w:t>
            </w:r>
            <w:r>
              <w:rPr>
                <w:rFonts w:hint="default" w:ascii="Times New Roman" w:hAnsi="Times New Roman" w:cs="Times New Roman"/>
                <w:color w:val="auto"/>
                <w:kern w:val="2"/>
                <w:sz w:val="21"/>
                <w:szCs w:val="21"/>
                <w:highlight w:val="none"/>
              </w:rPr>
              <w:t>）</w:t>
            </w:r>
          </w:p>
        </w:tc>
        <w:tc>
          <w:tcPr>
            <w:tcW w:w="0" w:type="auto"/>
            <w:gridSpan w:val="2"/>
            <w:tcBorders>
              <w:tl2br w:val="nil"/>
              <w:tr2bl w:val="nil"/>
            </w:tcBorders>
            <w:vAlign w:val="center"/>
          </w:tcPr>
          <w:p>
            <w:pPr>
              <w:pStyle w:val="42"/>
              <w:spacing w:line="360" w:lineRule="auto"/>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0.000622</w:t>
            </w:r>
          </w:p>
        </w:tc>
        <w:tc>
          <w:tcPr>
            <w:tcW w:w="0" w:type="auto"/>
            <w:tcBorders>
              <w:tl2br w:val="nil"/>
              <w:tr2bl w:val="nil"/>
            </w:tcBorders>
            <w:vAlign w:val="center"/>
          </w:tcPr>
          <w:p>
            <w:pPr>
              <w:pStyle w:val="42"/>
              <w:spacing w:line="360" w:lineRule="auto"/>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最大落地浓度（mg/m</w:t>
            </w:r>
            <w:r>
              <w:rPr>
                <w:rFonts w:hint="default" w:ascii="Times New Roman" w:hAnsi="Times New Roman" w:cs="Times New Roman"/>
                <w:color w:val="auto"/>
                <w:kern w:val="2"/>
                <w:sz w:val="21"/>
                <w:szCs w:val="21"/>
                <w:highlight w:val="none"/>
                <w:vertAlign w:val="superscript"/>
              </w:rPr>
              <w:t>3</w:t>
            </w:r>
            <w:r>
              <w:rPr>
                <w:rFonts w:hint="default" w:ascii="Times New Roman" w:hAnsi="Times New Roman" w:cs="Times New Roman"/>
                <w:color w:val="auto"/>
                <w:kern w:val="2"/>
                <w:sz w:val="21"/>
                <w:szCs w:val="21"/>
                <w:highlight w:val="none"/>
              </w:rPr>
              <w:t>）</w:t>
            </w:r>
          </w:p>
        </w:tc>
        <w:tc>
          <w:tcPr>
            <w:tcW w:w="0" w:type="auto"/>
            <w:gridSpan w:val="2"/>
            <w:tcBorders>
              <w:tl2br w:val="nil"/>
              <w:tr2bl w:val="nil"/>
            </w:tcBorders>
            <w:vAlign w:val="center"/>
          </w:tcPr>
          <w:p>
            <w:pPr>
              <w:pStyle w:val="42"/>
              <w:spacing w:line="360" w:lineRule="auto"/>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0.00342</w:t>
            </w:r>
          </w:p>
        </w:tc>
      </w:tr>
    </w:tbl>
    <w:p>
      <w:pPr>
        <w:pStyle w:val="21"/>
        <w:rPr>
          <w:rFonts w:cs="Times New Roman"/>
          <w:color w:val="auto"/>
          <w:highlight w:val="none"/>
        </w:rPr>
      </w:pPr>
      <w:r>
        <w:rPr>
          <w:rFonts w:hint="eastAsia" w:cs="Times New Roman"/>
          <w:color w:val="auto"/>
          <w:highlight w:val="none"/>
          <w:lang w:eastAsia="zh-CN"/>
        </w:rPr>
        <w:t>续</w:t>
      </w:r>
      <w:r>
        <w:rPr>
          <w:rFonts w:hint="eastAsia" w:cs="Times New Roman"/>
          <w:color w:val="auto"/>
          <w:highlight w:val="none"/>
        </w:rPr>
        <w:t>表</w:t>
      </w:r>
      <w:r>
        <w:rPr>
          <w:rFonts w:hint="eastAsia" w:cs="Times New Roman"/>
          <w:color w:val="auto"/>
          <w:highlight w:val="none"/>
          <w:lang w:val="en-US" w:eastAsia="zh-CN"/>
        </w:rPr>
        <w:t>4</w:t>
      </w:r>
      <w:r>
        <w:rPr>
          <w:rFonts w:hint="eastAsia" w:cs="Times New Roman"/>
          <w:color w:val="auto"/>
          <w:highlight w:val="none"/>
        </w:rPr>
        <w:t>.2-1</w:t>
      </w:r>
      <w:r>
        <w:rPr>
          <w:rFonts w:hint="eastAsia" w:cs="Times New Roman"/>
          <w:color w:val="auto"/>
          <w:highlight w:val="none"/>
          <w:lang w:val="en-US" w:eastAsia="zh-CN"/>
        </w:rPr>
        <w:t>2</w:t>
      </w:r>
      <w:r>
        <w:rPr>
          <w:rFonts w:hint="eastAsia" w:cs="Times New Roman"/>
          <w:color w:val="auto"/>
          <w:highlight w:val="none"/>
        </w:rPr>
        <w:t xml:space="preserve"> 项目</w:t>
      </w:r>
      <w:r>
        <w:rPr>
          <w:rFonts w:hint="eastAsia" w:cs="Times New Roman"/>
          <w:color w:val="auto"/>
          <w:highlight w:val="none"/>
          <w:lang w:eastAsia="zh-CN"/>
        </w:rPr>
        <w:t>火炬燃烧</w:t>
      </w:r>
      <w:r>
        <w:rPr>
          <w:rFonts w:hint="eastAsia" w:cs="Times New Roman"/>
          <w:color w:val="auto"/>
          <w:highlight w:val="none"/>
        </w:rPr>
        <w:t>废气排放预测结果一览表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948"/>
        <w:gridCol w:w="598"/>
        <w:gridCol w:w="1108"/>
        <w:gridCol w:w="1108"/>
        <w:gridCol w:w="758"/>
        <w:gridCol w:w="1109"/>
        <w:gridCol w:w="1109"/>
        <w:gridCol w:w="7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569" w:type="pct"/>
            <w:vMerge w:val="restart"/>
            <w:tcBorders>
              <w:tl2br w:val="nil"/>
              <w:tr2bl w:val="nil"/>
            </w:tcBorders>
            <w:vAlign w:val="center"/>
          </w:tcPr>
          <w:p>
            <w:pPr>
              <w:pStyle w:val="42"/>
              <w:ind w:firstLine="0" w:firstLineChars="0"/>
              <w:jc w:val="center"/>
              <w:rPr>
                <w:rFonts w:hint="default" w:ascii="Times New Roman" w:hAnsi="Times New Roman" w:cs="Times New Roman"/>
                <w:b w:val="0"/>
                <w:bCs/>
                <w:color w:val="auto"/>
                <w:kern w:val="2"/>
                <w:sz w:val="21"/>
                <w:szCs w:val="21"/>
                <w:highlight w:val="none"/>
              </w:rPr>
            </w:pPr>
            <w:r>
              <w:rPr>
                <w:rFonts w:hint="default" w:ascii="Times New Roman" w:hAnsi="Times New Roman" w:cs="Times New Roman"/>
                <w:b w:val="0"/>
                <w:bCs/>
                <w:color w:val="auto"/>
                <w:kern w:val="2"/>
                <w:sz w:val="21"/>
                <w:szCs w:val="21"/>
                <w:highlight w:val="none"/>
              </w:rPr>
              <w:t>距点源下</w:t>
            </w:r>
          </w:p>
          <w:p>
            <w:pPr>
              <w:pStyle w:val="42"/>
              <w:ind w:firstLine="0" w:firstLineChars="0"/>
              <w:jc w:val="center"/>
              <w:rPr>
                <w:rFonts w:hint="default" w:ascii="Times New Roman" w:hAnsi="Times New Roman" w:cs="Times New Roman"/>
                <w:b w:val="0"/>
                <w:bCs/>
                <w:color w:val="auto"/>
                <w:kern w:val="2"/>
                <w:sz w:val="21"/>
                <w:szCs w:val="21"/>
                <w:highlight w:val="none"/>
              </w:rPr>
            </w:pPr>
            <w:r>
              <w:rPr>
                <w:rFonts w:hint="default" w:ascii="Times New Roman" w:hAnsi="Times New Roman" w:cs="Times New Roman"/>
                <w:b w:val="0"/>
                <w:bCs/>
                <w:color w:val="auto"/>
                <w:kern w:val="2"/>
                <w:sz w:val="21"/>
                <w:szCs w:val="21"/>
                <w:highlight w:val="none"/>
              </w:rPr>
              <w:t>风向距离D（m）</w:t>
            </w:r>
          </w:p>
        </w:tc>
        <w:tc>
          <w:tcPr>
            <w:tcW w:w="913" w:type="pct"/>
            <w:gridSpan w:val="2"/>
            <w:tcBorders>
              <w:tl2br w:val="nil"/>
              <w:tr2bl w:val="nil"/>
            </w:tcBorders>
            <w:tcMar>
              <w:left w:w="28" w:type="dxa"/>
              <w:right w:w="28" w:type="dxa"/>
            </w:tcMar>
            <w:vAlign w:val="center"/>
          </w:tcPr>
          <w:p>
            <w:pPr>
              <w:pStyle w:val="42"/>
              <w:ind w:firstLine="0" w:firstLineChars="0"/>
              <w:jc w:val="center"/>
              <w:rPr>
                <w:rFonts w:hint="default" w:ascii="Times New Roman" w:hAnsi="Times New Roman" w:cs="Times New Roman"/>
                <w:b w:val="0"/>
                <w:bCs/>
                <w:color w:val="auto"/>
                <w:kern w:val="2"/>
                <w:sz w:val="21"/>
                <w:szCs w:val="21"/>
                <w:highlight w:val="none"/>
              </w:rPr>
            </w:pPr>
            <w:r>
              <w:rPr>
                <w:rFonts w:hint="default" w:ascii="Times New Roman" w:hAnsi="Times New Roman" w:cs="Times New Roman"/>
                <w:b w:val="0"/>
                <w:bCs/>
                <w:color w:val="auto"/>
                <w:kern w:val="2"/>
                <w:sz w:val="21"/>
                <w:szCs w:val="21"/>
                <w:highlight w:val="none"/>
                <w:lang w:val="en-US" w:eastAsia="zh-CN"/>
              </w:rPr>
              <w:t>PM</w:t>
            </w:r>
            <w:r>
              <w:rPr>
                <w:rFonts w:hint="default" w:ascii="Times New Roman" w:hAnsi="Times New Roman" w:cs="Times New Roman"/>
                <w:b w:val="0"/>
                <w:bCs/>
                <w:color w:val="auto"/>
                <w:kern w:val="2"/>
                <w:sz w:val="21"/>
                <w:szCs w:val="21"/>
                <w:highlight w:val="none"/>
                <w:vertAlign w:val="subscript"/>
                <w:lang w:val="en-US" w:eastAsia="zh-CN"/>
              </w:rPr>
              <w:t>10</w:t>
            </w:r>
          </w:p>
        </w:tc>
        <w:tc>
          <w:tcPr>
            <w:tcW w:w="654" w:type="pct"/>
            <w:vMerge w:val="restart"/>
            <w:tcBorders>
              <w:tl2br w:val="nil"/>
              <w:tr2bl w:val="nil"/>
            </w:tcBorders>
            <w:vAlign w:val="center"/>
          </w:tcPr>
          <w:p>
            <w:pPr>
              <w:pStyle w:val="42"/>
              <w:ind w:firstLine="0" w:firstLineChars="0"/>
              <w:jc w:val="center"/>
              <w:rPr>
                <w:rFonts w:hint="default" w:ascii="Times New Roman" w:hAnsi="Times New Roman" w:cs="Times New Roman"/>
                <w:b w:val="0"/>
                <w:bCs/>
                <w:color w:val="auto"/>
                <w:kern w:val="2"/>
                <w:sz w:val="21"/>
                <w:szCs w:val="21"/>
                <w:highlight w:val="none"/>
              </w:rPr>
            </w:pPr>
            <w:r>
              <w:rPr>
                <w:rFonts w:hint="default" w:ascii="Times New Roman" w:hAnsi="Times New Roman" w:cs="Times New Roman"/>
                <w:b w:val="0"/>
                <w:bCs/>
                <w:color w:val="auto"/>
                <w:kern w:val="2"/>
                <w:sz w:val="21"/>
                <w:szCs w:val="21"/>
                <w:highlight w:val="none"/>
              </w:rPr>
              <w:t>距点源下风向距离D（m）</w:t>
            </w:r>
          </w:p>
        </w:tc>
        <w:tc>
          <w:tcPr>
            <w:tcW w:w="1102" w:type="pct"/>
            <w:gridSpan w:val="2"/>
            <w:tcBorders>
              <w:tl2br w:val="nil"/>
              <w:tr2bl w:val="nil"/>
            </w:tcBorders>
            <w:vAlign w:val="center"/>
          </w:tcPr>
          <w:p>
            <w:pPr>
              <w:pStyle w:val="42"/>
              <w:ind w:firstLine="0" w:firstLineChars="0"/>
              <w:jc w:val="center"/>
              <w:rPr>
                <w:rFonts w:hint="default" w:ascii="Times New Roman" w:hAnsi="Times New Roman" w:cs="Times New Roman"/>
                <w:b w:val="0"/>
                <w:bCs/>
                <w:color w:val="auto"/>
                <w:kern w:val="2"/>
                <w:sz w:val="21"/>
                <w:szCs w:val="21"/>
                <w:highlight w:val="none"/>
              </w:rPr>
            </w:pPr>
            <w:r>
              <w:rPr>
                <w:rFonts w:hint="default" w:ascii="Times New Roman" w:hAnsi="Times New Roman" w:cs="Times New Roman"/>
                <w:b w:val="0"/>
                <w:bCs/>
                <w:color w:val="auto"/>
                <w:kern w:val="2"/>
                <w:sz w:val="21"/>
                <w:szCs w:val="21"/>
                <w:highlight w:val="none"/>
                <w:lang w:val="en-US" w:eastAsia="zh-CN"/>
              </w:rPr>
              <w:t>SO</w:t>
            </w:r>
            <w:r>
              <w:rPr>
                <w:rFonts w:hint="default" w:ascii="Times New Roman" w:hAnsi="Times New Roman" w:cs="Times New Roman"/>
                <w:b w:val="0"/>
                <w:bCs/>
                <w:color w:val="auto"/>
                <w:kern w:val="2"/>
                <w:sz w:val="21"/>
                <w:szCs w:val="21"/>
                <w:highlight w:val="none"/>
                <w:vertAlign w:val="subscript"/>
                <w:lang w:val="en-US" w:eastAsia="zh-CN"/>
              </w:rPr>
              <w:t>2</w:t>
            </w:r>
          </w:p>
        </w:tc>
        <w:tc>
          <w:tcPr>
            <w:tcW w:w="655" w:type="pct"/>
            <w:vMerge w:val="restart"/>
            <w:tcBorders>
              <w:tl2br w:val="nil"/>
              <w:tr2bl w:val="nil"/>
            </w:tcBorders>
            <w:vAlign w:val="center"/>
          </w:tcPr>
          <w:p>
            <w:pPr>
              <w:pStyle w:val="42"/>
              <w:ind w:firstLine="0" w:firstLineChars="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kern w:val="2"/>
                <w:sz w:val="21"/>
                <w:szCs w:val="21"/>
                <w:highlight w:val="none"/>
              </w:rPr>
              <w:t>距点源下风向距离D（m）</w:t>
            </w:r>
          </w:p>
        </w:tc>
        <w:tc>
          <w:tcPr>
            <w:tcW w:w="1104" w:type="pct"/>
            <w:gridSpan w:val="2"/>
            <w:tcBorders>
              <w:tl2br w:val="nil"/>
              <w:tr2bl w:val="nil"/>
            </w:tcBorders>
            <w:vAlign w:val="center"/>
          </w:tcPr>
          <w:p>
            <w:pPr>
              <w:pStyle w:val="42"/>
              <w:ind w:firstLine="0" w:firstLineChars="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NO</w:t>
            </w:r>
            <w:r>
              <w:rPr>
                <w:rFonts w:hint="default" w:ascii="Times New Roman" w:hAnsi="Times New Roman" w:cs="Times New Roman"/>
                <w:b w:val="0"/>
                <w:bCs/>
                <w:color w:val="auto"/>
                <w:sz w:val="21"/>
                <w:szCs w:val="21"/>
                <w:highlight w:val="none"/>
                <w:vertAlign w:val="subscript"/>
                <w:lang w:val="en-US" w:eastAsia="zh-CN"/>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blHeader/>
        </w:trPr>
        <w:tc>
          <w:tcPr>
            <w:tcW w:w="569" w:type="pct"/>
            <w:vMerge w:val="continue"/>
            <w:tcBorders>
              <w:tl2br w:val="nil"/>
              <w:tr2bl w:val="nil"/>
            </w:tcBorders>
            <w:tcMar>
              <w:left w:w="28" w:type="dxa"/>
              <w:right w:w="28" w:type="dxa"/>
            </w:tcMar>
            <w:vAlign w:val="center"/>
          </w:tcPr>
          <w:p>
            <w:pPr>
              <w:pStyle w:val="42"/>
              <w:ind w:firstLine="422"/>
              <w:jc w:val="center"/>
              <w:rPr>
                <w:rFonts w:hint="default" w:ascii="Times New Roman" w:hAnsi="Times New Roman" w:cs="Times New Roman"/>
                <w:b w:val="0"/>
                <w:bCs/>
                <w:color w:val="auto"/>
                <w:kern w:val="2"/>
                <w:sz w:val="21"/>
                <w:szCs w:val="21"/>
                <w:highlight w:val="none"/>
              </w:rPr>
            </w:pPr>
          </w:p>
        </w:tc>
        <w:tc>
          <w:tcPr>
            <w:tcW w:w="560" w:type="pct"/>
            <w:tcBorders>
              <w:tl2br w:val="nil"/>
              <w:tr2bl w:val="nil"/>
            </w:tcBorders>
            <w:tcMar>
              <w:left w:w="28" w:type="dxa"/>
              <w:right w:w="28" w:type="dxa"/>
            </w:tcMar>
            <w:vAlign w:val="center"/>
          </w:tcPr>
          <w:p>
            <w:pPr>
              <w:pStyle w:val="42"/>
              <w:ind w:firstLine="0" w:firstLineChars="0"/>
              <w:jc w:val="center"/>
              <w:rPr>
                <w:rFonts w:hint="default" w:ascii="Times New Roman" w:hAnsi="Times New Roman" w:cs="Times New Roman"/>
                <w:b w:val="0"/>
                <w:bCs/>
                <w:color w:val="auto"/>
                <w:kern w:val="2"/>
                <w:sz w:val="21"/>
                <w:szCs w:val="21"/>
                <w:highlight w:val="none"/>
              </w:rPr>
            </w:pPr>
            <w:r>
              <w:rPr>
                <w:rFonts w:hint="default" w:ascii="Times New Roman" w:hAnsi="Times New Roman" w:cs="Times New Roman"/>
                <w:b w:val="0"/>
                <w:bCs/>
                <w:color w:val="auto"/>
                <w:sz w:val="21"/>
                <w:szCs w:val="21"/>
                <w:highlight w:val="none"/>
              </w:rPr>
              <w:t>1小时浓度</w:t>
            </w:r>
            <w:r>
              <w:rPr>
                <w:rFonts w:hint="default" w:ascii="Times New Roman" w:hAnsi="Times New Roman" w:cs="Times New Roman"/>
                <w:b w:val="0"/>
                <w:bCs/>
                <w:color w:val="auto"/>
                <w:kern w:val="2"/>
                <w:sz w:val="21"/>
                <w:szCs w:val="21"/>
                <w:highlight w:val="none"/>
              </w:rPr>
              <w:t>（mg/m</w:t>
            </w:r>
            <w:r>
              <w:rPr>
                <w:rFonts w:hint="default" w:ascii="Times New Roman" w:hAnsi="Times New Roman" w:cs="Times New Roman"/>
                <w:b w:val="0"/>
                <w:bCs/>
                <w:color w:val="auto"/>
                <w:kern w:val="2"/>
                <w:sz w:val="21"/>
                <w:szCs w:val="21"/>
                <w:highlight w:val="none"/>
                <w:vertAlign w:val="superscript"/>
              </w:rPr>
              <w:t>3</w:t>
            </w:r>
            <w:r>
              <w:rPr>
                <w:rFonts w:hint="default" w:ascii="Times New Roman" w:hAnsi="Times New Roman" w:cs="Times New Roman"/>
                <w:b w:val="0"/>
                <w:bCs/>
                <w:color w:val="auto"/>
                <w:kern w:val="2"/>
                <w:sz w:val="21"/>
                <w:szCs w:val="21"/>
                <w:highlight w:val="none"/>
              </w:rPr>
              <w:t>）</w:t>
            </w:r>
          </w:p>
        </w:tc>
        <w:tc>
          <w:tcPr>
            <w:tcW w:w="353" w:type="pct"/>
            <w:tcBorders>
              <w:tl2br w:val="nil"/>
              <w:tr2bl w:val="nil"/>
            </w:tcBorders>
            <w:tcMar>
              <w:left w:w="28" w:type="dxa"/>
              <w:right w:w="28" w:type="dxa"/>
            </w:tcMar>
            <w:vAlign w:val="center"/>
          </w:tcPr>
          <w:p>
            <w:pPr>
              <w:pStyle w:val="42"/>
              <w:ind w:firstLine="0" w:firstLineChars="0"/>
              <w:jc w:val="center"/>
              <w:rPr>
                <w:rFonts w:hint="default" w:ascii="Times New Roman" w:hAnsi="Times New Roman" w:cs="Times New Roman"/>
                <w:b w:val="0"/>
                <w:bCs/>
                <w:color w:val="auto"/>
                <w:kern w:val="2"/>
                <w:sz w:val="21"/>
                <w:szCs w:val="21"/>
                <w:highlight w:val="none"/>
              </w:rPr>
            </w:pPr>
            <w:r>
              <w:rPr>
                <w:rFonts w:hint="default" w:ascii="Times New Roman" w:hAnsi="Times New Roman" w:cs="Times New Roman"/>
                <w:b w:val="0"/>
                <w:bCs/>
                <w:color w:val="auto"/>
                <w:sz w:val="21"/>
                <w:szCs w:val="21"/>
                <w:highlight w:val="none"/>
              </w:rPr>
              <w:t>1小时浓度</w:t>
            </w:r>
            <w:r>
              <w:rPr>
                <w:rFonts w:hint="default" w:ascii="Times New Roman" w:hAnsi="Times New Roman" w:cs="Times New Roman"/>
                <w:b w:val="0"/>
                <w:bCs/>
                <w:color w:val="auto"/>
                <w:kern w:val="2"/>
                <w:sz w:val="21"/>
                <w:szCs w:val="21"/>
                <w:highlight w:val="none"/>
              </w:rPr>
              <w:t>占标率（%）</w:t>
            </w:r>
          </w:p>
        </w:tc>
        <w:tc>
          <w:tcPr>
            <w:tcW w:w="654" w:type="pct"/>
            <w:vMerge w:val="continue"/>
            <w:tcBorders>
              <w:tl2br w:val="nil"/>
              <w:tr2bl w:val="nil"/>
            </w:tcBorders>
            <w:vAlign w:val="center"/>
          </w:tcPr>
          <w:p>
            <w:pPr>
              <w:tabs>
                <w:tab w:val="left" w:pos="1021"/>
              </w:tabs>
              <w:adjustRightInd w:val="0"/>
              <w:snapToGrid w:val="0"/>
              <w:ind w:firstLine="0" w:firstLineChars="0"/>
              <w:jc w:val="center"/>
              <w:rPr>
                <w:rFonts w:hint="default" w:ascii="Times New Roman" w:hAnsi="Times New Roman" w:cs="Times New Roman"/>
                <w:b w:val="0"/>
                <w:bCs/>
                <w:snapToGrid w:val="0"/>
                <w:color w:val="auto"/>
                <w:sz w:val="21"/>
                <w:szCs w:val="21"/>
                <w:highlight w:val="none"/>
              </w:rPr>
            </w:pPr>
          </w:p>
        </w:tc>
        <w:tc>
          <w:tcPr>
            <w:tcW w:w="654" w:type="pct"/>
            <w:tcBorders>
              <w:tl2br w:val="nil"/>
              <w:tr2bl w:val="nil"/>
            </w:tcBorders>
            <w:vAlign w:val="center"/>
          </w:tcPr>
          <w:p>
            <w:pPr>
              <w:pStyle w:val="42"/>
              <w:ind w:firstLine="0" w:firstLineChars="0"/>
              <w:jc w:val="center"/>
              <w:rPr>
                <w:rFonts w:hint="default" w:ascii="Times New Roman" w:hAnsi="Times New Roman" w:cs="Times New Roman"/>
                <w:b w:val="0"/>
                <w:bCs/>
                <w:color w:val="auto"/>
                <w:kern w:val="2"/>
                <w:sz w:val="21"/>
                <w:szCs w:val="21"/>
                <w:highlight w:val="none"/>
              </w:rPr>
            </w:pPr>
            <w:r>
              <w:rPr>
                <w:rFonts w:hint="default" w:ascii="Times New Roman" w:hAnsi="Times New Roman" w:cs="Times New Roman"/>
                <w:b w:val="0"/>
                <w:bCs/>
                <w:color w:val="auto"/>
                <w:sz w:val="21"/>
                <w:szCs w:val="21"/>
                <w:highlight w:val="none"/>
              </w:rPr>
              <w:t>1小时浓度</w:t>
            </w:r>
            <w:r>
              <w:rPr>
                <w:rFonts w:hint="default" w:ascii="Times New Roman" w:hAnsi="Times New Roman" w:cs="Times New Roman"/>
                <w:b w:val="0"/>
                <w:bCs/>
                <w:color w:val="auto"/>
                <w:kern w:val="2"/>
                <w:sz w:val="21"/>
                <w:szCs w:val="21"/>
                <w:highlight w:val="none"/>
              </w:rPr>
              <w:t>（mg/m</w:t>
            </w:r>
            <w:r>
              <w:rPr>
                <w:rFonts w:hint="default" w:ascii="Times New Roman" w:hAnsi="Times New Roman" w:cs="Times New Roman"/>
                <w:b w:val="0"/>
                <w:bCs/>
                <w:color w:val="auto"/>
                <w:kern w:val="2"/>
                <w:sz w:val="21"/>
                <w:szCs w:val="21"/>
                <w:highlight w:val="none"/>
                <w:vertAlign w:val="superscript"/>
              </w:rPr>
              <w:t>3</w:t>
            </w:r>
            <w:r>
              <w:rPr>
                <w:rFonts w:hint="default" w:ascii="Times New Roman" w:hAnsi="Times New Roman" w:cs="Times New Roman"/>
                <w:b w:val="0"/>
                <w:bCs/>
                <w:color w:val="auto"/>
                <w:kern w:val="2"/>
                <w:sz w:val="21"/>
                <w:szCs w:val="21"/>
                <w:highlight w:val="none"/>
              </w:rPr>
              <w:t>）</w:t>
            </w:r>
          </w:p>
        </w:tc>
        <w:tc>
          <w:tcPr>
            <w:tcW w:w="447" w:type="pct"/>
            <w:tcBorders>
              <w:tl2br w:val="nil"/>
              <w:tr2bl w:val="nil"/>
            </w:tcBorders>
            <w:vAlign w:val="center"/>
          </w:tcPr>
          <w:p>
            <w:pPr>
              <w:pStyle w:val="42"/>
              <w:ind w:firstLine="0" w:firstLineChars="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1小时浓度</w:t>
            </w:r>
            <w:r>
              <w:rPr>
                <w:rFonts w:hint="default" w:ascii="Times New Roman" w:hAnsi="Times New Roman" w:cs="Times New Roman"/>
                <w:b w:val="0"/>
                <w:bCs/>
                <w:color w:val="auto"/>
                <w:kern w:val="2"/>
                <w:sz w:val="21"/>
                <w:szCs w:val="21"/>
                <w:highlight w:val="none"/>
              </w:rPr>
              <w:t>占标率（%）</w:t>
            </w:r>
          </w:p>
        </w:tc>
        <w:tc>
          <w:tcPr>
            <w:tcW w:w="655" w:type="pct"/>
            <w:vMerge w:val="continue"/>
            <w:tcBorders>
              <w:tl2br w:val="nil"/>
              <w:tr2bl w:val="nil"/>
            </w:tcBorders>
            <w:vAlign w:val="center"/>
          </w:tcPr>
          <w:p>
            <w:pPr>
              <w:pStyle w:val="42"/>
              <w:ind w:firstLine="0" w:firstLineChars="0"/>
              <w:jc w:val="center"/>
              <w:rPr>
                <w:rFonts w:hint="default" w:ascii="Times New Roman" w:hAnsi="Times New Roman" w:cs="Times New Roman"/>
                <w:b w:val="0"/>
                <w:bCs/>
                <w:color w:val="auto"/>
                <w:sz w:val="21"/>
                <w:szCs w:val="21"/>
                <w:highlight w:val="none"/>
              </w:rPr>
            </w:pPr>
          </w:p>
        </w:tc>
        <w:tc>
          <w:tcPr>
            <w:tcW w:w="655" w:type="pct"/>
            <w:tcBorders>
              <w:tl2br w:val="nil"/>
              <w:tr2bl w:val="nil"/>
            </w:tcBorders>
            <w:vAlign w:val="center"/>
          </w:tcPr>
          <w:p>
            <w:pPr>
              <w:pStyle w:val="42"/>
              <w:ind w:firstLine="0" w:firstLineChars="0"/>
              <w:jc w:val="center"/>
              <w:rPr>
                <w:rFonts w:hint="default" w:ascii="Times New Roman" w:hAnsi="Times New Roman" w:cs="Times New Roman"/>
                <w:b w:val="0"/>
                <w:bCs/>
                <w:color w:val="auto"/>
                <w:kern w:val="2"/>
                <w:sz w:val="21"/>
                <w:szCs w:val="21"/>
                <w:highlight w:val="none"/>
              </w:rPr>
            </w:pPr>
            <w:r>
              <w:rPr>
                <w:rFonts w:hint="default" w:ascii="Times New Roman" w:hAnsi="Times New Roman" w:cs="Times New Roman"/>
                <w:b w:val="0"/>
                <w:bCs/>
                <w:color w:val="auto"/>
                <w:sz w:val="21"/>
                <w:szCs w:val="21"/>
                <w:highlight w:val="none"/>
              </w:rPr>
              <w:t>1小时浓度</w:t>
            </w:r>
            <w:r>
              <w:rPr>
                <w:rFonts w:hint="default" w:ascii="Times New Roman" w:hAnsi="Times New Roman" w:cs="Times New Roman"/>
                <w:b w:val="0"/>
                <w:bCs/>
                <w:color w:val="auto"/>
                <w:kern w:val="2"/>
                <w:sz w:val="21"/>
                <w:szCs w:val="21"/>
                <w:highlight w:val="none"/>
              </w:rPr>
              <w:t>（mg/m</w:t>
            </w:r>
            <w:r>
              <w:rPr>
                <w:rFonts w:hint="default" w:ascii="Times New Roman" w:hAnsi="Times New Roman" w:cs="Times New Roman"/>
                <w:b w:val="0"/>
                <w:bCs/>
                <w:color w:val="auto"/>
                <w:kern w:val="2"/>
                <w:sz w:val="21"/>
                <w:szCs w:val="21"/>
                <w:highlight w:val="none"/>
                <w:vertAlign w:val="superscript"/>
              </w:rPr>
              <w:t>3</w:t>
            </w:r>
            <w:r>
              <w:rPr>
                <w:rFonts w:hint="default" w:ascii="Times New Roman" w:hAnsi="Times New Roman" w:cs="Times New Roman"/>
                <w:b w:val="0"/>
                <w:bCs/>
                <w:color w:val="auto"/>
                <w:kern w:val="2"/>
                <w:sz w:val="21"/>
                <w:szCs w:val="21"/>
                <w:highlight w:val="none"/>
              </w:rPr>
              <w:t>）</w:t>
            </w:r>
          </w:p>
        </w:tc>
        <w:tc>
          <w:tcPr>
            <w:tcW w:w="448" w:type="pct"/>
            <w:tcBorders>
              <w:tl2br w:val="nil"/>
              <w:tr2bl w:val="nil"/>
            </w:tcBorders>
            <w:vAlign w:val="center"/>
          </w:tcPr>
          <w:p>
            <w:pPr>
              <w:pStyle w:val="42"/>
              <w:ind w:firstLine="0" w:firstLineChars="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1小时浓度</w:t>
            </w:r>
            <w:r>
              <w:rPr>
                <w:rFonts w:hint="default" w:ascii="Times New Roman" w:hAnsi="Times New Roman" w:cs="Times New Roman"/>
                <w:b w:val="0"/>
                <w:bCs/>
                <w:color w:val="auto"/>
                <w:kern w:val="2"/>
                <w:sz w:val="21"/>
                <w:szCs w:val="21"/>
                <w:highlight w:val="none"/>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56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7.06E-04</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0.16</w:t>
            </w:r>
          </w:p>
        </w:tc>
        <w:tc>
          <w:tcPr>
            <w:tcW w:w="654"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4.12E-04</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0.08</w:t>
            </w:r>
          </w:p>
        </w:tc>
        <w:tc>
          <w:tcPr>
            <w:tcW w:w="655"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2.26E-03</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9.09E-04</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w:t>
            </w:r>
          </w:p>
        </w:tc>
        <w:tc>
          <w:tcPr>
            <w:tcW w:w="654"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5.30E-04</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0.11</w:t>
            </w:r>
          </w:p>
        </w:tc>
        <w:tc>
          <w:tcPr>
            <w:tcW w:w="655"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2.92E-03</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1.21E-03</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0.27</w:t>
            </w:r>
          </w:p>
        </w:tc>
        <w:tc>
          <w:tcPr>
            <w:tcW w:w="654"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7.04E-04</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0.14</w:t>
            </w:r>
          </w:p>
        </w:tc>
        <w:tc>
          <w:tcPr>
            <w:tcW w:w="655"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3.87E-03</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300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1.53E-03</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0.34</w:t>
            </w:r>
          </w:p>
        </w:tc>
        <w:tc>
          <w:tcPr>
            <w:tcW w:w="654"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300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8.92E-04</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0.18</w:t>
            </w:r>
          </w:p>
        </w:tc>
        <w:tc>
          <w:tcPr>
            <w:tcW w:w="655"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300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4.91E-03</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400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1.75E-03</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0.39</w:t>
            </w:r>
          </w:p>
        </w:tc>
        <w:tc>
          <w:tcPr>
            <w:tcW w:w="654"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400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1.02E-03</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w:t>
            </w:r>
          </w:p>
        </w:tc>
        <w:tc>
          <w:tcPr>
            <w:tcW w:w="655"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400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5.63E-03</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500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1.86E-03</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0.41</w:t>
            </w:r>
          </w:p>
        </w:tc>
        <w:tc>
          <w:tcPr>
            <w:tcW w:w="654"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500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1.08E-03</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0.22</w:t>
            </w:r>
          </w:p>
        </w:tc>
        <w:tc>
          <w:tcPr>
            <w:tcW w:w="655"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500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5.95E-03</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600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1.88E-03</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0.42</w:t>
            </w:r>
          </w:p>
        </w:tc>
        <w:tc>
          <w:tcPr>
            <w:tcW w:w="654" w:type="pct"/>
            <w:tcBorders>
              <w:tl2br w:val="nil"/>
              <w:tr2bl w:val="nil"/>
            </w:tcBorders>
            <w:vAlign w:val="center"/>
          </w:tcPr>
          <w:p>
            <w:pPr>
              <w:ind w:firstLine="0" w:firstLineChars="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600</w:t>
            </w:r>
          </w:p>
        </w:tc>
        <w:tc>
          <w:tcPr>
            <w:tcW w:w="1108" w:type="dxa"/>
            <w:tcBorders>
              <w:tl2br w:val="nil"/>
              <w:tr2bl w:val="nil"/>
            </w:tcBorders>
            <w:vAlign w:val="center"/>
          </w:tcPr>
          <w:p>
            <w:pPr>
              <w:ind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1.10E-03</w:t>
            </w:r>
          </w:p>
        </w:tc>
        <w:tc>
          <w:tcPr>
            <w:tcW w:w="758" w:type="dxa"/>
            <w:tcBorders>
              <w:tl2br w:val="nil"/>
              <w:tr2bl w:val="nil"/>
            </w:tcBorders>
            <w:vAlign w:val="center"/>
          </w:tcPr>
          <w:p>
            <w:pPr>
              <w:ind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0.22</w:t>
            </w:r>
          </w:p>
        </w:tc>
        <w:tc>
          <w:tcPr>
            <w:tcW w:w="655" w:type="pct"/>
            <w:tcBorders>
              <w:tl2br w:val="nil"/>
              <w:tr2bl w:val="nil"/>
            </w:tcBorders>
            <w:vAlign w:val="center"/>
          </w:tcPr>
          <w:p>
            <w:pPr>
              <w:ind w:firstLine="0" w:firstLineChars="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600</w:t>
            </w:r>
          </w:p>
        </w:tc>
        <w:tc>
          <w:tcPr>
            <w:tcW w:w="1109" w:type="dxa"/>
            <w:tcBorders>
              <w:tl2br w:val="nil"/>
              <w:tr2bl w:val="nil"/>
            </w:tcBorders>
            <w:vAlign w:val="center"/>
          </w:tcPr>
          <w:p>
            <w:pPr>
              <w:ind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6.04E-03</w:t>
            </w:r>
          </w:p>
        </w:tc>
        <w:tc>
          <w:tcPr>
            <w:tcW w:w="759" w:type="dxa"/>
            <w:tcBorders>
              <w:tl2br w:val="nil"/>
              <w:tr2bl w:val="nil"/>
            </w:tcBorders>
            <w:vAlign w:val="center"/>
          </w:tcPr>
          <w:p>
            <w:pPr>
              <w:ind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2.41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700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1.86E-03</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0.41</w:t>
            </w:r>
          </w:p>
        </w:tc>
        <w:tc>
          <w:tcPr>
            <w:tcW w:w="654"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700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1.09E-03</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0.22</w:t>
            </w:r>
          </w:p>
        </w:tc>
        <w:tc>
          <w:tcPr>
            <w:tcW w:w="655"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700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5.98E-03</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800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1.82E-03</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0.41</w:t>
            </w:r>
          </w:p>
        </w:tc>
        <w:tc>
          <w:tcPr>
            <w:tcW w:w="654"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800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1.06E-03</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0.21</w:t>
            </w:r>
          </w:p>
        </w:tc>
        <w:tc>
          <w:tcPr>
            <w:tcW w:w="655"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800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5.85E-03</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900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1.77E-03</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0.39</w:t>
            </w:r>
          </w:p>
        </w:tc>
        <w:tc>
          <w:tcPr>
            <w:tcW w:w="654"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900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1.03E-03</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0.21</w:t>
            </w:r>
          </w:p>
        </w:tc>
        <w:tc>
          <w:tcPr>
            <w:tcW w:w="655"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900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5.69E-03</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1000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1.75E-03</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0.39</w:t>
            </w:r>
          </w:p>
        </w:tc>
        <w:tc>
          <w:tcPr>
            <w:tcW w:w="654"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1000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1.02E-03</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w:t>
            </w:r>
          </w:p>
        </w:tc>
        <w:tc>
          <w:tcPr>
            <w:tcW w:w="655"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1000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5.62E-03</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1100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1.76E-03</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0.39</w:t>
            </w:r>
          </w:p>
        </w:tc>
        <w:tc>
          <w:tcPr>
            <w:tcW w:w="654"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1100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1.02E-03</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w:t>
            </w:r>
          </w:p>
        </w:tc>
        <w:tc>
          <w:tcPr>
            <w:tcW w:w="655"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1100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5.64E-03</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1200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1.76E-03</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0.39</w:t>
            </w:r>
          </w:p>
        </w:tc>
        <w:tc>
          <w:tcPr>
            <w:tcW w:w="654"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1200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1.02E-03</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w:t>
            </w:r>
          </w:p>
        </w:tc>
        <w:tc>
          <w:tcPr>
            <w:tcW w:w="655"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1200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5.63E-03</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1300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1.75E-03</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0.39</w:t>
            </w:r>
          </w:p>
        </w:tc>
        <w:tc>
          <w:tcPr>
            <w:tcW w:w="654"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1300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1.02E-03</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w:t>
            </w:r>
          </w:p>
        </w:tc>
        <w:tc>
          <w:tcPr>
            <w:tcW w:w="655"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1300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5.61E-03</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1400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1.74E-03</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0.39</w:t>
            </w:r>
          </w:p>
        </w:tc>
        <w:tc>
          <w:tcPr>
            <w:tcW w:w="654"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1400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1.01E-03</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w:t>
            </w:r>
          </w:p>
        </w:tc>
        <w:tc>
          <w:tcPr>
            <w:tcW w:w="655"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1400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5.58E-03</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1500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1.73E-03</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0.38</w:t>
            </w:r>
          </w:p>
        </w:tc>
        <w:tc>
          <w:tcPr>
            <w:tcW w:w="654"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1500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1.01E-03</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w:t>
            </w:r>
          </w:p>
        </w:tc>
        <w:tc>
          <w:tcPr>
            <w:tcW w:w="655"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1500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5.54E-03</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1600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1.71E-03</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0.38</w:t>
            </w:r>
          </w:p>
        </w:tc>
        <w:tc>
          <w:tcPr>
            <w:tcW w:w="654"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1600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9.97E-04</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w:t>
            </w:r>
          </w:p>
        </w:tc>
        <w:tc>
          <w:tcPr>
            <w:tcW w:w="655"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1600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5.48E-03</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1700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1.69E-03</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0.38</w:t>
            </w:r>
          </w:p>
        </w:tc>
        <w:tc>
          <w:tcPr>
            <w:tcW w:w="654"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1700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9.87E-04</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w:t>
            </w:r>
          </w:p>
        </w:tc>
        <w:tc>
          <w:tcPr>
            <w:tcW w:w="655"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1700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5.43E-03</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1800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1.67E-03</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0.37</w:t>
            </w:r>
          </w:p>
        </w:tc>
        <w:tc>
          <w:tcPr>
            <w:tcW w:w="654"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1800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9.75E-04</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0.2</w:t>
            </w:r>
          </w:p>
        </w:tc>
        <w:tc>
          <w:tcPr>
            <w:tcW w:w="655"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1800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5.36E-03</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1900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1.65E-03</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0.37</w:t>
            </w:r>
          </w:p>
        </w:tc>
        <w:tc>
          <w:tcPr>
            <w:tcW w:w="654"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1900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9.62E-04</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0.19</w:t>
            </w:r>
          </w:p>
        </w:tc>
        <w:tc>
          <w:tcPr>
            <w:tcW w:w="655"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1900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5.29E-03</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2000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1.63E-03</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0.36</w:t>
            </w:r>
          </w:p>
        </w:tc>
        <w:tc>
          <w:tcPr>
            <w:tcW w:w="654"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2000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9.49E-04</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0.19</w:t>
            </w:r>
          </w:p>
        </w:tc>
        <w:tc>
          <w:tcPr>
            <w:tcW w:w="655"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2000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5.22E-03</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2100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1.60E-03</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0.36</w:t>
            </w:r>
          </w:p>
        </w:tc>
        <w:tc>
          <w:tcPr>
            <w:tcW w:w="654"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2100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9.34E-04</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0.19</w:t>
            </w:r>
          </w:p>
        </w:tc>
        <w:tc>
          <w:tcPr>
            <w:tcW w:w="655"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2100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5.14E-03</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2200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1.58E-03</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0.35</w:t>
            </w:r>
          </w:p>
        </w:tc>
        <w:tc>
          <w:tcPr>
            <w:tcW w:w="654"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2200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9.19E-04</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0.18</w:t>
            </w:r>
          </w:p>
        </w:tc>
        <w:tc>
          <w:tcPr>
            <w:tcW w:w="655"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2200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5.05E-03</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2300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1.55E-03</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0.34</w:t>
            </w:r>
          </w:p>
        </w:tc>
        <w:tc>
          <w:tcPr>
            <w:tcW w:w="654"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2300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9.04E-04</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0.18</w:t>
            </w:r>
          </w:p>
        </w:tc>
        <w:tc>
          <w:tcPr>
            <w:tcW w:w="655"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2300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4.97E-03</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2400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1.52E-03</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0.34</w:t>
            </w:r>
          </w:p>
        </w:tc>
        <w:tc>
          <w:tcPr>
            <w:tcW w:w="654"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2400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8.88E-04</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0.18</w:t>
            </w:r>
          </w:p>
        </w:tc>
        <w:tc>
          <w:tcPr>
            <w:tcW w:w="655"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2400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4.88E-03</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pct"/>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2500</w:t>
            </w:r>
          </w:p>
        </w:tc>
        <w:tc>
          <w:tcPr>
            <w:tcW w:w="94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1.50E-03</w:t>
            </w:r>
          </w:p>
        </w:tc>
        <w:tc>
          <w:tcPr>
            <w:tcW w:w="598" w:type="dxa"/>
            <w:tcBorders>
              <w:tl2br w:val="nil"/>
              <w:tr2bl w:val="nil"/>
            </w:tcBorders>
            <w:tcMar>
              <w:left w:w="28" w:type="dxa"/>
              <w:right w:w="28" w:type="dxa"/>
            </w:tcMar>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0.33</w:t>
            </w:r>
          </w:p>
        </w:tc>
        <w:tc>
          <w:tcPr>
            <w:tcW w:w="654"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2500</w:t>
            </w:r>
          </w:p>
        </w:tc>
        <w:tc>
          <w:tcPr>
            <w:tcW w:w="110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8.72E-04</w:t>
            </w:r>
          </w:p>
        </w:tc>
        <w:tc>
          <w:tcPr>
            <w:tcW w:w="758"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0.17</w:t>
            </w:r>
          </w:p>
        </w:tc>
        <w:tc>
          <w:tcPr>
            <w:tcW w:w="655" w:type="pct"/>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2500</w:t>
            </w:r>
          </w:p>
        </w:tc>
        <w:tc>
          <w:tcPr>
            <w:tcW w:w="110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4.80E-03</w:t>
            </w:r>
          </w:p>
        </w:tc>
        <w:tc>
          <w:tcPr>
            <w:tcW w:w="759" w:type="dxa"/>
            <w:tcBorders>
              <w:tl2br w:val="nil"/>
              <w:tr2bl w:val="nil"/>
            </w:tcBorders>
            <w:vAlign w:val="center"/>
          </w:tcPr>
          <w:p>
            <w:pPr>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569" w:type="pct"/>
            <w:tcBorders>
              <w:tl2br w:val="nil"/>
              <w:tr2bl w:val="nil"/>
            </w:tcBorders>
            <w:tcMar>
              <w:left w:w="28" w:type="dxa"/>
              <w:right w:w="28" w:type="dxa"/>
            </w:tcMar>
            <w:vAlign w:val="center"/>
          </w:tcPr>
          <w:p>
            <w:pPr>
              <w:pStyle w:val="42"/>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最大落地浓度距离（m）</w:t>
            </w:r>
          </w:p>
        </w:tc>
        <w:tc>
          <w:tcPr>
            <w:tcW w:w="913" w:type="pct"/>
            <w:gridSpan w:val="2"/>
            <w:tcBorders>
              <w:tl2br w:val="nil"/>
              <w:tr2bl w:val="nil"/>
            </w:tcBorders>
            <w:tcMar>
              <w:left w:w="28" w:type="dxa"/>
              <w:right w:w="28" w:type="dxa"/>
            </w:tcMar>
            <w:vAlign w:val="center"/>
          </w:tcPr>
          <w:p>
            <w:pPr>
              <w:pStyle w:val="42"/>
              <w:ind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600</w:t>
            </w:r>
          </w:p>
        </w:tc>
        <w:tc>
          <w:tcPr>
            <w:tcW w:w="654" w:type="pct"/>
            <w:tcBorders>
              <w:tl2br w:val="nil"/>
              <w:tr2bl w:val="nil"/>
            </w:tcBorders>
            <w:vAlign w:val="center"/>
          </w:tcPr>
          <w:p>
            <w:pPr>
              <w:pStyle w:val="42"/>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最大落地浓度距离（m）</w:t>
            </w:r>
          </w:p>
        </w:tc>
        <w:tc>
          <w:tcPr>
            <w:tcW w:w="1102" w:type="pct"/>
            <w:gridSpan w:val="2"/>
            <w:tcBorders>
              <w:tl2br w:val="nil"/>
              <w:tr2bl w:val="nil"/>
            </w:tcBorders>
            <w:vAlign w:val="center"/>
          </w:tcPr>
          <w:p>
            <w:pPr>
              <w:pStyle w:val="42"/>
              <w:ind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600</w:t>
            </w:r>
          </w:p>
        </w:tc>
        <w:tc>
          <w:tcPr>
            <w:tcW w:w="655" w:type="pct"/>
            <w:tcBorders>
              <w:tl2br w:val="nil"/>
              <w:tr2bl w:val="nil"/>
            </w:tcBorders>
            <w:vAlign w:val="center"/>
          </w:tcPr>
          <w:p>
            <w:pPr>
              <w:pStyle w:val="42"/>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最大落地浓度距离（m）</w:t>
            </w:r>
          </w:p>
        </w:tc>
        <w:tc>
          <w:tcPr>
            <w:tcW w:w="1104" w:type="pct"/>
            <w:gridSpan w:val="2"/>
            <w:tcBorders>
              <w:tl2br w:val="nil"/>
              <w:tr2bl w:val="nil"/>
            </w:tcBorders>
            <w:vAlign w:val="center"/>
          </w:tcPr>
          <w:p>
            <w:pPr>
              <w:pStyle w:val="42"/>
              <w:ind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pct"/>
            <w:tcBorders>
              <w:tl2br w:val="nil"/>
              <w:tr2bl w:val="nil"/>
            </w:tcBorders>
            <w:tcMar>
              <w:left w:w="28" w:type="dxa"/>
              <w:right w:w="28" w:type="dxa"/>
            </w:tcMar>
            <w:vAlign w:val="center"/>
          </w:tcPr>
          <w:p>
            <w:pPr>
              <w:pStyle w:val="42"/>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最大占标率（%）</w:t>
            </w:r>
          </w:p>
        </w:tc>
        <w:tc>
          <w:tcPr>
            <w:tcW w:w="913" w:type="pct"/>
            <w:gridSpan w:val="2"/>
            <w:tcBorders>
              <w:tl2br w:val="nil"/>
              <w:tr2bl w:val="nil"/>
            </w:tcBorders>
            <w:tcMar>
              <w:left w:w="28" w:type="dxa"/>
              <w:right w:w="28" w:type="dxa"/>
            </w:tcMar>
            <w:vAlign w:val="center"/>
          </w:tcPr>
          <w:p>
            <w:pPr>
              <w:pStyle w:val="42"/>
              <w:ind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0.42</w:t>
            </w:r>
          </w:p>
        </w:tc>
        <w:tc>
          <w:tcPr>
            <w:tcW w:w="654" w:type="pct"/>
            <w:tcBorders>
              <w:tl2br w:val="nil"/>
              <w:tr2bl w:val="nil"/>
            </w:tcBorders>
            <w:vAlign w:val="center"/>
          </w:tcPr>
          <w:p>
            <w:pPr>
              <w:pStyle w:val="42"/>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最大占标率（%）</w:t>
            </w:r>
          </w:p>
        </w:tc>
        <w:tc>
          <w:tcPr>
            <w:tcW w:w="1102" w:type="pct"/>
            <w:gridSpan w:val="2"/>
            <w:tcBorders>
              <w:tl2br w:val="nil"/>
              <w:tr2bl w:val="nil"/>
            </w:tcBorders>
            <w:vAlign w:val="center"/>
          </w:tcPr>
          <w:p>
            <w:pPr>
              <w:pStyle w:val="42"/>
              <w:ind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w:t>
            </w:r>
            <w:r>
              <w:rPr>
                <w:rFonts w:hint="eastAsia" w:cs="Times New Roman"/>
                <w:color w:val="auto"/>
                <w:kern w:val="2"/>
                <w:sz w:val="21"/>
                <w:szCs w:val="21"/>
                <w:highlight w:val="none"/>
                <w:lang w:val="en-US" w:eastAsia="zh-CN"/>
              </w:rPr>
              <w:t>.22</w:t>
            </w:r>
          </w:p>
        </w:tc>
        <w:tc>
          <w:tcPr>
            <w:tcW w:w="655" w:type="pct"/>
            <w:tcBorders>
              <w:tl2br w:val="nil"/>
              <w:tr2bl w:val="nil"/>
            </w:tcBorders>
            <w:vAlign w:val="center"/>
          </w:tcPr>
          <w:p>
            <w:pPr>
              <w:pStyle w:val="42"/>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最大占标率（%）</w:t>
            </w:r>
          </w:p>
        </w:tc>
        <w:tc>
          <w:tcPr>
            <w:tcW w:w="1104" w:type="pct"/>
            <w:gridSpan w:val="2"/>
            <w:tcBorders>
              <w:tl2br w:val="nil"/>
              <w:tr2bl w:val="nil"/>
            </w:tcBorders>
            <w:vAlign w:val="center"/>
          </w:tcPr>
          <w:p>
            <w:pPr>
              <w:pStyle w:val="42"/>
              <w:ind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2.41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69" w:type="pct"/>
            <w:tcBorders>
              <w:tl2br w:val="nil"/>
              <w:tr2bl w:val="nil"/>
            </w:tcBorders>
            <w:tcMar>
              <w:left w:w="28" w:type="dxa"/>
              <w:right w:w="28" w:type="dxa"/>
            </w:tcMar>
            <w:vAlign w:val="center"/>
          </w:tcPr>
          <w:p>
            <w:pPr>
              <w:pStyle w:val="42"/>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最大落地浓度（mg/m</w:t>
            </w:r>
            <w:r>
              <w:rPr>
                <w:rFonts w:hint="default" w:ascii="Times New Roman" w:hAnsi="Times New Roman" w:cs="Times New Roman"/>
                <w:color w:val="auto"/>
                <w:kern w:val="2"/>
                <w:sz w:val="21"/>
                <w:szCs w:val="21"/>
                <w:highlight w:val="none"/>
                <w:vertAlign w:val="superscript"/>
              </w:rPr>
              <w:t>3</w:t>
            </w:r>
            <w:r>
              <w:rPr>
                <w:rFonts w:hint="default" w:ascii="Times New Roman" w:hAnsi="Times New Roman" w:cs="Times New Roman"/>
                <w:color w:val="auto"/>
                <w:kern w:val="2"/>
                <w:sz w:val="21"/>
                <w:szCs w:val="21"/>
                <w:highlight w:val="none"/>
              </w:rPr>
              <w:t>）</w:t>
            </w:r>
          </w:p>
        </w:tc>
        <w:tc>
          <w:tcPr>
            <w:tcW w:w="913" w:type="pct"/>
            <w:gridSpan w:val="2"/>
            <w:tcBorders>
              <w:tl2br w:val="nil"/>
              <w:tr2bl w:val="nil"/>
            </w:tcBorders>
            <w:tcMar>
              <w:left w:w="28" w:type="dxa"/>
              <w:right w:w="28" w:type="dxa"/>
            </w:tcMar>
            <w:vAlign w:val="center"/>
          </w:tcPr>
          <w:p>
            <w:pPr>
              <w:pStyle w:val="42"/>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0.00188</w:t>
            </w:r>
          </w:p>
        </w:tc>
        <w:tc>
          <w:tcPr>
            <w:tcW w:w="654" w:type="pct"/>
            <w:tcBorders>
              <w:tl2br w:val="nil"/>
              <w:tr2bl w:val="nil"/>
            </w:tcBorders>
            <w:vAlign w:val="center"/>
          </w:tcPr>
          <w:p>
            <w:pPr>
              <w:pStyle w:val="42"/>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最大落地浓度（mg/m</w:t>
            </w:r>
            <w:r>
              <w:rPr>
                <w:rFonts w:hint="default" w:ascii="Times New Roman" w:hAnsi="Times New Roman" w:cs="Times New Roman"/>
                <w:color w:val="auto"/>
                <w:kern w:val="2"/>
                <w:sz w:val="21"/>
                <w:szCs w:val="21"/>
                <w:highlight w:val="none"/>
                <w:vertAlign w:val="superscript"/>
              </w:rPr>
              <w:t>3</w:t>
            </w:r>
            <w:r>
              <w:rPr>
                <w:rFonts w:hint="default" w:ascii="Times New Roman" w:hAnsi="Times New Roman" w:cs="Times New Roman"/>
                <w:color w:val="auto"/>
                <w:kern w:val="2"/>
                <w:sz w:val="21"/>
                <w:szCs w:val="21"/>
                <w:highlight w:val="none"/>
              </w:rPr>
              <w:t>）</w:t>
            </w:r>
          </w:p>
        </w:tc>
        <w:tc>
          <w:tcPr>
            <w:tcW w:w="1102" w:type="pct"/>
            <w:gridSpan w:val="2"/>
            <w:tcBorders>
              <w:tl2br w:val="nil"/>
              <w:tr2bl w:val="nil"/>
            </w:tcBorders>
            <w:vAlign w:val="center"/>
          </w:tcPr>
          <w:p>
            <w:pPr>
              <w:pStyle w:val="42"/>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0.0011</w:t>
            </w:r>
          </w:p>
        </w:tc>
        <w:tc>
          <w:tcPr>
            <w:tcW w:w="655" w:type="pct"/>
            <w:tcBorders>
              <w:tl2br w:val="nil"/>
              <w:tr2bl w:val="nil"/>
            </w:tcBorders>
            <w:vAlign w:val="center"/>
          </w:tcPr>
          <w:p>
            <w:pPr>
              <w:pStyle w:val="42"/>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最大落地浓度（mg/m</w:t>
            </w:r>
            <w:r>
              <w:rPr>
                <w:rFonts w:hint="default" w:ascii="Times New Roman" w:hAnsi="Times New Roman" w:cs="Times New Roman"/>
                <w:color w:val="auto"/>
                <w:kern w:val="2"/>
                <w:sz w:val="21"/>
                <w:szCs w:val="21"/>
                <w:highlight w:val="none"/>
                <w:vertAlign w:val="superscript"/>
              </w:rPr>
              <w:t>3</w:t>
            </w:r>
            <w:r>
              <w:rPr>
                <w:rFonts w:hint="default" w:ascii="Times New Roman" w:hAnsi="Times New Roman" w:cs="Times New Roman"/>
                <w:color w:val="auto"/>
                <w:kern w:val="2"/>
                <w:sz w:val="21"/>
                <w:szCs w:val="21"/>
                <w:highlight w:val="none"/>
              </w:rPr>
              <w:t>）</w:t>
            </w:r>
          </w:p>
        </w:tc>
        <w:tc>
          <w:tcPr>
            <w:tcW w:w="1104" w:type="pct"/>
            <w:gridSpan w:val="2"/>
            <w:tcBorders>
              <w:tl2br w:val="nil"/>
              <w:tr2bl w:val="nil"/>
            </w:tcBorders>
            <w:vAlign w:val="center"/>
          </w:tcPr>
          <w:p>
            <w:pPr>
              <w:pStyle w:val="42"/>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0.00604</w:t>
            </w:r>
          </w:p>
        </w:tc>
      </w:tr>
    </w:tbl>
    <w:p>
      <w:pPr>
        <w:pStyle w:val="21"/>
        <w:rPr>
          <w:rFonts w:cs="Times New Roman"/>
          <w:color w:val="auto"/>
          <w:highlight w:val="none"/>
        </w:rPr>
      </w:pPr>
      <w:r>
        <w:rPr>
          <w:rFonts w:hint="eastAsia" w:cs="Times New Roman"/>
          <w:color w:val="auto"/>
          <w:highlight w:val="none"/>
        </w:rPr>
        <w:t>表</w:t>
      </w:r>
      <w:r>
        <w:rPr>
          <w:rFonts w:hint="eastAsia" w:cs="Times New Roman"/>
          <w:color w:val="auto"/>
          <w:highlight w:val="none"/>
          <w:lang w:val="en-US" w:eastAsia="zh-CN"/>
        </w:rPr>
        <w:t>4</w:t>
      </w:r>
      <w:r>
        <w:rPr>
          <w:rFonts w:hint="eastAsia" w:cs="Times New Roman"/>
          <w:color w:val="auto"/>
          <w:highlight w:val="none"/>
        </w:rPr>
        <w:t>.2-1</w:t>
      </w:r>
      <w:r>
        <w:rPr>
          <w:rFonts w:hint="eastAsia" w:cs="Times New Roman"/>
          <w:color w:val="auto"/>
          <w:highlight w:val="none"/>
          <w:lang w:val="en-US" w:eastAsia="zh-CN"/>
        </w:rPr>
        <w:t>3</w:t>
      </w:r>
      <w:r>
        <w:rPr>
          <w:rFonts w:hint="eastAsia" w:cs="Times New Roman"/>
          <w:color w:val="auto"/>
          <w:highlight w:val="none"/>
        </w:rPr>
        <w:t xml:space="preserve"> 项目无组织废气排放预测结果一览表</w:t>
      </w: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24"/>
        <w:gridCol w:w="1450"/>
        <w:gridCol w:w="1229"/>
        <w:gridCol w:w="1577"/>
        <w:gridCol w:w="1451"/>
        <w:gridCol w:w="12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0" w:type="auto"/>
            <w:vMerge w:val="restart"/>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b w:val="0"/>
                <w:bCs/>
                <w:color w:val="auto"/>
                <w:kern w:val="2"/>
                <w:sz w:val="21"/>
                <w:szCs w:val="21"/>
                <w:highlight w:val="none"/>
              </w:rPr>
            </w:pPr>
            <w:r>
              <w:rPr>
                <w:rFonts w:hint="eastAsia"/>
                <w:b w:val="0"/>
                <w:bCs/>
                <w:color w:val="auto"/>
                <w:kern w:val="2"/>
                <w:sz w:val="21"/>
                <w:szCs w:val="21"/>
                <w:highlight w:val="none"/>
              </w:rPr>
              <w:t>距点源下</w:t>
            </w:r>
          </w:p>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b w:val="0"/>
                <w:bCs/>
                <w:color w:val="auto"/>
                <w:kern w:val="2"/>
                <w:sz w:val="21"/>
                <w:szCs w:val="21"/>
                <w:highlight w:val="none"/>
              </w:rPr>
            </w:pPr>
            <w:r>
              <w:rPr>
                <w:rFonts w:hint="eastAsia"/>
                <w:b w:val="0"/>
                <w:bCs/>
                <w:color w:val="auto"/>
                <w:kern w:val="2"/>
                <w:sz w:val="21"/>
                <w:szCs w:val="21"/>
                <w:highlight w:val="none"/>
              </w:rPr>
              <w:t>风向距离D（m）</w:t>
            </w:r>
          </w:p>
        </w:tc>
        <w:tc>
          <w:tcPr>
            <w:tcW w:w="0" w:type="auto"/>
            <w:gridSpan w:val="2"/>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val="0"/>
                <w:bCs/>
                <w:color w:val="auto"/>
                <w:kern w:val="2"/>
                <w:sz w:val="21"/>
                <w:szCs w:val="21"/>
                <w:highlight w:val="none"/>
                <w:lang w:val="en-US"/>
              </w:rPr>
            </w:pPr>
            <w:r>
              <w:rPr>
                <w:rFonts w:hint="eastAsia" w:cs="Times New Roman"/>
                <w:b w:val="0"/>
                <w:bCs/>
                <w:color w:val="auto"/>
                <w:kern w:val="2"/>
                <w:sz w:val="21"/>
                <w:szCs w:val="21"/>
                <w:highlight w:val="none"/>
                <w:lang w:val="en-US" w:eastAsia="zh-CN"/>
              </w:rPr>
              <w:t>NH</w:t>
            </w:r>
            <w:r>
              <w:rPr>
                <w:rFonts w:hint="eastAsia" w:cs="Times New Roman"/>
                <w:b w:val="0"/>
                <w:bCs/>
                <w:color w:val="auto"/>
                <w:kern w:val="2"/>
                <w:sz w:val="21"/>
                <w:szCs w:val="21"/>
                <w:highlight w:val="none"/>
                <w:vertAlign w:val="subscript"/>
                <w:lang w:val="en-US" w:eastAsia="zh-CN"/>
              </w:rPr>
              <w:t>3</w:t>
            </w:r>
          </w:p>
        </w:tc>
        <w:tc>
          <w:tcPr>
            <w:tcW w:w="0" w:type="auto"/>
            <w:vMerge w:val="restart"/>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b w:val="0"/>
                <w:bCs/>
                <w:color w:val="auto"/>
                <w:kern w:val="2"/>
                <w:sz w:val="21"/>
                <w:szCs w:val="21"/>
                <w:highlight w:val="none"/>
              </w:rPr>
            </w:pPr>
            <w:r>
              <w:rPr>
                <w:rFonts w:hint="eastAsia"/>
                <w:b w:val="0"/>
                <w:bCs/>
                <w:color w:val="auto"/>
                <w:kern w:val="2"/>
                <w:sz w:val="21"/>
                <w:szCs w:val="21"/>
                <w:highlight w:val="none"/>
              </w:rPr>
              <w:t>距点源下风向距离D（m）</w:t>
            </w:r>
          </w:p>
        </w:tc>
        <w:tc>
          <w:tcPr>
            <w:tcW w:w="0" w:type="auto"/>
            <w:gridSpan w:val="2"/>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val="0"/>
                <w:bCs/>
                <w:color w:val="auto"/>
                <w:kern w:val="2"/>
                <w:sz w:val="21"/>
                <w:szCs w:val="21"/>
                <w:highlight w:val="none"/>
                <w:lang w:val="en-US"/>
              </w:rPr>
            </w:pPr>
            <w:r>
              <w:rPr>
                <w:rFonts w:hint="eastAsia" w:cs="Times New Roman"/>
                <w:b w:val="0"/>
                <w:bCs/>
                <w:color w:val="auto"/>
                <w:sz w:val="21"/>
                <w:szCs w:val="21"/>
                <w:highlight w:val="none"/>
                <w:lang w:val="en-US" w:eastAsia="zh-CN"/>
              </w:rPr>
              <w:t>H</w:t>
            </w:r>
            <w:r>
              <w:rPr>
                <w:rFonts w:hint="eastAsia" w:cs="Times New Roman"/>
                <w:b w:val="0"/>
                <w:bCs/>
                <w:color w:val="auto"/>
                <w:sz w:val="21"/>
                <w:szCs w:val="21"/>
                <w:highlight w:val="none"/>
                <w:vertAlign w:val="subscript"/>
                <w:lang w:val="en-US" w:eastAsia="zh-CN"/>
              </w:rPr>
              <w:t>2</w:t>
            </w:r>
            <w:r>
              <w:rPr>
                <w:rFonts w:hint="eastAsia" w:cs="Times New Roman"/>
                <w:b w:val="0"/>
                <w:bCs/>
                <w:color w:val="auto"/>
                <w:sz w:val="21"/>
                <w:szCs w:val="21"/>
                <w:highlight w:val="none"/>
                <w:lang w:val="en-US" w:eastAsia="zh-CN"/>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blHeader/>
        </w:trPr>
        <w:tc>
          <w:tcPr>
            <w:tcW w:w="0" w:type="auto"/>
            <w:vMerge w:val="continue"/>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422"/>
              <w:textAlignment w:val="auto"/>
              <w:rPr>
                <w:b w:val="0"/>
                <w:bCs/>
                <w:color w:val="auto"/>
                <w:kern w:val="2"/>
                <w:sz w:val="21"/>
                <w:szCs w:val="21"/>
                <w:highlight w:val="none"/>
              </w:rPr>
            </w:pPr>
          </w:p>
        </w:tc>
        <w:tc>
          <w:tcPr>
            <w:tcW w:w="0" w:type="auto"/>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b w:val="0"/>
                <w:bCs/>
                <w:color w:val="auto"/>
                <w:kern w:val="2"/>
                <w:sz w:val="21"/>
                <w:szCs w:val="21"/>
                <w:highlight w:val="none"/>
              </w:rPr>
            </w:pPr>
            <w:r>
              <w:rPr>
                <w:rFonts w:hint="eastAsia"/>
                <w:b w:val="0"/>
                <w:bCs/>
                <w:color w:val="auto"/>
                <w:sz w:val="21"/>
                <w:szCs w:val="21"/>
                <w:highlight w:val="none"/>
              </w:rPr>
              <w:t>1小时浓度</w:t>
            </w:r>
            <w:r>
              <w:rPr>
                <w:rFonts w:hint="eastAsia"/>
                <w:b w:val="0"/>
                <w:bCs/>
                <w:color w:val="auto"/>
                <w:kern w:val="2"/>
                <w:sz w:val="21"/>
                <w:szCs w:val="21"/>
                <w:highlight w:val="none"/>
              </w:rPr>
              <w:t>（mg/m</w:t>
            </w:r>
            <w:r>
              <w:rPr>
                <w:b w:val="0"/>
                <w:bCs/>
                <w:color w:val="auto"/>
                <w:kern w:val="2"/>
                <w:sz w:val="21"/>
                <w:szCs w:val="21"/>
                <w:highlight w:val="none"/>
                <w:vertAlign w:val="superscript"/>
              </w:rPr>
              <w:t>3</w:t>
            </w:r>
            <w:r>
              <w:rPr>
                <w:rFonts w:hint="eastAsia"/>
                <w:b w:val="0"/>
                <w:bCs/>
                <w:color w:val="auto"/>
                <w:kern w:val="2"/>
                <w:sz w:val="21"/>
                <w:szCs w:val="21"/>
                <w:highlight w:val="none"/>
              </w:rPr>
              <w:t>）</w:t>
            </w:r>
          </w:p>
        </w:tc>
        <w:tc>
          <w:tcPr>
            <w:tcW w:w="0" w:type="auto"/>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b w:val="0"/>
                <w:bCs/>
                <w:color w:val="auto"/>
                <w:sz w:val="21"/>
                <w:szCs w:val="21"/>
                <w:highlight w:val="none"/>
              </w:rPr>
            </w:pPr>
            <w:r>
              <w:rPr>
                <w:rFonts w:hint="eastAsia"/>
                <w:b w:val="0"/>
                <w:bCs/>
                <w:color w:val="auto"/>
                <w:sz w:val="21"/>
                <w:szCs w:val="21"/>
                <w:highlight w:val="none"/>
              </w:rPr>
              <w:t>1小时浓度</w:t>
            </w:r>
            <w:r>
              <w:rPr>
                <w:rFonts w:hint="eastAsia"/>
                <w:b w:val="0"/>
                <w:bCs/>
                <w:color w:val="auto"/>
                <w:kern w:val="2"/>
                <w:sz w:val="21"/>
                <w:szCs w:val="21"/>
                <w:highlight w:val="none"/>
              </w:rPr>
              <w:t>占标率（%）</w:t>
            </w:r>
          </w:p>
        </w:tc>
        <w:tc>
          <w:tcPr>
            <w:tcW w:w="0" w:type="auto"/>
            <w:vMerge w:val="continue"/>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422"/>
              <w:textAlignment w:val="auto"/>
              <w:rPr>
                <w:b w:val="0"/>
                <w:bCs/>
                <w:color w:val="auto"/>
                <w:kern w:val="2"/>
                <w:sz w:val="21"/>
                <w:szCs w:val="21"/>
                <w:highlight w:val="none"/>
              </w:rPr>
            </w:pPr>
          </w:p>
        </w:tc>
        <w:tc>
          <w:tcPr>
            <w:tcW w:w="0" w:type="auto"/>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b w:val="0"/>
                <w:bCs/>
                <w:color w:val="auto"/>
                <w:kern w:val="2"/>
                <w:sz w:val="21"/>
                <w:szCs w:val="21"/>
                <w:highlight w:val="none"/>
              </w:rPr>
            </w:pPr>
            <w:r>
              <w:rPr>
                <w:rFonts w:hint="eastAsia"/>
                <w:b w:val="0"/>
                <w:bCs/>
                <w:color w:val="auto"/>
                <w:sz w:val="21"/>
                <w:szCs w:val="21"/>
                <w:highlight w:val="none"/>
              </w:rPr>
              <w:t>1小时浓度</w:t>
            </w:r>
            <w:r>
              <w:rPr>
                <w:rFonts w:hint="eastAsia"/>
                <w:b w:val="0"/>
                <w:bCs/>
                <w:color w:val="auto"/>
                <w:kern w:val="2"/>
                <w:sz w:val="21"/>
                <w:szCs w:val="21"/>
                <w:highlight w:val="none"/>
              </w:rPr>
              <w:t>（mg/m</w:t>
            </w:r>
            <w:r>
              <w:rPr>
                <w:b w:val="0"/>
                <w:bCs/>
                <w:color w:val="auto"/>
                <w:kern w:val="2"/>
                <w:sz w:val="21"/>
                <w:szCs w:val="21"/>
                <w:highlight w:val="none"/>
                <w:vertAlign w:val="superscript"/>
              </w:rPr>
              <w:t>3</w:t>
            </w:r>
            <w:r>
              <w:rPr>
                <w:rFonts w:hint="eastAsia"/>
                <w:b w:val="0"/>
                <w:bCs/>
                <w:color w:val="auto"/>
                <w:kern w:val="2"/>
                <w:sz w:val="21"/>
                <w:szCs w:val="21"/>
                <w:highlight w:val="none"/>
              </w:rPr>
              <w:t>）</w:t>
            </w:r>
          </w:p>
        </w:tc>
        <w:tc>
          <w:tcPr>
            <w:tcW w:w="0" w:type="auto"/>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b w:val="0"/>
                <w:bCs/>
                <w:color w:val="auto"/>
                <w:sz w:val="21"/>
                <w:szCs w:val="21"/>
                <w:highlight w:val="none"/>
              </w:rPr>
            </w:pPr>
            <w:r>
              <w:rPr>
                <w:rFonts w:hint="eastAsia"/>
                <w:b w:val="0"/>
                <w:bCs/>
                <w:color w:val="auto"/>
                <w:sz w:val="21"/>
                <w:szCs w:val="21"/>
                <w:highlight w:val="none"/>
              </w:rPr>
              <w:t>1小时浓度</w:t>
            </w:r>
            <w:r>
              <w:rPr>
                <w:rFonts w:hint="eastAsia"/>
                <w:b w:val="0"/>
                <w:bCs/>
                <w:color w:val="auto"/>
                <w:kern w:val="2"/>
                <w:sz w:val="21"/>
                <w:szCs w:val="21"/>
                <w:highlight w:val="none"/>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3.82E-03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1.91</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2.94E-04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4.92E-03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2.46</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3.79E-04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3.79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6.54E-03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3.27</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5.03E-04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300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8.29E-03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4.14</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300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6.37E-04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6.37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9.51E-03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4.75</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7.31E-04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1.01E-02</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5.03</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7.73E-04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600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1.02E-02</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5.1</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600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7.84E-04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7.84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b/>
                <w:bCs/>
                <w:color w:val="auto"/>
                <w:sz w:val="21"/>
                <w:szCs w:val="21"/>
                <w:highlight w:val="none"/>
                <w:lang w:val="en-US" w:eastAsia="zh-CN"/>
              </w:rPr>
            </w:pPr>
            <w:r>
              <w:rPr>
                <w:rFonts w:hint="eastAsia"/>
                <w:b w:val="0"/>
                <w:bCs w:val="0"/>
                <w:color w:val="auto"/>
                <w:sz w:val="21"/>
                <w:szCs w:val="21"/>
                <w:highlight w:val="none"/>
                <w:lang w:val="en-US" w:eastAsia="zh-CN"/>
              </w:rPr>
              <w:t>700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1.01E-02</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5.05</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700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7.77E-04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800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9.88E-03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4.94</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800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7.60E-04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900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9.61E-03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4.8</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900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7.39E-04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1000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9.50E-03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4.75</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1000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7.30E-04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1100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9.52E-03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4.76</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1100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7.32E-04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1200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9.51E-03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4.76</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1200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7.31E-04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1300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9.48E-03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4.74</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1300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7.29E-04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1400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9.42E-03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4.71</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1400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7.24E-04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1500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9.35E-03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4.67</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1500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7.19E-04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1600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9.26E-03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4.63</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1600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7.12E-04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1700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9.16E-03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4.58</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1700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7.05E-04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1800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9.06E-03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4.53</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1800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6.97E-04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6.97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1900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8.94E-03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4.47</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1900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6.87E-04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6.87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2000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8.81E-03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4.41</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2000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6.77E-04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6.77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2100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8.68E-03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4.34</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2100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6.67E-04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6.67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2200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8.53E-03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4.27</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2200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6.56E-04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6.56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2300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8.40E-03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4.2</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2300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6.45E-04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6.45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2400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8.25E-03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4.12</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2400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6.34E-04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6.34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2500</w:t>
            </w:r>
          </w:p>
        </w:tc>
        <w:tc>
          <w:tcPr>
            <w:tcW w:w="14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8.10E-03</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4.05</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2500</w:t>
            </w:r>
          </w:p>
        </w:tc>
        <w:tc>
          <w:tcPr>
            <w:tcW w:w="14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6.23E-04</w:t>
            </w:r>
          </w:p>
        </w:tc>
        <w:tc>
          <w:tcPr>
            <w:tcW w:w="122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6.23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trPr>
        <w:tc>
          <w:tcPr>
            <w:tcW w:w="0" w:type="auto"/>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color w:val="auto"/>
                <w:kern w:val="2"/>
                <w:sz w:val="21"/>
                <w:szCs w:val="21"/>
                <w:highlight w:val="none"/>
              </w:rPr>
            </w:pPr>
            <w:r>
              <w:rPr>
                <w:rFonts w:hint="eastAsia"/>
                <w:color w:val="auto"/>
                <w:kern w:val="2"/>
                <w:sz w:val="21"/>
                <w:szCs w:val="21"/>
                <w:highlight w:val="none"/>
              </w:rPr>
              <w:t>最大落地浓度距离（m）</w:t>
            </w:r>
          </w:p>
        </w:tc>
        <w:tc>
          <w:tcPr>
            <w:tcW w:w="0" w:type="auto"/>
            <w:gridSpan w:val="2"/>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eastAsia="宋体"/>
                <w:color w:val="auto"/>
                <w:kern w:val="2"/>
                <w:sz w:val="21"/>
                <w:szCs w:val="21"/>
                <w:highlight w:val="none"/>
                <w:lang w:val="en-US" w:eastAsia="zh-CN"/>
              </w:rPr>
            </w:pPr>
            <w:r>
              <w:rPr>
                <w:rFonts w:hint="eastAsia"/>
                <w:color w:val="auto"/>
                <w:kern w:val="2"/>
                <w:sz w:val="21"/>
                <w:szCs w:val="21"/>
                <w:highlight w:val="none"/>
                <w:lang w:val="en-US" w:eastAsia="zh-CN"/>
              </w:rPr>
              <w:t>600</w:t>
            </w:r>
          </w:p>
        </w:tc>
        <w:tc>
          <w:tcPr>
            <w:tcW w:w="0" w:type="auto"/>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color w:val="auto"/>
                <w:kern w:val="2"/>
                <w:sz w:val="21"/>
                <w:szCs w:val="21"/>
                <w:highlight w:val="none"/>
              </w:rPr>
            </w:pPr>
            <w:r>
              <w:rPr>
                <w:rFonts w:hint="eastAsia"/>
                <w:color w:val="auto"/>
                <w:kern w:val="2"/>
                <w:sz w:val="21"/>
                <w:szCs w:val="21"/>
                <w:highlight w:val="none"/>
              </w:rPr>
              <w:t>最大落地浓度距离（m）</w:t>
            </w:r>
          </w:p>
        </w:tc>
        <w:tc>
          <w:tcPr>
            <w:tcW w:w="0" w:type="auto"/>
            <w:gridSpan w:val="2"/>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eastAsia="宋体"/>
                <w:color w:val="auto"/>
                <w:kern w:val="2"/>
                <w:sz w:val="21"/>
                <w:szCs w:val="21"/>
                <w:highlight w:val="none"/>
                <w:lang w:val="en-US" w:eastAsia="zh-CN"/>
              </w:rPr>
            </w:pPr>
            <w:r>
              <w:rPr>
                <w:rFonts w:hint="eastAsia"/>
                <w:color w:val="auto"/>
                <w:kern w:val="2"/>
                <w:sz w:val="21"/>
                <w:szCs w:val="21"/>
                <w:highlight w:val="none"/>
                <w:lang w:val="en-US" w:eastAsia="zh-CN"/>
              </w:rPr>
              <w:t>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color w:val="auto"/>
                <w:kern w:val="2"/>
                <w:sz w:val="21"/>
                <w:szCs w:val="21"/>
                <w:highlight w:val="none"/>
              </w:rPr>
            </w:pPr>
            <w:r>
              <w:rPr>
                <w:rFonts w:hint="eastAsia"/>
                <w:color w:val="auto"/>
                <w:kern w:val="2"/>
                <w:sz w:val="21"/>
                <w:szCs w:val="21"/>
                <w:highlight w:val="none"/>
              </w:rPr>
              <w:t>最大占标率（%）</w:t>
            </w:r>
          </w:p>
        </w:tc>
        <w:tc>
          <w:tcPr>
            <w:tcW w:w="0" w:type="auto"/>
            <w:gridSpan w:val="2"/>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eastAsia="宋体"/>
                <w:color w:val="auto"/>
                <w:kern w:val="2"/>
                <w:sz w:val="21"/>
                <w:szCs w:val="21"/>
                <w:highlight w:val="none"/>
                <w:lang w:val="en-US" w:eastAsia="zh-CN"/>
              </w:rPr>
            </w:pPr>
            <w:r>
              <w:rPr>
                <w:rFonts w:hint="eastAsia"/>
                <w:color w:val="auto"/>
                <w:kern w:val="2"/>
                <w:sz w:val="21"/>
                <w:szCs w:val="21"/>
                <w:highlight w:val="none"/>
                <w:lang w:val="en-US" w:eastAsia="zh-CN"/>
              </w:rPr>
              <w:t>5.1</w:t>
            </w:r>
          </w:p>
        </w:tc>
        <w:tc>
          <w:tcPr>
            <w:tcW w:w="0" w:type="auto"/>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color w:val="auto"/>
                <w:kern w:val="2"/>
                <w:sz w:val="21"/>
                <w:szCs w:val="21"/>
                <w:highlight w:val="none"/>
              </w:rPr>
            </w:pPr>
            <w:r>
              <w:rPr>
                <w:rFonts w:hint="eastAsia"/>
                <w:color w:val="auto"/>
                <w:kern w:val="2"/>
                <w:sz w:val="21"/>
                <w:szCs w:val="21"/>
                <w:highlight w:val="none"/>
              </w:rPr>
              <w:t>最大占标率（%）</w:t>
            </w:r>
          </w:p>
        </w:tc>
        <w:tc>
          <w:tcPr>
            <w:tcW w:w="0" w:type="auto"/>
            <w:gridSpan w:val="2"/>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eastAsia="宋体"/>
                <w:color w:val="auto"/>
                <w:kern w:val="2"/>
                <w:sz w:val="21"/>
                <w:szCs w:val="21"/>
                <w:highlight w:val="none"/>
                <w:lang w:val="en-US" w:eastAsia="zh-CN"/>
              </w:rPr>
            </w:pPr>
            <w:r>
              <w:rPr>
                <w:rFonts w:hint="eastAsia"/>
                <w:color w:val="auto"/>
                <w:kern w:val="2"/>
                <w:sz w:val="21"/>
                <w:szCs w:val="21"/>
                <w:highlight w:val="none"/>
                <w:lang w:val="en-US" w:eastAsia="zh-CN"/>
              </w:rPr>
              <w:t>7.84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color w:val="auto"/>
                <w:kern w:val="2"/>
                <w:sz w:val="21"/>
                <w:szCs w:val="21"/>
                <w:highlight w:val="none"/>
              </w:rPr>
            </w:pPr>
            <w:r>
              <w:rPr>
                <w:rFonts w:hint="eastAsia"/>
                <w:color w:val="auto"/>
                <w:kern w:val="2"/>
                <w:sz w:val="21"/>
                <w:szCs w:val="21"/>
                <w:highlight w:val="none"/>
              </w:rPr>
              <w:t>最大落地浓度（mg/m</w:t>
            </w:r>
            <w:r>
              <w:rPr>
                <w:color w:val="auto"/>
                <w:kern w:val="2"/>
                <w:sz w:val="21"/>
                <w:szCs w:val="21"/>
                <w:highlight w:val="none"/>
                <w:vertAlign w:val="superscript"/>
              </w:rPr>
              <w:t>3</w:t>
            </w:r>
            <w:r>
              <w:rPr>
                <w:rFonts w:hint="eastAsia"/>
                <w:color w:val="auto"/>
                <w:kern w:val="2"/>
                <w:sz w:val="21"/>
                <w:szCs w:val="21"/>
                <w:highlight w:val="none"/>
              </w:rPr>
              <w:t>）</w:t>
            </w:r>
          </w:p>
        </w:tc>
        <w:tc>
          <w:tcPr>
            <w:tcW w:w="0" w:type="auto"/>
            <w:gridSpan w:val="2"/>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eastAsia="宋体"/>
                <w:color w:val="auto"/>
                <w:kern w:val="2"/>
                <w:sz w:val="21"/>
                <w:szCs w:val="21"/>
                <w:highlight w:val="none"/>
                <w:lang w:eastAsia="zh-CN"/>
              </w:rPr>
            </w:pPr>
            <w:r>
              <w:rPr>
                <w:rFonts w:hint="eastAsia"/>
                <w:b w:val="0"/>
                <w:bCs w:val="0"/>
                <w:color w:val="auto"/>
                <w:sz w:val="21"/>
                <w:szCs w:val="21"/>
                <w:highlight w:val="none"/>
                <w:lang w:val="en-US" w:eastAsia="zh-CN"/>
              </w:rPr>
              <w:t>0.0102</w:t>
            </w:r>
          </w:p>
        </w:tc>
        <w:tc>
          <w:tcPr>
            <w:tcW w:w="0" w:type="auto"/>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color w:val="auto"/>
                <w:kern w:val="2"/>
                <w:sz w:val="21"/>
                <w:szCs w:val="21"/>
                <w:highlight w:val="none"/>
              </w:rPr>
            </w:pPr>
            <w:r>
              <w:rPr>
                <w:rFonts w:hint="eastAsia"/>
                <w:color w:val="auto"/>
                <w:kern w:val="2"/>
                <w:sz w:val="21"/>
                <w:szCs w:val="21"/>
                <w:highlight w:val="none"/>
              </w:rPr>
              <w:t>最大落地浓度（mg/m</w:t>
            </w:r>
            <w:r>
              <w:rPr>
                <w:color w:val="auto"/>
                <w:kern w:val="2"/>
                <w:sz w:val="21"/>
                <w:szCs w:val="21"/>
                <w:highlight w:val="none"/>
                <w:vertAlign w:val="superscript"/>
              </w:rPr>
              <w:t>3</w:t>
            </w:r>
            <w:r>
              <w:rPr>
                <w:rFonts w:hint="eastAsia"/>
                <w:color w:val="auto"/>
                <w:kern w:val="2"/>
                <w:sz w:val="21"/>
                <w:szCs w:val="21"/>
                <w:highlight w:val="none"/>
              </w:rPr>
              <w:t>）</w:t>
            </w:r>
          </w:p>
        </w:tc>
        <w:tc>
          <w:tcPr>
            <w:tcW w:w="0" w:type="auto"/>
            <w:gridSpan w:val="2"/>
            <w:tcBorders>
              <w:tl2br w:val="nil"/>
              <w:tr2bl w:val="nil"/>
            </w:tcBorders>
            <w:vAlign w:val="center"/>
          </w:tcPr>
          <w:p>
            <w:pPr>
              <w:pStyle w:val="42"/>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eastAsia="宋体"/>
                <w:color w:val="auto"/>
                <w:kern w:val="2"/>
                <w:sz w:val="21"/>
                <w:szCs w:val="21"/>
                <w:highlight w:val="none"/>
                <w:lang w:eastAsia="zh-CN"/>
              </w:rPr>
            </w:pPr>
            <w:r>
              <w:rPr>
                <w:rFonts w:hint="eastAsia"/>
                <w:color w:val="auto"/>
                <w:kern w:val="2"/>
                <w:sz w:val="21"/>
                <w:szCs w:val="21"/>
                <w:highlight w:val="none"/>
                <w:lang w:val="en-US" w:eastAsia="zh-CN"/>
              </w:rPr>
              <w:t>0.000784</w:t>
            </w:r>
          </w:p>
        </w:tc>
      </w:tr>
    </w:tbl>
    <w:p>
      <w:pPr>
        <w:ind w:firstLine="480"/>
        <w:rPr>
          <w:rFonts w:hint="eastAsia"/>
          <w:color w:val="auto"/>
          <w:highlight w:val="none"/>
        </w:rPr>
      </w:pPr>
      <w:r>
        <w:rPr>
          <w:rFonts w:hint="eastAsia"/>
          <w:color w:val="auto"/>
          <w:highlight w:val="none"/>
        </w:rPr>
        <w:t>计算结果显示项目大气有组织废气</w:t>
      </w:r>
      <w:r>
        <w:rPr>
          <w:rFonts w:hint="eastAsia"/>
          <w:color w:val="auto"/>
          <w:highlight w:val="none"/>
          <w:lang w:eastAsia="zh-CN"/>
        </w:rPr>
        <w:t>中</w:t>
      </w:r>
      <w:r>
        <w:rPr>
          <w:rFonts w:hint="eastAsia"/>
          <w:color w:val="auto"/>
          <w:highlight w:val="none"/>
        </w:rPr>
        <w:t>NO</w:t>
      </w:r>
      <w:r>
        <w:rPr>
          <w:rFonts w:hint="eastAsia"/>
          <w:color w:val="auto"/>
          <w:highlight w:val="none"/>
          <w:vertAlign w:val="subscript"/>
          <w:lang w:val="en-US" w:eastAsia="zh-CN"/>
        </w:rPr>
        <w:t>X</w:t>
      </w:r>
      <w:r>
        <w:rPr>
          <w:rFonts w:hint="eastAsia"/>
          <w:color w:val="auto"/>
          <w:highlight w:val="none"/>
        </w:rPr>
        <w:t>最大贡献浓度0.00342</w:t>
      </w:r>
      <w:r>
        <w:rPr>
          <w:rFonts w:hint="eastAsia"/>
          <w:color w:val="auto"/>
          <w:highlight w:val="none"/>
          <w:lang w:val="en-US" w:eastAsia="zh-CN"/>
        </w:rPr>
        <w:t>m</w:t>
      </w:r>
      <w:r>
        <w:rPr>
          <w:rFonts w:hint="eastAsia"/>
          <w:color w:val="auto"/>
          <w:highlight w:val="none"/>
        </w:rPr>
        <w:t>g/m</w:t>
      </w:r>
      <w:r>
        <w:rPr>
          <w:rFonts w:hint="eastAsia"/>
          <w:color w:val="auto"/>
          <w:highlight w:val="none"/>
          <w:vertAlign w:val="superscript"/>
        </w:rPr>
        <w:t>3</w:t>
      </w:r>
      <w:r>
        <w:rPr>
          <w:rFonts w:hint="eastAsia"/>
          <w:color w:val="auto"/>
          <w:highlight w:val="none"/>
        </w:rPr>
        <w:t>，占标率</w:t>
      </w:r>
      <w:r>
        <w:rPr>
          <w:rFonts w:hint="eastAsia"/>
          <w:color w:val="auto"/>
          <w:highlight w:val="none"/>
          <w:lang w:val="en-US" w:eastAsia="zh-CN"/>
        </w:rPr>
        <w:t>1.37</w:t>
      </w:r>
      <w:r>
        <w:rPr>
          <w:rFonts w:hint="eastAsia"/>
          <w:color w:val="auto"/>
          <w:highlight w:val="none"/>
        </w:rPr>
        <w:t>%</w:t>
      </w:r>
      <w:r>
        <w:rPr>
          <w:rFonts w:hint="eastAsia"/>
          <w:color w:val="auto"/>
          <w:highlight w:val="none"/>
          <w:lang w:val="en-US" w:eastAsia="zh-CN"/>
        </w:rPr>
        <w:t>；</w:t>
      </w:r>
      <w:r>
        <w:rPr>
          <w:rFonts w:hint="eastAsia"/>
          <w:color w:val="auto"/>
          <w:highlight w:val="none"/>
        </w:rPr>
        <w:t>SO</w:t>
      </w:r>
      <w:r>
        <w:rPr>
          <w:rFonts w:hint="eastAsia"/>
          <w:color w:val="auto"/>
          <w:highlight w:val="none"/>
          <w:vertAlign w:val="subscript"/>
        </w:rPr>
        <w:t>2</w:t>
      </w:r>
      <w:r>
        <w:rPr>
          <w:rFonts w:hint="eastAsia"/>
          <w:color w:val="auto"/>
          <w:highlight w:val="none"/>
        </w:rPr>
        <w:t>最大贡献浓度0.000622</w:t>
      </w:r>
      <w:r>
        <w:rPr>
          <w:rFonts w:hint="eastAsia"/>
          <w:color w:val="auto"/>
          <w:highlight w:val="none"/>
          <w:lang w:val="en-US" w:eastAsia="zh-CN"/>
        </w:rPr>
        <w:t>m</w:t>
      </w:r>
      <w:r>
        <w:rPr>
          <w:rFonts w:hint="eastAsia"/>
          <w:color w:val="auto"/>
          <w:highlight w:val="none"/>
        </w:rPr>
        <w:t>g/m</w:t>
      </w:r>
      <w:r>
        <w:rPr>
          <w:rFonts w:hint="eastAsia"/>
          <w:color w:val="auto"/>
          <w:highlight w:val="none"/>
          <w:vertAlign w:val="superscript"/>
        </w:rPr>
        <w:t>3</w:t>
      </w:r>
      <w:r>
        <w:rPr>
          <w:rFonts w:hint="eastAsia"/>
          <w:color w:val="auto"/>
          <w:highlight w:val="none"/>
        </w:rPr>
        <w:t>，占标率0.</w:t>
      </w:r>
      <w:r>
        <w:rPr>
          <w:rFonts w:hint="eastAsia"/>
          <w:color w:val="auto"/>
          <w:highlight w:val="none"/>
          <w:lang w:val="en-US" w:eastAsia="zh-CN"/>
        </w:rPr>
        <w:t>12</w:t>
      </w:r>
      <w:r>
        <w:rPr>
          <w:rFonts w:hint="eastAsia"/>
          <w:color w:val="auto"/>
          <w:highlight w:val="none"/>
        </w:rPr>
        <w:t>%，PM</w:t>
      </w:r>
      <w:r>
        <w:rPr>
          <w:rFonts w:hint="eastAsia"/>
          <w:color w:val="auto"/>
          <w:highlight w:val="none"/>
          <w:vertAlign w:val="subscript"/>
        </w:rPr>
        <w:t>10</w:t>
      </w:r>
      <w:r>
        <w:rPr>
          <w:rFonts w:hint="eastAsia"/>
          <w:color w:val="auto"/>
          <w:highlight w:val="none"/>
        </w:rPr>
        <w:t>最大贡献浓度0.00107</w:t>
      </w:r>
      <w:r>
        <w:rPr>
          <w:rFonts w:hint="eastAsia"/>
          <w:color w:val="auto"/>
          <w:highlight w:val="none"/>
          <w:lang w:val="en-US" w:eastAsia="zh-CN"/>
        </w:rPr>
        <w:t>m</w:t>
      </w:r>
      <w:r>
        <w:rPr>
          <w:rFonts w:hint="eastAsia"/>
          <w:color w:val="auto"/>
          <w:highlight w:val="none"/>
        </w:rPr>
        <w:t>g/m</w:t>
      </w:r>
      <w:r>
        <w:rPr>
          <w:rFonts w:hint="eastAsia"/>
          <w:color w:val="auto"/>
          <w:highlight w:val="none"/>
          <w:vertAlign w:val="superscript"/>
        </w:rPr>
        <w:t>3</w:t>
      </w:r>
      <w:r>
        <w:rPr>
          <w:rFonts w:hint="eastAsia"/>
          <w:color w:val="auto"/>
          <w:highlight w:val="none"/>
        </w:rPr>
        <w:t>，占标率0.</w:t>
      </w:r>
      <w:r>
        <w:rPr>
          <w:rFonts w:hint="eastAsia"/>
          <w:color w:val="auto"/>
          <w:highlight w:val="none"/>
          <w:lang w:val="en-US" w:eastAsia="zh-CN"/>
        </w:rPr>
        <w:t>24</w:t>
      </w:r>
      <w:r>
        <w:rPr>
          <w:rFonts w:hint="eastAsia"/>
          <w:color w:val="auto"/>
          <w:highlight w:val="none"/>
        </w:rPr>
        <w:t>%；</w:t>
      </w:r>
      <w:r>
        <w:rPr>
          <w:rFonts w:hint="eastAsia"/>
          <w:color w:val="auto"/>
          <w:highlight w:val="none"/>
          <w:lang w:eastAsia="zh-CN"/>
        </w:rPr>
        <w:t>均</w:t>
      </w:r>
      <w:r>
        <w:rPr>
          <w:rFonts w:hint="eastAsia"/>
          <w:color w:val="auto"/>
          <w:highlight w:val="none"/>
        </w:rPr>
        <w:t>满足《环境空气质量标准》（GB3095-2012）中二级标准。</w:t>
      </w:r>
    </w:p>
    <w:p>
      <w:pPr>
        <w:ind w:firstLine="480"/>
        <w:rPr>
          <w:rFonts w:hint="eastAsia"/>
          <w:color w:val="auto"/>
          <w:highlight w:val="none"/>
          <w:lang w:eastAsia="zh-CN"/>
        </w:rPr>
      </w:pPr>
      <w:r>
        <w:rPr>
          <w:rFonts w:hint="eastAsia"/>
          <w:color w:val="auto"/>
          <w:highlight w:val="none"/>
          <w:lang w:eastAsia="zh-CN"/>
        </w:rPr>
        <w:t>火炬燃烧废气</w:t>
      </w:r>
      <w:r>
        <w:rPr>
          <w:rFonts w:hint="eastAsia"/>
          <w:color w:val="auto"/>
          <w:highlight w:val="none"/>
        </w:rPr>
        <w:t>NO</w:t>
      </w:r>
      <w:r>
        <w:rPr>
          <w:rFonts w:hint="eastAsia"/>
          <w:color w:val="auto"/>
          <w:highlight w:val="none"/>
          <w:vertAlign w:val="subscript"/>
          <w:lang w:val="en-US" w:eastAsia="zh-CN"/>
        </w:rPr>
        <w:t>X</w:t>
      </w:r>
      <w:r>
        <w:rPr>
          <w:rFonts w:hint="eastAsia"/>
          <w:color w:val="auto"/>
          <w:highlight w:val="none"/>
        </w:rPr>
        <w:t>最大贡献浓度0.00604</w:t>
      </w:r>
      <w:r>
        <w:rPr>
          <w:rFonts w:hint="eastAsia"/>
          <w:color w:val="auto"/>
          <w:highlight w:val="none"/>
          <w:lang w:val="en-US" w:eastAsia="zh-CN"/>
        </w:rPr>
        <w:t>m</w:t>
      </w:r>
      <w:r>
        <w:rPr>
          <w:rFonts w:hint="eastAsia"/>
          <w:color w:val="auto"/>
          <w:highlight w:val="none"/>
        </w:rPr>
        <w:t>g/m</w:t>
      </w:r>
      <w:r>
        <w:rPr>
          <w:rFonts w:hint="eastAsia"/>
          <w:color w:val="auto"/>
          <w:highlight w:val="none"/>
          <w:vertAlign w:val="superscript"/>
        </w:rPr>
        <w:t>3</w:t>
      </w:r>
      <w:r>
        <w:rPr>
          <w:rFonts w:hint="eastAsia"/>
          <w:color w:val="auto"/>
          <w:highlight w:val="none"/>
        </w:rPr>
        <w:t>，占标率</w:t>
      </w:r>
      <w:r>
        <w:rPr>
          <w:rFonts w:hint="eastAsia"/>
          <w:color w:val="auto"/>
          <w:highlight w:val="none"/>
          <w:lang w:val="en-US" w:eastAsia="zh-CN"/>
        </w:rPr>
        <w:t>2.41</w:t>
      </w:r>
      <w:r>
        <w:rPr>
          <w:rFonts w:hint="eastAsia"/>
          <w:color w:val="auto"/>
          <w:highlight w:val="none"/>
        </w:rPr>
        <w:t>%</w:t>
      </w:r>
      <w:r>
        <w:rPr>
          <w:rFonts w:hint="eastAsia"/>
          <w:color w:val="auto"/>
          <w:highlight w:val="none"/>
          <w:lang w:val="en-US" w:eastAsia="zh-CN"/>
        </w:rPr>
        <w:t>；</w:t>
      </w:r>
      <w:r>
        <w:rPr>
          <w:rFonts w:hint="eastAsia"/>
          <w:color w:val="auto"/>
          <w:highlight w:val="none"/>
        </w:rPr>
        <w:t>SO</w:t>
      </w:r>
      <w:r>
        <w:rPr>
          <w:rFonts w:hint="eastAsia"/>
          <w:color w:val="auto"/>
          <w:highlight w:val="none"/>
          <w:vertAlign w:val="subscript"/>
        </w:rPr>
        <w:t>2</w:t>
      </w:r>
      <w:r>
        <w:rPr>
          <w:rFonts w:hint="eastAsia"/>
          <w:color w:val="auto"/>
          <w:highlight w:val="none"/>
        </w:rPr>
        <w:t>最大贡献浓度0.0011</w:t>
      </w:r>
      <w:r>
        <w:rPr>
          <w:rFonts w:hint="eastAsia"/>
          <w:color w:val="auto"/>
          <w:highlight w:val="none"/>
          <w:lang w:val="en-US" w:eastAsia="zh-CN"/>
        </w:rPr>
        <w:t>m</w:t>
      </w:r>
      <w:r>
        <w:rPr>
          <w:rFonts w:hint="eastAsia"/>
          <w:color w:val="auto"/>
          <w:highlight w:val="none"/>
        </w:rPr>
        <w:t>g/m</w:t>
      </w:r>
      <w:r>
        <w:rPr>
          <w:rFonts w:hint="eastAsia"/>
          <w:color w:val="auto"/>
          <w:highlight w:val="none"/>
          <w:vertAlign w:val="superscript"/>
        </w:rPr>
        <w:t>3</w:t>
      </w:r>
      <w:r>
        <w:rPr>
          <w:rFonts w:hint="eastAsia"/>
          <w:color w:val="auto"/>
          <w:highlight w:val="none"/>
        </w:rPr>
        <w:t>，占标率0.</w:t>
      </w:r>
      <w:r>
        <w:rPr>
          <w:rFonts w:hint="eastAsia"/>
          <w:color w:val="auto"/>
          <w:highlight w:val="none"/>
          <w:lang w:val="en-US" w:eastAsia="zh-CN"/>
        </w:rPr>
        <w:t>22</w:t>
      </w:r>
      <w:r>
        <w:rPr>
          <w:rFonts w:hint="eastAsia"/>
          <w:color w:val="auto"/>
          <w:highlight w:val="none"/>
        </w:rPr>
        <w:t>%，PM</w:t>
      </w:r>
      <w:r>
        <w:rPr>
          <w:rFonts w:hint="eastAsia"/>
          <w:color w:val="auto"/>
          <w:highlight w:val="none"/>
          <w:vertAlign w:val="subscript"/>
        </w:rPr>
        <w:t>10</w:t>
      </w:r>
      <w:r>
        <w:rPr>
          <w:rFonts w:hint="eastAsia"/>
          <w:color w:val="auto"/>
          <w:highlight w:val="none"/>
        </w:rPr>
        <w:t>最大贡献浓度0.00188</w:t>
      </w:r>
      <w:r>
        <w:rPr>
          <w:rFonts w:hint="eastAsia"/>
          <w:color w:val="auto"/>
          <w:highlight w:val="none"/>
          <w:lang w:val="en-US" w:eastAsia="zh-CN"/>
        </w:rPr>
        <w:t>m</w:t>
      </w:r>
      <w:r>
        <w:rPr>
          <w:rFonts w:hint="eastAsia"/>
          <w:color w:val="auto"/>
          <w:highlight w:val="none"/>
        </w:rPr>
        <w:t>g/m</w:t>
      </w:r>
      <w:r>
        <w:rPr>
          <w:rFonts w:hint="eastAsia"/>
          <w:color w:val="auto"/>
          <w:highlight w:val="none"/>
          <w:vertAlign w:val="superscript"/>
        </w:rPr>
        <w:t>3</w:t>
      </w:r>
      <w:r>
        <w:rPr>
          <w:rFonts w:hint="eastAsia"/>
          <w:color w:val="auto"/>
          <w:highlight w:val="none"/>
        </w:rPr>
        <w:t>，占标率0.</w:t>
      </w:r>
      <w:r>
        <w:rPr>
          <w:rFonts w:hint="eastAsia"/>
          <w:color w:val="auto"/>
          <w:highlight w:val="none"/>
          <w:lang w:val="en-US" w:eastAsia="zh-CN"/>
        </w:rPr>
        <w:t>42</w:t>
      </w:r>
      <w:r>
        <w:rPr>
          <w:rFonts w:hint="eastAsia"/>
          <w:color w:val="auto"/>
          <w:highlight w:val="none"/>
        </w:rPr>
        <w:t>%</w:t>
      </w:r>
      <w:r>
        <w:rPr>
          <w:rFonts w:hint="eastAsia"/>
          <w:color w:val="auto"/>
          <w:highlight w:val="none"/>
          <w:lang w:eastAsia="zh-CN"/>
        </w:rPr>
        <w:t>。</w:t>
      </w:r>
    </w:p>
    <w:p>
      <w:pPr>
        <w:ind w:firstLine="480"/>
        <w:rPr>
          <w:rFonts w:hint="eastAsia"/>
          <w:color w:val="auto"/>
          <w:highlight w:val="none"/>
        </w:rPr>
      </w:pPr>
      <w:r>
        <w:rPr>
          <w:rFonts w:hint="eastAsia"/>
          <w:color w:val="auto"/>
          <w:highlight w:val="none"/>
        </w:rPr>
        <w:t>面源主要是场区无组织恶臭，其中H</w:t>
      </w:r>
      <w:r>
        <w:rPr>
          <w:rFonts w:hint="eastAsia"/>
          <w:color w:val="auto"/>
          <w:highlight w:val="none"/>
          <w:vertAlign w:val="subscript"/>
        </w:rPr>
        <w:t>2</w:t>
      </w:r>
      <w:r>
        <w:rPr>
          <w:rFonts w:hint="eastAsia"/>
          <w:color w:val="auto"/>
          <w:highlight w:val="none"/>
        </w:rPr>
        <w:t>S最大贡献浓度0.000784</w:t>
      </w:r>
      <w:r>
        <w:rPr>
          <w:rFonts w:hint="eastAsia"/>
          <w:color w:val="auto"/>
          <w:highlight w:val="none"/>
          <w:lang w:val="en-US" w:eastAsia="zh-CN"/>
        </w:rPr>
        <w:t>m</w:t>
      </w:r>
      <w:r>
        <w:rPr>
          <w:rFonts w:hint="eastAsia"/>
          <w:color w:val="auto"/>
          <w:highlight w:val="none"/>
        </w:rPr>
        <w:t>g/m</w:t>
      </w:r>
      <w:r>
        <w:rPr>
          <w:rFonts w:hint="eastAsia"/>
          <w:color w:val="auto"/>
          <w:highlight w:val="none"/>
          <w:vertAlign w:val="superscript"/>
        </w:rPr>
        <w:t>3</w:t>
      </w:r>
      <w:r>
        <w:rPr>
          <w:rFonts w:hint="eastAsia"/>
          <w:color w:val="auto"/>
          <w:highlight w:val="none"/>
        </w:rPr>
        <w:t>，占标率</w:t>
      </w:r>
      <w:r>
        <w:rPr>
          <w:rFonts w:hint="eastAsia"/>
          <w:color w:val="auto"/>
          <w:highlight w:val="none"/>
          <w:lang w:val="en-US" w:eastAsia="zh-CN"/>
        </w:rPr>
        <w:t>7.84</w:t>
      </w:r>
      <w:r>
        <w:rPr>
          <w:rFonts w:hint="eastAsia"/>
          <w:color w:val="auto"/>
          <w:highlight w:val="none"/>
        </w:rPr>
        <w:t>%</w:t>
      </w:r>
      <w:r>
        <w:rPr>
          <w:rFonts w:hint="eastAsia"/>
          <w:color w:val="auto"/>
          <w:highlight w:val="none"/>
          <w:lang w:eastAsia="zh-CN"/>
        </w:rPr>
        <w:t>；</w:t>
      </w:r>
      <w:r>
        <w:rPr>
          <w:rFonts w:hint="eastAsia"/>
          <w:color w:val="auto"/>
          <w:highlight w:val="none"/>
        </w:rPr>
        <w:t>NH</w:t>
      </w:r>
      <w:r>
        <w:rPr>
          <w:rFonts w:hint="eastAsia"/>
          <w:color w:val="auto"/>
          <w:highlight w:val="none"/>
          <w:vertAlign w:val="subscript"/>
        </w:rPr>
        <w:t>3</w:t>
      </w:r>
      <w:r>
        <w:rPr>
          <w:rFonts w:hint="eastAsia"/>
          <w:color w:val="auto"/>
          <w:highlight w:val="none"/>
        </w:rPr>
        <w:t>最大贡献浓度0.0102</w:t>
      </w:r>
      <w:r>
        <w:rPr>
          <w:rFonts w:hint="eastAsia"/>
          <w:color w:val="auto"/>
          <w:highlight w:val="none"/>
          <w:lang w:val="en-US" w:eastAsia="zh-CN"/>
        </w:rPr>
        <w:t>m</w:t>
      </w:r>
      <w:r>
        <w:rPr>
          <w:rFonts w:hint="eastAsia"/>
          <w:color w:val="auto"/>
          <w:highlight w:val="none"/>
        </w:rPr>
        <w:t>g/m</w:t>
      </w:r>
      <w:r>
        <w:rPr>
          <w:rFonts w:hint="eastAsia"/>
          <w:color w:val="auto"/>
          <w:highlight w:val="none"/>
          <w:vertAlign w:val="superscript"/>
        </w:rPr>
        <w:t>3</w:t>
      </w:r>
      <w:r>
        <w:rPr>
          <w:rFonts w:hint="eastAsia"/>
          <w:color w:val="auto"/>
          <w:highlight w:val="none"/>
        </w:rPr>
        <w:t>，占标率</w:t>
      </w:r>
      <w:r>
        <w:rPr>
          <w:rFonts w:hint="eastAsia"/>
          <w:color w:val="auto"/>
          <w:highlight w:val="none"/>
          <w:lang w:val="en-US" w:eastAsia="zh-CN"/>
        </w:rPr>
        <w:t>5.1</w:t>
      </w:r>
      <w:r>
        <w:rPr>
          <w:rFonts w:hint="eastAsia"/>
          <w:color w:val="auto"/>
          <w:highlight w:val="none"/>
        </w:rPr>
        <w:t>%</w:t>
      </w:r>
      <w:r>
        <w:rPr>
          <w:rFonts w:hint="eastAsia"/>
          <w:color w:val="auto"/>
          <w:highlight w:val="none"/>
          <w:lang w:eastAsia="zh-CN"/>
        </w:rPr>
        <w:t>。均满足</w:t>
      </w:r>
      <w:r>
        <w:rPr>
          <w:rFonts w:hint="eastAsia"/>
          <w:color w:val="auto"/>
          <w:highlight w:val="none"/>
        </w:rPr>
        <w:t>《环境影响评级技术导则大气环境》（HJ 2.2-2018）附录D中空气质量浓度限值。不会对大气环境产生显著影响。</w:t>
      </w:r>
    </w:p>
    <w:p>
      <w:pPr>
        <w:pStyle w:val="6"/>
        <w:ind w:firstLine="482"/>
        <w:rPr>
          <w:color w:val="auto"/>
          <w:highlight w:val="none"/>
        </w:rPr>
      </w:pPr>
      <w:r>
        <w:rPr>
          <w:rFonts w:hint="eastAsia"/>
          <w:color w:val="auto"/>
          <w:highlight w:val="none"/>
          <w:lang w:val="en-US" w:eastAsia="zh-CN"/>
        </w:rPr>
        <w:t>4</w:t>
      </w:r>
      <w:r>
        <w:rPr>
          <w:color w:val="auto"/>
          <w:highlight w:val="none"/>
        </w:rPr>
        <w:t>.</w:t>
      </w:r>
      <w:r>
        <w:rPr>
          <w:rFonts w:hint="eastAsia"/>
          <w:color w:val="auto"/>
          <w:highlight w:val="none"/>
        </w:rPr>
        <w:t>2</w:t>
      </w:r>
      <w:r>
        <w:rPr>
          <w:color w:val="auto"/>
          <w:highlight w:val="none"/>
        </w:rPr>
        <w:t>.1</w:t>
      </w:r>
      <w:r>
        <w:rPr>
          <w:rFonts w:hint="eastAsia"/>
          <w:color w:val="auto"/>
          <w:highlight w:val="none"/>
        </w:rPr>
        <w:t>.</w:t>
      </w:r>
      <w:r>
        <w:rPr>
          <w:rFonts w:hint="eastAsia"/>
          <w:color w:val="auto"/>
          <w:highlight w:val="none"/>
          <w:lang w:val="en-US" w:eastAsia="zh-CN"/>
        </w:rPr>
        <w:t>5</w:t>
      </w:r>
      <w:r>
        <w:rPr>
          <w:color w:val="auto"/>
          <w:highlight w:val="none"/>
        </w:rPr>
        <w:t>评价等级</w:t>
      </w:r>
    </w:p>
    <w:p>
      <w:pPr>
        <w:ind w:firstLine="480"/>
        <w:rPr>
          <w:color w:val="auto"/>
          <w:highlight w:val="none"/>
        </w:rPr>
      </w:pPr>
      <w:r>
        <w:rPr>
          <w:rFonts w:hint="eastAsia"/>
          <w:color w:val="auto"/>
          <w:highlight w:val="none"/>
        </w:rPr>
        <w:t>根据据《环境影响评价技术导则 大气环境》（HJ2.2-2018）中有关大气环境评价等级划分的要求，分别计算每一种污染物的最大地面空气质量浓度占标率及第i个污染物的地面空气质量浓度达标准限值10%时所对应的最远距离来定本项目的大气环境影响评价等级：</w:t>
      </w:r>
    </w:p>
    <w:p>
      <w:pPr>
        <w:snapToGrid w:val="0"/>
        <w:ind w:firstLine="480"/>
        <w:rPr>
          <w:rFonts w:cs="Times New Roman"/>
          <w:color w:val="auto"/>
          <w:highlight w:val="none"/>
        </w:rPr>
      </w:pPr>
      <w:r>
        <w:rPr>
          <w:color w:val="auto"/>
          <w:highlight w:val="none"/>
        </w:rPr>
        <w:pict>
          <v:shape id="_x0000_s2054" o:spid="_x0000_s2054" o:spt="75" type="#_x0000_t75" style="position:absolute;left:0pt;margin-left:34.35pt;margin-top:3.05pt;height:42.5pt;width:100.9pt;z-index:254159872;mso-width-relative:page;mso-height-relative:page;" o:ole="t" filled="f" o:preferrelative="t" stroked="f" coordsize="21600,21600">
            <v:path/>
            <v:fill on="f" focussize="0,0"/>
            <v:stroke on="f" joinstyle="miter"/>
            <v:imagedata r:id="rId14" o:title=""/>
            <o:lock v:ext="edit" aspectratio="t"/>
          </v:shape>
          <o:OLEObject Type="Embed" ProgID="Equation.3" ShapeID="_x0000_s2054" DrawAspect="Content" ObjectID="_1468075732" r:id="rId39">
            <o:LockedField>false</o:LockedField>
          </o:OLEObject>
        </w:pict>
      </w:r>
    </w:p>
    <w:p>
      <w:pPr>
        <w:snapToGrid w:val="0"/>
        <w:ind w:firstLine="480"/>
        <w:rPr>
          <w:rFonts w:cs="Times New Roman"/>
          <w:color w:val="auto"/>
          <w:highlight w:val="none"/>
        </w:rPr>
      </w:pPr>
    </w:p>
    <w:p>
      <w:pPr>
        <w:snapToGrid w:val="0"/>
        <w:ind w:firstLine="480"/>
        <w:rPr>
          <w:rFonts w:cs="Times New Roman"/>
          <w:color w:val="auto"/>
          <w:szCs w:val="28"/>
          <w:highlight w:val="none"/>
        </w:rPr>
      </w:pPr>
      <w:r>
        <w:rPr>
          <w:rFonts w:cs="Times New Roman"/>
          <w:color w:val="auto"/>
          <w:szCs w:val="28"/>
          <w:highlight w:val="none"/>
        </w:rPr>
        <w:t>式中：</w:t>
      </w:r>
    </w:p>
    <w:p>
      <w:pPr>
        <w:snapToGrid w:val="0"/>
        <w:ind w:firstLine="960" w:firstLineChars="400"/>
        <w:rPr>
          <w:rFonts w:cs="Times New Roman"/>
          <w:color w:val="auto"/>
          <w:szCs w:val="28"/>
          <w:highlight w:val="none"/>
        </w:rPr>
      </w:pPr>
      <w:r>
        <w:rPr>
          <w:rFonts w:cs="Times New Roman"/>
          <w:color w:val="auto"/>
          <w:highlight w:val="none"/>
        </w:rPr>
        <w:pict>
          <v:shape id="_x0000_s2055" o:spid="_x0000_s2055" o:spt="75" type="#_x0000_t75" style="position:absolute;left:0pt;margin-left:35.9pt;margin-top:1pt;height:18pt;width:12.45pt;z-index:254158848;mso-width-relative:page;mso-height-relative:page;" o:ole="t" filled="f" o:preferrelative="t" stroked="f" coordsize="21600,21600">
            <v:path/>
            <v:fill on="f" focussize="0,0"/>
            <v:stroke on="f" joinstyle="miter"/>
            <v:imagedata r:id="rId16" o:title=""/>
            <o:lock v:ext="edit" aspectratio="t"/>
          </v:shape>
          <o:OLEObject Type="Embed" ProgID="Equation.3" ShapeID="_x0000_s2055" DrawAspect="Content" ObjectID="_1468075733" r:id="rId40">
            <o:LockedField>false</o:LockedField>
          </o:OLEObject>
        </w:pict>
      </w:r>
      <w:r>
        <w:rPr>
          <w:rFonts w:cs="Times New Roman"/>
          <w:color w:val="auto"/>
          <w:szCs w:val="28"/>
          <w:highlight w:val="none"/>
        </w:rPr>
        <w:t>——</w:t>
      </w:r>
      <w:r>
        <w:rPr>
          <w:rFonts w:hint="eastAsia" w:cs="Times New Roman"/>
          <w:color w:val="auto"/>
          <w:szCs w:val="28"/>
          <w:highlight w:val="none"/>
        </w:rPr>
        <w:t>第i个污染物的最大地面空气质量浓度</w:t>
      </w:r>
      <w:r>
        <w:rPr>
          <w:rFonts w:cs="Times New Roman"/>
          <w:color w:val="auto"/>
          <w:szCs w:val="28"/>
          <w:highlight w:val="none"/>
        </w:rPr>
        <w:t>占标率</w:t>
      </w:r>
      <w:r>
        <w:rPr>
          <w:rFonts w:hint="eastAsia" w:cs="Times New Roman"/>
          <w:color w:val="auto"/>
          <w:szCs w:val="28"/>
          <w:highlight w:val="none"/>
        </w:rPr>
        <w:t>，%</w:t>
      </w:r>
      <w:r>
        <w:rPr>
          <w:rFonts w:cs="Times New Roman"/>
          <w:color w:val="auto"/>
          <w:szCs w:val="28"/>
          <w:highlight w:val="none"/>
        </w:rPr>
        <w:t>；</w:t>
      </w:r>
    </w:p>
    <w:p>
      <w:pPr>
        <w:snapToGrid w:val="0"/>
        <w:ind w:firstLine="960" w:firstLineChars="400"/>
        <w:rPr>
          <w:rFonts w:cs="Times New Roman"/>
          <w:color w:val="auto"/>
          <w:szCs w:val="28"/>
          <w:highlight w:val="none"/>
        </w:rPr>
      </w:pPr>
      <w:r>
        <w:rPr>
          <w:rFonts w:cs="Times New Roman"/>
          <w:color w:val="auto"/>
          <w:highlight w:val="none"/>
        </w:rPr>
        <w:pict>
          <v:shape id="_x0000_s2056" o:spid="_x0000_s2056" o:spt="75" type="#_x0000_t75" style="position:absolute;left:0pt;margin-left:33.7pt;margin-top:2.1pt;height:18pt;width:14.5pt;z-index:254160896;mso-width-relative:page;mso-height-relative:page;" o:ole="t" filled="f" o:preferrelative="t" stroked="f" coordsize="21600,21600">
            <v:path/>
            <v:fill on="f" focussize="0,0"/>
            <v:stroke on="f" joinstyle="miter"/>
            <v:imagedata r:id="rId18" o:title=""/>
            <o:lock v:ext="edit" aspectratio="t"/>
          </v:shape>
          <o:OLEObject Type="Embed" ProgID="Equation.3" ShapeID="_x0000_s2056" DrawAspect="Content" ObjectID="_1468075734" r:id="rId41">
            <o:LockedField>false</o:LockedField>
          </o:OLEObject>
        </w:pict>
      </w:r>
      <w:r>
        <w:rPr>
          <w:rFonts w:cs="Times New Roman"/>
          <w:color w:val="auto"/>
          <w:szCs w:val="28"/>
          <w:highlight w:val="none"/>
        </w:rPr>
        <w:t>——</w:t>
      </w:r>
      <w:r>
        <w:rPr>
          <w:rFonts w:hint="eastAsia" w:cs="Times New Roman"/>
          <w:color w:val="auto"/>
          <w:szCs w:val="28"/>
          <w:highlight w:val="none"/>
        </w:rPr>
        <w:t>采用估算模型计算出的第i个污染物的最大1h地面空气质量浓度</w:t>
      </w:r>
      <w:r>
        <w:rPr>
          <w:rFonts w:cs="Times New Roman"/>
          <w:color w:val="auto"/>
          <w:szCs w:val="28"/>
          <w:highlight w:val="none"/>
        </w:rPr>
        <w:t>，</w:t>
      </w:r>
      <w:r>
        <w:rPr>
          <w:rFonts w:hint="eastAsia" w:cs="Times New Roman"/>
          <w:color w:val="auto"/>
          <w:szCs w:val="28"/>
          <w:highlight w:val="none"/>
        </w:rPr>
        <w:t>u</w:t>
      </w:r>
      <w:r>
        <w:rPr>
          <w:rFonts w:cs="Times New Roman"/>
          <w:color w:val="auto"/>
          <w:szCs w:val="28"/>
          <w:highlight w:val="none"/>
        </w:rPr>
        <w:t>g/m</w:t>
      </w:r>
      <w:r>
        <w:rPr>
          <w:rFonts w:cs="Times New Roman"/>
          <w:color w:val="auto"/>
          <w:szCs w:val="28"/>
          <w:highlight w:val="none"/>
          <w:vertAlign w:val="superscript"/>
        </w:rPr>
        <w:t>3</w:t>
      </w:r>
      <w:r>
        <w:rPr>
          <w:rFonts w:cs="Times New Roman"/>
          <w:color w:val="auto"/>
          <w:szCs w:val="28"/>
          <w:highlight w:val="none"/>
        </w:rPr>
        <w:t>；</w:t>
      </w:r>
    </w:p>
    <w:p>
      <w:pPr>
        <w:snapToGrid w:val="0"/>
        <w:ind w:firstLine="960" w:firstLineChars="400"/>
        <w:rPr>
          <w:rFonts w:cs="Times New Roman"/>
          <w:color w:val="auto"/>
          <w:szCs w:val="28"/>
          <w:highlight w:val="none"/>
        </w:rPr>
      </w:pPr>
      <w:r>
        <w:rPr>
          <w:rFonts w:cs="Times New Roman"/>
          <w:color w:val="auto"/>
          <w:highlight w:val="none"/>
        </w:rPr>
        <w:pict>
          <v:shape id="_x0000_s2057" o:spid="_x0000_s2057" o:spt="75" type="#_x0000_t75" style="position:absolute;left:0pt;margin-left:31.1pt;margin-top:2.55pt;height:18pt;width:19.75pt;z-index:254161920;mso-width-relative:page;mso-height-relative:page;" o:ole="t" filled="f" o:preferrelative="t" stroked="f" coordsize="21600,21600">
            <v:path/>
            <v:fill on="f" focussize="0,0"/>
            <v:stroke on="f" joinstyle="miter"/>
            <v:imagedata r:id="rId20" o:title=""/>
            <o:lock v:ext="edit" aspectratio="t"/>
          </v:shape>
          <o:OLEObject Type="Embed" ProgID="Equation.3" ShapeID="_x0000_s2057" DrawAspect="Content" ObjectID="_1468075735" r:id="rId42">
            <o:LockedField>false</o:LockedField>
          </o:OLEObject>
        </w:pict>
      </w:r>
      <w:r>
        <w:rPr>
          <w:rFonts w:cs="Times New Roman"/>
          <w:color w:val="auto"/>
          <w:szCs w:val="28"/>
          <w:highlight w:val="none"/>
        </w:rPr>
        <w:t>——</w:t>
      </w:r>
      <w:r>
        <w:rPr>
          <w:rFonts w:hint="eastAsia" w:cs="Times New Roman"/>
          <w:color w:val="auto"/>
          <w:szCs w:val="28"/>
          <w:highlight w:val="none"/>
        </w:rPr>
        <w:t>第i个污染物的环境空气质量浓度标准</w:t>
      </w:r>
      <w:r>
        <w:rPr>
          <w:rFonts w:cs="Times New Roman"/>
          <w:color w:val="auto"/>
          <w:szCs w:val="28"/>
          <w:highlight w:val="none"/>
        </w:rPr>
        <w:t>，</w:t>
      </w:r>
      <w:r>
        <w:rPr>
          <w:rFonts w:hint="eastAsia" w:cs="Times New Roman"/>
          <w:color w:val="auto"/>
          <w:szCs w:val="28"/>
          <w:highlight w:val="none"/>
        </w:rPr>
        <w:t>u</w:t>
      </w:r>
      <w:r>
        <w:rPr>
          <w:rFonts w:cs="Times New Roman"/>
          <w:color w:val="auto"/>
          <w:szCs w:val="28"/>
          <w:highlight w:val="none"/>
        </w:rPr>
        <w:t>g/m</w:t>
      </w:r>
      <w:r>
        <w:rPr>
          <w:rFonts w:cs="Times New Roman"/>
          <w:color w:val="auto"/>
          <w:szCs w:val="28"/>
          <w:highlight w:val="none"/>
          <w:vertAlign w:val="superscript"/>
        </w:rPr>
        <w:t>3</w:t>
      </w:r>
      <w:r>
        <w:rPr>
          <w:rFonts w:cs="Times New Roman"/>
          <w:color w:val="auto"/>
          <w:szCs w:val="28"/>
          <w:highlight w:val="none"/>
        </w:rPr>
        <w:t>。</w:t>
      </w:r>
    </w:p>
    <w:p>
      <w:pPr>
        <w:pStyle w:val="2"/>
        <w:snapToGrid w:val="0"/>
        <w:ind w:firstLine="480"/>
        <w:rPr>
          <w:rFonts w:cs="Times New Roman"/>
          <w:color w:val="auto"/>
          <w:highlight w:val="none"/>
        </w:rPr>
      </w:pPr>
      <w:r>
        <w:rPr>
          <w:rFonts w:cs="Times New Roman"/>
          <w:color w:val="auto"/>
          <w:highlight w:val="none"/>
        </w:rPr>
        <w:t>大气环境影响评价工作等级判断如下表</w:t>
      </w:r>
      <w:r>
        <w:rPr>
          <w:rFonts w:hint="eastAsia" w:cs="Times New Roman"/>
          <w:color w:val="auto"/>
          <w:highlight w:val="none"/>
          <w:lang w:val="en-US" w:eastAsia="zh-CN"/>
        </w:rPr>
        <w:t>4</w:t>
      </w:r>
      <w:r>
        <w:rPr>
          <w:rFonts w:hint="eastAsia" w:cs="Times New Roman"/>
          <w:color w:val="auto"/>
          <w:highlight w:val="none"/>
        </w:rPr>
        <w:t>.2</w:t>
      </w:r>
      <w:r>
        <w:rPr>
          <w:rFonts w:cs="Times New Roman"/>
          <w:color w:val="auto"/>
          <w:highlight w:val="none"/>
        </w:rPr>
        <w:t>-</w:t>
      </w:r>
      <w:r>
        <w:rPr>
          <w:rFonts w:hint="eastAsia" w:cs="Times New Roman"/>
          <w:color w:val="auto"/>
          <w:highlight w:val="none"/>
          <w:lang w:val="en-US" w:eastAsia="zh-CN"/>
        </w:rPr>
        <w:t>14</w:t>
      </w:r>
      <w:r>
        <w:rPr>
          <w:rFonts w:cs="Times New Roman"/>
          <w:color w:val="auto"/>
          <w:highlight w:val="none"/>
        </w:rPr>
        <w:t>所示：</w:t>
      </w:r>
    </w:p>
    <w:p>
      <w:pPr>
        <w:pStyle w:val="40"/>
        <w:rPr>
          <w:rFonts w:hint="eastAsia" w:cs="Times New Roman"/>
          <w:color w:val="auto"/>
          <w:highlight w:val="none"/>
          <w:lang w:val="en-US" w:eastAsia="zh-CN"/>
        </w:rPr>
      </w:pPr>
      <w:r>
        <w:rPr>
          <w:rFonts w:hint="eastAsia" w:cs="Times New Roman"/>
          <w:color w:val="auto"/>
          <w:highlight w:val="none"/>
          <w:lang w:val="en-US" w:eastAsia="zh-CN"/>
        </w:rPr>
        <w:t>表4.2-14大气环境影响评价等级</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48"/>
        <w:gridCol w:w="59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6"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评价工作等级</w:t>
            </w:r>
          </w:p>
        </w:tc>
        <w:tc>
          <w:tcPr>
            <w:tcW w:w="3493"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评价工作分级判据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6"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一级</w:t>
            </w:r>
          </w:p>
        </w:tc>
        <w:tc>
          <w:tcPr>
            <w:tcW w:w="3493"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Pmax≥10%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6"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二级</w:t>
            </w:r>
          </w:p>
        </w:tc>
        <w:tc>
          <w:tcPr>
            <w:tcW w:w="3493"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1%≤Pmax＜10%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6"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三级</w:t>
            </w:r>
          </w:p>
        </w:tc>
        <w:tc>
          <w:tcPr>
            <w:tcW w:w="3493"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Pmax＜1%</w:t>
            </w:r>
          </w:p>
        </w:tc>
      </w:tr>
    </w:tbl>
    <w:p>
      <w:pPr>
        <w:ind w:firstLine="480"/>
        <w:rPr>
          <w:rFonts w:cs="Times New Roman"/>
          <w:color w:val="auto"/>
          <w:highlight w:val="none"/>
        </w:rPr>
      </w:pPr>
      <w:r>
        <w:rPr>
          <w:color w:val="auto"/>
          <w:highlight w:val="none"/>
        </w:rPr>
        <w:t>本次采用</w:t>
      </w:r>
      <w:r>
        <w:rPr>
          <w:rFonts w:hint="eastAsia"/>
          <w:color w:val="auto"/>
          <w:highlight w:val="none"/>
        </w:rPr>
        <w:t>AERSCREEN</w:t>
      </w:r>
      <w:r>
        <w:rPr>
          <w:color w:val="auto"/>
          <w:highlight w:val="none"/>
        </w:rPr>
        <w:t>估算模式对项目的废气进行估算。</w:t>
      </w:r>
      <w:r>
        <w:rPr>
          <w:rFonts w:cs="Times New Roman"/>
          <w:color w:val="auto"/>
          <w:highlight w:val="none"/>
        </w:rPr>
        <w:t>具体估算结果如下：</w:t>
      </w:r>
    </w:p>
    <w:p>
      <w:pPr>
        <w:pStyle w:val="40"/>
        <w:rPr>
          <w:rFonts w:hint="eastAsia" w:cs="Times New Roman"/>
          <w:color w:val="auto"/>
          <w:highlight w:val="none"/>
          <w:lang w:val="en-US" w:eastAsia="zh-CN"/>
        </w:rPr>
      </w:pPr>
      <w:r>
        <w:rPr>
          <w:rFonts w:hint="eastAsia" w:cs="Times New Roman"/>
          <w:color w:val="auto"/>
          <w:highlight w:val="none"/>
          <w:lang w:val="en-US" w:eastAsia="zh-CN"/>
        </w:rPr>
        <w:t>表4.2-15 项目废气排放估算结果一览表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77"/>
        <w:gridCol w:w="1365"/>
        <w:gridCol w:w="1884"/>
        <w:gridCol w:w="1376"/>
        <w:gridCol w:w="1800"/>
        <w:gridCol w:w="10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577"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污染源</w:t>
            </w:r>
          </w:p>
        </w:tc>
        <w:tc>
          <w:tcPr>
            <w:tcW w:w="806"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污染物</w:t>
            </w:r>
          </w:p>
        </w:tc>
        <w:tc>
          <w:tcPr>
            <w:tcW w:w="1113"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最大地面质量浓度（mg/m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w:t>
            </w:r>
          </w:p>
        </w:tc>
        <w:tc>
          <w:tcPr>
            <w:tcW w:w="813" w:type="pct"/>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占标率（Pmax）%</w:t>
            </w:r>
          </w:p>
        </w:tc>
        <w:tc>
          <w:tcPr>
            <w:tcW w:w="1063"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最大落地浓度距离（m）</w:t>
            </w:r>
          </w:p>
        </w:tc>
        <w:tc>
          <w:tcPr>
            <w:tcW w:w="625" w:type="pct"/>
            <w:vAlign w:val="center"/>
          </w:tcPr>
          <w:p>
            <w:pPr>
              <w:spacing w:line="240" w:lineRule="auto"/>
              <w:ind w:firstLine="0" w:firstLineChars="0"/>
              <w:jc w:val="center"/>
              <w:rPr>
                <w:rFonts w:hint="eastAsia"/>
                <w:color w:val="auto"/>
                <w:sz w:val="21"/>
                <w:szCs w:val="21"/>
                <w:highlight w:val="none"/>
                <w:lang w:val="en-US" w:eastAsia="zh-CN"/>
              </w:rPr>
            </w:pPr>
            <w:r>
              <w:rPr>
                <w:rFonts w:ascii="Times New Roman" w:hAnsi="Times New Roman"/>
                <w:color w:val="auto"/>
                <w:sz w:val="21"/>
                <w:szCs w:val="21"/>
                <w:highlight w:val="none"/>
              </w:rPr>
              <w:t>判定结果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77" w:type="pct"/>
            <w:vMerge w:val="restar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沼气锅炉燃烧</w:t>
            </w:r>
          </w:p>
        </w:tc>
        <w:tc>
          <w:tcPr>
            <w:tcW w:w="806"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PM</w:t>
            </w:r>
            <w:r>
              <w:rPr>
                <w:rFonts w:hint="eastAsia"/>
                <w:color w:val="auto"/>
                <w:sz w:val="21"/>
                <w:szCs w:val="21"/>
                <w:highlight w:val="none"/>
                <w:vertAlign w:val="subscript"/>
                <w:lang w:val="en-US" w:eastAsia="zh-CN"/>
              </w:rPr>
              <w:t>10</w:t>
            </w:r>
          </w:p>
        </w:tc>
        <w:tc>
          <w:tcPr>
            <w:tcW w:w="1113" w:type="pct"/>
            <w:vAlign w:val="center"/>
          </w:tcPr>
          <w:p>
            <w:pPr>
              <w:spacing w:line="240" w:lineRule="auto"/>
              <w:ind w:firstLine="0" w:firstLineChars="0"/>
              <w:jc w:val="center"/>
              <w:rPr>
                <w:rFonts w:hint="eastAsia"/>
                <w:color w:val="auto"/>
                <w:sz w:val="21"/>
                <w:szCs w:val="21"/>
                <w:highlight w:val="none"/>
                <w:lang w:val="en-US" w:eastAsia="zh-CN"/>
              </w:rPr>
            </w:pPr>
            <w:r>
              <w:rPr>
                <w:rFonts w:hint="default" w:ascii="Times New Roman" w:hAnsi="Times New Roman" w:cs="Times New Roman"/>
                <w:color w:val="auto"/>
                <w:kern w:val="2"/>
                <w:sz w:val="21"/>
                <w:szCs w:val="21"/>
                <w:highlight w:val="none"/>
              </w:rPr>
              <w:t>0.00107</w:t>
            </w:r>
          </w:p>
        </w:tc>
        <w:tc>
          <w:tcPr>
            <w:tcW w:w="813" w:type="pct"/>
            <w:vAlign w:val="center"/>
          </w:tcPr>
          <w:p>
            <w:pPr>
              <w:spacing w:line="240" w:lineRule="auto"/>
              <w:ind w:firstLine="0" w:firstLineChars="0"/>
              <w:jc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rPr>
              <w:t>0.24</w:t>
            </w:r>
          </w:p>
        </w:tc>
        <w:tc>
          <w:tcPr>
            <w:tcW w:w="1063" w:type="pct"/>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35</w:t>
            </w:r>
          </w:p>
        </w:tc>
        <w:tc>
          <w:tcPr>
            <w:tcW w:w="625"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7" w:type="pct"/>
            <w:vMerge w:val="continue"/>
            <w:vAlign w:val="center"/>
          </w:tcPr>
          <w:p>
            <w:pPr>
              <w:spacing w:line="240" w:lineRule="auto"/>
              <w:ind w:firstLine="0" w:firstLineChars="0"/>
              <w:jc w:val="center"/>
              <w:rPr>
                <w:rFonts w:hint="eastAsia"/>
                <w:color w:val="auto"/>
                <w:sz w:val="21"/>
                <w:szCs w:val="21"/>
                <w:highlight w:val="none"/>
                <w:lang w:val="en-US" w:eastAsia="zh-CN"/>
              </w:rPr>
            </w:pPr>
          </w:p>
        </w:tc>
        <w:tc>
          <w:tcPr>
            <w:tcW w:w="806" w:type="pct"/>
            <w:vAlign w:val="center"/>
          </w:tcPr>
          <w:p>
            <w:pPr>
              <w:spacing w:line="240" w:lineRule="auto"/>
              <w:ind w:firstLine="0" w:firstLineChars="0"/>
              <w:jc w:val="center"/>
              <w:rPr>
                <w:rFonts w:hint="eastAsia"/>
                <w:color w:val="auto"/>
                <w:sz w:val="21"/>
                <w:szCs w:val="21"/>
                <w:highlight w:val="none"/>
                <w:lang w:val="en-US" w:eastAsia="zh-CN"/>
              </w:rPr>
            </w:pPr>
            <w:r>
              <w:rPr>
                <w:rFonts w:hint="default"/>
                <w:color w:val="auto"/>
                <w:sz w:val="21"/>
                <w:szCs w:val="21"/>
                <w:highlight w:val="none"/>
                <w:lang w:val="en-US" w:eastAsia="zh-CN"/>
              </w:rPr>
              <w:t>SO</w:t>
            </w:r>
            <w:r>
              <w:rPr>
                <w:rFonts w:hint="default"/>
                <w:color w:val="auto"/>
                <w:sz w:val="21"/>
                <w:szCs w:val="21"/>
                <w:highlight w:val="none"/>
                <w:vertAlign w:val="subscript"/>
                <w:lang w:val="en-US" w:eastAsia="zh-CN"/>
              </w:rPr>
              <w:t>2</w:t>
            </w:r>
          </w:p>
        </w:tc>
        <w:tc>
          <w:tcPr>
            <w:tcW w:w="1113" w:type="pct"/>
            <w:vAlign w:val="center"/>
          </w:tcPr>
          <w:p>
            <w:pPr>
              <w:spacing w:line="240" w:lineRule="auto"/>
              <w:ind w:firstLine="0" w:firstLineChars="0"/>
              <w:jc w:val="center"/>
              <w:rPr>
                <w:rFonts w:hint="eastAsia"/>
                <w:color w:val="auto"/>
                <w:sz w:val="21"/>
                <w:szCs w:val="21"/>
                <w:highlight w:val="none"/>
                <w:lang w:val="en-US" w:eastAsia="zh-CN"/>
              </w:rPr>
            </w:pPr>
            <w:r>
              <w:rPr>
                <w:rFonts w:hint="default" w:ascii="Times New Roman" w:hAnsi="Times New Roman" w:cs="Times New Roman"/>
                <w:color w:val="auto"/>
                <w:kern w:val="2"/>
                <w:sz w:val="21"/>
                <w:szCs w:val="21"/>
                <w:highlight w:val="none"/>
              </w:rPr>
              <w:t>0.000622</w:t>
            </w:r>
          </w:p>
        </w:tc>
        <w:tc>
          <w:tcPr>
            <w:tcW w:w="813" w:type="pct"/>
            <w:vAlign w:val="center"/>
          </w:tcPr>
          <w:p>
            <w:pPr>
              <w:spacing w:line="240" w:lineRule="auto"/>
              <w:ind w:firstLine="0" w:firstLineChars="0"/>
              <w:jc w:val="center"/>
              <w:rPr>
                <w:rFonts w:hint="default"/>
                <w:color w:val="auto"/>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w:t>
            </w:r>
            <w:r>
              <w:rPr>
                <w:rFonts w:hint="eastAsia" w:cs="Times New Roman"/>
                <w:color w:val="auto"/>
                <w:kern w:val="2"/>
                <w:sz w:val="21"/>
                <w:szCs w:val="21"/>
                <w:highlight w:val="none"/>
                <w:lang w:val="en-US" w:eastAsia="zh-CN"/>
              </w:rPr>
              <w:t>.12</w:t>
            </w:r>
          </w:p>
        </w:tc>
        <w:tc>
          <w:tcPr>
            <w:tcW w:w="1063" w:type="pct"/>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35</w:t>
            </w:r>
          </w:p>
        </w:tc>
        <w:tc>
          <w:tcPr>
            <w:tcW w:w="625"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7" w:type="pct"/>
            <w:vMerge w:val="continue"/>
            <w:vAlign w:val="center"/>
          </w:tcPr>
          <w:p>
            <w:pPr>
              <w:spacing w:line="240" w:lineRule="auto"/>
              <w:ind w:firstLine="0" w:firstLineChars="0"/>
              <w:jc w:val="center"/>
              <w:rPr>
                <w:rFonts w:hint="eastAsia"/>
                <w:color w:val="auto"/>
                <w:sz w:val="21"/>
                <w:szCs w:val="21"/>
                <w:highlight w:val="none"/>
                <w:lang w:val="en-US" w:eastAsia="zh-CN"/>
              </w:rPr>
            </w:pPr>
          </w:p>
        </w:tc>
        <w:tc>
          <w:tcPr>
            <w:tcW w:w="806" w:type="pct"/>
            <w:vAlign w:val="center"/>
          </w:tcPr>
          <w:p>
            <w:pPr>
              <w:spacing w:line="240" w:lineRule="auto"/>
              <w:ind w:firstLine="0" w:firstLineChars="0"/>
              <w:jc w:val="center"/>
              <w:rPr>
                <w:rFonts w:hint="eastAsia"/>
                <w:color w:val="auto"/>
                <w:sz w:val="21"/>
                <w:szCs w:val="21"/>
                <w:highlight w:val="none"/>
                <w:lang w:val="en-US" w:eastAsia="zh-CN"/>
              </w:rPr>
            </w:pPr>
            <w:r>
              <w:rPr>
                <w:rFonts w:hint="default"/>
                <w:color w:val="auto"/>
                <w:sz w:val="21"/>
                <w:szCs w:val="21"/>
                <w:highlight w:val="none"/>
                <w:lang w:val="en-US" w:eastAsia="zh-CN"/>
              </w:rPr>
              <w:t>NO</w:t>
            </w:r>
            <w:r>
              <w:rPr>
                <w:rFonts w:hint="default"/>
                <w:color w:val="auto"/>
                <w:sz w:val="21"/>
                <w:szCs w:val="21"/>
                <w:highlight w:val="none"/>
                <w:vertAlign w:val="subscript"/>
                <w:lang w:val="en-US" w:eastAsia="zh-CN"/>
              </w:rPr>
              <w:t>X</w:t>
            </w:r>
          </w:p>
        </w:tc>
        <w:tc>
          <w:tcPr>
            <w:tcW w:w="1113" w:type="pct"/>
            <w:vAlign w:val="center"/>
          </w:tcPr>
          <w:p>
            <w:pPr>
              <w:spacing w:line="240" w:lineRule="auto"/>
              <w:ind w:firstLine="0" w:firstLineChars="0"/>
              <w:jc w:val="center"/>
              <w:rPr>
                <w:rFonts w:hint="eastAsia"/>
                <w:color w:val="auto"/>
                <w:sz w:val="21"/>
                <w:szCs w:val="21"/>
                <w:highlight w:val="none"/>
                <w:lang w:val="en-US" w:eastAsia="zh-CN"/>
              </w:rPr>
            </w:pPr>
            <w:r>
              <w:rPr>
                <w:rFonts w:hint="default" w:ascii="Times New Roman" w:hAnsi="Times New Roman" w:cs="Times New Roman"/>
                <w:color w:val="auto"/>
                <w:kern w:val="2"/>
                <w:sz w:val="21"/>
                <w:szCs w:val="21"/>
                <w:highlight w:val="none"/>
              </w:rPr>
              <w:t>0.00342</w:t>
            </w:r>
          </w:p>
        </w:tc>
        <w:tc>
          <w:tcPr>
            <w:tcW w:w="813" w:type="pct"/>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1.37</w:t>
            </w:r>
          </w:p>
        </w:tc>
        <w:tc>
          <w:tcPr>
            <w:tcW w:w="1063" w:type="pct"/>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35</w:t>
            </w:r>
          </w:p>
        </w:tc>
        <w:tc>
          <w:tcPr>
            <w:tcW w:w="625" w:type="pct"/>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7" w:type="pct"/>
            <w:vMerge w:val="restar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厂区</w:t>
            </w:r>
          </w:p>
        </w:tc>
        <w:tc>
          <w:tcPr>
            <w:tcW w:w="806"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无组织NH</w:t>
            </w:r>
            <w:r>
              <w:rPr>
                <w:rFonts w:hint="eastAsia"/>
                <w:color w:val="auto"/>
                <w:sz w:val="21"/>
                <w:szCs w:val="21"/>
                <w:highlight w:val="none"/>
                <w:vertAlign w:val="subscript"/>
                <w:lang w:val="en-US" w:eastAsia="zh-CN"/>
              </w:rPr>
              <w:t>3</w:t>
            </w:r>
          </w:p>
        </w:tc>
        <w:tc>
          <w:tcPr>
            <w:tcW w:w="1113"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b w:val="0"/>
                <w:bCs w:val="0"/>
                <w:color w:val="auto"/>
                <w:sz w:val="21"/>
                <w:szCs w:val="21"/>
                <w:highlight w:val="none"/>
                <w:lang w:val="en-US" w:eastAsia="zh-CN"/>
              </w:rPr>
              <w:t>0.0102</w:t>
            </w:r>
          </w:p>
        </w:tc>
        <w:tc>
          <w:tcPr>
            <w:tcW w:w="813" w:type="pct"/>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kern w:val="2"/>
                <w:sz w:val="21"/>
                <w:szCs w:val="21"/>
                <w:highlight w:val="none"/>
                <w:lang w:val="en-US" w:eastAsia="zh-CN"/>
              </w:rPr>
              <w:t>5.1</w:t>
            </w:r>
          </w:p>
        </w:tc>
        <w:tc>
          <w:tcPr>
            <w:tcW w:w="1063" w:type="pct"/>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600</w:t>
            </w:r>
          </w:p>
        </w:tc>
        <w:tc>
          <w:tcPr>
            <w:tcW w:w="625"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7" w:type="pct"/>
            <w:vMerge w:val="continue"/>
            <w:vAlign w:val="center"/>
          </w:tcPr>
          <w:p>
            <w:pPr>
              <w:spacing w:line="240" w:lineRule="auto"/>
              <w:ind w:firstLine="0" w:firstLineChars="0"/>
              <w:jc w:val="center"/>
              <w:rPr>
                <w:rFonts w:hint="eastAsia"/>
                <w:color w:val="auto"/>
                <w:sz w:val="21"/>
                <w:szCs w:val="21"/>
                <w:highlight w:val="none"/>
                <w:lang w:val="en-US" w:eastAsia="zh-CN"/>
              </w:rPr>
            </w:pPr>
          </w:p>
        </w:tc>
        <w:tc>
          <w:tcPr>
            <w:tcW w:w="806" w:type="pct"/>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无组织H</w:t>
            </w:r>
            <w:r>
              <w:rPr>
                <w:rFonts w:hint="eastAsia"/>
                <w:color w:val="auto"/>
                <w:sz w:val="21"/>
                <w:szCs w:val="21"/>
                <w:highlight w:val="none"/>
                <w:vertAlign w:val="subscript"/>
                <w:lang w:val="en-US" w:eastAsia="zh-CN"/>
              </w:rPr>
              <w:t>2</w:t>
            </w:r>
            <w:r>
              <w:rPr>
                <w:rFonts w:hint="eastAsia"/>
                <w:color w:val="auto"/>
                <w:sz w:val="21"/>
                <w:szCs w:val="21"/>
                <w:highlight w:val="none"/>
                <w:lang w:val="en-US" w:eastAsia="zh-CN"/>
              </w:rPr>
              <w:t>S</w:t>
            </w:r>
          </w:p>
        </w:tc>
        <w:tc>
          <w:tcPr>
            <w:tcW w:w="1113"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kern w:val="2"/>
                <w:sz w:val="21"/>
                <w:szCs w:val="21"/>
                <w:highlight w:val="none"/>
                <w:lang w:val="en-US" w:eastAsia="zh-CN"/>
              </w:rPr>
              <w:t>0.000784</w:t>
            </w:r>
          </w:p>
        </w:tc>
        <w:tc>
          <w:tcPr>
            <w:tcW w:w="813" w:type="pct"/>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kern w:val="2"/>
                <w:sz w:val="21"/>
                <w:szCs w:val="21"/>
                <w:highlight w:val="none"/>
                <w:lang w:val="en-US" w:eastAsia="zh-CN"/>
              </w:rPr>
              <w:t>7.84</w:t>
            </w:r>
          </w:p>
        </w:tc>
        <w:tc>
          <w:tcPr>
            <w:tcW w:w="1063" w:type="pct"/>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600</w:t>
            </w:r>
          </w:p>
        </w:tc>
        <w:tc>
          <w:tcPr>
            <w:tcW w:w="625"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7" w:type="pct"/>
            <w:vMerge w:val="restar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火炬燃烧</w:t>
            </w:r>
          </w:p>
        </w:tc>
        <w:tc>
          <w:tcPr>
            <w:tcW w:w="806"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PM</w:t>
            </w:r>
            <w:r>
              <w:rPr>
                <w:rFonts w:hint="eastAsia"/>
                <w:color w:val="auto"/>
                <w:sz w:val="21"/>
                <w:szCs w:val="21"/>
                <w:highlight w:val="none"/>
                <w:vertAlign w:val="subscript"/>
                <w:lang w:val="en-US" w:eastAsia="zh-CN"/>
              </w:rPr>
              <w:t>10</w:t>
            </w:r>
          </w:p>
        </w:tc>
        <w:tc>
          <w:tcPr>
            <w:tcW w:w="1113" w:type="pct"/>
            <w:vAlign w:val="center"/>
          </w:tcPr>
          <w:p>
            <w:pPr>
              <w:spacing w:line="240" w:lineRule="auto"/>
              <w:ind w:firstLine="0" w:firstLineChars="0"/>
              <w:jc w:val="center"/>
              <w:rPr>
                <w:rFonts w:hint="eastAsia"/>
                <w:color w:val="auto"/>
                <w:kern w:val="2"/>
                <w:sz w:val="21"/>
                <w:szCs w:val="21"/>
                <w:highlight w:val="none"/>
                <w:lang w:val="en-US" w:eastAsia="zh-CN"/>
              </w:rPr>
            </w:pPr>
            <w:r>
              <w:rPr>
                <w:rFonts w:hint="default" w:ascii="Times New Roman" w:hAnsi="Times New Roman" w:cs="Times New Roman"/>
                <w:color w:val="auto"/>
                <w:kern w:val="2"/>
                <w:sz w:val="21"/>
                <w:szCs w:val="21"/>
                <w:highlight w:val="none"/>
              </w:rPr>
              <w:t>0.00188</w:t>
            </w:r>
          </w:p>
        </w:tc>
        <w:tc>
          <w:tcPr>
            <w:tcW w:w="813" w:type="pct"/>
            <w:vAlign w:val="center"/>
          </w:tcPr>
          <w:p>
            <w:pPr>
              <w:spacing w:line="240" w:lineRule="auto"/>
              <w:ind w:firstLine="0" w:firstLineChars="0"/>
              <w:jc w:val="center"/>
              <w:rPr>
                <w:rFonts w:hint="eastAsia"/>
                <w:color w:val="auto"/>
                <w:kern w:val="2"/>
                <w:sz w:val="21"/>
                <w:szCs w:val="21"/>
                <w:highlight w:val="none"/>
                <w:lang w:val="en-US" w:eastAsia="zh-CN"/>
              </w:rPr>
            </w:pPr>
            <w:r>
              <w:rPr>
                <w:rFonts w:hint="eastAsia" w:cs="Times New Roman"/>
                <w:color w:val="auto"/>
                <w:kern w:val="2"/>
                <w:sz w:val="21"/>
                <w:szCs w:val="21"/>
                <w:highlight w:val="none"/>
                <w:lang w:val="en-US" w:eastAsia="zh-CN"/>
              </w:rPr>
              <w:t>0.42</w:t>
            </w:r>
          </w:p>
        </w:tc>
        <w:tc>
          <w:tcPr>
            <w:tcW w:w="1063"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600</w:t>
            </w:r>
          </w:p>
        </w:tc>
        <w:tc>
          <w:tcPr>
            <w:tcW w:w="625"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7" w:type="pct"/>
            <w:vMerge w:val="continue"/>
            <w:vAlign w:val="center"/>
          </w:tcPr>
          <w:p>
            <w:pPr>
              <w:spacing w:line="240" w:lineRule="auto"/>
              <w:ind w:firstLine="0" w:firstLineChars="0"/>
              <w:jc w:val="center"/>
              <w:rPr>
                <w:rFonts w:hint="eastAsia"/>
                <w:color w:val="auto"/>
                <w:sz w:val="21"/>
                <w:szCs w:val="21"/>
                <w:highlight w:val="none"/>
                <w:lang w:val="en-US" w:eastAsia="zh-CN"/>
              </w:rPr>
            </w:pPr>
          </w:p>
        </w:tc>
        <w:tc>
          <w:tcPr>
            <w:tcW w:w="806" w:type="pct"/>
            <w:vAlign w:val="center"/>
          </w:tcPr>
          <w:p>
            <w:pPr>
              <w:spacing w:line="240" w:lineRule="auto"/>
              <w:ind w:firstLine="0" w:firstLineChars="0"/>
              <w:jc w:val="center"/>
              <w:rPr>
                <w:rFonts w:hint="eastAsia"/>
                <w:color w:val="auto"/>
                <w:sz w:val="21"/>
                <w:szCs w:val="21"/>
                <w:highlight w:val="none"/>
                <w:lang w:val="en-US" w:eastAsia="zh-CN"/>
              </w:rPr>
            </w:pPr>
            <w:r>
              <w:rPr>
                <w:rFonts w:hint="default"/>
                <w:color w:val="auto"/>
                <w:sz w:val="21"/>
                <w:szCs w:val="21"/>
                <w:highlight w:val="none"/>
                <w:lang w:val="en-US" w:eastAsia="zh-CN"/>
              </w:rPr>
              <w:t>SO</w:t>
            </w:r>
            <w:r>
              <w:rPr>
                <w:rFonts w:hint="default"/>
                <w:color w:val="auto"/>
                <w:sz w:val="21"/>
                <w:szCs w:val="21"/>
                <w:highlight w:val="none"/>
                <w:vertAlign w:val="subscript"/>
                <w:lang w:val="en-US" w:eastAsia="zh-CN"/>
              </w:rPr>
              <w:t>2</w:t>
            </w:r>
          </w:p>
        </w:tc>
        <w:tc>
          <w:tcPr>
            <w:tcW w:w="1113" w:type="pct"/>
            <w:vAlign w:val="center"/>
          </w:tcPr>
          <w:p>
            <w:pPr>
              <w:spacing w:line="240" w:lineRule="auto"/>
              <w:ind w:firstLine="0" w:firstLineChars="0"/>
              <w:jc w:val="center"/>
              <w:rPr>
                <w:rFonts w:hint="eastAsia"/>
                <w:color w:val="auto"/>
                <w:kern w:val="2"/>
                <w:sz w:val="21"/>
                <w:szCs w:val="21"/>
                <w:highlight w:val="none"/>
                <w:lang w:val="en-US" w:eastAsia="zh-CN"/>
              </w:rPr>
            </w:pPr>
            <w:r>
              <w:rPr>
                <w:rFonts w:hint="default" w:ascii="Times New Roman" w:hAnsi="Times New Roman" w:cs="Times New Roman"/>
                <w:color w:val="auto"/>
                <w:kern w:val="2"/>
                <w:sz w:val="21"/>
                <w:szCs w:val="21"/>
                <w:highlight w:val="none"/>
              </w:rPr>
              <w:t>0.0011</w:t>
            </w:r>
          </w:p>
        </w:tc>
        <w:tc>
          <w:tcPr>
            <w:tcW w:w="813" w:type="pct"/>
            <w:vAlign w:val="center"/>
          </w:tcPr>
          <w:p>
            <w:pPr>
              <w:spacing w:line="240" w:lineRule="auto"/>
              <w:ind w:firstLine="0" w:firstLineChars="0"/>
              <w:jc w:val="center"/>
              <w:rPr>
                <w:rFonts w:hint="eastAsia"/>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w:t>
            </w:r>
            <w:r>
              <w:rPr>
                <w:rFonts w:hint="eastAsia" w:cs="Times New Roman"/>
                <w:color w:val="auto"/>
                <w:kern w:val="2"/>
                <w:sz w:val="21"/>
                <w:szCs w:val="21"/>
                <w:highlight w:val="none"/>
                <w:lang w:val="en-US" w:eastAsia="zh-CN"/>
              </w:rPr>
              <w:t>.22</w:t>
            </w:r>
          </w:p>
        </w:tc>
        <w:tc>
          <w:tcPr>
            <w:tcW w:w="1063"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600</w:t>
            </w:r>
          </w:p>
        </w:tc>
        <w:tc>
          <w:tcPr>
            <w:tcW w:w="625"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7" w:type="pct"/>
            <w:vMerge w:val="continue"/>
            <w:vAlign w:val="center"/>
          </w:tcPr>
          <w:p>
            <w:pPr>
              <w:spacing w:line="240" w:lineRule="auto"/>
              <w:ind w:firstLine="0" w:firstLineChars="0"/>
              <w:jc w:val="center"/>
              <w:rPr>
                <w:rFonts w:hint="eastAsia"/>
                <w:color w:val="auto"/>
                <w:sz w:val="21"/>
                <w:szCs w:val="21"/>
                <w:highlight w:val="none"/>
                <w:lang w:val="en-US" w:eastAsia="zh-CN"/>
              </w:rPr>
            </w:pPr>
          </w:p>
        </w:tc>
        <w:tc>
          <w:tcPr>
            <w:tcW w:w="806" w:type="pct"/>
            <w:vAlign w:val="center"/>
          </w:tcPr>
          <w:p>
            <w:pPr>
              <w:spacing w:line="240" w:lineRule="auto"/>
              <w:ind w:firstLine="0" w:firstLineChars="0"/>
              <w:jc w:val="center"/>
              <w:rPr>
                <w:rFonts w:hint="eastAsia"/>
                <w:color w:val="auto"/>
                <w:sz w:val="21"/>
                <w:szCs w:val="21"/>
                <w:highlight w:val="none"/>
                <w:lang w:val="en-US" w:eastAsia="zh-CN"/>
              </w:rPr>
            </w:pPr>
            <w:r>
              <w:rPr>
                <w:rFonts w:hint="default"/>
                <w:color w:val="auto"/>
                <w:sz w:val="21"/>
                <w:szCs w:val="21"/>
                <w:highlight w:val="none"/>
                <w:lang w:val="en-US" w:eastAsia="zh-CN"/>
              </w:rPr>
              <w:t>NO</w:t>
            </w:r>
            <w:r>
              <w:rPr>
                <w:rFonts w:hint="default"/>
                <w:color w:val="auto"/>
                <w:sz w:val="21"/>
                <w:szCs w:val="21"/>
                <w:highlight w:val="none"/>
                <w:vertAlign w:val="subscript"/>
                <w:lang w:val="en-US" w:eastAsia="zh-CN"/>
              </w:rPr>
              <w:t>X</w:t>
            </w:r>
          </w:p>
        </w:tc>
        <w:tc>
          <w:tcPr>
            <w:tcW w:w="1113" w:type="pct"/>
            <w:vAlign w:val="center"/>
          </w:tcPr>
          <w:p>
            <w:pPr>
              <w:spacing w:line="240" w:lineRule="auto"/>
              <w:ind w:firstLine="0" w:firstLineChars="0"/>
              <w:jc w:val="center"/>
              <w:rPr>
                <w:rFonts w:hint="eastAsia"/>
                <w:color w:val="auto"/>
                <w:kern w:val="2"/>
                <w:sz w:val="21"/>
                <w:szCs w:val="21"/>
                <w:highlight w:val="none"/>
                <w:lang w:val="en-US" w:eastAsia="zh-CN"/>
              </w:rPr>
            </w:pPr>
            <w:r>
              <w:rPr>
                <w:rFonts w:hint="default" w:ascii="Times New Roman" w:hAnsi="Times New Roman" w:cs="Times New Roman"/>
                <w:color w:val="auto"/>
                <w:kern w:val="2"/>
                <w:sz w:val="21"/>
                <w:szCs w:val="21"/>
                <w:highlight w:val="none"/>
              </w:rPr>
              <w:t>0.00604</w:t>
            </w:r>
          </w:p>
        </w:tc>
        <w:tc>
          <w:tcPr>
            <w:tcW w:w="813" w:type="pct"/>
            <w:vAlign w:val="center"/>
          </w:tcPr>
          <w:p>
            <w:pPr>
              <w:spacing w:line="240" w:lineRule="auto"/>
              <w:ind w:firstLine="0" w:firstLineChars="0"/>
              <w:jc w:val="center"/>
              <w:rPr>
                <w:rFonts w:hint="eastAsia"/>
                <w:color w:val="auto"/>
                <w:kern w:val="2"/>
                <w:sz w:val="21"/>
                <w:szCs w:val="21"/>
                <w:highlight w:val="none"/>
                <w:lang w:val="en-US" w:eastAsia="zh-CN"/>
              </w:rPr>
            </w:pPr>
            <w:r>
              <w:rPr>
                <w:rFonts w:hint="eastAsia" w:cs="Times New Roman"/>
                <w:color w:val="auto"/>
                <w:kern w:val="2"/>
                <w:sz w:val="21"/>
                <w:szCs w:val="21"/>
                <w:highlight w:val="none"/>
                <w:lang w:val="en-US" w:eastAsia="zh-CN"/>
              </w:rPr>
              <w:t>2.41</w:t>
            </w:r>
          </w:p>
        </w:tc>
        <w:tc>
          <w:tcPr>
            <w:tcW w:w="1063"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600</w:t>
            </w:r>
          </w:p>
        </w:tc>
        <w:tc>
          <w:tcPr>
            <w:tcW w:w="625" w:type="pct"/>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二级</w:t>
            </w:r>
          </w:p>
        </w:tc>
      </w:tr>
    </w:tbl>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color w:val="auto"/>
          <w:sz w:val="24"/>
          <w:szCs w:val="24"/>
          <w:highlight w:val="none"/>
          <w:vertAlign w:val="baseline"/>
          <w:lang w:eastAsia="zh-CN"/>
        </w:rPr>
      </w:pPr>
      <w:r>
        <w:rPr>
          <w:rFonts w:cs="Times New Roman"/>
          <w:color w:val="auto"/>
          <w:sz w:val="24"/>
          <w:szCs w:val="24"/>
          <w:highlight w:val="none"/>
        </w:rPr>
        <w:t>由上表可以看出：</w:t>
      </w:r>
      <w:r>
        <w:rPr>
          <w:rFonts w:hint="eastAsia" w:cs="Times New Roman"/>
          <w:color w:val="auto"/>
          <w:sz w:val="24"/>
          <w:szCs w:val="24"/>
          <w:highlight w:val="none"/>
        </w:rPr>
        <w:t>营运期有组织废气</w:t>
      </w:r>
      <w:r>
        <w:rPr>
          <w:rFonts w:hint="eastAsia"/>
          <w:bCs/>
          <w:color w:val="auto"/>
          <w:sz w:val="24"/>
          <w:szCs w:val="24"/>
          <w:highlight w:val="none"/>
        </w:rPr>
        <w:t>PM</w:t>
      </w:r>
      <w:r>
        <w:rPr>
          <w:rFonts w:hint="eastAsia"/>
          <w:bCs/>
          <w:color w:val="auto"/>
          <w:sz w:val="24"/>
          <w:szCs w:val="24"/>
          <w:highlight w:val="none"/>
          <w:vertAlign w:val="subscript"/>
        </w:rPr>
        <w:t>10</w:t>
      </w:r>
      <w:r>
        <w:rPr>
          <w:rFonts w:hint="eastAsia"/>
          <w:bCs/>
          <w:color w:val="auto"/>
          <w:sz w:val="24"/>
          <w:szCs w:val="24"/>
          <w:highlight w:val="none"/>
          <w:vertAlign w:val="baseline"/>
          <w:lang w:eastAsia="zh-CN"/>
        </w:rPr>
        <w:t>、</w:t>
      </w:r>
      <w:r>
        <w:rPr>
          <w:rFonts w:hint="eastAsia"/>
          <w:bCs/>
          <w:color w:val="auto"/>
          <w:sz w:val="24"/>
          <w:szCs w:val="24"/>
          <w:highlight w:val="none"/>
          <w:lang w:val="en-US" w:eastAsia="zh-CN"/>
        </w:rPr>
        <w:t>SO</w:t>
      </w:r>
      <w:r>
        <w:rPr>
          <w:rFonts w:hint="eastAsia"/>
          <w:bCs/>
          <w:color w:val="auto"/>
          <w:sz w:val="24"/>
          <w:szCs w:val="24"/>
          <w:highlight w:val="none"/>
          <w:vertAlign w:val="subscript"/>
          <w:lang w:val="en-US" w:eastAsia="zh-CN"/>
        </w:rPr>
        <w:t>2</w:t>
      </w:r>
      <w:r>
        <w:rPr>
          <w:rFonts w:cs="Times New Roman"/>
          <w:color w:val="auto"/>
          <w:sz w:val="24"/>
          <w:szCs w:val="24"/>
          <w:highlight w:val="none"/>
        </w:rPr>
        <w:t>、</w:t>
      </w:r>
      <w:r>
        <w:rPr>
          <w:rFonts w:hint="eastAsia"/>
          <w:bCs/>
          <w:color w:val="auto"/>
          <w:sz w:val="24"/>
          <w:szCs w:val="24"/>
          <w:highlight w:val="none"/>
          <w:lang w:val="en-US" w:eastAsia="zh-CN"/>
        </w:rPr>
        <w:t>NO</w:t>
      </w:r>
      <w:r>
        <w:rPr>
          <w:rFonts w:hint="eastAsia"/>
          <w:bCs/>
          <w:color w:val="auto"/>
          <w:sz w:val="24"/>
          <w:szCs w:val="24"/>
          <w:highlight w:val="none"/>
          <w:vertAlign w:val="subscript"/>
          <w:lang w:val="en-US" w:eastAsia="zh-CN"/>
        </w:rPr>
        <w:t>X</w:t>
      </w:r>
      <w:r>
        <w:rPr>
          <w:rFonts w:cs="Times New Roman"/>
          <w:color w:val="auto"/>
          <w:sz w:val="24"/>
          <w:szCs w:val="24"/>
          <w:highlight w:val="none"/>
        </w:rPr>
        <w:t>最大浓度贡献值</w:t>
      </w:r>
      <w:r>
        <w:rPr>
          <w:rFonts w:hint="eastAsia" w:cs="Times New Roman"/>
          <w:color w:val="auto"/>
          <w:sz w:val="24"/>
          <w:szCs w:val="24"/>
          <w:highlight w:val="none"/>
        </w:rPr>
        <w:t>分别</w:t>
      </w:r>
      <w:r>
        <w:rPr>
          <w:rFonts w:cs="Times New Roman"/>
          <w:color w:val="auto"/>
          <w:sz w:val="24"/>
          <w:szCs w:val="24"/>
          <w:highlight w:val="none"/>
        </w:rPr>
        <w:t>出现在</w:t>
      </w:r>
      <w:r>
        <w:rPr>
          <w:rFonts w:hint="eastAsia" w:cs="Times New Roman"/>
          <w:color w:val="auto"/>
          <w:sz w:val="24"/>
          <w:szCs w:val="24"/>
          <w:highlight w:val="none"/>
          <w:lang w:val="en-US" w:eastAsia="zh-CN"/>
        </w:rPr>
        <w:t>35、35、35</w:t>
      </w:r>
      <w:r>
        <w:rPr>
          <w:rFonts w:cs="Times New Roman"/>
          <w:color w:val="auto"/>
          <w:sz w:val="24"/>
          <w:szCs w:val="24"/>
          <w:highlight w:val="none"/>
        </w:rPr>
        <w:t>米</w:t>
      </w:r>
      <w:r>
        <w:rPr>
          <w:rFonts w:hint="eastAsia" w:cs="Times New Roman"/>
          <w:color w:val="auto"/>
          <w:sz w:val="24"/>
          <w:szCs w:val="24"/>
          <w:highlight w:val="none"/>
        </w:rPr>
        <w:t>处，</w:t>
      </w:r>
      <w:r>
        <w:rPr>
          <w:rFonts w:cs="Times New Roman"/>
          <w:color w:val="auto"/>
          <w:sz w:val="24"/>
          <w:szCs w:val="24"/>
          <w:highlight w:val="none"/>
        </w:rPr>
        <w:t>最大落地浓度分别为</w:t>
      </w:r>
      <w:r>
        <w:rPr>
          <w:rFonts w:hint="eastAsia"/>
          <w:color w:val="auto"/>
          <w:sz w:val="24"/>
          <w:szCs w:val="24"/>
          <w:highlight w:val="none"/>
          <w:lang w:val="en-US" w:eastAsia="zh-CN"/>
        </w:rPr>
        <w:t>0.00107</w:t>
      </w:r>
      <w:r>
        <w:rPr>
          <w:rFonts w:cs="Times New Roman"/>
          <w:color w:val="auto"/>
          <w:sz w:val="24"/>
          <w:szCs w:val="24"/>
          <w:highlight w:val="none"/>
        </w:rPr>
        <w:t>mg/m</w:t>
      </w:r>
      <w:r>
        <w:rPr>
          <w:rFonts w:cs="Times New Roman"/>
          <w:color w:val="auto"/>
          <w:sz w:val="24"/>
          <w:szCs w:val="24"/>
          <w:highlight w:val="none"/>
          <w:vertAlign w:val="superscript"/>
        </w:rPr>
        <w:t>3</w:t>
      </w:r>
      <w:r>
        <w:rPr>
          <w:rFonts w:cs="Times New Roman"/>
          <w:color w:val="auto"/>
          <w:sz w:val="24"/>
          <w:szCs w:val="24"/>
          <w:highlight w:val="none"/>
        </w:rPr>
        <w:t>、</w:t>
      </w:r>
      <w:r>
        <w:rPr>
          <w:rFonts w:hint="eastAsia"/>
          <w:color w:val="auto"/>
          <w:sz w:val="24"/>
          <w:szCs w:val="24"/>
          <w:highlight w:val="none"/>
          <w:lang w:val="en-US" w:eastAsia="zh-CN"/>
        </w:rPr>
        <w:t>0.000622</w:t>
      </w:r>
      <w:r>
        <w:rPr>
          <w:rFonts w:cs="Times New Roman"/>
          <w:color w:val="auto"/>
          <w:sz w:val="24"/>
          <w:szCs w:val="24"/>
          <w:highlight w:val="none"/>
        </w:rPr>
        <w:t>mg/m</w:t>
      </w:r>
      <w:r>
        <w:rPr>
          <w:rFonts w:cs="Times New Roman"/>
          <w:color w:val="auto"/>
          <w:sz w:val="24"/>
          <w:szCs w:val="24"/>
          <w:highlight w:val="none"/>
          <w:vertAlign w:val="superscript"/>
        </w:rPr>
        <w:t>3</w:t>
      </w:r>
      <w:r>
        <w:rPr>
          <w:rFonts w:hint="eastAsia" w:cs="Times New Roman"/>
          <w:color w:val="auto"/>
          <w:sz w:val="24"/>
          <w:szCs w:val="24"/>
          <w:highlight w:val="none"/>
          <w:vertAlign w:val="baseline"/>
          <w:lang w:eastAsia="zh-CN"/>
        </w:rPr>
        <w:t>、</w:t>
      </w:r>
      <w:r>
        <w:rPr>
          <w:rFonts w:hint="eastAsia"/>
          <w:color w:val="auto"/>
          <w:sz w:val="24"/>
          <w:szCs w:val="24"/>
          <w:highlight w:val="none"/>
          <w:lang w:val="en-US" w:eastAsia="zh-CN"/>
        </w:rPr>
        <w:t>0.00342</w:t>
      </w:r>
      <w:r>
        <w:rPr>
          <w:rFonts w:cs="Times New Roman"/>
          <w:color w:val="auto"/>
          <w:sz w:val="24"/>
          <w:szCs w:val="24"/>
          <w:highlight w:val="none"/>
        </w:rPr>
        <w:t>mg/m</w:t>
      </w:r>
      <w:r>
        <w:rPr>
          <w:rFonts w:cs="Times New Roman"/>
          <w:color w:val="auto"/>
          <w:sz w:val="24"/>
          <w:szCs w:val="24"/>
          <w:highlight w:val="none"/>
          <w:vertAlign w:val="superscript"/>
        </w:rPr>
        <w:t>3</w:t>
      </w:r>
      <w:r>
        <w:rPr>
          <w:rFonts w:hint="eastAsia" w:cs="Times New Roman"/>
          <w:color w:val="auto"/>
          <w:sz w:val="24"/>
          <w:szCs w:val="24"/>
          <w:highlight w:val="none"/>
        </w:rPr>
        <w:t>，</w:t>
      </w:r>
      <w:r>
        <w:rPr>
          <w:rFonts w:cs="Times New Roman"/>
          <w:color w:val="auto"/>
          <w:sz w:val="24"/>
          <w:szCs w:val="24"/>
          <w:highlight w:val="none"/>
        </w:rPr>
        <w:t>最大浓度占标率分别为</w:t>
      </w:r>
      <w:r>
        <w:rPr>
          <w:rFonts w:hint="eastAsia" w:cs="Times New Roman"/>
          <w:color w:val="auto"/>
          <w:sz w:val="24"/>
          <w:szCs w:val="24"/>
          <w:highlight w:val="none"/>
          <w:lang w:val="en-US" w:eastAsia="zh-CN"/>
        </w:rPr>
        <w:t>0.24</w:t>
      </w:r>
      <w:r>
        <w:rPr>
          <w:rFonts w:cs="Times New Roman"/>
          <w:color w:val="auto"/>
          <w:sz w:val="24"/>
          <w:szCs w:val="24"/>
          <w:highlight w:val="none"/>
        </w:rPr>
        <w:t>%、</w:t>
      </w:r>
      <w:r>
        <w:rPr>
          <w:rFonts w:hint="eastAsia" w:cs="Times New Roman"/>
          <w:color w:val="auto"/>
          <w:sz w:val="24"/>
          <w:szCs w:val="24"/>
          <w:highlight w:val="none"/>
        </w:rPr>
        <w:t>0.</w:t>
      </w:r>
      <w:r>
        <w:rPr>
          <w:rFonts w:hint="eastAsia" w:cs="Times New Roman"/>
          <w:color w:val="auto"/>
          <w:sz w:val="24"/>
          <w:szCs w:val="24"/>
          <w:highlight w:val="none"/>
          <w:lang w:val="en-US" w:eastAsia="zh-CN"/>
        </w:rPr>
        <w:t>12</w:t>
      </w:r>
      <w:r>
        <w:rPr>
          <w:rFonts w:hint="eastAsia" w:cs="Times New Roman"/>
          <w:color w:val="auto"/>
          <w:sz w:val="24"/>
          <w:szCs w:val="24"/>
          <w:highlight w:val="none"/>
        </w:rPr>
        <w:t>%</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1.37%</w:t>
      </w:r>
      <w:r>
        <w:rPr>
          <w:rFonts w:hint="eastAsia" w:cs="Times New Roman"/>
          <w:color w:val="auto"/>
          <w:sz w:val="24"/>
          <w:szCs w:val="24"/>
          <w:highlight w:val="none"/>
          <w:lang w:eastAsia="zh-CN"/>
        </w:rPr>
        <w:t>。</w:t>
      </w:r>
      <w:r>
        <w:rPr>
          <w:rFonts w:hint="eastAsia" w:cs="Times New Roman"/>
          <w:color w:val="auto"/>
          <w:sz w:val="24"/>
          <w:szCs w:val="24"/>
          <w:highlight w:val="none"/>
        </w:rPr>
        <w:t>无组织废气</w:t>
      </w:r>
      <w:r>
        <w:rPr>
          <w:rFonts w:hint="eastAsia"/>
          <w:bCs/>
          <w:color w:val="auto"/>
          <w:sz w:val="24"/>
          <w:szCs w:val="24"/>
          <w:highlight w:val="none"/>
          <w:lang w:val="en-US" w:eastAsia="zh-CN"/>
        </w:rPr>
        <w:t>NH</w:t>
      </w:r>
      <w:r>
        <w:rPr>
          <w:rFonts w:hint="eastAsia"/>
          <w:bCs/>
          <w:color w:val="auto"/>
          <w:sz w:val="24"/>
          <w:szCs w:val="24"/>
          <w:highlight w:val="none"/>
          <w:vertAlign w:val="subscript"/>
          <w:lang w:val="en-US" w:eastAsia="zh-CN"/>
        </w:rPr>
        <w:t>3</w:t>
      </w:r>
      <w:r>
        <w:rPr>
          <w:rFonts w:hint="eastAsia"/>
          <w:bCs/>
          <w:color w:val="auto"/>
          <w:sz w:val="24"/>
          <w:szCs w:val="24"/>
          <w:highlight w:val="none"/>
        </w:rPr>
        <w:t>、</w:t>
      </w:r>
      <w:r>
        <w:rPr>
          <w:rFonts w:hint="eastAsia" w:cs="Times New Roman"/>
          <w:color w:val="auto"/>
          <w:sz w:val="24"/>
          <w:szCs w:val="24"/>
          <w:highlight w:val="none"/>
          <w:lang w:val="en-US" w:eastAsia="zh-CN"/>
        </w:rPr>
        <w:t>H</w:t>
      </w:r>
      <w:r>
        <w:rPr>
          <w:rFonts w:hint="eastAsia" w:cs="Times New Roman"/>
          <w:color w:val="auto"/>
          <w:sz w:val="24"/>
          <w:szCs w:val="24"/>
          <w:highlight w:val="none"/>
          <w:vertAlign w:val="subscript"/>
          <w:lang w:val="en-US" w:eastAsia="zh-CN"/>
        </w:rPr>
        <w:t>2</w:t>
      </w:r>
      <w:r>
        <w:rPr>
          <w:rFonts w:hint="eastAsia" w:cs="Times New Roman"/>
          <w:color w:val="auto"/>
          <w:sz w:val="24"/>
          <w:szCs w:val="24"/>
          <w:highlight w:val="none"/>
          <w:lang w:val="en-US" w:eastAsia="zh-CN"/>
        </w:rPr>
        <w:t>S</w:t>
      </w:r>
      <w:r>
        <w:rPr>
          <w:rFonts w:cs="Times New Roman"/>
          <w:color w:val="auto"/>
          <w:sz w:val="24"/>
          <w:szCs w:val="24"/>
          <w:highlight w:val="none"/>
        </w:rPr>
        <w:t>最大浓度贡献值</w:t>
      </w:r>
      <w:r>
        <w:rPr>
          <w:rFonts w:hint="eastAsia" w:cs="Times New Roman"/>
          <w:color w:val="auto"/>
          <w:sz w:val="24"/>
          <w:szCs w:val="24"/>
          <w:highlight w:val="none"/>
        </w:rPr>
        <w:t>均</w:t>
      </w:r>
      <w:r>
        <w:rPr>
          <w:rFonts w:cs="Times New Roman"/>
          <w:color w:val="auto"/>
          <w:sz w:val="24"/>
          <w:szCs w:val="24"/>
          <w:highlight w:val="none"/>
        </w:rPr>
        <w:t>出现在</w:t>
      </w:r>
      <w:r>
        <w:rPr>
          <w:rFonts w:hint="eastAsia" w:cs="Times New Roman"/>
          <w:color w:val="auto"/>
          <w:sz w:val="24"/>
          <w:szCs w:val="24"/>
          <w:highlight w:val="none"/>
          <w:lang w:val="en-US" w:eastAsia="zh-CN"/>
        </w:rPr>
        <w:t>600</w:t>
      </w:r>
      <w:r>
        <w:rPr>
          <w:rFonts w:cs="Times New Roman"/>
          <w:color w:val="auto"/>
          <w:sz w:val="24"/>
          <w:szCs w:val="24"/>
          <w:highlight w:val="none"/>
        </w:rPr>
        <w:t>米</w:t>
      </w:r>
      <w:r>
        <w:rPr>
          <w:rFonts w:hint="eastAsia" w:cs="Times New Roman"/>
          <w:color w:val="auto"/>
          <w:sz w:val="24"/>
          <w:szCs w:val="24"/>
          <w:highlight w:val="none"/>
        </w:rPr>
        <w:t>处，</w:t>
      </w:r>
      <w:r>
        <w:rPr>
          <w:rFonts w:cs="Times New Roman"/>
          <w:color w:val="auto"/>
          <w:sz w:val="24"/>
          <w:szCs w:val="24"/>
          <w:highlight w:val="none"/>
        </w:rPr>
        <w:t>最大落地浓度分别为</w:t>
      </w:r>
      <w:r>
        <w:rPr>
          <w:rFonts w:hint="eastAsia" w:cs="Times New Roman"/>
          <w:color w:val="auto"/>
          <w:sz w:val="24"/>
          <w:szCs w:val="24"/>
          <w:highlight w:val="none"/>
          <w:lang w:val="en-US" w:eastAsia="zh-CN"/>
        </w:rPr>
        <w:t>0.0102</w:t>
      </w:r>
      <w:r>
        <w:rPr>
          <w:rFonts w:cs="Times New Roman"/>
          <w:color w:val="auto"/>
          <w:sz w:val="24"/>
          <w:szCs w:val="24"/>
          <w:highlight w:val="none"/>
        </w:rPr>
        <w:t>mg/m</w:t>
      </w:r>
      <w:r>
        <w:rPr>
          <w:rFonts w:cs="Times New Roman"/>
          <w:color w:val="auto"/>
          <w:sz w:val="24"/>
          <w:szCs w:val="24"/>
          <w:highlight w:val="none"/>
          <w:vertAlign w:val="superscript"/>
        </w:rPr>
        <w:t>3</w:t>
      </w:r>
      <w:r>
        <w:rPr>
          <w:rFonts w:cs="Times New Roman"/>
          <w:color w:val="auto"/>
          <w:sz w:val="24"/>
          <w:szCs w:val="24"/>
          <w:highlight w:val="none"/>
        </w:rPr>
        <w:t>、</w:t>
      </w:r>
      <w:r>
        <w:rPr>
          <w:rFonts w:hint="eastAsia"/>
          <w:color w:val="auto"/>
          <w:highlight w:val="none"/>
          <w:lang w:val="en-US" w:eastAsia="zh-CN"/>
        </w:rPr>
        <w:t>0.000784</w:t>
      </w:r>
      <w:r>
        <w:rPr>
          <w:rFonts w:cs="Times New Roman"/>
          <w:color w:val="auto"/>
          <w:sz w:val="24"/>
          <w:szCs w:val="24"/>
          <w:highlight w:val="none"/>
        </w:rPr>
        <w:t>mg/m</w:t>
      </w:r>
      <w:r>
        <w:rPr>
          <w:rFonts w:cs="Times New Roman"/>
          <w:color w:val="auto"/>
          <w:sz w:val="24"/>
          <w:szCs w:val="24"/>
          <w:highlight w:val="none"/>
          <w:vertAlign w:val="superscript"/>
        </w:rPr>
        <w:t>3</w:t>
      </w:r>
      <w:r>
        <w:rPr>
          <w:rFonts w:hint="eastAsia" w:cs="Times New Roman"/>
          <w:color w:val="auto"/>
          <w:sz w:val="24"/>
          <w:szCs w:val="24"/>
          <w:highlight w:val="none"/>
          <w:vertAlign w:val="baseline"/>
          <w:lang w:eastAsia="zh-CN"/>
        </w:rPr>
        <w:t>，</w:t>
      </w:r>
      <w:r>
        <w:rPr>
          <w:rFonts w:cs="Times New Roman"/>
          <w:color w:val="auto"/>
          <w:sz w:val="24"/>
          <w:szCs w:val="24"/>
          <w:highlight w:val="none"/>
        </w:rPr>
        <w:t>最大浓度占标率分别为</w:t>
      </w:r>
      <w:r>
        <w:rPr>
          <w:rFonts w:hint="eastAsia" w:cs="Times New Roman"/>
          <w:color w:val="auto"/>
          <w:sz w:val="24"/>
          <w:szCs w:val="24"/>
          <w:highlight w:val="none"/>
          <w:lang w:val="en-US" w:eastAsia="zh-CN"/>
        </w:rPr>
        <w:t>5.1</w:t>
      </w:r>
      <w:r>
        <w:rPr>
          <w:rFonts w:cs="Times New Roman"/>
          <w:color w:val="auto"/>
          <w:sz w:val="24"/>
          <w:szCs w:val="24"/>
          <w:highlight w:val="none"/>
        </w:rPr>
        <w:t>%、</w:t>
      </w:r>
      <w:r>
        <w:rPr>
          <w:rFonts w:hint="eastAsia" w:cs="Times New Roman"/>
          <w:color w:val="auto"/>
          <w:sz w:val="24"/>
          <w:szCs w:val="24"/>
          <w:highlight w:val="none"/>
          <w:lang w:val="en-US" w:eastAsia="zh-CN"/>
        </w:rPr>
        <w:t>7.84</w:t>
      </w:r>
      <w:r>
        <w:rPr>
          <w:rFonts w:hint="eastAsia" w:cs="Times New Roman"/>
          <w:color w:val="auto"/>
          <w:sz w:val="24"/>
          <w:szCs w:val="24"/>
          <w:highlight w:val="none"/>
        </w:rPr>
        <w:t>%</w:t>
      </w:r>
      <w:r>
        <w:rPr>
          <w:rFonts w:hint="eastAsia" w:cs="Times New Roman"/>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color w:val="auto"/>
          <w:sz w:val="24"/>
          <w:szCs w:val="24"/>
          <w:highlight w:val="none"/>
        </w:rPr>
      </w:pPr>
      <w:r>
        <w:rPr>
          <w:rFonts w:hint="eastAsia"/>
          <w:bCs/>
          <w:color w:val="auto"/>
          <w:sz w:val="24"/>
          <w:szCs w:val="24"/>
          <w:highlight w:val="none"/>
          <w:lang w:eastAsia="zh-CN"/>
        </w:rPr>
        <w:t>火炬燃烧废气</w:t>
      </w:r>
      <w:r>
        <w:rPr>
          <w:rFonts w:hint="eastAsia"/>
          <w:bCs/>
          <w:color w:val="auto"/>
          <w:sz w:val="24"/>
          <w:szCs w:val="24"/>
          <w:highlight w:val="none"/>
        </w:rPr>
        <w:t>PM</w:t>
      </w:r>
      <w:r>
        <w:rPr>
          <w:rFonts w:hint="eastAsia"/>
          <w:bCs/>
          <w:color w:val="auto"/>
          <w:sz w:val="24"/>
          <w:szCs w:val="24"/>
          <w:highlight w:val="none"/>
          <w:vertAlign w:val="subscript"/>
        </w:rPr>
        <w:t>10</w:t>
      </w:r>
      <w:r>
        <w:rPr>
          <w:rFonts w:hint="eastAsia"/>
          <w:bCs/>
          <w:color w:val="auto"/>
          <w:sz w:val="24"/>
          <w:szCs w:val="24"/>
          <w:highlight w:val="none"/>
          <w:vertAlign w:val="baseline"/>
          <w:lang w:eastAsia="zh-CN"/>
        </w:rPr>
        <w:t>、</w:t>
      </w:r>
      <w:r>
        <w:rPr>
          <w:rFonts w:hint="eastAsia"/>
          <w:bCs/>
          <w:color w:val="auto"/>
          <w:sz w:val="24"/>
          <w:szCs w:val="24"/>
          <w:highlight w:val="none"/>
          <w:lang w:val="en-US" w:eastAsia="zh-CN"/>
        </w:rPr>
        <w:t>SO</w:t>
      </w:r>
      <w:r>
        <w:rPr>
          <w:rFonts w:hint="eastAsia"/>
          <w:bCs/>
          <w:color w:val="auto"/>
          <w:sz w:val="24"/>
          <w:szCs w:val="24"/>
          <w:highlight w:val="none"/>
          <w:vertAlign w:val="subscript"/>
          <w:lang w:val="en-US" w:eastAsia="zh-CN"/>
        </w:rPr>
        <w:t>2</w:t>
      </w:r>
      <w:r>
        <w:rPr>
          <w:rFonts w:cs="Times New Roman"/>
          <w:color w:val="auto"/>
          <w:sz w:val="24"/>
          <w:szCs w:val="24"/>
          <w:highlight w:val="none"/>
        </w:rPr>
        <w:t>、</w:t>
      </w:r>
      <w:r>
        <w:rPr>
          <w:rFonts w:hint="eastAsia"/>
          <w:bCs/>
          <w:color w:val="auto"/>
          <w:sz w:val="24"/>
          <w:szCs w:val="24"/>
          <w:highlight w:val="none"/>
          <w:lang w:val="en-US" w:eastAsia="zh-CN"/>
        </w:rPr>
        <w:t>NO</w:t>
      </w:r>
      <w:r>
        <w:rPr>
          <w:rFonts w:hint="eastAsia"/>
          <w:bCs/>
          <w:color w:val="auto"/>
          <w:sz w:val="24"/>
          <w:szCs w:val="24"/>
          <w:highlight w:val="none"/>
          <w:vertAlign w:val="subscript"/>
          <w:lang w:val="en-US" w:eastAsia="zh-CN"/>
        </w:rPr>
        <w:t>X</w:t>
      </w:r>
      <w:r>
        <w:rPr>
          <w:rFonts w:cs="Times New Roman"/>
          <w:color w:val="auto"/>
          <w:sz w:val="24"/>
          <w:szCs w:val="24"/>
          <w:highlight w:val="none"/>
        </w:rPr>
        <w:t>最大浓度贡献值</w:t>
      </w:r>
      <w:r>
        <w:rPr>
          <w:rFonts w:hint="eastAsia" w:cs="Times New Roman"/>
          <w:color w:val="auto"/>
          <w:sz w:val="24"/>
          <w:szCs w:val="24"/>
          <w:highlight w:val="none"/>
        </w:rPr>
        <w:t>均</w:t>
      </w:r>
      <w:r>
        <w:rPr>
          <w:rFonts w:cs="Times New Roman"/>
          <w:color w:val="auto"/>
          <w:sz w:val="24"/>
          <w:szCs w:val="24"/>
          <w:highlight w:val="none"/>
        </w:rPr>
        <w:t>出现在</w:t>
      </w:r>
      <w:r>
        <w:rPr>
          <w:rFonts w:hint="eastAsia" w:cs="Times New Roman"/>
          <w:color w:val="auto"/>
          <w:sz w:val="24"/>
          <w:szCs w:val="24"/>
          <w:highlight w:val="none"/>
          <w:lang w:val="en-US" w:eastAsia="zh-CN"/>
        </w:rPr>
        <w:t>600</w:t>
      </w:r>
      <w:r>
        <w:rPr>
          <w:rFonts w:cs="Times New Roman"/>
          <w:color w:val="auto"/>
          <w:sz w:val="24"/>
          <w:szCs w:val="24"/>
          <w:highlight w:val="none"/>
        </w:rPr>
        <w:t>米</w:t>
      </w:r>
      <w:r>
        <w:rPr>
          <w:rFonts w:hint="eastAsia" w:cs="Times New Roman"/>
          <w:color w:val="auto"/>
          <w:sz w:val="24"/>
          <w:szCs w:val="24"/>
          <w:highlight w:val="none"/>
        </w:rPr>
        <w:t>处，</w:t>
      </w:r>
      <w:r>
        <w:rPr>
          <w:rFonts w:cs="Times New Roman"/>
          <w:color w:val="auto"/>
          <w:sz w:val="24"/>
          <w:szCs w:val="24"/>
          <w:highlight w:val="none"/>
        </w:rPr>
        <w:t>最大落地浓度分别为</w:t>
      </w:r>
      <w:r>
        <w:rPr>
          <w:rFonts w:hint="eastAsia"/>
          <w:color w:val="auto"/>
          <w:sz w:val="24"/>
          <w:szCs w:val="24"/>
          <w:highlight w:val="none"/>
          <w:lang w:val="en-US" w:eastAsia="zh-CN"/>
        </w:rPr>
        <w:t>0.00188</w:t>
      </w:r>
      <w:r>
        <w:rPr>
          <w:rFonts w:cs="Times New Roman"/>
          <w:color w:val="auto"/>
          <w:sz w:val="24"/>
          <w:szCs w:val="24"/>
          <w:highlight w:val="none"/>
        </w:rPr>
        <w:t>mg/m</w:t>
      </w:r>
      <w:r>
        <w:rPr>
          <w:rFonts w:cs="Times New Roman"/>
          <w:color w:val="auto"/>
          <w:sz w:val="24"/>
          <w:szCs w:val="24"/>
          <w:highlight w:val="none"/>
          <w:vertAlign w:val="superscript"/>
        </w:rPr>
        <w:t>3</w:t>
      </w:r>
      <w:r>
        <w:rPr>
          <w:rFonts w:cs="Times New Roman"/>
          <w:color w:val="auto"/>
          <w:sz w:val="24"/>
          <w:szCs w:val="24"/>
          <w:highlight w:val="none"/>
        </w:rPr>
        <w:t>、</w:t>
      </w:r>
      <w:r>
        <w:rPr>
          <w:rFonts w:hint="eastAsia"/>
          <w:color w:val="auto"/>
          <w:sz w:val="24"/>
          <w:szCs w:val="24"/>
          <w:highlight w:val="none"/>
          <w:lang w:val="en-US" w:eastAsia="zh-CN"/>
        </w:rPr>
        <w:t>0.0011</w:t>
      </w:r>
      <w:r>
        <w:rPr>
          <w:rFonts w:cs="Times New Roman"/>
          <w:color w:val="auto"/>
          <w:sz w:val="24"/>
          <w:szCs w:val="24"/>
          <w:highlight w:val="none"/>
        </w:rPr>
        <w:t>mg/m</w:t>
      </w:r>
      <w:r>
        <w:rPr>
          <w:rFonts w:cs="Times New Roman"/>
          <w:color w:val="auto"/>
          <w:sz w:val="24"/>
          <w:szCs w:val="24"/>
          <w:highlight w:val="none"/>
          <w:vertAlign w:val="superscript"/>
        </w:rPr>
        <w:t>3</w:t>
      </w:r>
      <w:r>
        <w:rPr>
          <w:rFonts w:hint="eastAsia" w:cs="Times New Roman"/>
          <w:color w:val="auto"/>
          <w:sz w:val="24"/>
          <w:szCs w:val="24"/>
          <w:highlight w:val="none"/>
          <w:vertAlign w:val="baseline"/>
          <w:lang w:eastAsia="zh-CN"/>
        </w:rPr>
        <w:t>、</w:t>
      </w:r>
      <w:r>
        <w:rPr>
          <w:rFonts w:hint="eastAsia"/>
          <w:color w:val="auto"/>
          <w:sz w:val="24"/>
          <w:szCs w:val="24"/>
          <w:highlight w:val="none"/>
          <w:lang w:val="en-US" w:eastAsia="zh-CN"/>
        </w:rPr>
        <w:t>0.00604</w:t>
      </w:r>
      <w:r>
        <w:rPr>
          <w:rFonts w:cs="Times New Roman"/>
          <w:color w:val="auto"/>
          <w:sz w:val="24"/>
          <w:szCs w:val="24"/>
          <w:highlight w:val="none"/>
        </w:rPr>
        <w:t>mg/m</w:t>
      </w:r>
      <w:r>
        <w:rPr>
          <w:rFonts w:cs="Times New Roman"/>
          <w:color w:val="auto"/>
          <w:sz w:val="24"/>
          <w:szCs w:val="24"/>
          <w:highlight w:val="none"/>
          <w:vertAlign w:val="superscript"/>
        </w:rPr>
        <w:t>3</w:t>
      </w:r>
      <w:r>
        <w:rPr>
          <w:rFonts w:hint="eastAsia" w:cs="Times New Roman"/>
          <w:color w:val="auto"/>
          <w:sz w:val="24"/>
          <w:szCs w:val="24"/>
          <w:highlight w:val="none"/>
        </w:rPr>
        <w:t>，</w:t>
      </w:r>
      <w:r>
        <w:rPr>
          <w:rFonts w:cs="Times New Roman"/>
          <w:color w:val="auto"/>
          <w:sz w:val="24"/>
          <w:szCs w:val="24"/>
          <w:highlight w:val="none"/>
        </w:rPr>
        <w:t>最大浓度占标率分别为</w:t>
      </w:r>
      <w:r>
        <w:rPr>
          <w:rFonts w:hint="eastAsia" w:cs="Times New Roman"/>
          <w:color w:val="auto"/>
          <w:sz w:val="24"/>
          <w:szCs w:val="24"/>
          <w:highlight w:val="none"/>
          <w:lang w:val="en-US" w:eastAsia="zh-CN"/>
        </w:rPr>
        <w:t>0.42%、0.22%、2.41%</w:t>
      </w:r>
      <w:r>
        <w:rPr>
          <w:rFonts w:hint="eastAsia" w:cs="Times New Roman"/>
          <w:color w:val="auto"/>
          <w:sz w:val="24"/>
          <w:szCs w:val="24"/>
          <w:highlight w:val="none"/>
        </w:rPr>
        <w:t>。</w:t>
      </w:r>
    </w:p>
    <w:p>
      <w:pPr>
        <w:keepNext w:val="0"/>
        <w:keepLines w:val="0"/>
        <w:pageBreakBefore w:val="0"/>
        <w:widowControl/>
        <w:kinsoku/>
        <w:wordWrap/>
        <w:overflowPunct/>
        <w:topLinePunct w:val="0"/>
        <w:autoSpaceDE/>
        <w:autoSpaceDN/>
        <w:bidi w:val="0"/>
        <w:adjustRightInd/>
        <w:snapToGrid/>
        <w:ind w:firstLine="480"/>
        <w:textAlignment w:val="auto"/>
        <w:rPr>
          <w:rFonts w:cs="Times New Roman"/>
          <w:color w:val="auto"/>
          <w:highlight w:val="none"/>
        </w:rPr>
      </w:pPr>
      <w:r>
        <w:rPr>
          <w:rFonts w:cs="Times New Roman"/>
          <w:color w:val="auto"/>
          <w:highlight w:val="none"/>
        </w:rPr>
        <w:t>根据</w:t>
      </w:r>
      <w:r>
        <w:rPr>
          <w:rFonts w:hint="eastAsia" w:cs="Times New Roman"/>
          <w:color w:val="auto"/>
          <w:highlight w:val="none"/>
        </w:rPr>
        <w:t>AERSCREEN</w:t>
      </w:r>
      <w:r>
        <w:rPr>
          <w:rFonts w:cs="Times New Roman"/>
          <w:color w:val="auto"/>
          <w:highlight w:val="none"/>
        </w:rPr>
        <w:t>估算模式对项目的废气进行估算结果，</w:t>
      </w:r>
      <w:r>
        <w:rPr>
          <w:rFonts w:hint="eastAsia" w:cs="Times New Roman"/>
          <w:color w:val="auto"/>
          <w:highlight w:val="none"/>
        </w:rPr>
        <w:t>结合</w:t>
      </w:r>
      <w:r>
        <w:rPr>
          <w:color w:val="auto"/>
          <w:highlight w:val="none"/>
        </w:rPr>
        <w:t>《环境影响评价技术导则大气环境》（HJ2.2-20</w:t>
      </w:r>
      <w:r>
        <w:rPr>
          <w:rFonts w:hint="eastAsia"/>
          <w:color w:val="auto"/>
          <w:highlight w:val="none"/>
        </w:rPr>
        <w:t>1</w:t>
      </w:r>
      <w:r>
        <w:rPr>
          <w:color w:val="auto"/>
          <w:highlight w:val="none"/>
        </w:rPr>
        <w:t>8）</w:t>
      </w:r>
      <w:r>
        <w:rPr>
          <w:rFonts w:hint="eastAsia"/>
          <w:color w:val="auto"/>
          <w:highlight w:val="none"/>
        </w:rPr>
        <w:t>中</w:t>
      </w:r>
      <w:r>
        <w:rPr>
          <w:color w:val="auto"/>
          <w:highlight w:val="none"/>
        </w:rPr>
        <w:t>大气环境影响评价等级</w:t>
      </w:r>
      <w:r>
        <w:rPr>
          <w:rFonts w:hint="eastAsia"/>
          <w:color w:val="auto"/>
          <w:highlight w:val="none"/>
        </w:rPr>
        <w:t>判定依据，</w:t>
      </w:r>
      <w:r>
        <w:rPr>
          <w:rFonts w:cs="Times New Roman"/>
          <w:color w:val="auto"/>
          <w:highlight w:val="none"/>
        </w:rPr>
        <w:t>确定本项目大气环境影响评价等级为</w:t>
      </w:r>
      <w:r>
        <w:rPr>
          <w:rFonts w:hint="eastAsia" w:cs="Times New Roman"/>
          <w:color w:val="auto"/>
          <w:highlight w:val="none"/>
        </w:rPr>
        <w:t>二</w:t>
      </w:r>
      <w:r>
        <w:rPr>
          <w:rFonts w:cs="Times New Roman"/>
          <w:color w:val="auto"/>
          <w:highlight w:val="none"/>
        </w:rPr>
        <w:t>级。</w:t>
      </w:r>
      <w:r>
        <w:rPr>
          <w:rFonts w:hint="eastAsia" w:cs="Times New Roman"/>
          <w:color w:val="auto"/>
          <w:highlight w:val="none"/>
        </w:rPr>
        <w:t>根据导则要求，二级评价不进行进一步预测与评价，只对污染物排放量进行核算。</w:t>
      </w:r>
    </w:p>
    <w:p>
      <w:pPr>
        <w:pStyle w:val="6"/>
        <w:ind w:firstLine="482"/>
        <w:rPr>
          <w:rFonts w:hint="eastAsia"/>
          <w:color w:val="auto"/>
          <w:highlight w:val="none"/>
          <w:lang w:eastAsia="zh-CN"/>
        </w:rPr>
      </w:pPr>
      <w:r>
        <w:rPr>
          <w:rFonts w:hint="eastAsia"/>
          <w:color w:val="auto"/>
          <w:highlight w:val="none"/>
          <w:lang w:val="en-US" w:eastAsia="zh-CN"/>
        </w:rPr>
        <w:t>4</w:t>
      </w:r>
      <w:r>
        <w:rPr>
          <w:color w:val="auto"/>
          <w:highlight w:val="none"/>
        </w:rPr>
        <w:t>.</w:t>
      </w:r>
      <w:r>
        <w:rPr>
          <w:rFonts w:hint="eastAsia"/>
          <w:color w:val="auto"/>
          <w:highlight w:val="none"/>
        </w:rPr>
        <w:t>2</w:t>
      </w:r>
      <w:r>
        <w:rPr>
          <w:color w:val="auto"/>
          <w:highlight w:val="none"/>
        </w:rPr>
        <w:t>.1</w:t>
      </w:r>
      <w:r>
        <w:rPr>
          <w:rFonts w:hint="eastAsia"/>
          <w:color w:val="auto"/>
          <w:highlight w:val="none"/>
        </w:rPr>
        <w:t>.</w:t>
      </w:r>
      <w:r>
        <w:rPr>
          <w:rFonts w:hint="eastAsia"/>
          <w:color w:val="auto"/>
          <w:highlight w:val="none"/>
          <w:lang w:val="en-US" w:eastAsia="zh-CN"/>
        </w:rPr>
        <w:t>6</w:t>
      </w:r>
      <w:r>
        <w:rPr>
          <w:rFonts w:hint="eastAsia"/>
          <w:color w:val="auto"/>
          <w:highlight w:val="none"/>
          <w:lang w:eastAsia="zh-CN"/>
        </w:rPr>
        <w:t>污染物排放量核算</w:t>
      </w:r>
    </w:p>
    <w:p>
      <w:pPr>
        <w:pStyle w:val="21"/>
        <w:rPr>
          <w:rFonts w:hint="eastAsia" w:ascii="Times New Roman" w:hAnsi="Times New Roman" w:eastAsia="宋体" w:cs="Times New Roman"/>
          <w:b/>
          <w:bCs w:val="0"/>
          <w:color w:val="auto"/>
          <w:kern w:val="2"/>
          <w:sz w:val="21"/>
          <w:szCs w:val="24"/>
          <w:highlight w:val="none"/>
          <w:lang w:val="en-US" w:eastAsia="zh-CN" w:bidi="ar-SA"/>
        </w:rPr>
      </w:pPr>
      <w:r>
        <w:rPr>
          <w:rFonts w:hint="eastAsia" w:ascii="Times New Roman" w:hAnsi="Times New Roman" w:eastAsia="宋体" w:cs="Times New Roman"/>
          <w:b/>
          <w:bCs w:val="0"/>
          <w:color w:val="auto"/>
          <w:kern w:val="2"/>
          <w:sz w:val="21"/>
          <w:szCs w:val="24"/>
          <w:highlight w:val="none"/>
          <w:lang w:val="en-US" w:eastAsia="zh-CN" w:bidi="ar-SA"/>
        </w:rPr>
        <w:t>表</w:t>
      </w:r>
      <w:r>
        <w:rPr>
          <w:rFonts w:hint="eastAsia" w:cs="Times New Roman"/>
          <w:b/>
          <w:bCs w:val="0"/>
          <w:color w:val="auto"/>
          <w:kern w:val="2"/>
          <w:sz w:val="21"/>
          <w:szCs w:val="24"/>
          <w:highlight w:val="none"/>
          <w:lang w:val="en-US" w:eastAsia="zh-CN" w:bidi="ar-SA"/>
        </w:rPr>
        <w:t>4</w:t>
      </w:r>
      <w:r>
        <w:rPr>
          <w:rFonts w:hint="eastAsia" w:ascii="Times New Roman" w:hAnsi="Times New Roman" w:eastAsia="宋体" w:cs="Times New Roman"/>
          <w:b/>
          <w:bCs w:val="0"/>
          <w:color w:val="auto"/>
          <w:kern w:val="2"/>
          <w:sz w:val="21"/>
          <w:szCs w:val="24"/>
          <w:highlight w:val="none"/>
          <w:lang w:val="en-US" w:eastAsia="zh-CN" w:bidi="ar-SA"/>
        </w:rPr>
        <w:t>.2-16 大气污染物排放量核算表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409"/>
        <w:gridCol w:w="1543"/>
        <w:gridCol w:w="1272"/>
        <w:gridCol w:w="1412"/>
        <w:gridCol w:w="14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3"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序号</w:t>
            </w:r>
          </w:p>
        </w:tc>
        <w:tc>
          <w:tcPr>
            <w:tcW w:w="833"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排放口编号</w:t>
            </w:r>
          </w:p>
        </w:tc>
        <w:tc>
          <w:tcPr>
            <w:tcW w:w="912"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污染物</w:t>
            </w:r>
          </w:p>
        </w:tc>
        <w:tc>
          <w:tcPr>
            <w:tcW w:w="752"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核算排放浓度（mg/m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w:t>
            </w:r>
          </w:p>
        </w:tc>
        <w:tc>
          <w:tcPr>
            <w:tcW w:w="834"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核算排放速率（kg/h）</w:t>
            </w:r>
          </w:p>
        </w:tc>
        <w:tc>
          <w:tcPr>
            <w:tcW w:w="844"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核算年排放量（t/a）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6"/>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3" w:type="pct"/>
            <w:vMerge w:val="restar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沼气锅炉燃烧</w:t>
            </w:r>
          </w:p>
        </w:tc>
        <w:tc>
          <w:tcPr>
            <w:tcW w:w="833" w:type="pct"/>
            <w:vMerge w:val="restar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DA001</w:t>
            </w:r>
          </w:p>
        </w:tc>
        <w:tc>
          <w:tcPr>
            <w:tcW w:w="912"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SO</w:t>
            </w:r>
            <w:r>
              <w:rPr>
                <w:rFonts w:hint="eastAsia"/>
                <w:color w:val="auto"/>
                <w:sz w:val="21"/>
                <w:szCs w:val="21"/>
                <w:highlight w:val="none"/>
                <w:vertAlign w:val="subscript"/>
                <w:lang w:val="en-US" w:eastAsia="zh-CN"/>
              </w:rPr>
              <w:t>2</w:t>
            </w:r>
          </w:p>
        </w:tc>
        <w:tc>
          <w:tcPr>
            <w:tcW w:w="1272" w:type="dxa"/>
            <w:noWrap w:val="0"/>
            <w:vAlign w:val="center"/>
          </w:tcPr>
          <w:p>
            <w:pPr>
              <w:adjustRightInd w:val="0"/>
              <w:snapToGrid w:val="0"/>
              <w:spacing w:line="240" w:lineRule="auto"/>
              <w:ind w:firstLine="0" w:firstLineChars="0"/>
              <w:jc w:val="center"/>
              <w:rPr>
                <w:rFonts w:hint="default"/>
                <w:color w:val="auto"/>
                <w:sz w:val="21"/>
                <w:szCs w:val="21"/>
                <w:highlight w:val="none"/>
                <w:lang w:val="en-US" w:eastAsia="zh-CN"/>
              </w:rPr>
            </w:pPr>
            <w:r>
              <w:rPr>
                <w:rFonts w:hint="eastAsia" w:cs="Times New Roman"/>
                <w:b w:val="0"/>
                <w:bCs/>
                <w:color w:val="auto"/>
                <w:sz w:val="21"/>
                <w:szCs w:val="21"/>
                <w:highlight w:val="none"/>
                <w:lang w:val="en-US" w:eastAsia="zh-CN"/>
              </w:rPr>
              <w:t>2.54</w:t>
            </w:r>
          </w:p>
        </w:tc>
        <w:tc>
          <w:tcPr>
            <w:tcW w:w="834" w:type="pct"/>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0.0003</w:t>
            </w:r>
          </w:p>
        </w:tc>
        <w:tc>
          <w:tcPr>
            <w:tcW w:w="844" w:type="pct"/>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s="Times New Roman"/>
                <w:b w:val="0"/>
                <w:bCs/>
                <w:color w:val="auto"/>
                <w:sz w:val="21"/>
                <w:szCs w:val="21"/>
                <w:highlight w:val="none"/>
                <w:lang w:val="en-US" w:eastAsia="zh-CN"/>
              </w:rPr>
              <w:t>0.00002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3" w:type="pct"/>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833" w:type="pct"/>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912" w:type="pct"/>
            <w:noWrap w:val="0"/>
            <w:vAlign w:val="center"/>
          </w:tcPr>
          <w:p>
            <w:pPr>
              <w:spacing w:line="240" w:lineRule="auto"/>
              <w:ind w:firstLine="0" w:firstLineChars="0"/>
              <w:jc w:val="left"/>
              <w:rPr>
                <w:rFonts w:hint="eastAsia"/>
                <w:color w:val="auto"/>
                <w:sz w:val="21"/>
                <w:szCs w:val="21"/>
                <w:highlight w:val="none"/>
                <w:lang w:val="en-US" w:eastAsia="zh-CN"/>
              </w:rPr>
            </w:pPr>
            <w:r>
              <w:rPr>
                <w:rFonts w:hint="eastAsia"/>
                <w:color w:val="auto"/>
                <w:sz w:val="21"/>
                <w:szCs w:val="21"/>
                <w:highlight w:val="none"/>
                <w:lang w:val="en-US" w:eastAsia="zh-CN"/>
              </w:rPr>
              <w:t>颗粒物（PM</w:t>
            </w:r>
            <w:r>
              <w:rPr>
                <w:rFonts w:hint="eastAsia"/>
                <w:color w:val="auto"/>
                <w:sz w:val="21"/>
                <w:szCs w:val="21"/>
                <w:highlight w:val="none"/>
                <w:vertAlign w:val="subscript"/>
                <w:lang w:val="en-US" w:eastAsia="zh-CN"/>
              </w:rPr>
              <w:t>10</w:t>
            </w:r>
            <w:r>
              <w:rPr>
                <w:rFonts w:hint="eastAsia"/>
                <w:color w:val="auto"/>
                <w:sz w:val="21"/>
                <w:szCs w:val="21"/>
                <w:highlight w:val="none"/>
                <w:lang w:val="en-US" w:eastAsia="zh-CN"/>
              </w:rPr>
              <w:t>）</w:t>
            </w:r>
          </w:p>
        </w:tc>
        <w:tc>
          <w:tcPr>
            <w:tcW w:w="1272" w:type="dxa"/>
            <w:noWrap w:val="0"/>
            <w:vAlign w:val="center"/>
          </w:tcPr>
          <w:p>
            <w:pPr>
              <w:adjustRightInd w:val="0"/>
              <w:snapToGrid w:val="0"/>
              <w:spacing w:line="240" w:lineRule="auto"/>
              <w:ind w:firstLine="0" w:firstLineChars="0"/>
              <w:jc w:val="center"/>
              <w:rPr>
                <w:rFonts w:hint="default"/>
                <w:color w:val="auto"/>
                <w:sz w:val="21"/>
                <w:szCs w:val="21"/>
                <w:highlight w:val="none"/>
                <w:lang w:val="en-US" w:eastAsia="zh-CN"/>
              </w:rPr>
            </w:pPr>
            <w:r>
              <w:rPr>
                <w:rFonts w:hint="eastAsia" w:cs="Times New Roman"/>
                <w:b w:val="0"/>
                <w:bCs/>
                <w:color w:val="auto"/>
                <w:sz w:val="21"/>
                <w:szCs w:val="21"/>
                <w:highlight w:val="none"/>
                <w:lang w:val="en-US" w:eastAsia="zh-CN"/>
              </w:rPr>
              <w:t>4.8</w:t>
            </w:r>
          </w:p>
        </w:tc>
        <w:tc>
          <w:tcPr>
            <w:tcW w:w="834" w:type="pct"/>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0.0006</w:t>
            </w:r>
          </w:p>
        </w:tc>
        <w:tc>
          <w:tcPr>
            <w:tcW w:w="844" w:type="pct"/>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s="Times New Roman"/>
                <w:b w:val="0"/>
                <w:bCs/>
                <w:color w:val="auto"/>
                <w:sz w:val="21"/>
                <w:szCs w:val="21"/>
                <w:highlight w:val="none"/>
                <w:lang w:val="en-US" w:eastAsia="zh-CN"/>
              </w:rPr>
              <w:t>0.00004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3" w:type="pct"/>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833" w:type="pct"/>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912"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NO</w:t>
            </w:r>
            <w:r>
              <w:rPr>
                <w:rFonts w:hint="eastAsia"/>
                <w:color w:val="auto"/>
                <w:sz w:val="21"/>
                <w:szCs w:val="21"/>
                <w:highlight w:val="none"/>
                <w:vertAlign w:val="subscript"/>
                <w:lang w:val="en-US" w:eastAsia="zh-CN"/>
              </w:rPr>
              <w:t>X</w:t>
            </w:r>
          </w:p>
        </w:tc>
        <w:tc>
          <w:tcPr>
            <w:tcW w:w="752" w:type="pct"/>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s="Times New Roman"/>
                <w:b w:val="0"/>
                <w:bCs/>
                <w:color w:val="auto"/>
                <w:sz w:val="21"/>
                <w:szCs w:val="21"/>
                <w:highlight w:val="none"/>
                <w:lang w:val="en-US" w:eastAsia="zh-CN"/>
              </w:rPr>
              <w:t>12.74</w:t>
            </w:r>
          </w:p>
        </w:tc>
        <w:tc>
          <w:tcPr>
            <w:tcW w:w="834" w:type="pct"/>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0.001</w:t>
            </w:r>
          </w:p>
        </w:tc>
        <w:tc>
          <w:tcPr>
            <w:tcW w:w="844" w:type="pct"/>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s="Times New Roman"/>
                <w:b w:val="0"/>
                <w:bCs/>
                <w:color w:val="auto"/>
                <w:sz w:val="21"/>
                <w:szCs w:val="21"/>
                <w:highlight w:val="none"/>
                <w:lang w:val="en-US" w:eastAsia="zh-CN"/>
              </w:rP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56" w:type="pct"/>
            <w:gridSpan w:val="2"/>
            <w:vMerge w:val="restar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一般排放口合计</w:t>
            </w:r>
          </w:p>
        </w:tc>
        <w:tc>
          <w:tcPr>
            <w:tcW w:w="2499" w:type="pct"/>
            <w:gridSpan w:val="3"/>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SO</w:t>
            </w:r>
            <w:r>
              <w:rPr>
                <w:rFonts w:hint="eastAsia"/>
                <w:color w:val="auto"/>
                <w:sz w:val="21"/>
                <w:szCs w:val="21"/>
                <w:highlight w:val="none"/>
                <w:vertAlign w:val="subscript"/>
                <w:lang w:val="en-US" w:eastAsia="zh-CN"/>
              </w:rPr>
              <w:t>2</w:t>
            </w:r>
          </w:p>
        </w:tc>
        <w:tc>
          <w:tcPr>
            <w:tcW w:w="844" w:type="pct"/>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b w:val="0"/>
                <w:bCs/>
                <w:color w:val="auto"/>
                <w:sz w:val="21"/>
                <w:szCs w:val="21"/>
                <w:highlight w:val="none"/>
                <w:lang w:val="en-US" w:eastAsia="zh-CN"/>
              </w:rPr>
              <w:t>0.00002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56" w:type="pct"/>
            <w:gridSpan w:val="2"/>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2499" w:type="pct"/>
            <w:gridSpan w:val="3"/>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NO</w:t>
            </w:r>
            <w:r>
              <w:rPr>
                <w:rFonts w:hint="eastAsia"/>
                <w:color w:val="auto"/>
                <w:sz w:val="21"/>
                <w:szCs w:val="21"/>
                <w:highlight w:val="none"/>
                <w:vertAlign w:val="subscript"/>
                <w:lang w:val="en-US" w:eastAsia="zh-CN"/>
              </w:rPr>
              <w:t>X</w:t>
            </w:r>
          </w:p>
        </w:tc>
        <w:tc>
          <w:tcPr>
            <w:tcW w:w="844" w:type="pct"/>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b w:val="0"/>
                <w:bCs/>
                <w:color w:val="auto"/>
                <w:sz w:val="21"/>
                <w:szCs w:val="21"/>
                <w:highlight w:val="none"/>
                <w:lang w:val="en-US" w:eastAsia="zh-CN"/>
              </w:rP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56" w:type="pct"/>
            <w:gridSpan w:val="2"/>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2499" w:type="pct"/>
            <w:gridSpan w:val="3"/>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颗粒物（PM</w:t>
            </w:r>
            <w:r>
              <w:rPr>
                <w:rFonts w:hint="eastAsia"/>
                <w:color w:val="auto"/>
                <w:sz w:val="21"/>
                <w:szCs w:val="21"/>
                <w:highlight w:val="none"/>
                <w:vertAlign w:val="subscript"/>
                <w:lang w:val="en-US" w:eastAsia="zh-CN"/>
              </w:rPr>
              <w:t>10</w:t>
            </w:r>
            <w:r>
              <w:rPr>
                <w:rFonts w:hint="eastAsia"/>
                <w:color w:val="auto"/>
                <w:sz w:val="21"/>
                <w:szCs w:val="21"/>
                <w:highlight w:val="none"/>
                <w:lang w:val="en-US" w:eastAsia="zh-CN"/>
              </w:rPr>
              <w:t>）</w:t>
            </w:r>
          </w:p>
        </w:tc>
        <w:tc>
          <w:tcPr>
            <w:tcW w:w="844" w:type="pct"/>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b w:val="0"/>
                <w:bCs/>
                <w:color w:val="auto"/>
                <w:sz w:val="21"/>
                <w:szCs w:val="21"/>
                <w:highlight w:val="none"/>
                <w:lang w:val="en-US" w:eastAsia="zh-CN"/>
              </w:rPr>
              <w:t>0.00004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6"/>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排放合计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56" w:type="pct"/>
            <w:gridSpan w:val="2"/>
            <w:vMerge w:val="restar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排放总计</w:t>
            </w:r>
          </w:p>
        </w:tc>
        <w:tc>
          <w:tcPr>
            <w:tcW w:w="2499" w:type="pct"/>
            <w:gridSpan w:val="3"/>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SO</w:t>
            </w:r>
            <w:r>
              <w:rPr>
                <w:rFonts w:hint="eastAsia"/>
                <w:color w:val="auto"/>
                <w:sz w:val="21"/>
                <w:szCs w:val="21"/>
                <w:highlight w:val="none"/>
                <w:vertAlign w:val="subscript"/>
                <w:lang w:val="en-US" w:eastAsia="zh-CN"/>
              </w:rPr>
              <w:t>2</w:t>
            </w:r>
          </w:p>
        </w:tc>
        <w:tc>
          <w:tcPr>
            <w:tcW w:w="1429" w:type="dxa"/>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s="Times New Roman"/>
                <w:b w:val="0"/>
                <w:bCs/>
                <w:color w:val="auto"/>
                <w:sz w:val="21"/>
                <w:szCs w:val="21"/>
                <w:highlight w:val="none"/>
                <w:lang w:val="en-US" w:eastAsia="zh-CN"/>
              </w:rPr>
              <w:t>0.00002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56" w:type="pct"/>
            <w:gridSpan w:val="2"/>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2499" w:type="pct"/>
            <w:gridSpan w:val="3"/>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NO</w:t>
            </w:r>
            <w:r>
              <w:rPr>
                <w:rFonts w:hint="eastAsia"/>
                <w:color w:val="auto"/>
                <w:sz w:val="21"/>
                <w:szCs w:val="21"/>
                <w:highlight w:val="none"/>
                <w:vertAlign w:val="subscript"/>
                <w:lang w:val="en-US" w:eastAsia="zh-CN"/>
              </w:rPr>
              <w:t>X</w:t>
            </w:r>
          </w:p>
        </w:tc>
        <w:tc>
          <w:tcPr>
            <w:tcW w:w="1429" w:type="dxa"/>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s="Times New Roman"/>
                <w:b w:val="0"/>
                <w:bCs/>
                <w:color w:val="auto"/>
                <w:sz w:val="21"/>
                <w:szCs w:val="21"/>
                <w:highlight w:val="none"/>
                <w:lang w:val="en-US" w:eastAsia="zh-CN"/>
              </w:rP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56" w:type="pct"/>
            <w:gridSpan w:val="2"/>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2499" w:type="pct"/>
            <w:gridSpan w:val="3"/>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颗粒物（PM</w:t>
            </w:r>
            <w:r>
              <w:rPr>
                <w:rFonts w:hint="eastAsia"/>
                <w:color w:val="auto"/>
                <w:sz w:val="21"/>
                <w:szCs w:val="21"/>
                <w:highlight w:val="none"/>
                <w:vertAlign w:val="subscript"/>
                <w:lang w:val="en-US" w:eastAsia="zh-CN"/>
              </w:rPr>
              <w:t>10</w:t>
            </w:r>
            <w:r>
              <w:rPr>
                <w:rFonts w:hint="eastAsia"/>
                <w:color w:val="auto"/>
                <w:sz w:val="21"/>
                <w:szCs w:val="21"/>
                <w:highlight w:val="none"/>
                <w:lang w:val="en-US" w:eastAsia="zh-CN"/>
              </w:rPr>
              <w:t>）</w:t>
            </w:r>
          </w:p>
        </w:tc>
        <w:tc>
          <w:tcPr>
            <w:tcW w:w="1429" w:type="dxa"/>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s="Times New Roman"/>
                <w:b w:val="0"/>
                <w:bCs/>
                <w:color w:val="auto"/>
                <w:sz w:val="21"/>
                <w:szCs w:val="21"/>
                <w:highlight w:val="none"/>
                <w:lang w:val="en-US" w:eastAsia="zh-CN"/>
              </w:rPr>
              <w:t>0.00004</w:t>
            </w:r>
          </w:p>
        </w:tc>
      </w:tr>
    </w:tbl>
    <w:p>
      <w:pPr>
        <w:pStyle w:val="21"/>
        <w:rPr>
          <w:rFonts w:cs="Times New Roman"/>
          <w:color w:val="auto"/>
          <w:highlight w:val="none"/>
        </w:rPr>
      </w:pPr>
      <w:r>
        <w:rPr>
          <w:rFonts w:cs="Times New Roman"/>
          <w:color w:val="auto"/>
          <w:highlight w:val="none"/>
        </w:rPr>
        <w:t>表</w:t>
      </w:r>
      <w:r>
        <w:rPr>
          <w:rFonts w:hint="eastAsia" w:cs="Times New Roman"/>
          <w:color w:val="auto"/>
          <w:highlight w:val="none"/>
          <w:lang w:val="en-US" w:eastAsia="zh-CN"/>
        </w:rPr>
        <w:t>4.2</w:t>
      </w:r>
      <w:r>
        <w:rPr>
          <w:rFonts w:cs="Times New Roman"/>
          <w:color w:val="auto"/>
          <w:highlight w:val="none"/>
        </w:rPr>
        <w:t>-</w:t>
      </w:r>
      <w:r>
        <w:rPr>
          <w:rFonts w:hint="eastAsia" w:cs="Times New Roman"/>
          <w:color w:val="auto"/>
          <w:highlight w:val="none"/>
          <w:lang w:val="en-US" w:eastAsia="zh-CN"/>
        </w:rPr>
        <w:t>17</w:t>
      </w:r>
      <w:r>
        <w:rPr>
          <w:rFonts w:cs="Times New Roman"/>
          <w:color w:val="auto"/>
          <w:highlight w:val="none"/>
        </w:rPr>
        <w:t xml:space="preserve"> 大气污染物无组织排放量核算表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1093"/>
        <w:gridCol w:w="330"/>
        <w:gridCol w:w="499"/>
        <w:gridCol w:w="1536"/>
        <w:gridCol w:w="1096"/>
        <w:gridCol w:w="1020"/>
        <w:gridCol w:w="1142"/>
        <w:gridCol w:w="10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8" w:type="pct"/>
            <w:vMerge w:val="restar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序号</w:t>
            </w:r>
          </w:p>
        </w:tc>
        <w:tc>
          <w:tcPr>
            <w:tcW w:w="646" w:type="pct"/>
            <w:vMerge w:val="restar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产污环节</w:t>
            </w:r>
          </w:p>
        </w:tc>
        <w:tc>
          <w:tcPr>
            <w:tcW w:w="490" w:type="pct"/>
            <w:gridSpan w:val="2"/>
            <w:vMerge w:val="restar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污染物</w:t>
            </w:r>
          </w:p>
        </w:tc>
        <w:tc>
          <w:tcPr>
            <w:tcW w:w="908" w:type="pct"/>
            <w:vMerge w:val="restar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主要防治措施</w:t>
            </w:r>
          </w:p>
        </w:tc>
        <w:tc>
          <w:tcPr>
            <w:tcW w:w="1926" w:type="pct"/>
            <w:gridSpan w:val="3"/>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国家或地方污染物排放标准</w:t>
            </w:r>
          </w:p>
        </w:tc>
        <w:tc>
          <w:tcPr>
            <w:tcW w:w="640" w:type="pct"/>
            <w:vMerge w:val="restar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8" w:type="pct"/>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646" w:type="pct"/>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490" w:type="pct"/>
            <w:gridSpan w:val="2"/>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908" w:type="pct"/>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1251" w:type="pct"/>
            <w:gridSpan w:val="2"/>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标准名称</w:t>
            </w:r>
          </w:p>
        </w:tc>
        <w:tc>
          <w:tcPr>
            <w:tcW w:w="675"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浓度限值</w:t>
            </w:r>
          </w:p>
        </w:tc>
        <w:tc>
          <w:tcPr>
            <w:tcW w:w="640" w:type="pct"/>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388"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w:t>
            </w:r>
          </w:p>
        </w:tc>
        <w:tc>
          <w:tcPr>
            <w:tcW w:w="646"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厂区恶臭</w:t>
            </w:r>
          </w:p>
        </w:tc>
        <w:tc>
          <w:tcPr>
            <w:tcW w:w="490" w:type="pct"/>
            <w:gridSpan w:val="2"/>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NH</w:t>
            </w:r>
            <w:r>
              <w:rPr>
                <w:rFonts w:hint="eastAsia"/>
                <w:color w:val="auto"/>
                <w:sz w:val="21"/>
                <w:szCs w:val="21"/>
                <w:highlight w:val="none"/>
                <w:vertAlign w:val="subscript"/>
                <w:lang w:val="en-US" w:eastAsia="zh-CN"/>
              </w:rPr>
              <w:t>3</w:t>
            </w:r>
          </w:p>
        </w:tc>
        <w:tc>
          <w:tcPr>
            <w:tcW w:w="908" w:type="pct"/>
            <w:vMerge w:val="restart"/>
            <w:noWrap w:val="0"/>
            <w:vAlign w:val="center"/>
          </w:tcPr>
          <w:p>
            <w:pPr>
              <w:spacing w:line="240" w:lineRule="auto"/>
              <w:ind w:firstLine="0" w:firstLineChars="0"/>
              <w:jc w:val="center"/>
              <w:rPr>
                <w:rFonts w:hint="eastAsia" w:eastAsia="宋体"/>
                <w:color w:val="auto"/>
                <w:sz w:val="21"/>
                <w:szCs w:val="21"/>
                <w:highlight w:val="none"/>
                <w:lang w:val="en-US" w:eastAsia="zh-CN"/>
              </w:rPr>
            </w:pPr>
            <w:r>
              <w:rPr>
                <w:rFonts w:ascii="Times New Roman" w:hAnsi="Times New Roman"/>
                <w:bCs/>
                <w:color w:val="auto"/>
                <w:sz w:val="21"/>
                <w:szCs w:val="21"/>
                <w:highlight w:val="none"/>
              </w:rPr>
              <w:t>控制饲养密度、采用节水型饮水器、加强通风、全漏缝地板并及时清粪，喷洒除臭剂</w:t>
            </w:r>
            <w:r>
              <w:rPr>
                <w:rFonts w:hint="eastAsia"/>
                <w:bCs/>
                <w:color w:val="auto"/>
                <w:sz w:val="21"/>
                <w:szCs w:val="21"/>
                <w:highlight w:val="none"/>
                <w:lang w:eastAsia="zh-CN"/>
              </w:rPr>
              <w:t>，配备除臭墙</w:t>
            </w:r>
          </w:p>
        </w:tc>
        <w:tc>
          <w:tcPr>
            <w:tcW w:w="1251" w:type="pct"/>
            <w:gridSpan w:val="2"/>
            <w:vMerge w:val="restar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《恶臭污染物排放标准》（GB14554-93）</w:t>
            </w:r>
          </w:p>
        </w:tc>
        <w:tc>
          <w:tcPr>
            <w:tcW w:w="675"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0.06mg/m</w:t>
            </w:r>
            <w:r>
              <w:rPr>
                <w:rFonts w:hint="eastAsia"/>
                <w:color w:val="auto"/>
                <w:sz w:val="21"/>
                <w:szCs w:val="21"/>
                <w:highlight w:val="none"/>
                <w:vertAlign w:val="superscript"/>
                <w:lang w:val="en-US" w:eastAsia="zh-CN"/>
              </w:rPr>
              <w:t>3</w:t>
            </w:r>
          </w:p>
        </w:tc>
        <w:tc>
          <w:tcPr>
            <w:tcW w:w="640" w:type="pct"/>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s="Times New Roman"/>
                <w:b w:val="0"/>
                <w:bCs/>
                <w:color w:val="auto"/>
                <w:sz w:val="21"/>
                <w:szCs w:val="21"/>
                <w:highlight w:val="none"/>
                <w:lang w:val="en-US" w:eastAsia="zh-CN"/>
              </w:rPr>
              <w:t>1.1468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388"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w:t>
            </w:r>
          </w:p>
        </w:tc>
        <w:tc>
          <w:tcPr>
            <w:tcW w:w="646"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厂区恶臭</w:t>
            </w:r>
          </w:p>
        </w:tc>
        <w:tc>
          <w:tcPr>
            <w:tcW w:w="490" w:type="pct"/>
            <w:gridSpan w:val="2"/>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H</w:t>
            </w:r>
            <w:r>
              <w:rPr>
                <w:rFonts w:hint="eastAsia"/>
                <w:color w:val="auto"/>
                <w:sz w:val="21"/>
                <w:szCs w:val="21"/>
                <w:highlight w:val="none"/>
                <w:vertAlign w:val="subscript"/>
                <w:lang w:val="en-US" w:eastAsia="zh-CN"/>
              </w:rPr>
              <w:t>2</w:t>
            </w:r>
            <w:r>
              <w:rPr>
                <w:rFonts w:hint="eastAsia"/>
                <w:color w:val="auto"/>
                <w:sz w:val="21"/>
                <w:szCs w:val="21"/>
                <w:highlight w:val="none"/>
                <w:lang w:val="en-US" w:eastAsia="zh-CN"/>
              </w:rPr>
              <w:t>S</w:t>
            </w:r>
          </w:p>
        </w:tc>
        <w:tc>
          <w:tcPr>
            <w:tcW w:w="908" w:type="pct"/>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1251" w:type="pct"/>
            <w:gridSpan w:val="2"/>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675"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1.5mg/m</w:t>
            </w:r>
            <w:r>
              <w:rPr>
                <w:rFonts w:hint="eastAsia"/>
                <w:color w:val="auto"/>
                <w:sz w:val="21"/>
                <w:szCs w:val="21"/>
                <w:highlight w:val="none"/>
                <w:vertAlign w:val="superscript"/>
                <w:lang w:val="en-US" w:eastAsia="zh-CN"/>
              </w:rPr>
              <w:t>3</w:t>
            </w:r>
          </w:p>
        </w:tc>
        <w:tc>
          <w:tcPr>
            <w:tcW w:w="640" w:type="pct"/>
            <w:noWrap w:val="0"/>
            <w:vAlign w:val="center"/>
          </w:tcPr>
          <w:p>
            <w:pPr>
              <w:spacing w:line="240" w:lineRule="auto"/>
              <w:ind w:firstLine="0" w:firstLineChars="0"/>
              <w:jc w:val="center"/>
              <w:rPr>
                <w:rFonts w:hint="default"/>
                <w:color w:val="auto"/>
                <w:sz w:val="21"/>
                <w:szCs w:val="21"/>
                <w:highlight w:val="none"/>
                <w:lang w:val="en-US" w:eastAsia="zh-CN"/>
              </w:rPr>
            </w:pPr>
            <w:r>
              <w:rPr>
                <w:rFonts w:hint="default" w:cs="Times New Roman"/>
                <w:b w:val="0"/>
                <w:bCs/>
                <w:color w:val="auto"/>
                <w:sz w:val="21"/>
                <w:szCs w:val="21"/>
                <w:highlight w:val="none"/>
                <w:lang w:val="en-US" w:eastAsia="zh-CN"/>
              </w:rPr>
              <w:t>0.0</w:t>
            </w:r>
            <w:r>
              <w:rPr>
                <w:rFonts w:hint="eastAsia" w:cs="Times New Roman"/>
                <w:b w:val="0"/>
                <w:bCs/>
                <w:color w:val="auto"/>
                <w:sz w:val="21"/>
                <w:szCs w:val="21"/>
                <w:highlight w:val="none"/>
                <w:lang w:val="en-US" w:eastAsia="zh-CN"/>
              </w:rPr>
              <w:t>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388" w:type="pct"/>
            <w:vMerge w:val="restart"/>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646" w:type="pct"/>
            <w:vMerge w:val="restar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火炬燃烧</w:t>
            </w:r>
          </w:p>
        </w:tc>
        <w:tc>
          <w:tcPr>
            <w:tcW w:w="490" w:type="pct"/>
            <w:gridSpan w:val="2"/>
            <w:noWrap w:val="0"/>
            <w:vAlign w:val="center"/>
          </w:tcPr>
          <w:p>
            <w:pPr>
              <w:adjustRightInd w:val="0"/>
              <w:snapToGrid w:val="0"/>
              <w:spacing w:line="240" w:lineRule="auto"/>
              <w:ind w:firstLine="0" w:firstLineChars="0"/>
              <w:jc w:val="center"/>
              <w:rPr>
                <w:rFonts w:hint="eastAsia"/>
                <w:color w:val="auto"/>
                <w:sz w:val="21"/>
                <w:szCs w:val="21"/>
                <w:highlight w:val="none"/>
                <w:lang w:val="en-US" w:eastAsia="zh-CN"/>
              </w:rPr>
            </w:pPr>
            <w:r>
              <w:rPr>
                <w:rFonts w:hint="eastAsia" w:cs="Times New Roman"/>
                <w:b w:val="0"/>
                <w:bCs/>
                <w:color w:val="auto"/>
                <w:sz w:val="21"/>
                <w:szCs w:val="21"/>
                <w:highlight w:val="none"/>
              </w:rPr>
              <w:t>NO</w:t>
            </w:r>
            <w:r>
              <w:rPr>
                <w:rFonts w:hint="eastAsia" w:cs="Times New Roman"/>
                <w:b w:val="0"/>
                <w:bCs/>
                <w:color w:val="auto"/>
                <w:sz w:val="21"/>
                <w:szCs w:val="21"/>
                <w:highlight w:val="none"/>
                <w:vertAlign w:val="subscript"/>
              </w:rPr>
              <w:t>X</w:t>
            </w:r>
          </w:p>
        </w:tc>
        <w:tc>
          <w:tcPr>
            <w:tcW w:w="908" w:type="pct"/>
            <w:vMerge w:val="restart"/>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3m火炬</w:t>
            </w:r>
          </w:p>
        </w:tc>
        <w:tc>
          <w:tcPr>
            <w:tcW w:w="1251" w:type="pct"/>
            <w:gridSpan w:val="2"/>
            <w:vMerge w:val="restar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《大气污染物综合排放标准》（GB16297-1996）</w:t>
            </w:r>
          </w:p>
        </w:tc>
        <w:tc>
          <w:tcPr>
            <w:tcW w:w="675" w:type="pct"/>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0.12mg/m</w:t>
            </w:r>
            <w:r>
              <w:rPr>
                <w:rFonts w:hint="eastAsia"/>
                <w:color w:val="auto"/>
                <w:sz w:val="21"/>
                <w:szCs w:val="21"/>
                <w:highlight w:val="none"/>
                <w:vertAlign w:val="superscript"/>
                <w:lang w:val="en-US" w:eastAsia="zh-CN"/>
              </w:rPr>
              <w:t>3</w:t>
            </w:r>
          </w:p>
        </w:tc>
        <w:tc>
          <w:tcPr>
            <w:tcW w:w="640" w:type="pct"/>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388" w:type="pct"/>
            <w:vMerge w:val="continue"/>
            <w:noWrap w:val="0"/>
            <w:vAlign w:val="center"/>
          </w:tcPr>
          <w:p>
            <w:pPr>
              <w:spacing w:line="240" w:lineRule="auto"/>
              <w:ind w:firstLine="0" w:firstLineChars="0"/>
              <w:jc w:val="center"/>
              <w:rPr>
                <w:rFonts w:hint="default"/>
                <w:color w:val="auto"/>
                <w:sz w:val="21"/>
                <w:szCs w:val="21"/>
                <w:highlight w:val="none"/>
                <w:lang w:val="en-US" w:eastAsia="zh-CN"/>
              </w:rPr>
            </w:pPr>
          </w:p>
        </w:tc>
        <w:tc>
          <w:tcPr>
            <w:tcW w:w="646" w:type="pct"/>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490" w:type="pct"/>
            <w:gridSpan w:val="2"/>
            <w:noWrap w:val="0"/>
            <w:vAlign w:val="center"/>
          </w:tcPr>
          <w:p>
            <w:pPr>
              <w:adjustRightInd w:val="0"/>
              <w:snapToGrid w:val="0"/>
              <w:spacing w:line="240" w:lineRule="auto"/>
              <w:ind w:firstLine="0" w:firstLineChars="0"/>
              <w:jc w:val="center"/>
              <w:rPr>
                <w:rFonts w:hint="eastAsia"/>
                <w:color w:val="auto"/>
                <w:sz w:val="21"/>
                <w:szCs w:val="21"/>
                <w:highlight w:val="none"/>
                <w:lang w:val="en-US" w:eastAsia="zh-CN"/>
              </w:rPr>
            </w:pPr>
            <w:r>
              <w:rPr>
                <w:rFonts w:hint="eastAsia" w:cs="Times New Roman"/>
                <w:b w:val="0"/>
                <w:bCs/>
                <w:color w:val="auto"/>
                <w:sz w:val="21"/>
                <w:szCs w:val="21"/>
                <w:highlight w:val="none"/>
              </w:rPr>
              <w:t>SO</w:t>
            </w:r>
            <w:r>
              <w:rPr>
                <w:rFonts w:hint="eastAsia" w:cs="Times New Roman"/>
                <w:b w:val="0"/>
                <w:bCs/>
                <w:color w:val="auto"/>
                <w:sz w:val="21"/>
                <w:szCs w:val="21"/>
                <w:highlight w:val="none"/>
                <w:vertAlign w:val="subscript"/>
              </w:rPr>
              <w:t>2</w:t>
            </w:r>
          </w:p>
        </w:tc>
        <w:tc>
          <w:tcPr>
            <w:tcW w:w="908" w:type="pct"/>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1251" w:type="pct"/>
            <w:gridSpan w:val="2"/>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675"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0.4mg/m</w:t>
            </w:r>
            <w:r>
              <w:rPr>
                <w:rFonts w:hint="eastAsia"/>
                <w:color w:val="auto"/>
                <w:sz w:val="21"/>
                <w:szCs w:val="21"/>
                <w:highlight w:val="none"/>
                <w:vertAlign w:val="superscript"/>
                <w:lang w:val="en-US" w:eastAsia="zh-CN"/>
              </w:rPr>
              <w:t>3</w:t>
            </w:r>
          </w:p>
        </w:tc>
        <w:tc>
          <w:tcPr>
            <w:tcW w:w="640" w:type="pct"/>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388" w:type="pct"/>
            <w:vMerge w:val="continue"/>
            <w:noWrap w:val="0"/>
            <w:vAlign w:val="center"/>
          </w:tcPr>
          <w:p>
            <w:pPr>
              <w:spacing w:line="240" w:lineRule="auto"/>
              <w:ind w:firstLine="0" w:firstLineChars="0"/>
              <w:jc w:val="center"/>
              <w:rPr>
                <w:rFonts w:hint="default"/>
                <w:color w:val="auto"/>
                <w:sz w:val="21"/>
                <w:szCs w:val="21"/>
                <w:highlight w:val="none"/>
                <w:lang w:val="en-US" w:eastAsia="zh-CN"/>
              </w:rPr>
            </w:pPr>
          </w:p>
        </w:tc>
        <w:tc>
          <w:tcPr>
            <w:tcW w:w="646" w:type="pct"/>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490" w:type="pct"/>
            <w:gridSpan w:val="2"/>
            <w:noWrap w:val="0"/>
            <w:vAlign w:val="center"/>
          </w:tcPr>
          <w:p>
            <w:pPr>
              <w:adjustRightInd w:val="0"/>
              <w:snapToGrid w:val="0"/>
              <w:spacing w:line="240" w:lineRule="auto"/>
              <w:ind w:firstLine="0" w:firstLineChars="0"/>
              <w:jc w:val="center"/>
              <w:rPr>
                <w:rFonts w:hint="eastAsia"/>
                <w:color w:val="auto"/>
                <w:sz w:val="21"/>
                <w:szCs w:val="21"/>
                <w:highlight w:val="none"/>
                <w:lang w:val="en-US" w:eastAsia="zh-CN"/>
              </w:rPr>
            </w:pPr>
            <w:r>
              <w:rPr>
                <w:rFonts w:hint="eastAsia" w:cs="Times New Roman"/>
                <w:b w:val="0"/>
                <w:bCs/>
                <w:color w:val="auto"/>
                <w:sz w:val="21"/>
                <w:szCs w:val="21"/>
                <w:highlight w:val="none"/>
              </w:rPr>
              <w:t>颗粒物</w:t>
            </w:r>
          </w:p>
        </w:tc>
        <w:tc>
          <w:tcPr>
            <w:tcW w:w="908" w:type="pct"/>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1251" w:type="pct"/>
            <w:gridSpan w:val="2"/>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675"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1.0mg/m</w:t>
            </w:r>
            <w:r>
              <w:rPr>
                <w:rFonts w:hint="eastAsia"/>
                <w:color w:val="auto"/>
                <w:sz w:val="21"/>
                <w:szCs w:val="21"/>
                <w:highlight w:val="none"/>
                <w:vertAlign w:val="superscript"/>
                <w:lang w:val="en-US" w:eastAsia="zh-CN"/>
              </w:rPr>
              <w:t>3</w:t>
            </w:r>
          </w:p>
        </w:tc>
        <w:tc>
          <w:tcPr>
            <w:tcW w:w="640" w:type="pct"/>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9"/>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无组织排放总计（t/a）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29" w:type="pct"/>
            <w:gridSpan w:val="3"/>
            <w:vMerge w:val="restar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无组织排放总计</w:t>
            </w:r>
          </w:p>
        </w:tc>
        <w:tc>
          <w:tcPr>
            <w:tcW w:w="1851" w:type="pct"/>
            <w:gridSpan w:val="3"/>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NH</w:t>
            </w:r>
            <w:r>
              <w:rPr>
                <w:rFonts w:hint="eastAsia"/>
                <w:color w:val="auto"/>
                <w:sz w:val="21"/>
                <w:szCs w:val="21"/>
                <w:highlight w:val="none"/>
                <w:vertAlign w:val="subscript"/>
                <w:lang w:val="en-US" w:eastAsia="zh-CN"/>
              </w:rPr>
              <w:t>3</w:t>
            </w:r>
          </w:p>
        </w:tc>
        <w:tc>
          <w:tcPr>
            <w:tcW w:w="1919" w:type="pct"/>
            <w:gridSpan w:val="3"/>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s="Times New Roman"/>
                <w:b w:val="0"/>
                <w:bCs/>
                <w:color w:val="auto"/>
                <w:sz w:val="21"/>
                <w:szCs w:val="21"/>
                <w:highlight w:val="none"/>
                <w:lang w:val="en-US" w:eastAsia="zh-CN"/>
              </w:rPr>
              <w:t>1.1468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29" w:type="pct"/>
            <w:gridSpan w:val="3"/>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1851" w:type="pct"/>
            <w:gridSpan w:val="3"/>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H</w:t>
            </w:r>
            <w:r>
              <w:rPr>
                <w:rFonts w:hint="eastAsia"/>
                <w:color w:val="auto"/>
                <w:sz w:val="21"/>
                <w:szCs w:val="21"/>
                <w:highlight w:val="none"/>
                <w:vertAlign w:val="subscript"/>
                <w:lang w:val="en-US" w:eastAsia="zh-CN"/>
              </w:rPr>
              <w:t>2</w:t>
            </w:r>
            <w:r>
              <w:rPr>
                <w:rFonts w:hint="eastAsia"/>
                <w:color w:val="auto"/>
                <w:sz w:val="21"/>
                <w:szCs w:val="21"/>
                <w:highlight w:val="none"/>
                <w:lang w:val="en-US" w:eastAsia="zh-CN"/>
              </w:rPr>
              <w:t>S</w:t>
            </w:r>
          </w:p>
        </w:tc>
        <w:tc>
          <w:tcPr>
            <w:tcW w:w="1919" w:type="pct"/>
            <w:gridSpan w:val="3"/>
            <w:noWrap w:val="0"/>
            <w:vAlign w:val="center"/>
          </w:tcPr>
          <w:p>
            <w:pPr>
              <w:spacing w:line="240" w:lineRule="auto"/>
              <w:ind w:firstLine="0" w:firstLineChars="0"/>
              <w:jc w:val="center"/>
              <w:rPr>
                <w:rFonts w:hint="default"/>
                <w:color w:val="auto"/>
                <w:sz w:val="21"/>
                <w:szCs w:val="21"/>
                <w:highlight w:val="none"/>
                <w:lang w:val="en-US" w:eastAsia="zh-CN"/>
              </w:rPr>
            </w:pPr>
            <w:r>
              <w:rPr>
                <w:rFonts w:hint="default" w:cs="Times New Roman"/>
                <w:b w:val="0"/>
                <w:bCs/>
                <w:color w:val="auto"/>
                <w:sz w:val="21"/>
                <w:szCs w:val="21"/>
                <w:highlight w:val="none"/>
                <w:lang w:val="en-US" w:eastAsia="zh-CN"/>
              </w:rPr>
              <w:t>0.0</w:t>
            </w:r>
            <w:r>
              <w:rPr>
                <w:rFonts w:hint="eastAsia" w:cs="Times New Roman"/>
                <w:b w:val="0"/>
                <w:bCs/>
                <w:color w:val="auto"/>
                <w:sz w:val="21"/>
                <w:szCs w:val="21"/>
                <w:highlight w:val="none"/>
                <w:lang w:val="en-US" w:eastAsia="zh-CN"/>
              </w:rPr>
              <w:t>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29" w:type="pct"/>
            <w:gridSpan w:val="3"/>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1851" w:type="pct"/>
            <w:gridSpan w:val="3"/>
            <w:noWrap w:val="0"/>
            <w:vAlign w:val="center"/>
          </w:tcPr>
          <w:p>
            <w:pPr>
              <w:adjustRightInd w:val="0"/>
              <w:snapToGrid w:val="0"/>
              <w:spacing w:line="240" w:lineRule="auto"/>
              <w:ind w:firstLine="0" w:firstLineChars="0"/>
              <w:jc w:val="center"/>
              <w:rPr>
                <w:rFonts w:hint="eastAsia"/>
                <w:color w:val="auto"/>
                <w:sz w:val="21"/>
                <w:szCs w:val="21"/>
                <w:highlight w:val="none"/>
                <w:lang w:val="en-US" w:eastAsia="zh-CN"/>
              </w:rPr>
            </w:pPr>
            <w:r>
              <w:rPr>
                <w:rFonts w:hint="eastAsia" w:cs="Times New Roman"/>
                <w:b w:val="0"/>
                <w:bCs/>
                <w:color w:val="auto"/>
                <w:sz w:val="21"/>
                <w:szCs w:val="21"/>
                <w:highlight w:val="none"/>
              </w:rPr>
              <w:t>NO</w:t>
            </w:r>
            <w:r>
              <w:rPr>
                <w:rFonts w:hint="eastAsia" w:cs="Times New Roman"/>
                <w:b w:val="0"/>
                <w:bCs/>
                <w:color w:val="auto"/>
                <w:sz w:val="21"/>
                <w:szCs w:val="21"/>
                <w:highlight w:val="none"/>
                <w:vertAlign w:val="subscript"/>
              </w:rPr>
              <w:t>X</w:t>
            </w:r>
          </w:p>
        </w:tc>
        <w:tc>
          <w:tcPr>
            <w:tcW w:w="1919" w:type="pct"/>
            <w:gridSpan w:val="3"/>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29" w:type="pct"/>
            <w:gridSpan w:val="3"/>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1851" w:type="pct"/>
            <w:gridSpan w:val="3"/>
            <w:noWrap w:val="0"/>
            <w:vAlign w:val="center"/>
          </w:tcPr>
          <w:p>
            <w:pPr>
              <w:adjustRightInd w:val="0"/>
              <w:snapToGrid w:val="0"/>
              <w:spacing w:line="240" w:lineRule="auto"/>
              <w:ind w:firstLine="0" w:firstLineChars="0"/>
              <w:jc w:val="center"/>
              <w:rPr>
                <w:rFonts w:hint="eastAsia"/>
                <w:color w:val="auto"/>
                <w:sz w:val="21"/>
                <w:szCs w:val="21"/>
                <w:highlight w:val="none"/>
                <w:lang w:val="en-US" w:eastAsia="zh-CN"/>
              </w:rPr>
            </w:pPr>
            <w:r>
              <w:rPr>
                <w:rFonts w:hint="eastAsia" w:cs="Times New Roman"/>
                <w:b w:val="0"/>
                <w:bCs/>
                <w:color w:val="auto"/>
                <w:sz w:val="21"/>
                <w:szCs w:val="21"/>
                <w:highlight w:val="none"/>
              </w:rPr>
              <w:t>SO</w:t>
            </w:r>
            <w:r>
              <w:rPr>
                <w:rFonts w:hint="eastAsia" w:cs="Times New Roman"/>
                <w:b w:val="0"/>
                <w:bCs/>
                <w:color w:val="auto"/>
                <w:sz w:val="21"/>
                <w:szCs w:val="21"/>
                <w:highlight w:val="none"/>
                <w:vertAlign w:val="subscript"/>
              </w:rPr>
              <w:t>2</w:t>
            </w:r>
          </w:p>
        </w:tc>
        <w:tc>
          <w:tcPr>
            <w:tcW w:w="1919" w:type="pct"/>
            <w:gridSpan w:val="3"/>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29" w:type="pct"/>
            <w:gridSpan w:val="3"/>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1851" w:type="pct"/>
            <w:gridSpan w:val="3"/>
            <w:noWrap w:val="0"/>
            <w:vAlign w:val="center"/>
          </w:tcPr>
          <w:p>
            <w:pPr>
              <w:adjustRightInd w:val="0"/>
              <w:snapToGrid w:val="0"/>
              <w:spacing w:line="240" w:lineRule="auto"/>
              <w:ind w:firstLine="0" w:firstLineChars="0"/>
              <w:jc w:val="center"/>
              <w:rPr>
                <w:rFonts w:hint="eastAsia"/>
                <w:color w:val="auto"/>
                <w:sz w:val="21"/>
                <w:szCs w:val="21"/>
                <w:highlight w:val="none"/>
                <w:lang w:val="en-US" w:eastAsia="zh-CN"/>
              </w:rPr>
            </w:pPr>
            <w:r>
              <w:rPr>
                <w:rFonts w:hint="eastAsia" w:cs="Times New Roman"/>
                <w:b w:val="0"/>
                <w:bCs/>
                <w:color w:val="auto"/>
                <w:sz w:val="21"/>
                <w:szCs w:val="21"/>
                <w:highlight w:val="none"/>
              </w:rPr>
              <w:t>颗粒物</w:t>
            </w:r>
          </w:p>
        </w:tc>
        <w:tc>
          <w:tcPr>
            <w:tcW w:w="1919" w:type="pct"/>
            <w:gridSpan w:val="3"/>
            <w:noWrap w:val="0"/>
            <w:vAlign w:val="center"/>
          </w:tcPr>
          <w:p>
            <w:pPr>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0.024</w:t>
            </w:r>
          </w:p>
        </w:tc>
      </w:tr>
    </w:tbl>
    <w:p>
      <w:pPr>
        <w:pStyle w:val="21"/>
        <w:rPr>
          <w:rFonts w:cs="Times New Roman"/>
          <w:color w:val="auto"/>
          <w:highlight w:val="none"/>
        </w:rPr>
      </w:pPr>
      <w:r>
        <w:rPr>
          <w:rFonts w:cs="Times New Roman"/>
          <w:color w:val="auto"/>
          <w:highlight w:val="none"/>
        </w:rPr>
        <w:t>表</w:t>
      </w:r>
      <w:r>
        <w:rPr>
          <w:rFonts w:hint="eastAsia" w:cs="Times New Roman"/>
          <w:color w:val="auto"/>
          <w:highlight w:val="none"/>
          <w:lang w:val="en-US" w:eastAsia="zh-CN"/>
        </w:rPr>
        <w:t>4.2</w:t>
      </w:r>
      <w:r>
        <w:rPr>
          <w:rFonts w:cs="Times New Roman"/>
          <w:color w:val="auto"/>
          <w:highlight w:val="none"/>
        </w:rPr>
        <w:t>-</w:t>
      </w:r>
      <w:r>
        <w:rPr>
          <w:rFonts w:hint="eastAsia" w:cs="Times New Roman"/>
          <w:color w:val="auto"/>
          <w:highlight w:val="none"/>
          <w:lang w:val="en-US" w:eastAsia="zh-CN"/>
        </w:rPr>
        <w:t xml:space="preserve">18 </w:t>
      </w:r>
      <w:r>
        <w:rPr>
          <w:rFonts w:cs="Times New Roman"/>
          <w:color w:val="auto"/>
          <w:highlight w:val="none"/>
        </w:rPr>
        <w:t>大气污染物年排放量核算表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09"/>
        <w:gridCol w:w="4197"/>
        <w:gridCol w:w="26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序号</w:t>
            </w:r>
          </w:p>
        </w:tc>
        <w:tc>
          <w:tcPr>
            <w:tcW w:w="2481"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污染物</w:t>
            </w:r>
          </w:p>
        </w:tc>
        <w:tc>
          <w:tcPr>
            <w:tcW w:w="1567"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w:t>
            </w:r>
          </w:p>
        </w:tc>
        <w:tc>
          <w:tcPr>
            <w:tcW w:w="2481"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SO</w:t>
            </w:r>
            <w:r>
              <w:rPr>
                <w:rFonts w:hint="eastAsia"/>
                <w:color w:val="auto"/>
                <w:sz w:val="21"/>
                <w:szCs w:val="21"/>
                <w:highlight w:val="none"/>
                <w:vertAlign w:val="subscript"/>
                <w:lang w:val="en-US" w:eastAsia="zh-CN"/>
              </w:rPr>
              <w:t>2</w:t>
            </w:r>
          </w:p>
        </w:tc>
        <w:tc>
          <w:tcPr>
            <w:tcW w:w="2651" w:type="dxa"/>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b w:val="0"/>
                <w:bCs/>
                <w:color w:val="auto"/>
                <w:sz w:val="21"/>
                <w:szCs w:val="21"/>
                <w:highlight w:val="none"/>
                <w:lang w:val="en-US" w:eastAsia="zh-CN"/>
              </w:rPr>
              <w:t>0.01402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1"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w:t>
            </w:r>
          </w:p>
        </w:tc>
        <w:tc>
          <w:tcPr>
            <w:tcW w:w="2481"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NO</w:t>
            </w:r>
            <w:r>
              <w:rPr>
                <w:rFonts w:hint="eastAsia"/>
                <w:color w:val="auto"/>
                <w:sz w:val="21"/>
                <w:szCs w:val="21"/>
                <w:highlight w:val="none"/>
                <w:vertAlign w:val="subscript"/>
                <w:lang w:val="en-US" w:eastAsia="zh-CN"/>
              </w:rPr>
              <w:t>X</w:t>
            </w:r>
          </w:p>
        </w:tc>
        <w:tc>
          <w:tcPr>
            <w:tcW w:w="2651" w:type="dxa"/>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b w:val="0"/>
                <w:bCs/>
                <w:color w:val="auto"/>
                <w:sz w:val="21"/>
                <w:szCs w:val="21"/>
                <w:highlight w:val="none"/>
                <w:lang w:val="en-US" w:eastAsia="zh-CN"/>
              </w:rPr>
              <w:t>0.0771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3</w:t>
            </w:r>
          </w:p>
        </w:tc>
        <w:tc>
          <w:tcPr>
            <w:tcW w:w="2481"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H</w:t>
            </w:r>
            <w:r>
              <w:rPr>
                <w:rFonts w:hint="eastAsia"/>
                <w:color w:val="auto"/>
                <w:sz w:val="21"/>
                <w:szCs w:val="21"/>
                <w:highlight w:val="none"/>
                <w:vertAlign w:val="subscript"/>
                <w:lang w:val="en-US" w:eastAsia="zh-CN"/>
              </w:rPr>
              <w:t>2</w:t>
            </w:r>
            <w:r>
              <w:rPr>
                <w:rFonts w:hint="eastAsia"/>
                <w:color w:val="auto"/>
                <w:sz w:val="21"/>
                <w:szCs w:val="21"/>
                <w:highlight w:val="none"/>
                <w:lang w:val="en-US" w:eastAsia="zh-CN"/>
              </w:rPr>
              <w:t>S</w:t>
            </w:r>
          </w:p>
        </w:tc>
        <w:tc>
          <w:tcPr>
            <w:tcW w:w="1567" w:type="pct"/>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default" w:cs="Times New Roman"/>
                <w:b w:val="0"/>
                <w:bCs/>
                <w:color w:val="auto"/>
                <w:sz w:val="21"/>
                <w:szCs w:val="21"/>
                <w:highlight w:val="none"/>
                <w:lang w:val="en-US" w:eastAsia="zh-CN"/>
              </w:rPr>
              <w:t>0.0</w:t>
            </w:r>
            <w:r>
              <w:rPr>
                <w:rFonts w:hint="eastAsia" w:cs="Times New Roman"/>
                <w:b w:val="0"/>
                <w:bCs/>
                <w:color w:val="auto"/>
                <w:sz w:val="21"/>
                <w:szCs w:val="21"/>
                <w:highlight w:val="none"/>
                <w:lang w:val="en-US" w:eastAsia="zh-CN"/>
              </w:rPr>
              <w:t>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951"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4</w:t>
            </w:r>
          </w:p>
        </w:tc>
        <w:tc>
          <w:tcPr>
            <w:tcW w:w="2481"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NH</w:t>
            </w:r>
            <w:r>
              <w:rPr>
                <w:rFonts w:hint="eastAsia"/>
                <w:color w:val="auto"/>
                <w:sz w:val="21"/>
                <w:szCs w:val="21"/>
                <w:highlight w:val="none"/>
                <w:vertAlign w:val="subscript"/>
                <w:lang w:val="en-US" w:eastAsia="zh-CN"/>
              </w:rPr>
              <w:t>3</w:t>
            </w:r>
          </w:p>
        </w:tc>
        <w:tc>
          <w:tcPr>
            <w:tcW w:w="1567" w:type="pct"/>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b w:val="0"/>
                <w:bCs/>
                <w:color w:val="auto"/>
                <w:sz w:val="21"/>
                <w:szCs w:val="21"/>
                <w:highlight w:val="none"/>
                <w:lang w:val="en-US" w:eastAsia="zh-CN"/>
              </w:rPr>
              <w:t>1.1468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1"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5</w:t>
            </w:r>
          </w:p>
        </w:tc>
        <w:tc>
          <w:tcPr>
            <w:tcW w:w="2481"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颗粒物（PM</w:t>
            </w:r>
            <w:r>
              <w:rPr>
                <w:rFonts w:hint="eastAsia"/>
                <w:color w:val="auto"/>
                <w:sz w:val="21"/>
                <w:szCs w:val="21"/>
                <w:highlight w:val="none"/>
                <w:vertAlign w:val="subscript"/>
                <w:lang w:val="en-US" w:eastAsia="zh-CN"/>
              </w:rPr>
              <w:t>10</w:t>
            </w:r>
            <w:r>
              <w:rPr>
                <w:rFonts w:hint="eastAsia"/>
                <w:color w:val="auto"/>
                <w:sz w:val="21"/>
                <w:szCs w:val="21"/>
                <w:highlight w:val="none"/>
                <w:lang w:val="en-US" w:eastAsia="zh-CN"/>
              </w:rPr>
              <w:t>）</w:t>
            </w:r>
          </w:p>
        </w:tc>
        <w:tc>
          <w:tcPr>
            <w:tcW w:w="1567" w:type="pct"/>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b w:val="0"/>
                <w:bCs/>
                <w:color w:val="auto"/>
                <w:sz w:val="21"/>
                <w:szCs w:val="21"/>
                <w:highlight w:val="none"/>
                <w:lang w:val="en-US" w:eastAsia="zh-CN"/>
              </w:rPr>
              <w:t>0.02404</w:t>
            </w:r>
          </w:p>
        </w:tc>
      </w:tr>
    </w:tbl>
    <w:p>
      <w:pPr>
        <w:pStyle w:val="6"/>
        <w:ind w:firstLine="482"/>
        <w:rPr>
          <w:color w:val="auto"/>
          <w:highlight w:val="none"/>
        </w:rPr>
      </w:pPr>
      <w:r>
        <w:rPr>
          <w:rFonts w:hint="eastAsia"/>
          <w:color w:val="auto"/>
          <w:highlight w:val="none"/>
          <w:lang w:val="en-US" w:eastAsia="zh-CN"/>
        </w:rPr>
        <w:t>4</w:t>
      </w:r>
      <w:r>
        <w:rPr>
          <w:color w:val="auto"/>
          <w:highlight w:val="none"/>
        </w:rPr>
        <w:t>.</w:t>
      </w:r>
      <w:r>
        <w:rPr>
          <w:rFonts w:hint="eastAsia"/>
          <w:color w:val="auto"/>
          <w:highlight w:val="none"/>
        </w:rPr>
        <w:t>2</w:t>
      </w:r>
      <w:r>
        <w:rPr>
          <w:color w:val="auto"/>
          <w:highlight w:val="none"/>
        </w:rPr>
        <w:t>.1</w:t>
      </w:r>
      <w:r>
        <w:rPr>
          <w:rFonts w:hint="eastAsia"/>
          <w:color w:val="auto"/>
          <w:highlight w:val="none"/>
        </w:rPr>
        <w:t>.</w:t>
      </w:r>
      <w:r>
        <w:rPr>
          <w:rFonts w:hint="eastAsia"/>
          <w:color w:val="auto"/>
          <w:highlight w:val="none"/>
          <w:lang w:val="en-US" w:eastAsia="zh-CN"/>
        </w:rPr>
        <w:t>7</w:t>
      </w:r>
      <w:r>
        <w:rPr>
          <w:color w:val="auto"/>
          <w:highlight w:val="none"/>
        </w:rPr>
        <w:t>大气环境防护距离</w:t>
      </w:r>
      <w:r>
        <w:rPr>
          <w:rFonts w:hint="eastAsia"/>
          <w:color w:val="auto"/>
          <w:highlight w:val="none"/>
        </w:rPr>
        <w:t>及卫生防护距离</w:t>
      </w:r>
    </w:p>
    <w:p>
      <w:pPr>
        <w:keepNext w:val="0"/>
        <w:keepLines w:val="0"/>
        <w:pageBreakBefore w:val="0"/>
        <w:widowControl/>
        <w:kinsoku/>
        <w:wordWrap/>
        <w:overflowPunct/>
        <w:topLinePunct w:val="0"/>
        <w:autoSpaceDE/>
        <w:autoSpaceDN/>
        <w:bidi w:val="0"/>
        <w:adjustRightInd/>
        <w:snapToGrid/>
        <w:ind w:firstLine="480"/>
        <w:textAlignment w:val="auto"/>
        <w:rPr>
          <w:rFonts w:cs="Times New Roman"/>
          <w:color w:val="auto"/>
          <w:highlight w:val="none"/>
        </w:rPr>
      </w:pPr>
      <w:r>
        <w:rPr>
          <w:rFonts w:hint="eastAsia" w:cs="Times New Roman"/>
          <w:color w:val="auto"/>
          <w:highlight w:val="none"/>
        </w:rPr>
        <w:t>（1）大气防护距离</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cs="Times New Roman"/>
          <w:color w:val="auto"/>
          <w:highlight w:val="none"/>
        </w:rPr>
      </w:pPr>
      <w:r>
        <w:rPr>
          <w:rFonts w:cs="Times New Roman"/>
          <w:color w:val="auto"/>
          <w:highlight w:val="none"/>
        </w:rPr>
        <w:t>大气环境防护距离</w:t>
      </w:r>
      <w:r>
        <w:rPr>
          <w:rFonts w:hint="eastAsia" w:cs="Times New Roman"/>
          <w:color w:val="auto"/>
          <w:highlight w:val="none"/>
        </w:rPr>
        <w:t>是为保护人群健康，减少正常排放条件下大气污染物对居住区的环境影响，在项目厂界外设置的环境防护距离。</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cs="Times New Roman"/>
          <w:color w:val="auto"/>
          <w:highlight w:val="none"/>
        </w:rPr>
        <w:t>根据《环境影响评价技术导则—大气环境》（HJ2.2-20</w:t>
      </w:r>
      <w:r>
        <w:rPr>
          <w:rFonts w:hint="eastAsia" w:cs="Times New Roman"/>
          <w:color w:val="auto"/>
          <w:highlight w:val="none"/>
        </w:rPr>
        <w:t>1</w:t>
      </w:r>
      <w:r>
        <w:rPr>
          <w:rFonts w:cs="Times New Roman"/>
          <w:color w:val="auto"/>
          <w:highlight w:val="none"/>
        </w:rPr>
        <w:t>8）</w:t>
      </w:r>
      <w:r>
        <w:rPr>
          <w:rFonts w:hint="eastAsia" w:cs="Times New Roman"/>
          <w:color w:val="auto"/>
          <w:highlight w:val="none"/>
        </w:rPr>
        <w:t>，</w:t>
      </w:r>
      <w:r>
        <w:rPr>
          <w:color w:val="auto"/>
          <w:sz w:val="24"/>
          <w:highlight w:val="none"/>
        </w:rPr>
        <w:t>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color w:val="auto"/>
          <w:highlight w:val="none"/>
        </w:rPr>
      </w:pPr>
      <w:r>
        <w:rPr>
          <w:color w:val="auto"/>
          <w:sz w:val="24"/>
          <w:highlight w:val="none"/>
        </w:rPr>
        <w:t>本项目污染物区域最大落地浓度贡献值均满足《环境影响评价技术导则 大气环境》（HJ2.2-2018）附录D，无需设置大气环境防护距离。</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2</w:t>
      </w:r>
      <w:r>
        <w:rPr>
          <w:rFonts w:hint="eastAsia"/>
          <w:color w:val="auto"/>
          <w:sz w:val="24"/>
          <w:highlight w:val="none"/>
          <w:lang w:eastAsia="zh-CN"/>
        </w:rPr>
        <w:t>）</w:t>
      </w:r>
      <w:r>
        <w:rPr>
          <w:rFonts w:hint="eastAsia"/>
          <w:color w:val="auto"/>
          <w:sz w:val="24"/>
          <w:highlight w:val="none"/>
        </w:rPr>
        <w:t>卫生防护距离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auto"/>
          <w:sz w:val="24"/>
          <w:szCs w:val="22"/>
          <w:highlight w:val="none"/>
        </w:rPr>
      </w:pPr>
      <w:r>
        <w:rPr>
          <w:rFonts w:ascii="Times New Roman" w:hAnsi="Times New Roman" w:cs="Times New Roman"/>
          <w:bCs/>
          <w:color w:val="auto"/>
          <w:sz w:val="24"/>
          <w:szCs w:val="22"/>
          <w:highlight w:val="none"/>
        </w:rPr>
        <w:t>依据《制定地方大气污染物排放标准的技术方法》(GB/T3840-1991)卫生防护距离确定方法，无组织排放源所在的生产单元（生产车间）与居住区之间应设置卫生防护距离，其计算公式为：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Times New Roman" w:hAnsi="Times New Roman" w:cs="Times New Roman"/>
          <w:bCs/>
          <w:color w:val="auto"/>
          <w:sz w:val="24"/>
          <w:szCs w:val="22"/>
          <w:highlight w:val="none"/>
        </w:rPr>
      </w:pPr>
      <w:r>
        <w:rPr>
          <w:rFonts w:ascii="Times New Roman" w:hAnsi="Times New Roman" w:cs="Times New Roman"/>
          <w:bCs/>
          <w:color w:val="auto"/>
          <w:sz w:val="24"/>
          <w:szCs w:val="22"/>
          <w:highlight w:val="none"/>
        </w:rPr>
        <w:drawing>
          <wp:inline distT="0" distB="0" distL="114300" distR="114300">
            <wp:extent cx="2324100" cy="476250"/>
            <wp:effectExtent l="0" t="0" r="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43"/>
                    <a:stretch>
                      <a:fillRect/>
                    </a:stretch>
                  </pic:blipFill>
                  <pic:spPr>
                    <a:xfrm>
                      <a:off x="0" y="0"/>
                      <a:ext cx="2324100" cy="4762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auto"/>
          <w:sz w:val="24"/>
          <w:szCs w:val="22"/>
          <w:highlight w:val="none"/>
        </w:rPr>
      </w:pPr>
      <w:r>
        <w:rPr>
          <w:rFonts w:ascii="Times New Roman" w:hAnsi="Times New Roman" w:cs="Times New Roman"/>
          <w:bCs/>
          <w:color w:val="auto"/>
          <w:sz w:val="24"/>
          <w:szCs w:val="22"/>
          <w:highlight w:val="none"/>
        </w:rPr>
        <w:t>式中：C</w:t>
      </w:r>
      <w:r>
        <w:rPr>
          <w:rFonts w:ascii="Times New Roman" w:hAnsi="Times New Roman" w:cs="Times New Roman"/>
          <w:bCs/>
          <w:color w:val="auto"/>
          <w:sz w:val="24"/>
          <w:szCs w:val="22"/>
          <w:highlight w:val="none"/>
          <w:vertAlign w:val="subscript"/>
        </w:rPr>
        <w:t>m</w:t>
      </w:r>
      <w:r>
        <w:rPr>
          <w:rFonts w:ascii="Times New Roman" w:hAnsi="Times New Roman" w:cs="Times New Roman"/>
          <w:bCs/>
          <w:color w:val="auto"/>
          <w:sz w:val="24"/>
          <w:szCs w:val="22"/>
          <w:highlight w:val="none"/>
        </w:rPr>
        <w:t>—标准浓度限值，mg/Nm</w:t>
      </w:r>
      <w:r>
        <w:rPr>
          <w:rFonts w:ascii="Times New Roman" w:hAnsi="Times New Roman" w:cs="Times New Roman"/>
          <w:bCs/>
          <w:color w:val="auto"/>
          <w:sz w:val="24"/>
          <w:szCs w:val="22"/>
          <w:highlight w:val="none"/>
          <w:vertAlign w:val="superscript"/>
        </w:rPr>
        <w:t>3</w:t>
      </w:r>
      <w:r>
        <w:rPr>
          <w:rFonts w:ascii="Times New Roman" w:hAnsi="Times New Roman" w:cs="Times New Roman"/>
          <w:bCs/>
          <w:color w:val="auto"/>
          <w:sz w:val="24"/>
          <w:szCs w:val="22"/>
          <w:highlight w:val="none"/>
        </w:rPr>
        <w:t>，取值分别为NH</w:t>
      </w:r>
      <w:r>
        <w:rPr>
          <w:rFonts w:ascii="Times New Roman" w:hAnsi="Times New Roman" w:cs="Times New Roman"/>
          <w:bCs/>
          <w:color w:val="auto"/>
          <w:sz w:val="24"/>
          <w:szCs w:val="22"/>
          <w:highlight w:val="none"/>
          <w:vertAlign w:val="subscript"/>
        </w:rPr>
        <w:t>3</w:t>
      </w:r>
      <w:r>
        <w:rPr>
          <w:rFonts w:ascii="Times New Roman" w:hAnsi="Times New Roman" w:cs="Times New Roman"/>
          <w:bCs/>
          <w:color w:val="auto"/>
          <w:sz w:val="24"/>
          <w:szCs w:val="22"/>
          <w:highlight w:val="none"/>
        </w:rPr>
        <w:t>为0.2，H</w:t>
      </w:r>
      <w:r>
        <w:rPr>
          <w:rFonts w:ascii="Times New Roman" w:hAnsi="Times New Roman" w:cs="Times New Roman"/>
          <w:bCs/>
          <w:color w:val="auto"/>
          <w:sz w:val="24"/>
          <w:szCs w:val="22"/>
          <w:highlight w:val="none"/>
          <w:vertAlign w:val="subscript"/>
        </w:rPr>
        <w:t>2</w:t>
      </w:r>
      <w:r>
        <w:rPr>
          <w:rFonts w:ascii="Times New Roman" w:hAnsi="Times New Roman" w:cs="Times New Roman"/>
          <w:bCs/>
          <w:color w:val="auto"/>
          <w:sz w:val="24"/>
          <w:szCs w:val="22"/>
          <w:highlight w:val="none"/>
        </w:rPr>
        <w:t>S为0.01（按居住区标准，即《工业企业设计卫生标准》（TJ36-79）。</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ascii="Times New Roman" w:hAnsi="Times New Roman" w:cs="Times New Roman"/>
          <w:bCs/>
          <w:color w:val="auto"/>
          <w:sz w:val="24"/>
          <w:szCs w:val="22"/>
          <w:highlight w:val="none"/>
        </w:rPr>
      </w:pPr>
      <w:r>
        <w:rPr>
          <w:rFonts w:ascii="Times New Roman" w:hAnsi="Times New Roman" w:cs="Times New Roman"/>
          <w:bCs/>
          <w:color w:val="auto"/>
          <w:sz w:val="24"/>
          <w:szCs w:val="22"/>
          <w:highlight w:val="none"/>
        </w:rPr>
        <w:t>L—工业企业所需卫生防护距离，m。</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ascii="Times New Roman" w:hAnsi="Times New Roman" w:cs="Times New Roman"/>
          <w:bCs/>
          <w:color w:val="auto"/>
          <w:sz w:val="24"/>
          <w:szCs w:val="22"/>
          <w:highlight w:val="none"/>
        </w:rPr>
      </w:pPr>
      <w:r>
        <w:rPr>
          <w:rFonts w:ascii="Times New Roman" w:hAnsi="Times New Roman" w:cs="Times New Roman"/>
          <w:bCs/>
          <w:color w:val="auto"/>
          <w:sz w:val="24"/>
          <w:szCs w:val="22"/>
          <w:highlight w:val="none"/>
        </w:rPr>
        <w:t>r—有害气体无组织排放源所在生产单元的等效半径，m。根据该生产单元占地面积S(m</w:t>
      </w:r>
      <w:r>
        <w:rPr>
          <w:rFonts w:ascii="Times New Roman" w:hAnsi="Times New Roman" w:cs="Times New Roman"/>
          <w:bCs/>
          <w:color w:val="auto"/>
          <w:sz w:val="24"/>
          <w:szCs w:val="22"/>
          <w:highlight w:val="none"/>
          <w:vertAlign w:val="superscript"/>
        </w:rPr>
        <w:t>2</w:t>
      </w:r>
      <w:r>
        <w:rPr>
          <w:rFonts w:ascii="Times New Roman" w:hAnsi="Times New Roman" w:cs="Times New Roman"/>
          <w:bCs/>
          <w:color w:val="auto"/>
          <w:sz w:val="24"/>
          <w:szCs w:val="22"/>
          <w:highlight w:val="none"/>
        </w:rPr>
        <w:t>)计算，r=(S/</w:t>
      </w:r>
      <w:r>
        <w:rPr>
          <w:rFonts w:ascii="Times New Roman" w:hAnsi="Times New Roman" w:cs="Times New Roman"/>
          <w:bCs/>
          <w:color w:val="auto"/>
          <w:sz w:val="24"/>
          <w:szCs w:val="22"/>
          <w:highlight w:val="none"/>
        </w:rPr>
        <w:sym w:font="Symbol" w:char="F070"/>
      </w:r>
      <w:r>
        <w:rPr>
          <w:rFonts w:ascii="Times New Roman" w:hAnsi="Times New Roman" w:cs="Times New Roman"/>
          <w:bCs/>
          <w:color w:val="auto"/>
          <w:sz w:val="24"/>
          <w:szCs w:val="22"/>
          <w:highlight w:val="none"/>
        </w:rPr>
        <w:t>)</w:t>
      </w:r>
      <w:r>
        <w:rPr>
          <w:rFonts w:ascii="Times New Roman" w:hAnsi="Times New Roman" w:cs="Times New Roman"/>
          <w:bCs/>
          <w:color w:val="auto"/>
          <w:sz w:val="24"/>
          <w:szCs w:val="22"/>
          <w:highlight w:val="none"/>
          <w:vertAlign w:val="superscript"/>
        </w:rPr>
        <w:t>0.5</w:t>
      </w:r>
      <w:r>
        <w:rPr>
          <w:rFonts w:ascii="Times New Roman" w:hAnsi="Times New Roman" w:cs="Times New Roman"/>
          <w:bCs/>
          <w:color w:val="auto"/>
          <w:sz w:val="24"/>
          <w:szCs w:val="2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ascii="Times New Roman" w:hAnsi="Times New Roman" w:cs="Times New Roman"/>
          <w:bCs/>
          <w:color w:val="auto"/>
          <w:sz w:val="24"/>
          <w:szCs w:val="22"/>
          <w:highlight w:val="none"/>
        </w:rPr>
      </w:pPr>
      <w:r>
        <w:rPr>
          <w:rFonts w:ascii="Times New Roman" w:hAnsi="Times New Roman" w:cs="Times New Roman"/>
          <w:bCs/>
          <w:color w:val="auto"/>
          <w:sz w:val="24"/>
          <w:szCs w:val="22"/>
          <w:highlight w:val="none"/>
        </w:rPr>
        <w:t>A，B，C，D—卫生防护距离计算系数，无因次，根据工业企业所在地区近五年平均风速及工业企业大气污染源构成类别确定。</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ascii="Times New Roman" w:hAnsi="Times New Roman" w:cs="Times New Roman"/>
          <w:bCs/>
          <w:color w:val="auto"/>
          <w:sz w:val="24"/>
          <w:szCs w:val="22"/>
          <w:highlight w:val="none"/>
        </w:rPr>
      </w:pPr>
      <w:r>
        <w:rPr>
          <w:rFonts w:ascii="Times New Roman" w:hAnsi="Times New Roman" w:cs="Times New Roman"/>
          <w:bCs/>
          <w:color w:val="auto"/>
          <w:sz w:val="24"/>
          <w:szCs w:val="22"/>
          <w:highlight w:val="none"/>
        </w:rPr>
        <w:t>Q</w:t>
      </w:r>
      <w:r>
        <w:rPr>
          <w:rFonts w:ascii="Times New Roman" w:hAnsi="Times New Roman" w:cs="Times New Roman"/>
          <w:bCs/>
          <w:color w:val="auto"/>
          <w:sz w:val="24"/>
          <w:szCs w:val="22"/>
          <w:highlight w:val="none"/>
          <w:vertAlign w:val="subscript"/>
        </w:rPr>
        <w:t>c</w:t>
      </w:r>
      <w:r>
        <w:rPr>
          <w:rFonts w:ascii="Times New Roman" w:hAnsi="Times New Roman" w:cs="Times New Roman"/>
          <w:bCs/>
          <w:color w:val="auto"/>
          <w:sz w:val="24"/>
          <w:szCs w:val="22"/>
          <w:highlight w:val="none"/>
        </w:rPr>
        <w:t>—工业企业有害气体无组织排放量可以达到的控制水平。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bCs/>
          <w:color w:val="auto"/>
          <w:sz w:val="24"/>
          <w:szCs w:val="22"/>
          <w:highlight w:val="none"/>
        </w:rPr>
      </w:pPr>
      <w:r>
        <w:rPr>
          <w:rFonts w:ascii="Times New Roman" w:hAnsi="Times New Roman" w:cs="Times New Roman"/>
          <w:bCs/>
          <w:color w:val="auto"/>
          <w:sz w:val="24"/>
          <w:szCs w:val="22"/>
          <w:highlight w:val="none"/>
        </w:rPr>
        <w:t>依照上述公式无组织排放单元与居住区之间卫生防护距离计算参数及其结果见表4</w:t>
      </w:r>
      <w:r>
        <w:rPr>
          <w:rFonts w:hint="eastAsia" w:cs="Times New Roman"/>
          <w:bCs/>
          <w:color w:val="auto"/>
          <w:sz w:val="24"/>
          <w:szCs w:val="22"/>
          <w:highlight w:val="none"/>
          <w:lang w:val="en-US" w:eastAsia="zh-CN"/>
        </w:rPr>
        <w:t>.2</w:t>
      </w:r>
      <w:r>
        <w:rPr>
          <w:rFonts w:ascii="Times New Roman" w:hAnsi="Times New Roman" w:cs="Times New Roman"/>
          <w:bCs/>
          <w:color w:val="auto"/>
          <w:sz w:val="24"/>
          <w:szCs w:val="22"/>
          <w:highlight w:val="none"/>
        </w:rPr>
        <w:t>-</w:t>
      </w:r>
      <w:r>
        <w:rPr>
          <w:rFonts w:hint="eastAsia" w:ascii="Times New Roman" w:hAnsi="Times New Roman" w:cs="Times New Roman"/>
          <w:bCs/>
          <w:color w:val="auto"/>
          <w:sz w:val="24"/>
          <w:szCs w:val="22"/>
          <w:highlight w:val="none"/>
        </w:rPr>
        <w:t>19</w:t>
      </w:r>
      <w:r>
        <w:rPr>
          <w:rFonts w:ascii="Times New Roman" w:hAnsi="Times New Roman" w:cs="Times New Roman"/>
          <w:bCs/>
          <w:color w:val="auto"/>
          <w:sz w:val="24"/>
          <w:szCs w:val="22"/>
          <w:highlight w:val="none"/>
        </w:rPr>
        <w:t>。</w:t>
      </w:r>
    </w:p>
    <w:p>
      <w:pPr>
        <w:pStyle w:val="21"/>
        <w:rPr>
          <w:rFonts w:cs="Times New Roman"/>
          <w:color w:val="auto"/>
          <w:highlight w:val="none"/>
        </w:rPr>
      </w:pPr>
      <w:r>
        <w:rPr>
          <w:rFonts w:cs="Times New Roman"/>
          <w:color w:val="auto"/>
          <w:highlight w:val="none"/>
        </w:rPr>
        <w:t>表</w:t>
      </w:r>
      <w:r>
        <w:rPr>
          <w:rFonts w:hint="eastAsia" w:cs="Times New Roman"/>
          <w:color w:val="auto"/>
          <w:highlight w:val="none"/>
          <w:lang w:val="en-US" w:eastAsia="zh-CN"/>
        </w:rPr>
        <w:t>4.2</w:t>
      </w:r>
      <w:r>
        <w:rPr>
          <w:rFonts w:cs="Times New Roman"/>
          <w:color w:val="auto"/>
          <w:highlight w:val="none"/>
        </w:rPr>
        <w:t>-</w:t>
      </w:r>
      <w:r>
        <w:rPr>
          <w:rFonts w:hint="eastAsia" w:cs="Times New Roman"/>
          <w:color w:val="auto"/>
          <w:highlight w:val="none"/>
          <w:lang w:val="en-US" w:eastAsia="zh-CN"/>
        </w:rPr>
        <w:t xml:space="preserve">19 </w:t>
      </w:r>
      <w:r>
        <w:rPr>
          <w:rFonts w:hint="eastAsia" w:cs="Times New Roman"/>
          <w:color w:val="auto"/>
          <w:highlight w:val="none"/>
        </w:rPr>
        <w:t>无组织排放单元卫生防护距离计算参数及其结果</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818"/>
        <w:gridCol w:w="847"/>
        <w:gridCol w:w="944"/>
        <w:gridCol w:w="531"/>
        <w:gridCol w:w="689"/>
        <w:gridCol w:w="584"/>
        <w:gridCol w:w="584"/>
        <w:gridCol w:w="1207"/>
        <w:gridCol w:w="15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725" w:type="dxa"/>
            <w:vMerge w:val="restar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无组织</w:t>
            </w:r>
          </w:p>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排放源</w:t>
            </w:r>
          </w:p>
        </w:tc>
        <w:tc>
          <w:tcPr>
            <w:tcW w:w="818" w:type="dxa"/>
            <w:vMerge w:val="restar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主要</w:t>
            </w:r>
          </w:p>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污染物</w:t>
            </w:r>
          </w:p>
        </w:tc>
        <w:tc>
          <w:tcPr>
            <w:tcW w:w="847" w:type="dxa"/>
            <w:vMerge w:val="restar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排放量t/a</w:t>
            </w:r>
          </w:p>
        </w:tc>
        <w:tc>
          <w:tcPr>
            <w:tcW w:w="0" w:type="auto"/>
            <w:vMerge w:val="restar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评价标准</w:t>
            </w:r>
          </w:p>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mg/m</w:t>
            </w:r>
            <w:r>
              <w:rPr>
                <w:rFonts w:hint="eastAsia"/>
                <w:color w:val="auto"/>
                <w:sz w:val="21"/>
                <w:szCs w:val="21"/>
                <w:highlight w:val="none"/>
                <w:vertAlign w:val="superscript"/>
                <w:lang w:val="en-US" w:eastAsia="zh-CN"/>
              </w:rPr>
              <w:t>3</w:t>
            </w:r>
          </w:p>
        </w:tc>
        <w:tc>
          <w:tcPr>
            <w:tcW w:w="0" w:type="auto"/>
            <w:gridSpan w:val="4"/>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计算参数</w:t>
            </w:r>
          </w:p>
        </w:tc>
        <w:tc>
          <w:tcPr>
            <w:tcW w:w="0" w:type="auto"/>
            <w:vMerge w:val="restar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卫生防护距离</w:t>
            </w:r>
          </w:p>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计算值（m）</w:t>
            </w:r>
          </w:p>
        </w:tc>
        <w:tc>
          <w:tcPr>
            <w:tcW w:w="0" w:type="auto"/>
            <w:vMerge w:val="restart"/>
            <w:noWrap w:val="0"/>
            <w:vAlign w:val="center"/>
          </w:tcPr>
          <w:p>
            <w:pPr>
              <w:spacing w:line="240" w:lineRule="auto"/>
              <w:ind w:firstLine="0" w:firstLineChars="0"/>
              <w:jc w:val="both"/>
              <w:rPr>
                <w:rFonts w:hint="eastAsia"/>
                <w:color w:val="auto"/>
                <w:sz w:val="21"/>
                <w:szCs w:val="21"/>
                <w:highlight w:val="none"/>
                <w:lang w:val="en-US" w:eastAsia="zh-CN"/>
              </w:rPr>
            </w:pPr>
            <w:r>
              <w:rPr>
                <w:rFonts w:hint="eastAsia"/>
                <w:color w:val="auto"/>
                <w:sz w:val="21"/>
                <w:szCs w:val="21"/>
                <w:highlight w:val="none"/>
                <w:lang w:val="en-US" w:eastAsia="zh-CN"/>
              </w:rPr>
              <w:t>卫生防护距离距离(m)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83" w:hRule="atLeast"/>
          <w:jc w:val="center"/>
        </w:trPr>
        <w:tc>
          <w:tcPr>
            <w:tcW w:w="725" w:type="dxa"/>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818" w:type="dxa"/>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847" w:type="dxa"/>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0" w:type="auto"/>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0" w:type="auto"/>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A</w:t>
            </w:r>
          </w:p>
        </w:tc>
        <w:tc>
          <w:tcPr>
            <w:tcW w:w="0" w:type="auto"/>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B</w:t>
            </w:r>
          </w:p>
        </w:tc>
        <w:tc>
          <w:tcPr>
            <w:tcW w:w="0" w:type="auto"/>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C</w:t>
            </w:r>
          </w:p>
        </w:tc>
        <w:tc>
          <w:tcPr>
            <w:tcW w:w="0" w:type="auto"/>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D</w:t>
            </w:r>
          </w:p>
        </w:tc>
        <w:tc>
          <w:tcPr>
            <w:tcW w:w="0" w:type="auto"/>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0" w:type="auto"/>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25" w:type="dxa"/>
            <w:vMerge w:val="restart"/>
            <w:noWrap w:val="0"/>
            <w:vAlign w:val="center"/>
          </w:tcPr>
          <w:p>
            <w:pPr>
              <w:spacing w:line="240" w:lineRule="auto"/>
              <w:ind w:firstLine="0" w:firstLineChars="0"/>
              <w:jc w:val="center"/>
              <w:rPr>
                <w:rFonts w:hint="eastAsia"/>
                <w:b/>
                <w:bCs/>
                <w:color w:val="auto"/>
                <w:sz w:val="21"/>
                <w:szCs w:val="21"/>
                <w:highlight w:val="none"/>
                <w:lang w:val="en-US" w:eastAsia="zh-CN"/>
              </w:rPr>
            </w:pPr>
            <w:r>
              <w:rPr>
                <w:rFonts w:hint="eastAsia"/>
                <w:b w:val="0"/>
                <w:bCs w:val="0"/>
                <w:color w:val="auto"/>
                <w:sz w:val="21"/>
                <w:szCs w:val="21"/>
                <w:highlight w:val="none"/>
                <w:lang w:val="en-US" w:eastAsia="zh-CN"/>
              </w:rPr>
              <w:t>厂区</w:t>
            </w:r>
          </w:p>
        </w:tc>
        <w:tc>
          <w:tcPr>
            <w:tcW w:w="818" w:type="dxa"/>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H</w:t>
            </w:r>
            <w:r>
              <w:rPr>
                <w:rFonts w:hint="eastAsia"/>
                <w:color w:val="auto"/>
                <w:sz w:val="21"/>
                <w:szCs w:val="21"/>
                <w:highlight w:val="none"/>
                <w:vertAlign w:val="subscript"/>
                <w:lang w:val="en-US" w:eastAsia="zh-CN"/>
              </w:rPr>
              <w:t>2</w:t>
            </w:r>
            <w:r>
              <w:rPr>
                <w:rFonts w:hint="eastAsia"/>
                <w:color w:val="auto"/>
                <w:sz w:val="21"/>
                <w:szCs w:val="21"/>
                <w:highlight w:val="none"/>
                <w:lang w:val="en-US" w:eastAsia="zh-CN"/>
              </w:rPr>
              <w:t>S</w:t>
            </w:r>
          </w:p>
        </w:tc>
        <w:tc>
          <w:tcPr>
            <w:tcW w:w="847" w:type="dxa"/>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0.057</w:t>
            </w:r>
          </w:p>
        </w:tc>
        <w:tc>
          <w:tcPr>
            <w:tcW w:w="0" w:type="auto"/>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0.01</w:t>
            </w:r>
          </w:p>
        </w:tc>
        <w:tc>
          <w:tcPr>
            <w:tcW w:w="0" w:type="auto"/>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470</w:t>
            </w:r>
          </w:p>
        </w:tc>
        <w:tc>
          <w:tcPr>
            <w:tcW w:w="0" w:type="auto"/>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0.021</w:t>
            </w:r>
          </w:p>
        </w:tc>
        <w:tc>
          <w:tcPr>
            <w:tcW w:w="0" w:type="auto"/>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1.85</w:t>
            </w:r>
          </w:p>
        </w:tc>
        <w:tc>
          <w:tcPr>
            <w:tcW w:w="0" w:type="auto"/>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0.84</w:t>
            </w:r>
          </w:p>
        </w:tc>
        <w:tc>
          <w:tcPr>
            <w:tcW w:w="0" w:type="auto"/>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1.049</w:t>
            </w:r>
          </w:p>
        </w:tc>
        <w:tc>
          <w:tcPr>
            <w:tcW w:w="0" w:type="auto"/>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25" w:type="dxa"/>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818" w:type="dxa"/>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NH</w:t>
            </w:r>
            <w:r>
              <w:rPr>
                <w:rFonts w:hint="eastAsia"/>
                <w:color w:val="auto"/>
                <w:sz w:val="21"/>
                <w:szCs w:val="21"/>
                <w:highlight w:val="none"/>
                <w:vertAlign w:val="subscript"/>
                <w:lang w:val="en-US" w:eastAsia="zh-CN"/>
              </w:rPr>
              <w:t>3</w:t>
            </w:r>
          </w:p>
        </w:tc>
        <w:tc>
          <w:tcPr>
            <w:tcW w:w="847" w:type="dxa"/>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0.547</w:t>
            </w:r>
          </w:p>
        </w:tc>
        <w:tc>
          <w:tcPr>
            <w:tcW w:w="944" w:type="dxa"/>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0.20</w:t>
            </w:r>
          </w:p>
        </w:tc>
        <w:tc>
          <w:tcPr>
            <w:tcW w:w="531" w:type="dxa"/>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470</w:t>
            </w:r>
          </w:p>
        </w:tc>
        <w:tc>
          <w:tcPr>
            <w:tcW w:w="689" w:type="dxa"/>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0.021</w:t>
            </w:r>
          </w:p>
        </w:tc>
        <w:tc>
          <w:tcPr>
            <w:tcW w:w="584" w:type="dxa"/>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1.85</w:t>
            </w:r>
          </w:p>
        </w:tc>
        <w:tc>
          <w:tcPr>
            <w:tcW w:w="584" w:type="dxa"/>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0.84</w:t>
            </w:r>
          </w:p>
        </w:tc>
        <w:tc>
          <w:tcPr>
            <w:tcW w:w="1207" w:type="dxa"/>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2.767</w:t>
            </w:r>
          </w:p>
        </w:tc>
        <w:tc>
          <w:tcPr>
            <w:tcW w:w="1531" w:type="dxa"/>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50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bCs/>
          <w:color w:val="auto"/>
          <w:sz w:val="24"/>
          <w:szCs w:val="22"/>
          <w:highlight w:val="none"/>
        </w:rPr>
      </w:pPr>
      <w:r>
        <w:rPr>
          <w:rFonts w:ascii="Times New Roman" w:hAnsi="Times New Roman" w:cs="Times New Roman"/>
          <w:bCs/>
          <w:color w:val="auto"/>
          <w:sz w:val="24"/>
          <w:szCs w:val="22"/>
          <w:highlight w:val="none"/>
        </w:rPr>
        <w:t>根据《制定地方大气污染物排放标准的技术方法》规定，</w:t>
      </w:r>
      <w:r>
        <w:rPr>
          <w:rFonts w:hint="eastAsia" w:asciiTheme="minorEastAsia" w:hAnsiTheme="minorEastAsia" w:eastAsiaTheme="minorEastAsia" w:cstheme="minorEastAsia"/>
          <w:bCs/>
          <w:color w:val="auto"/>
          <w:sz w:val="24"/>
          <w:szCs w:val="22"/>
          <w:highlight w:val="none"/>
        </w:rPr>
        <w:t>“无组织排放多种有害气体的工业企业，</w:t>
      </w:r>
      <w:r>
        <w:rPr>
          <w:rFonts w:hint="default" w:ascii="Times New Roman" w:hAnsi="Times New Roman" w:cs="Times New Roman" w:eastAsiaTheme="minorEastAsia"/>
          <w:bCs/>
          <w:color w:val="auto"/>
          <w:sz w:val="24"/>
          <w:szCs w:val="22"/>
          <w:highlight w:val="none"/>
        </w:rPr>
        <w:t>按Q</w:t>
      </w:r>
      <w:r>
        <w:rPr>
          <w:rFonts w:hint="default" w:ascii="Times New Roman" w:hAnsi="Times New Roman" w:cs="Times New Roman" w:eastAsiaTheme="minorEastAsia"/>
          <w:bCs/>
          <w:color w:val="auto"/>
          <w:sz w:val="24"/>
          <w:szCs w:val="22"/>
          <w:highlight w:val="none"/>
          <w:vertAlign w:val="subscript"/>
        </w:rPr>
        <w:t>c</w:t>
      </w:r>
      <w:r>
        <w:rPr>
          <w:rFonts w:hint="default" w:ascii="Times New Roman" w:hAnsi="Times New Roman" w:cs="Times New Roman" w:eastAsiaTheme="minorEastAsia"/>
          <w:bCs/>
          <w:color w:val="auto"/>
          <w:sz w:val="24"/>
          <w:szCs w:val="22"/>
          <w:highlight w:val="none"/>
        </w:rPr>
        <w:t>/C</w:t>
      </w:r>
      <w:r>
        <w:rPr>
          <w:rFonts w:hint="default" w:ascii="Times New Roman" w:hAnsi="Times New Roman" w:cs="Times New Roman" w:eastAsiaTheme="minorEastAsia"/>
          <w:bCs/>
          <w:color w:val="auto"/>
          <w:sz w:val="24"/>
          <w:szCs w:val="22"/>
          <w:highlight w:val="none"/>
          <w:vertAlign w:val="subscript"/>
        </w:rPr>
        <w:t>m</w:t>
      </w:r>
      <w:r>
        <w:rPr>
          <w:rFonts w:hint="default" w:ascii="Times New Roman" w:hAnsi="Times New Roman" w:cs="Times New Roman" w:eastAsiaTheme="minorEastAsia"/>
          <w:bCs/>
          <w:color w:val="auto"/>
          <w:sz w:val="24"/>
          <w:szCs w:val="22"/>
          <w:highlight w:val="none"/>
        </w:rPr>
        <w:t>的最大值计算其所需卫生防护距离；但当按两种或两种以上的有害气体的Q</w:t>
      </w:r>
      <w:r>
        <w:rPr>
          <w:rFonts w:hint="default" w:ascii="Times New Roman" w:hAnsi="Times New Roman" w:cs="Times New Roman" w:eastAsiaTheme="minorEastAsia"/>
          <w:bCs/>
          <w:color w:val="auto"/>
          <w:sz w:val="24"/>
          <w:szCs w:val="22"/>
          <w:highlight w:val="none"/>
          <w:vertAlign w:val="subscript"/>
        </w:rPr>
        <w:t>c</w:t>
      </w:r>
      <w:r>
        <w:rPr>
          <w:rFonts w:hint="default" w:ascii="Times New Roman" w:hAnsi="Times New Roman" w:cs="Times New Roman" w:eastAsiaTheme="minorEastAsia"/>
          <w:bCs/>
          <w:color w:val="auto"/>
          <w:sz w:val="24"/>
          <w:szCs w:val="22"/>
          <w:highlight w:val="none"/>
        </w:rPr>
        <w:t>/C</w:t>
      </w:r>
      <w:r>
        <w:rPr>
          <w:rFonts w:hint="default" w:ascii="Times New Roman" w:hAnsi="Times New Roman" w:cs="Times New Roman" w:eastAsiaTheme="minorEastAsia"/>
          <w:bCs/>
          <w:color w:val="auto"/>
          <w:sz w:val="24"/>
          <w:szCs w:val="22"/>
          <w:highlight w:val="none"/>
          <w:vertAlign w:val="subscript"/>
        </w:rPr>
        <w:t>m</w:t>
      </w:r>
      <w:r>
        <w:rPr>
          <w:rFonts w:hint="default" w:ascii="Times New Roman" w:hAnsi="Times New Roman" w:cs="Times New Roman" w:eastAsiaTheme="minorEastAsia"/>
          <w:bCs/>
          <w:color w:val="auto"/>
          <w:sz w:val="24"/>
          <w:szCs w:val="22"/>
          <w:highlight w:val="none"/>
        </w:rPr>
        <w:t>值计算的卫生防护距离在同一级别时，该类工业企业的卫生防护距离级别应该高一级。”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auto"/>
          <w:sz w:val="24"/>
          <w:szCs w:val="22"/>
          <w:highlight w:val="none"/>
        </w:rPr>
      </w:pPr>
      <w:r>
        <w:rPr>
          <w:rFonts w:ascii="Times New Roman" w:hAnsi="Times New Roman" w:cs="Times New Roman"/>
          <w:bCs/>
          <w:color w:val="auto"/>
          <w:sz w:val="24"/>
          <w:szCs w:val="22"/>
          <w:highlight w:val="none"/>
        </w:rPr>
        <w:t>经计算，项目无组织排放2种有害气体，因此，场区需设置卫生防护距离为100m。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auto"/>
          <w:sz w:val="24"/>
          <w:szCs w:val="22"/>
          <w:highlight w:val="none"/>
        </w:rPr>
      </w:pPr>
      <w:r>
        <w:rPr>
          <w:rFonts w:ascii="Times New Roman" w:hAnsi="Times New Roman" w:cs="Times New Roman"/>
          <w:bCs/>
          <w:color w:val="auto"/>
          <w:sz w:val="24"/>
          <w:szCs w:val="22"/>
          <w:highlight w:val="none"/>
        </w:rPr>
        <w:t>根据本项目平面布置，本项目卫生防护距离设置为：厂区：东场界100m、南场界</w:t>
      </w:r>
      <w:r>
        <w:rPr>
          <w:rFonts w:hint="eastAsia" w:cs="Times New Roman"/>
          <w:bCs/>
          <w:color w:val="auto"/>
          <w:sz w:val="24"/>
          <w:szCs w:val="22"/>
          <w:highlight w:val="none"/>
          <w:lang w:val="en-US" w:eastAsia="zh-CN"/>
        </w:rPr>
        <w:t>100</w:t>
      </w:r>
      <w:r>
        <w:rPr>
          <w:rFonts w:ascii="Times New Roman" w:hAnsi="Times New Roman" w:cs="Times New Roman"/>
          <w:bCs/>
          <w:color w:val="auto"/>
          <w:sz w:val="24"/>
          <w:szCs w:val="22"/>
          <w:highlight w:val="none"/>
        </w:rPr>
        <w:t>m、西场界100m、北场界100m。</w:t>
      </w:r>
    </w:p>
    <w:p>
      <w:pPr>
        <w:pStyle w:val="6"/>
        <w:ind w:firstLine="482"/>
        <w:rPr>
          <w:color w:val="auto"/>
          <w:highlight w:val="none"/>
        </w:rPr>
      </w:pPr>
      <w:r>
        <w:rPr>
          <w:rFonts w:hint="eastAsia"/>
          <w:color w:val="auto"/>
          <w:highlight w:val="none"/>
          <w:lang w:val="en-US" w:eastAsia="zh-CN"/>
        </w:rPr>
        <w:t>4</w:t>
      </w:r>
      <w:r>
        <w:rPr>
          <w:color w:val="auto"/>
          <w:highlight w:val="none"/>
        </w:rPr>
        <w:t>.</w:t>
      </w:r>
      <w:r>
        <w:rPr>
          <w:rFonts w:hint="eastAsia"/>
          <w:color w:val="auto"/>
          <w:highlight w:val="none"/>
        </w:rPr>
        <w:t>2</w:t>
      </w:r>
      <w:r>
        <w:rPr>
          <w:color w:val="auto"/>
          <w:highlight w:val="none"/>
        </w:rPr>
        <w:t>.1</w:t>
      </w:r>
      <w:r>
        <w:rPr>
          <w:rFonts w:hint="eastAsia"/>
          <w:color w:val="auto"/>
          <w:highlight w:val="none"/>
        </w:rPr>
        <w:t>.</w:t>
      </w:r>
      <w:r>
        <w:rPr>
          <w:rFonts w:hint="eastAsia"/>
          <w:color w:val="auto"/>
          <w:highlight w:val="none"/>
          <w:lang w:val="en-US" w:eastAsia="zh-CN"/>
        </w:rPr>
        <w:t>8</w:t>
      </w:r>
      <w:r>
        <w:rPr>
          <w:color w:val="auto"/>
          <w:highlight w:val="none"/>
        </w:rPr>
        <w:t>其他废气环境影响分析</w:t>
      </w:r>
    </w:p>
    <w:p>
      <w:pPr>
        <w:keepNext w:val="0"/>
        <w:keepLines w:val="0"/>
        <w:pageBreakBefore w:val="0"/>
        <w:kinsoku/>
        <w:wordWrap/>
        <w:overflowPunct/>
        <w:topLinePunct w:val="0"/>
        <w:autoSpaceDE/>
        <w:autoSpaceDN/>
        <w:bidi w:val="0"/>
        <w:adjustRightInd/>
        <w:snapToGrid/>
        <w:ind w:firstLine="480"/>
        <w:textAlignment w:val="auto"/>
        <w:rPr>
          <w:rFonts w:cs="Times New Roman"/>
          <w:color w:val="auto"/>
          <w:highlight w:val="none"/>
        </w:rPr>
      </w:pPr>
      <w:bookmarkStart w:id="38" w:name="_Toc255379767"/>
      <w:r>
        <w:rPr>
          <w:rFonts w:cs="Times New Roman"/>
          <w:color w:val="auto"/>
          <w:highlight w:val="none"/>
        </w:rPr>
        <w:t>（</w:t>
      </w:r>
      <w:r>
        <w:rPr>
          <w:rFonts w:hint="eastAsia" w:cs="Times New Roman"/>
          <w:color w:val="auto"/>
          <w:highlight w:val="none"/>
        </w:rPr>
        <w:t>1</w:t>
      </w:r>
      <w:r>
        <w:rPr>
          <w:rFonts w:cs="Times New Roman"/>
          <w:color w:val="auto"/>
          <w:highlight w:val="none"/>
        </w:rPr>
        <w:t>）</w:t>
      </w:r>
      <w:r>
        <w:rPr>
          <w:rFonts w:hint="eastAsia" w:cs="Times New Roman"/>
          <w:color w:val="auto"/>
          <w:highlight w:val="none"/>
        </w:rPr>
        <w:t>食堂</w:t>
      </w:r>
      <w:r>
        <w:rPr>
          <w:rFonts w:cs="Times New Roman"/>
          <w:color w:val="auto"/>
          <w:highlight w:val="none"/>
        </w:rPr>
        <w:t>油烟环境影响分析</w:t>
      </w:r>
    </w:p>
    <w:bookmarkEnd w:id="38"/>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 w:val="0"/>
          <w:bCs w:val="0"/>
          <w:color w:val="auto"/>
          <w:sz w:val="24"/>
          <w:szCs w:val="22"/>
          <w:highlight w:val="none"/>
          <w:u w:val="none"/>
        </w:rPr>
      </w:pPr>
      <w:r>
        <w:rPr>
          <w:color w:val="auto"/>
          <w:kern w:val="0"/>
          <w:highlight w:val="none"/>
        </w:rPr>
        <w:t>项目职工为</w:t>
      </w:r>
      <w:r>
        <w:rPr>
          <w:rFonts w:hint="eastAsia"/>
          <w:color w:val="auto"/>
          <w:kern w:val="0"/>
          <w:highlight w:val="none"/>
          <w:lang w:val="en-US" w:eastAsia="zh-CN"/>
        </w:rPr>
        <w:t>96</w:t>
      </w:r>
      <w:r>
        <w:rPr>
          <w:color w:val="auto"/>
          <w:kern w:val="0"/>
          <w:highlight w:val="none"/>
        </w:rPr>
        <w:t>人，</w:t>
      </w:r>
      <w:r>
        <w:rPr>
          <w:rFonts w:hint="eastAsia"/>
          <w:color w:val="auto"/>
          <w:kern w:val="0"/>
          <w:highlight w:val="none"/>
        </w:rPr>
        <w:t>食堂每天供应三餐，类比牧原食品股份有限公司其它猪场食堂食用油用量的一般情况</w:t>
      </w:r>
      <w:r>
        <w:rPr>
          <w:color w:val="auto"/>
          <w:kern w:val="0"/>
          <w:highlight w:val="none"/>
        </w:rPr>
        <w:t>，</w:t>
      </w:r>
      <w:r>
        <w:rPr>
          <w:rFonts w:hint="eastAsia"/>
          <w:color w:val="auto"/>
          <w:kern w:val="0"/>
          <w:highlight w:val="none"/>
        </w:rPr>
        <w:t>人均食用油日用量</w:t>
      </w:r>
      <w:r>
        <w:rPr>
          <w:rFonts w:hint="eastAsia" w:eastAsia="宋体"/>
          <w:color w:val="auto"/>
          <w:kern w:val="0"/>
          <w:highlight w:val="none"/>
          <w:lang w:eastAsia="zh-CN"/>
        </w:rPr>
        <w:t>以</w:t>
      </w:r>
      <w:r>
        <w:rPr>
          <w:rFonts w:ascii="Times New Roman" w:hAnsi="Times New Roman" w:cs="Times New Roman"/>
          <w:b w:val="0"/>
          <w:bCs w:val="0"/>
          <w:color w:val="auto"/>
          <w:sz w:val="24"/>
          <w:szCs w:val="22"/>
          <w:highlight w:val="none"/>
          <w:u w:val="none"/>
        </w:rPr>
        <w:t>25g/d计，年消耗食用油</w:t>
      </w:r>
      <w:r>
        <w:rPr>
          <w:rFonts w:hint="eastAsia" w:cs="Times New Roman"/>
          <w:b w:val="0"/>
          <w:bCs w:val="0"/>
          <w:color w:val="auto"/>
          <w:sz w:val="24"/>
          <w:szCs w:val="22"/>
          <w:highlight w:val="none"/>
          <w:u w:val="none"/>
          <w:lang w:val="en-US" w:eastAsia="zh-CN"/>
        </w:rPr>
        <w:t>2.4</w:t>
      </w:r>
      <w:r>
        <w:rPr>
          <w:rFonts w:ascii="Times New Roman" w:hAnsi="Times New Roman" w:cs="Times New Roman"/>
          <w:b w:val="0"/>
          <w:bCs w:val="0"/>
          <w:color w:val="auto"/>
          <w:sz w:val="24"/>
          <w:szCs w:val="22"/>
          <w:highlight w:val="none"/>
          <w:u w:val="none"/>
        </w:rPr>
        <w:t>kg/d、0.</w:t>
      </w:r>
      <w:r>
        <w:rPr>
          <w:rFonts w:hint="eastAsia" w:cs="Times New Roman"/>
          <w:b w:val="0"/>
          <w:bCs w:val="0"/>
          <w:color w:val="auto"/>
          <w:sz w:val="24"/>
          <w:szCs w:val="22"/>
          <w:highlight w:val="none"/>
          <w:u w:val="none"/>
          <w:lang w:val="en-US" w:eastAsia="zh-CN"/>
        </w:rPr>
        <w:t>876</w:t>
      </w:r>
      <w:r>
        <w:rPr>
          <w:rFonts w:ascii="Times New Roman" w:hAnsi="Times New Roman" w:cs="Times New Roman"/>
          <w:b w:val="0"/>
          <w:bCs w:val="0"/>
          <w:color w:val="auto"/>
          <w:sz w:val="24"/>
          <w:szCs w:val="22"/>
          <w:highlight w:val="none"/>
          <w:u w:val="none"/>
        </w:rPr>
        <w:t>t/a，做饭时挥发损失约3%，则厨房油烟产生量约0.0</w:t>
      </w:r>
      <w:r>
        <w:rPr>
          <w:rFonts w:hint="eastAsia" w:cs="Times New Roman"/>
          <w:b w:val="0"/>
          <w:bCs w:val="0"/>
          <w:color w:val="auto"/>
          <w:sz w:val="24"/>
          <w:szCs w:val="22"/>
          <w:highlight w:val="none"/>
          <w:u w:val="none"/>
          <w:lang w:val="en-US" w:eastAsia="zh-CN"/>
        </w:rPr>
        <w:t>72</w:t>
      </w:r>
      <w:r>
        <w:rPr>
          <w:rFonts w:ascii="Times New Roman" w:hAnsi="Times New Roman" w:cs="Times New Roman"/>
          <w:b w:val="0"/>
          <w:bCs w:val="0"/>
          <w:color w:val="auto"/>
          <w:sz w:val="24"/>
          <w:szCs w:val="22"/>
          <w:highlight w:val="none"/>
          <w:u w:val="none"/>
        </w:rPr>
        <w:t>kg/d、0.</w:t>
      </w:r>
      <w:r>
        <w:rPr>
          <w:rFonts w:hint="eastAsia" w:cs="Times New Roman"/>
          <w:b w:val="0"/>
          <w:bCs w:val="0"/>
          <w:color w:val="auto"/>
          <w:sz w:val="24"/>
          <w:szCs w:val="22"/>
          <w:highlight w:val="none"/>
          <w:u w:val="none"/>
          <w:lang w:val="en-US" w:eastAsia="zh-CN"/>
        </w:rPr>
        <w:t>026</w:t>
      </w:r>
      <w:r>
        <w:rPr>
          <w:rFonts w:ascii="Times New Roman" w:hAnsi="Times New Roman" w:cs="Times New Roman"/>
          <w:b w:val="0"/>
          <w:bCs w:val="0"/>
          <w:color w:val="auto"/>
          <w:sz w:val="24"/>
          <w:szCs w:val="22"/>
          <w:highlight w:val="none"/>
          <w:u w:val="none"/>
        </w:rPr>
        <w:t>t/a。项目废气量为</w:t>
      </w:r>
      <w:r>
        <w:rPr>
          <w:rFonts w:hint="eastAsia" w:cs="Times New Roman"/>
          <w:b w:val="0"/>
          <w:bCs w:val="0"/>
          <w:color w:val="auto"/>
          <w:sz w:val="24"/>
          <w:szCs w:val="22"/>
          <w:highlight w:val="none"/>
          <w:u w:val="none"/>
          <w:lang w:val="en-US" w:eastAsia="zh-CN"/>
        </w:rPr>
        <w:t>3</w:t>
      </w:r>
      <w:r>
        <w:rPr>
          <w:rFonts w:ascii="Times New Roman" w:hAnsi="Times New Roman" w:cs="Times New Roman"/>
          <w:b w:val="0"/>
          <w:bCs w:val="0"/>
          <w:color w:val="auto"/>
          <w:sz w:val="24"/>
          <w:szCs w:val="22"/>
          <w:highlight w:val="none"/>
          <w:u w:val="none"/>
        </w:rPr>
        <w:t>000m</w:t>
      </w:r>
      <w:r>
        <w:rPr>
          <w:rFonts w:ascii="Times New Roman" w:hAnsi="Times New Roman" w:cs="Times New Roman"/>
          <w:b w:val="0"/>
          <w:bCs w:val="0"/>
          <w:color w:val="auto"/>
          <w:sz w:val="24"/>
          <w:szCs w:val="22"/>
          <w:highlight w:val="none"/>
          <w:u w:val="none"/>
          <w:vertAlign w:val="superscript"/>
        </w:rPr>
        <w:t>3</w:t>
      </w:r>
      <w:r>
        <w:rPr>
          <w:rFonts w:ascii="Times New Roman" w:hAnsi="Times New Roman" w:cs="Times New Roman"/>
          <w:b w:val="0"/>
          <w:bCs w:val="0"/>
          <w:color w:val="auto"/>
          <w:sz w:val="24"/>
          <w:szCs w:val="22"/>
          <w:highlight w:val="none"/>
          <w:u w:val="none"/>
        </w:rPr>
        <w:t>/h，每天运行4h，则油烟产生浓度为</w:t>
      </w:r>
      <w:r>
        <w:rPr>
          <w:rFonts w:hint="eastAsia" w:cs="Times New Roman"/>
          <w:b w:val="0"/>
          <w:bCs w:val="0"/>
          <w:color w:val="auto"/>
          <w:sz w:val="24"/>
          <w:szCs w:val="22"/>
          <w:highlight w:val="none"/>
          <w:u w:val="none"/>
          <w:lang w:val="en-US" w:eastAsia="zh-CN"/>
        </w:rPr>
        <w:t>5.9</w:t>
      </w:r>
      <w:r>
        <w:rPr>
          <w:rFonts w:ascii="Times New Roman" w:hAnsi="Times New Roman" w:cs="Times New Roman"/>
          <w:b w:val="0"/>
          <w:bCs w:val="0"/>
          <w:color w:val="auto"/>
          <w:sz w:val="24"/>
          <w:szCs w:val="22"/>
          <w:highlight w:val="none"/>
          <w:u w:val="none"/>
        </w:rPr>
        <w:t>mg/m</w:t>
      </w:r>
      <w:r>
        <w:rPr>
          <w:rFonts w:ascii="Times New Roman" w:hAnsi="Times New Roman" w:cs="Times New Roman"/>
          <w:b w:val="0"/>
          <w:bCs w:val="0"/>
          <w:color w:val="auto"/>
          <w:sz w:val="24"/>
          <w:szCs w:val="22"/>
          <w:highlight w:val="none"/>
          <w:u w:val="none"/>
          <w:vertAlign w:val="superscript"/>
        </w:rPr>
        <w:t>3</w:t>
      </w:r>
      <w:r>
        <w:rPr>
          <w:rFonts w:ascii="Times New Roman" w:hAnsi="Times New Roman" w:cs="Times New Roman"/>
          <w:b w:val="0"/>
          <w:bCs w:val="0"/>
          <w:color w:val="auto"/>
          <w:sz w:val="24"/>
          <w:szCs w:val="22"/>
          <w:highlight w:val="none"/>
          <w:u w:val="none"/>
        </w:rPr>
        <w:t>，建设单位安装净化效率不低于90%的油烟净化装置，经处理后排放。经计算，处理后餐厅油烟年排放量为0</w:t>
      </w:r>
      <w:r>
        <w:rPr>
          <w:rFonts w:hint="eastAsia" w:cs="Times New Roman"/>
          <w:b w:val="0"/>
          <w:bCs w:val="0"/>
          <w:color w:val="auto"/>
          <w:sz w:val="24"/>
          <w:szCs w:val="22"/>
          <w:highlight w:val="none"/>
          <w:u w:val="none"/>
          <w:lang w:val="en-US" w:eastAsia="zh-CN"/>
        </w:rPr>
        <w:t>.0026</w:t>
      </w:r>
      <w:r>
        <w:rPr>
          <w:rFonts w:ascii="Times New Roman" w:hAnsi="Times New Roman" w:cs="Times New Roman"/>
          <w:b w:val="0"/>
          <w:bCs w:val="0"/>
          <w:color w:val="auto"/>
          <w:sz w:val="24"/>
          <w:szCs w:val="22"/>
          <w:highlight w:val="none"/>
          <w:u w:val="none"/>
        </w:rPr>
        <w:t>t/a，排放浓度为0.</w:t>
      </w:r>
      <w:r>
        <w:rPr>
          <w:rFonts w:hint="eastAsia" w:cs="Times New Roman"/>
          <w:b w:val="0"/>
          <w:bCs w:val="0"/>
          <w:color w:val="auto"/>
          <w:sz w:val="24"/>
          <w:szCs w:val="22"/>
          <w:highlight w:val="none"/>
          <w:u w:val="none"/>
          <w:lang w:val="en-US" w:eastAsia="zh-CN"/>
        </w:rPr>
        <w:t>59</w:t>
      </w:r>
      <w:r>
        <w:rPr>
          <w:rFonts w:ascii="Times New Roman" w:hAnsi="Times New Roman" w:cs="Times New Roman"/>
          <w:b w:val="0"/>
          <w:bCs w:val="0"/>
          <w:color w:val="auto"/>
          <w:sz w:val="24"/>
          <w:szCs w:val="22"/>
          <w:highlight w:val="none"/>
          <w:u w:val="none"/>
        </w:rPr>
        <w:t>mg/m</w:t>
      </w:r>
      <w:r>
        <w:rPr>
          <w:rFonts w:ascii="Times New Roman" w:hAnsi="Times New Roman" w:cs="Times New Roman"/>
          <w:b w:val="0"/>
          <w:bCs w:val="0"/>
          <w:color w:val="auto"/>
          <w:sz w:val="24"/>
          <w:szCs w:val="22"/>
          <w:highlight w:val="none"/>
          <w:u w:val="none"/>
          <w:vertAlign w:val="superscript"/>
        </w:rPr>
        <w:t>3</w:t>
      </w:r>
      <w:r>
        <w:rPr>
          <w:rFonts w:ascii="Times New Roman" w:hAnsi="Times New Roman" w:cs="Times New Roman"/>
          <w:b w:val="0"/>
          <w:bCs w:val="0"/>
          <w:color w:val="auto"/>
          <w:sz w:val="24"/>
          <w:szCs w:val="22"/>
          <w:highlight w:val="none"/>
          <w:u w:val="none"/>
        </w:rPr>
        <w:t>，能够满足《餐饮业油烟污染物排放标准》(DB41/1604</w:t>
      </w:r>
      <w:r>
        <w:rPr>
          <w:rFonts w:hint="eastAsia" w:ascii="Times New Roman" w:hAnsi="Times New Roman" w:cs="Times New Roman"/>
          <w:b w:val="0"/>
          <w:bCs w:val="0"/>
          <w:color w:val="auto"/>
          <w:sz w:val="24"/>
          <w:szCs w:val="22"/>
          <w:highlight w:val="none"/>
          <w:u w:val="none"/>
          <w:lang w:val="en-US" w:eastAsia="zh-CN"/>
        </w:rPr>
        <w:t>-</w:t>
      </w:r>
      <w:r>
        <w:rPr>
          <w:rFonts w:ascii="Times New Roman" w:hAnsi="Times New Roman" w:cs="Times New Roman"/>
          <w:b w:val="0"/>
          <w:bCs w:val="0"/>
          <w:color w:val="auto"/>
          <w:sz w:val="24"/>
          <w:szCs w:val="22"/>
          <w:highlight w:val="none"/>
          <w:u w:val="none"/>
        </w:rPr>
        <w:t>2018)规定限值油烟1.5mg/m</w:t>
      </w:r>
      <w:r>
        <w:rPr>
          <w:rFonts w:ascii="Times New Roman" w:hAnsi="Times New Roman" w:cs="Times New Roman"/>
          <w:b w:val="0"/>
          <w:bCs w:val="0"/>
          <w:color w:val="auto"/>
          <w:sz w:val="24"/>
          <w:szCs w:val="22"/>
          <w:highlight w:val="none"/>
          <w:u w:val="none"/>
          <w:vertAlign w:val="superscript"/>
        </w:rPr>
        <w:t>3</w:t>
      </w:r>
      <w:r>
        <w:rPr>
          <w:rFonts w:ascii="Times New Roman" w:hAnsi="Times New Roman" w:cs="Times New Roman"/>
          <w:b w:val="0"/>
          <w:bCs w:val="0"/>
          <w:color w:val="auto"/>
          <w:sz w:val="24"/>
          <w:szCs w:val="22"/>
          <w:highlight w:val="none"/>
          <w:u w:val="none"/>
        </w:rPr>
        <w:t>要求，实现达标排放。</w:t>
      </w:r>
    </w:p>
    <w:p>
      <w:pPr>
        <w:pStyle w:val="2"/>
        <w:numPr>
          <w:ilvl w:val="0"/>
          <w:numId w:val="10"/>
        </w:numPr>
        <w:ind w:firstLine="480" w:firstLineChars="200"/>
        <w:rPr>
          <w:rFonts w:hint="eastAsia" w:cs="Times New Roman"/>
          <w:b w:val="0"/>
          <w:bCs w:val="0"/>
          <w:color w:val="auto"/>
          <w:sz w:val="24"/>
          <w:szCs w:val="22"/>
          <w:highlight w:val="none"/>
          <w:u w:val="none"/>
          <w:lang w:eastAsia="zh-CN"/>
        </w:rPr>
      </w:pPr>
      <w:r>
        <w:rPr>
          <w:rFonts w:hint="eastAsia" w:cs="Times New Roman"/>
          <w:b w:val="0"/>
          <w:bCs w:val="0"/>
          <w:color w:val="auto"/>
          <w:sz w:val="24"/>
          <w:szCs w:val="22"/>
          <w:highlight w:val="none"/>
          <w:u w:val="none"/>
          <w:lang w:eastAsia="zh-CN"/>
        </w:rPr>
        <w:t>臭气浓度对环境的影响分析</w:t>
      </w:r>
    </w:p>
    <w:p>
      <w:pPr>
        <w:pStyle w:val="2"/>
        <w:numPr>
          <w:ilvl w:val="0"/>
          <w:numId w:val="0"/>
        </w:numPr>
        <w:rPr>
          <w:rFonts w:hint="default" w:cs="Times New Roman"/>
          <w:b w:val="0"/>
          <w:bCs w:val="0"/>
          <w:color w:val="auto"/>
          <w:sz w:val="24"/>
          <w:szCs w:val="22"/>
          <w:highlight w:val="none"/>
          <w:u w:val="none"/>
          <w:lang w:val="en-US" w:eastAsia="zh-CN"/>
        </w:rPr>
      </w:pPr>
      <w:r>
        <w:rPr>
          <w:rFonts w:hint="eastAsia" w:cs="Times New Roman"/>
          <w:b w:val="0"/>
          <w:bCs w:val="0"/>
          <w:color w:val="auto"/>
          <w:sz w:val="24"/>
          <w:szCs w:val="22"/>
          <w:highlight w:val="none"/>
          <w:u w:val="none"/>
          <w:lang w:val="en-US" w:eastAsia="zh-CN"/>
        </w:rPr>
        <w:t xml:space="preserve">   项目厂界臭气浓度采用类比《范县牧原农牧有限公司范县二场生猪养殖项目验收监测报告》中监测数据。范县牧原农牧有限公司范县二场生猪养殖项目，占地面积271亩，年出栏生猪10万头。配套建设有固粪处理区、污水处理系统、无害化处理车间等，其养殖工艺和污染物治理措施同本项目基本一致，因此本项目与范县牧原农牧有限公司范县二场生猪养殖项目具有可类比性。根据《范县牧原农牧有限公司范县二场生猪养殖项目验收监测报告》，其厂界下风向臭气浓度范围为12~19（无量纲）。则经类比，本项目场界下风向无组织臭气浓度最大值为19（无量纲），可满足《畜禽养殖业污染物排放标准》（GB18596-2001）的排放要求。因此，本项目排放的无组织臭气浓度可达标排放，对周围环境影响较小。</w:t>
      </w:r>
    </w:p>
    <w:p>
      <w:pPr>
        <w:pStyle w:val="6"/>
        <w:ind w:firstLine="482"/>
        <w:rPr>
          <w:color w:val="auto"/>
          <w:highlight w:val="none"/>
        </w:rPr>
      </w:pPr>
      <w:r>
        <w:rPr>
          <w:rFonts w:hint="eastAsia"/>
          <w:color w:val="auto"/>
          <w:highlight w:val="none"/>
          <w:lang w:val="en-US" w:eastAsia="zh-CN"/>
        </w:rPr>
        <w:t>4</w:t>
      </w:r>
      <w:r>
        <w:rPr>
          <w:color w:val="auto"/>
          <w:highlight w:val="none"/>
        </w:rPr>
        <w:t>.</w:t>
      </w:r>
      <w:r>
        <w:rPr>
          <w:rFonts w:hint="eastAsia"/>
          <w:color w:val="auto"/>
          <w:highlight w:val="none"/>
        </w:rPr>
        <w:t>2</w:t>
      </w:r>
      <w:r>
        <w:rPr>
          <w:color w:val="auto"/>
          <w:highlight w:val="none"/>
        </w:rPr>
        <w:t>.1</w:t>
      </w:r>
      <w:r>
        <w:rPr>
          <w:rFonts w:hint="eastAsia"/>
          <w:color w:val="auto"/>
          <w:highlight w:val="none"/>
        </w:rPr>
        <w:t>.</w:t>
      </w:r>
      <w:r>
        <w:rPr>
          <w:rFonts w:hint="eastAsia"/>
          <w:color w:val="auto"/>
          <w:highlight w:val="none"/>
          <w:lang w:val="en-US" w:eastAsia="zh-CN"/>
        </w:rPr>
        <w:t>9</w:t>
      </w:r>
      <w:r>
        <w:rPr>
          <w:rFonts w:hint="eastAsia"/>
          <w:color w:val="auto"/>
          <w:highlight w:val="none"/>
        </w:rPr>
        <w:t>大气环境影响评价自查表</w:t>
      </w:r>
    </w:p>
    <w:p>
      <w:pPr>
        <w:pStyle w:val="21"/>
        <w:rPr>
          <w:rFonts w:hint="eastAsia" w:cs="Times New Roman"/>
          <w:color w:val="auto"/>
          <w:highlight w:val="none"/>
        </w:rPr>
      </w:pPr>
      <w:r>
        <w:rPr>
          <w:rFonts w:hint="eastAsia" w:cs="Times New Roman"/>
          <w:color w:val="auto"/>
          <w:highlight w:val="none"/>
        </w:rPr>
        <w:t>表</w:t>
      </w:r>
      <w:r>
        <w:rPr>
          <w:rFonts w:hint="eastAsia" w:cs="Times New Roman"/>
          <w:color w:val="auto"/>
          <w:highlight w:val="none"/>
          <w:lang w:val="en-US" w:eastAsia="zh-CN"/>
        </w:rPr>
        <w:t>4</w:t>
      </w:r>
      <w:r>
        <w:rPr>
          <w:rFonts w:cs="Times New Roman"/>
          <w:color w:val="auto"/>
          <w:highlight w:val="none"/>
        </w:rPr>
        <w:t>.</w:t>
      </w:r>
      <w:r>
        <w:rPr>
          <w:rFonts w:hint="eastAsia" w:cs="Times New Roman"/>
          <w:color w:val="auto"/>
          <w:highlight w:val="none"/>
        </w:rPr>
        <w:t>2</w:t>
      </w:r>
      <w:r>
        <w:rPr>
          <w:rFonts w:cs="Times New Roman"/>
          <w:color w:val="auto"/>
          <w:highlight w:val="none"/>
        </w:rPr>
        <w:t>-</w:t>
      </w:r>
      <w:r>
        <w:rPr>
          <w:rFonts w:hint="eastAsia" w:cs="Times New Roman"/>
          <w:color w:val="auto"/>
          <w:highlight w:val="none"/>
          <w:lang w:val="en-US" w:eastAsia="zh-CN"/>
        </w:rPr>
        <w:t>20</w:t>
      </w:r>
      <w:r>
        <w:rPr>
          <w:rFonts w:cs="Times New Roman"/>
          <w:color w:val="auto"/>
          <w:highlight w:val="none"/>
        </w:rPr>
        <w:t xml:space="preserve"> </w:t>
      </w:r>
      <w:r>
        <w:rPr>
          <w:rFonts w:hint="eastAsia" w:cs="Times New Roman"/>
          <w:color w:val="auto"/>
          <w:highlight w:val="none"/>
        </w:rPr>
        <w:t>建设项目大气环境影响评价自查表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83"/>
        <w:gridCol w:w="1124"/>
        <w:gridCol w:w="681"/>
        <w:gridCol w:w="578"/>
        <w:gridCol w:w="257"/>
        <w:gridCol w:w="23"/>
        <w:gridCol w:w="774"/>
        <w:gridCol w:w="689"/>
        <w:gridCol w:w="134"/>
        <w:gridCol w:w="515"/>
        <w:gridCol w:w="752"/>
        <w:gridCol w:w="866"/>
        <w:gridCol w:w="252"/>
        <w:gridCol w:w="712"/>
        <w:gridCol w:w="4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968" w:type="pct"/>
            <w:gridSpan w:val="2"/>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工作内容</w:t>
            </w:r>
          </w:p>
        </w:tc>
        <w:tc>
          <w:tcPr>
            <w:tcW w:w="4031" w:type="pct"/>
            <w:gridSpan w:val="13"/>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restar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评价等级与范围</w:t>
            </w: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评价等级</w:t>
            </w:r>
          </w:p>
        </w:tc>
        <w:tc>
          <w:tcPr>
            <w:tcW w:w="1393" w:type="pct"/>
            <w:gridSpan w:val="5"/>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一级□</w:t>
            </w:r>
          </w:p>
        </w:tc>
        <w:tc>
          <w:tcPr>
            <w:tcW w:w="1780" w:type="pct"/>
            <w:gridSpan w:val="5"/>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二级</w:t>
            </w:r>
            <w:r>
              <w:rPr>
                <w:rFonts w:ascii="Times New Roman" w:hAnsi="Times New Roman"/>
                <w:bCs/>
                <w:color w:val="auto"/>
                <w:sz w:val="21"/>
                <w:szCs w:val="21"/>
                <w:highlight w:val="none"/>
              </w:rPr>
              <w:fldChar w:fldCharType="begin"/>
            </w:r>
            <w:r>
              <w:rPr>
                <w:rFonts w:ascii="Times New Roman" w:hAnsi="Times New Roman"/>
                <w:bCs/>
                <w:color w:val="auto"/>
                <w:sz w:val="21"/>
                <w:szCs w:val="21"/>
                <w:highlight w:val="none"/>
              </w:rPr>
              <w:instrText xml:space="preserve"> eq \o\ac(</w:instrText>
            </w:r>
            <w:r>
              <w:rPr>
                <w:rFonts w:ascii="Times New Roman" w:hAnsi="Times New Roman"/>
                <w:bCs/>
                <w:color w:val="auto"/>
                <w:position w:val="-4"/>
                <w:sz w:val="31"/>
                <w:szCs w:val="21"/>
                <w:highlight w:val="none"/>
              </w:rPr>
              <w:instrText xml:space="preserve">□</w:instrText>
            </w:r>
            <w:r>
              <w:rPr>
                <w:rFonts w:ascii="Times New Roman" w:hAnsi="Times New Roman"/>
                <w:bCs/>
                <w:color w:val="auto"/>
                <w:position w:val="0"/>
                <w:sz w:val="21"/>
                <w:szCs w:val="21"/>
                <w:highlight w:val="none"/>
              </w:rPr>
              <w:instrText xml:space="preserve">,√)</w:instrText>
            </w:r>
            <w:r>
              <w:rPr>
                <w:rFonts w:ascii="Times New Roman" w:hAnsi="Times New Roman"/>
                <w:bCs/>
                <w:color w:val="auto"/>
                <w:sz w:val="21"/>
                <w:szCs w:val="21"/>
                <w:highlight w:val="none"/>
              </w:rPr>
              <w:fldChar w:fldCharType="end"/>
            </w:r>
          </w:p>
        </w:tc>
        <w:tc>
          <w:tcPr>
            <w:tcW w:w="857" w:type="pct"/>
            <w:gridSpan w:val="3"/>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评价范围</w:t>
            </w:r>
          </w:p>
        </w:tc>
        <w:tc>
          <w:tcPr>
            <w:tcW w:w="1393" w:type="pct"/>
            <w:gridSpan w:val="5"/>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边长=50km□</w:t>
            </w:r>
          </w:p>
        </w:tc>
        <w:tc>
          <w:tcPr>
            <w:tcW w:w="1780" w:type="pct"/>
            <w:gridSpan w:val="5"/>
            <w:tcBorders>
              <w:tl2br w:val="nil"/>
              <w:tr2bl w:val="nil"/>
            </w:tcBorders>
            <w:noWrap w:val="0"/>
            <w:vAlign w:val="center"/>
          </w:tcPr>
          <w:p>
            <w:pPr>
              <w:widowControl/>
              <w:spacing w:line="260" w:lineRule="exact"/>
              <w:jc w:val="center"/>
              <w:rPr>
                <w:rFonts w:hint="eastAsia" w:ascii="Times New Roman" w:hAnsi="Times New Roman" w:eastAsia="宋体"/>
                <w:bCs/>
                <w:color w:val="auto"/>
                <w:sz w:val="21"/>
                <w:szCs w:val="21"/>
                <w:highlight w:val="none"/>
                <w:lang w:eastAsia="zh-CN"/>
              </w:rPr>
            </w:pPr>
            <w:r>
              <w:rPr>
                <w:rFonts w:ascii="Times New Roman" w:hAnsi="Times New Roman"/>
                <w:bCs/>
                <w:color w:val="auto"/>
                <w:sz w:val="21"/>
                <w:szCs w:val="21"/>
                <w:highlight w:val="none"/>
              </w:rPr>
              <w:t>边长=5~50km</w:t>
            </w:r>
            <w:r>
              <w:rPr>
                <w:rFonts w:ascii="Times New Roman" w:hAnsi="Times New Roman"/>
                <w:bCs/>
                <w:color w:val="auto"/>
                <w:sz w:val="21"/>
                <w:szCs w:val="21"/>
                <w:highlight w:val="none"/>
              </w:rPr>
              <w:fldChar w:fldCharType="begin"/>
            </w:r>
            <w:r>
              <w:rPr>
                <w:rFonts w:ascii="Times New Roman" w:hAnsi="Times New Roman"/>
                <w:bCs/>
                <w:color w:val="auto"/>
                <w:sz w:val="21"/>
                <w:szCs w:val="21"/>
                <w:highlight w:val="none"/>
              </w:rPr>
              <w:instrText xml:space="preserve"> eq \o\ac(</w:instrText>
            </w:r>
            <w:r>
              <w:rPr>
                <w:rFonts w:ascii="Times New Roman" w:hAnsi="Times New Roman"/>
                <w:bCs/>
                <w:color w:val="auto"/>
                <w:position w:val="-4"/>
                <w:sz w:val="31"/>
                <w:szCs w:val="21"/>
                <w:highlight w:val="none"/>
              </w:rPr>
              <w:instrText xml:space="preserve">□</w:instrText>
            </w:r>
            <w:r>
              <w:rPr>
                <w:rFonts w:ascii="Times New Roman" w:hAnsi="Times New Roman"/>
                <w:bCs/>
                <w:color w:val="auto"/>
                <w:position w:val="0"/>
                <w:sz w:val="21"/>
                <w:szCs w:val="21"/>
                <w:highlight w:val="none"/>
              </w:rPr>
              <w:instrText xml:space="preserve">)</w:instrText>
            </w:r>
            <w:r>
              <w:rPr>
                <w:rFonts w:ascii="Times New Roman" w:hAnsi="Times New Roman"/>
                <w:bCs/>
                <w:color w:val="auto"/>
                <w:sz w:val="21"/>
                <w:szCs w:val="21"/>
                <w:highlight w:val="none"/>
              </w:rPr>
              <w:fldChar w:fldCharType="end"/>
            </w:r>
          </w:p>
        </w:tc>
        <w:tc>
          <w:tcPr>
            <w:tcW w:w="857"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边长=5km</w:t>
            </w:r>
            <w:r>
              <w:rPr>
                <w:rFonts w:ascii="Times New Roman" w:hAnsi="Times New Roman"/>
                <w:bCs/>
                <w:color w:val="auto"/>
                <w:sz w:val="21"/>
                <w:szCs w:val="21"/>
                <w:highlight w:val="none"/>
              </w:rPr>
              <w:fldChar w:fldCharType="begin"/>
            </w:r>
            <w:r>
              <w:rPr>
                <w:rFonts w:ascii="Times New Roman" w:hAnsi="Times New Roman"/>
                <w:bCs/>
                <w:color w:val="auto"/>
                <w:sz w:val="21"/>
                <w:szCs w:val="21"/>
                <w:highlight w:val="none"/>
              </w:rPr>
              <w:instrText xml:space="preserve"> eq \o\ac(</w:instrText>
            </w:r>
            <w:r>
              <w:rPr>
                <w:rFonts w:ascii="Times New Roman" w:hAnsi="Times New Roman"/>
                <w:bCs/>
                <w:color w:val="auto"/>
                <w:position w:val="-4"/>
                <w:sz w:val="31"/>
                <w:szCs w:val="21"/>
                <w:highlight w:val="none"/>
              </w:rPr>
              <w:instrText xml:space="preserve">□</w:instrText>
            </w:r>
            <w:r>
              <w:rPr>
                <w:rFonts w:hint="eastAsia"/>
                <w:bCs/>
                <w:color w:val="auto"/>
                <w:position w:val="-4"/>
                <w:sz w:val="31"/>
                <w:szCs w:val="21"/>
                <w:highlight w:val="none"/>
                <w:lang w:eastAsia="zh-CN"/>
              </w:rPr>
              <w:instrText xml:space="preserve">,</w:instrText>
            </w:r>
            <w:r>
              <w:rPr>
                <w:rFonts w:hint="eastAsia"/>
                <w:bCs/>
                <w:color w:val="auto"/>
                <w:position w:val="0"/>
                <w:sz w:val="21"/>
                <w:szCs w:val="21"/>
                <w:highlight w:val="none"/>
                <w:lang w:eastAsia="zh-CN"/>
              </w:rPr>
              <w:instrText xml:space="preserve">√</w:instrText>
            </w:r>
            <w:r>
              <w:rPr>
                <w:rFonts w:ascii="Times New Roman" w:hAnsi="Times New Roman"/>
                <w:bCs/>
                <w:color w:val="auto"/>
                <w:position w:val="0"/>
                <w:sz w:val="21"/>
                <w:szCs w:val="21"/>
                <w:highlight w:val="none"/>
              </w:rPr>
              <w:instrText xml:space="preserve">)</w:instrText>
            </w:r>
            <w:r>
              <w:rPr>
                <w:rFonts w:ascii="Times New Roman" w:hAnsi="Times New Roman"/>
                <w:bCs/>
                <w:color w:val="auto"/>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restar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评价因子</w:t>
            </w: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SO</w:t>
            </w:r>
            <w:r>
              <w:rPr>
                <w:rFonts w:ascii="Times New Roman" w:hAnsi="Times New Roman"/>
                <w:bCs/>
                <w:color w:val="auto"/>
                <w:sz w:val="21"/>
                <w:szCs w:val="21"/>
                <w:highlight w:val="none"/>
                <w:vertAlign w:val="subscript"/>
              </w:rPr>
              <w:t>2</w:t>
            </w:r>
            <w:r>
              <w:rPr>
                <w:rFonts w:ascii="Times New Roman" w:hAnsi="Times New Roman"/>
                <w:bCs/>
                <w:color w:val="auto"/>
                <w:sz w:val="21"/>
                <w:szCs w:val="21"/>
                <w:highlight w:val="none"/>
              </w:rPr>
              <w:t>+NOx排放量</w:t>
            </w:r>
          </w:p>
        </w:tc>
        <w:tc>
          <w:tcPr>
            <w:tcW w:w="758" w:type="pct"/>
            <w:gridSpan w:val="2"/>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≥2000t/a□</w:t>
            </w:r>
          </w:p>
        </w:tc>
        <w:tc>
          <w:tcPr>
            <w:tcW w:w="1440" w:type="pct"/>
            <w:gridSpan w:val="6"/>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500~2000t/a□</w:t>
            </w:r>
          </w:p>
        </w:tc>
        <w:tc>
          <w:tcPr>
            <w:tcW w:w="1832" w:type="pct"/>
            <w:gridSpan w:val="5"/>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&lt;500t/a</w:t>
            </w:r>
            <w:r>
              <w:rPr>
                <w:rFonts w:ascii="Times New Roman" w:hAnsi="Times New Roman"/>
                <w:bCs/>
                <w:color w:val="auto"/>
                <w:sz w:val="21"/>
                <w:szCs w:val="21"/>
                <w:highlight w:val="none"/>
              </w:rPr>
              <w:fldChar w:fldCharType="begin"/>
            </w:r>
            <w:r>
              <w:rPr>
                <w:rFonts w:ascii="Times New Roman" w:hAnsi="Times New Roman"/>
                <w:bCs/>
                <w:color w:val="auto"/>
                <w:sz w:val="21"/>
                <w:szCs w:val="21"/>
                <w:highlight w:val="none"/>
              </w:rPr>
              <w:instrText xml:space="preserve"> eq \o\ac(</w:instrText>
            </w:r>
            <w:r>
              <w:rPr>
                <w:rFonts w:ascii="Times New Roman" w:hAnsi="Times New Roman"/>
                <w:bCs/>
                <w:color w:val="auto"/>
                <w:position w:val="-4"/>
                <w:sz w:val="31"/>
                <w:szCs w:val="21"/>
                <w:highlight w:val="none"/>
              </w:rPr>
              <w:instrText xml:space="preserve">□</w:instrText>
            </w:r>
            <w:r>
              <w:rPr>
                <w:rFonts w:hint="eastAsia"/>
                <w:bCs/>
                <w:color w:val="auto"/>
                <w:position w:val="-4"/>
                <w:sz w:val="31"/>
                <w:szCs w:val="21"/>
                <w:highlight w:val="none"/>
                <w:lang w:eastAsia="zh-CN"/>
              </w:rPr>
              <w:instrText xml:space="preserve">,</w:instrText>
            </w:r>
            <w:r>
              <w:rPr>
                <w:rFonts w:hint="eastAsia"/>
                <w:bCs/>
                <w:color w:val="auto"/>
                <w:position w:val="0"/>
                <w:sz w:val="21"/>
                <w:szCs w:val="21"/>
                <w:highlight w:val="none"/>
                <w:lang w:eastAsia="zh-CN"/>
              </w:rPr>
              <w:instrText xml:space="preserve">√</w:instrText>
            </w:r>
            <w:r>
              <w:rPr>
                <w:rFonts w:ascii="Times New Roman" w:hAnsi="Times New Roman"/>
                <w:bCs/>
                <w:color w:val="auto"/>
                <w:position w:val="0"/>
                <w:sz w:val="21"/>
                <w:szCs w:val="21"/>
                <w:highlight w:val="none"/>
              </w:rPr>
              <w:instrText xml:space="preserve">)</w:instrText>
            </w:r>
            <w:r>
              <w:rPr>
                <w:rFonts w:ascii="Times New Roman" w:hAnsi="Times New Roman"/>
                <w:bCs/>
                <w:color w:val="auto"/>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评价因子</w:t>
            </w:r>
          </w:p>
        </w:tc>
        <w:tc>
          <w:tcPr>
            <w:tcW w:w="2199" w:type="pct"/>
            <w:gridSpan w:val="8"/>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基本污染物(</w:t>
            </w:r>
            <w:r>
              <w:rPr>
                <w:rFonts w:hint="eastAsia" w:ascii="Times New Roman" w:hAnsi="Times New Roman"/>
                <w:bCs/>
                <w:color w:val="auto"/>
                <w:sz w:val="21"/>
                <w:szCs w:val="21"/>
                <w:highlight w:val="none"/>
                <w:lang w:val="en-US" w:eastAsia="zh-CN"/>
              </w:rPr>
              <w:t>PM</w:t>
            </w:r>
            <w:r>
              <w:rPr>
                <w:rFonts w:hint="eastAsia" w:ascii="Times New Roman" w:hAnsi="Times New Roman"/>
                <w:bCs/>
                <w:color w:val="auto"/>
                <w:sz w:val="21"/>
                <w:szCs w:val="21"/>
                <w:highlight w:val="none"/>
                <w:vertAlign w:val="subscript"/>
                <w:lang w:val="en-US" w:eastAsia="zh-CN"/>
              </w:rPr>
              <w:t>10</w:t>
            </w:r>
            <w:r>
              <w:rPr>
                <w:rFonts w:ascii="Times New Roman" w:hAnsi="Times New Roman"/>
                <w:bCs/>
                <w:color w:val="auto"/>
                <w:sz w:val="21"/>
                <w:szCs w:val="21"/>
                <w:highlight w:val="none"/>
              </w:rPr>
              <w:t>、SO</w:t>
            </w:r>
            <w:r>
              <w:rPr>
                <w:rFonts w:ascii="Times New Roman" w:hAnsi="Times New Roman"/>
                <w:bCs/>
                <w:color w:val="auto"/>
                <w:sz w:val="21"/>
                <w:szCs w:val="21"/>
                <w:highlight w:val="none"/>
                <w:vertAlign w:val="subscript"/>
              </w:rPr>
              <w:t>2</w:t>
            </w:r>
            <w:r>
              <w:rPr>
                <w:rFonts w:ascii="Times New Roman" w:hAnsi="Times New Roman"/>
                <w:bCs/>
                <w:color w:val="auto"/>
                <w:sz w:val="21"/>
                <w:szCs w:val="21"/>
                <w:highlight w:val="none"/>
              </w:rPr>
              <w:t>、NO</w:t>
            </w:r>
            <w:r>
              <w:rPr>
                <w:rFonts w:ascii="Times New Roman" w:hAnsi="Times New Roman"/>
                <w:bCs/>
                <w:color w:val="auto"/>
                <w:sz w:val="21"/>
                <w:szCs w:val="21"/>
                <w:highlight w:val="none"/>
                <w:vertAlign w:val="subscript"/>
              </w:rPr>
              <w:t>X</w:t>
            </w:r>
            <w:r>
              <w:rPr>
                <w:rFonts w:ascii="Times New Roman" w:hAnsi="Times New Roman"/>
                <w:bCs/>
                <w:color w:val="auto"/>
                <w:sz w:val="21"/>
                <w:szCs w:val="21"/>
                <w:highlight w:val="none"/>
              </w:rPr>
              <w:t>)、其他污染物(H</w:t>
            </w:r>
            <w:r>
              <w:rPr>
                <w:rFonts w:ascii="Times New Roman" w:hAnsi="Times New Roman"/>
                <w:bCs/>
                <w:color w:val="auto"/>
                <w:sz w:val="21"/>
                <w:szCs w:val="21"/>
                <w:highlight w:val="none"/>
                <w:vertAlign w:val="subscript"/>
              </w:rPr>
              <w:t>2</w:t>
            </w:r>
            <w:r>
              <w:rPr>
                <w:rFonts w:ascii="Times New Roman" w:hAnsi="Times New Roman"/>
                <w:bCs/>
                <w:color w:val="auto"/>
                <w:sz w:val="21"/>
                <w:szCs w:val="21"/>
                <w:highlight w:val="none"/>
              </w:rPr>
              <w:t>S、NH</w:t>
            </w:r>
            <w:r>
              <w:rPr>
                <w:rFonts w:ascii="Times New Roman" w:hAnsi="Times New Roman"/>
                <w:bCs/>
                <w:color w:val="auto"/>
                <w:sz w:val="21"/>
                <w:szCs w:val="21"/>
                <w:highlight w:val="none"/>
                <w:vertAlign w:val="subscript"/>
              </w:rPr>
              <w:t>3</w:t>
            </w:r>
            <w:r>
              <w:rPr>
                <w:rFonts w:ascii="Times New Roman" w:hAnsi="Times New Roman"/>
                <w:bCs/>
                <w:color w:val="auto"/>
                <w:sz w:val="21"/>
                <w:szCs w:val="21"/>
                <w:highlight w:val="none"/>
              </w:rPr>
              <w:t xml:space="preserve"> )</w:t>
            </w:r>
          </w:p>
        </w:tc>
        <w:tc>
          <w:tcPr>
            <w:tcW w:w="1832" w:type="pct"/>
            <w:gridSpan w:val="5"/>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包括二次PM</w:t>
            </w:r>
            <w:r>
              <w:rPr>
                <w:rFonts w:ascii="Times New Roman" w:hAnsi="Times New Roman"/>
                <w:bCs/>
                <w:color w:val="auto"/>
                <w:sz w:val="21"/>
                <w:szCs w:val="21"/>
                <w:highlight w:val="none"/>
                <w:vertAlign w:val="subscript"/>
              </w:rPr>
              <w:t>2.5</w:t>
            </w:r>
            <w:r>
              <w:rPr>
                <w:rFonts w:ascii="Times New Roman" w:hAnsi="Times New Roman"/>
                <w:bCs/>
                <w:color w:val="auto"/>
                <w:sz w:val="21"/>
                <w:szCs w:val="21"/>
                <w:highlight w:val="none"/>
              </w:rPr>
              <w:fldChar w:fldCharType="begin"/>
            </w:r>
            <w:r>
              <w:rPr>
                <w:rFonts w:ascii="Times New Roman" w:hAnsi="Times New Roman"/>
                <w:bCs/>
                <w:color w:val="auto"/>
                <w:sz w:val="21"/>
                <w:szCs w:val="21"/>
                <w:highlight w:val="none"/>
              </w:rPr>
              <w:instrText xml:space="preserve"> eq \o\ac(</w:instrText>
            </w:r>
            <w:r>
              <w:rPr>
                <w:rFonts w:ascii="Times New Roman" w:hAnsi="Times New Roman"/>
                <w:bCs/>
                <w:color w:val="auto"/>
                <w:position w:val="-4"/>
                <w:sz w:val="31"/>
                <w:szCs w:val="21"/>
                <w:highlight w:val="none"/>
              </w:rPr>
              <w:instrText xml:space="preserve">□</w:instrText>
            </w:r>
            <w:r>
              <w:rPr>
                <w:rFonts w:ascii="Times New Roman" w:hAnsi="Times New Roman"/>
                <w:bCs/>
                <w:color w:val="auto"/>
                <w:position w:val="0"/>
                <w:sz w:val="21"/>
                <w:szCs w:val="21"/>
                <w:highlight w:val="none"/>
              </w:rPr>
              <w:instrText xml:space="preserve">)</w:instrText>
            </w:r>
            <w:r>
              <w:rPr>
                <w:rFonts w:ascii="Times New Roman" w:hAnsi="Times New Roman"/>
                <w:bCs/>
                <w:color w:val="auto"/>
                <w:sz w:val="21"/>
                <w:szCs w:val="21"/>
                <w:highlight w:val="none"/>
              </w:rPr>
              <w:fldChar w:fldCharType="end"/>
            </w:r>
          </w:p>
          <w:p>
            <w:pPr>
              <w:widowControl/>
              <w:spacing w:line="260" w:lineRule="exact"/>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不包括二次PM</w:t>
            </w:r>
            <w:r>
              <w:rPr>
                <w:rFonts w:ascii="Times New Roman" w:hAnsi="Times New Roman"/>
                <w:bCs/>
                <w:color w:val="auto"/>
                <w:sz w:val="21"/>
                <w:szCs w:val="21"/>
                <w:highlight w:val="none"/>
                <w:vertAlign w:val="subscript"/>
              </w:rPr>
              <w:t>2.5</w:t>
            </w:r>
            <w:r>
              <w:rPr>
                <w:rFonts w:ascii="Times New Roman" w:hAnsi="Times New Roman"/>
                <w:bCs/>
                <w:color w:val="auto"/>
                <w:sz w:val="21"/>
                <w:szCs w:val="21"/>
                <w:highlight w:val="none"/>
              </w:rPr>
              <w:fldChar w:fldCharType="begin"/>
            </w:r>
            <w:r>
              <w:rPr>
                <w:rFonts w:ascii="Times New Roman" w:hAnsi="Times New Roman"/>
                <w:bCs/>
                <w:color w:val="auto"/>
                <w:sz w:val="21"/>
                <w:szCs w:val="21"/>
                <w:highlight w:val="none"/>
              </w:rPr>
              <w:instrText xml:space="preserve"> eq \o\ac(</w:instrText>
            </w:r>
            <w:r>
              <w:rPr>
                <w:rFonts w:ascii="Times New Roman" w:hAnsi="Times New Roman"/>
                <w:bCs/>
                <w:color w:val="auto"/>
                <w:position w:val="-4"/>
                <w:sz w:val="31"/>
                <w:szCs w:val="21"/>
                <w:highlight w:val="none"/>
              </w:rPr>
              <w:instrText xml:space="preserve">□</w:instrText>
            </w:r>
            <w:r>
              <w:rPr>
                <w:rFonts w:ascii="Times New Roman" w:hAnsi="Times New Roman"/>
                <w:bCs/>
                <w:color w:val="auto"/>
                <w:position w:val="0"/>
                <w:sz w:val="21"/>
                <w:szCs w:val="21"/>
                <w:highlight w:val="none"/>
              </w:rPr>
              <w:instrText xml:space="preserve">,√)</w:instrText>
            </w:r>
            <w:r>
              <w:rPr>
                <w:rFonts w:ascii="Times New Roman" w:hAnsi="Times New Roman"/>
                <w:bCs/>
                <w:color w:val="auto"/>
                <w:sz w:val="21"/>
                <w:szCs w:val="21"/>
                <w:highlight w:val="none"/>
              </w:rPr>
              <w:fldChar w:fldCharType="end"/>
            </w:r>
            <w:r>
              <w:rPr>
                <w:rFonts w:ascii="Times New Roman" w:hAnsi="Times New Roman"/>
                <w:bCs/>
                <w:color w:val="auto"/>
                <w:sz w:val="21"/>
                <w:szCs w:val="21"/>
                <w:highlight w:val="none"/>
              </w:rPr>
              <w:sym w:font="Times New Roman" w:char="0000"/>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评价标准</w:t>
            </w: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评价标准</w:t>
            </w:r>
          </w:p>
        </w:tc>
        <w:tc>
          <w:tcPr>
            <w:tcW w:w="1393" w:type="pct"/>
            <w:gridSpan w:val="5"/>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国家标准</w:t>
            </w:r>
            <w:r>
              <w:rPr>
                <w:rFonts w:ascii="Times New Roman" w:hAnsi="Times New Roman"/>
                <w:bCs/>
                <w:color w:val="auto"/>
                <w:sz w:val="21"/>
                <w:szCs w:val="21"/>
                <w:highlight w:val="none"/>
              </w:rPr>
              <w:fldChar w:fldCharType="begin"/>
            </w:r>
            <w:r>
              <w:rPr>
                <w:rFonts w:ascii="Times New Roman" w:hAnsi="Times New Roman"/>
                <w:bCs/>
                <w:color w:val="auto"/>
                <w:sz w:val="21"/>
                <w:szCs w:val="21"/>
                <w:highlight w:val="none"/>
              </w:rPr>
              <w:instrText xml:space="preserve"> eq \o\ac(</w:instrText>
            </w:r>
            <w:r>
              <w:rPr>
                <w:rFonts w:ascii="Times New Roman" w:hAnsi="Times New Roman"/>
                <w:bCs/>
                <w:color w:val="auto"/>
                <w:position w:val="-4"/>
                <w:sz w:val="31"/>
                <w:szCs w:val="21"/>
                <w:highlight w:val="none"/>
              </w:rPr>
              <w:instrText xml:space="preserve">□</w:instrText>
            </w:r>
            <w:r>
              <w:rPr>
                <w:rFonts w:ascii="Times New Roman" w:hAnsi="Times New Roman"/>
                <w:bCs/>
                <w:color w:val="auto"/>
                <w:position w:val="0"/>
                <w:sz w:val="21"/>
                <w:szCs w:val="21"/>
                <w:highlight w:val="none"/>
              </w:rPr>
              <w:instrText xml:space="preserve">,√)</w:instrText>
            </w:r>
            <w:r>
              <w:rPr>
                <w:rFonts w:ascii="Times New Roman" w:hAnsi="Times New Roman"/>
                <w:bCs/>
                <w:color w:val="auto"/>
                <w:sz w:val="21"/>
                <w:szCs w:val="21"/>
                <w:highlight w:val="none"/>
              </w:rPr>
              <w:fldChar w:fldCharType="end"/>
            </w:r>
          </w:p>
        </w:tc>
        <w:tc>
          <w:tcPr>
            <w:tcW w:w="806" w:type="pct"/>
            <w:gridSpan w:val="3"/>
            <w:tcBorders>
              <w:tl2br w:val="nil"/>
              <w:tr2bl w:val="nil"/>
            </w:tcBorders>
            <w:noWrap w:val="0"/>
            <w:vAlign w:val="center"/>
          </w:tcPr>
          <w:p>
            <w:pPr>
              <w:widowControl/>
              <w:spacing w:line="260" w:lineRule="exact"/>
              <w:jc w:val="center"/>
              <w:rPr>
                <w:rFonts w:hint="eastAsia" w:ascii="Times New Roman" w:hAnsi="Times New Roman" w:eastAsia="宋体"/>
                <w:bCs/>
                <w:color w:val="auto"/>
                <w:sz w:val="21"/>
                <w:szCs w:val="21"/>
                <w:highlight w:val="none"/>
                <w:lang w:eastAsia="zh-CN"/>
              </w:rPr>
            </w:pPr>
            <w:r>
              <w:rPr>
                <w:rFonts w:ascii="Times New Roman" w:hAnsi="Times New Roman"/>
                <w:bCs/>
                <w:color w:val="auto"/>
                <w:sz w:val="21"/>
                <w:szCs w:val="21"/>
                <w:highlight w:val="none"/>
              </w:rPr>
              <w:t>地方标准</w:t>
            </w:r>
            <w:r>
              <w:rPr>
                <w:rFonts w:hint="eastAsia"/>
                <w:bCs/>
                <w:color w:val="auto"/>
                <w:sz w:val="21"/>
                <w:szCs w:val="21"/>
                <w:highlight w:val="none"/>
                <w:lang w:eastAsia="zh-CN"/>
              </w:rPr>
              <w:t>□</w:t>
            </w:r>
          </w:p>
        </w:tc>
        <w:tc>
          <w:tcPr>
            <w:tcW w:w="974" w:type="pct"/>
            <w:gridSpan w:val="2"/>
            <w:tcBorders>
              <w:tl2br w:val="nil"/>
              <w:tr2bl w:val="nil"/>
            </w:tcBorders>
            <w:noWrap w:val="0"/>
            <w:vAlign w:val="center"/>
          </w:tcPr>
          <w:p>
            <w:pPr>
              <w:widowControl/>
              <w:spacing w:line="260" w:lineRule="exact"/>
              <w:jc w:val="center"/>
              <w:rPr>
                <w:rFonts w:hint="eastAsia" w:ascii="Times New Roman" w:hAnsi="Times New Roman" w:eastAsia="宋体"/>
                <w:bCs/>
                <w:color w:val="auto"/>
                <w:sz w:val="21"/>
                <w:szCs w:val="21"/>
                <w:highlight w:val="none"/>
                <w:lang w:eastAsia="zh-CN"/>
              </w:rPr>
            </w:pPr>
            <w:r>
              <w:rPr>
                <w:rFonts w:ascii="Times New Roman" w:hAnsi="Times New Roman"/>
                <w:bCs/>
                <w:color w:val="auto"/>
                <w:sz w:val="21"/>
                <w:szCs w:val="21"/>
                <w:highlight w:val="none"/>
              </w:rPr>
              <w:t>附录D</w:t>
            </w:r>
            <w:r>
              <w:rPr>
                <w:rFonts w:hint="eastAsia"/>
                <w:bCs/>
                <w:color w:val="auto"/>
                <w:sz w:val="21"/>
                <w:szCs w:val="21"/>
                <w:highlight w:val="none"/>
                <w:lang w:eastAsia="zh-CN"/>
              </w:rPr>
              <w:t>☑</w:t>
            </w:r>
          </w:p>
        </w:tc>
        <w:tc>
          <w:tcPr>
            <w:tcW w:w="857" w:type="pct"/>
            <w:gridSpan w:val="3"/>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其他标准□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restar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现状评价</w:t>
            </w: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评价功能区</w:t>
            </w:r>
          </w:p>
        </w:tc>
        <w:tc>
          <w:tcPr>
            <w:tcW w:w="1393" w:type="pct"/>
            <w:gridSpan w:val="5"/>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一类区□</w:t>
            </w:r>
          </w:p>
        </w:tc>
        <w:tc>
          <w:tcPr>
            <w:tcW w:w="1780" w:type="pct"/>
            <w:gridSpan w:val="5"/>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二类区</w:t>
            </w:r>
            <w:r>
              <w:rPr>
                <w:rFonts w:ascii="Times New Roman" w:hAnsi="Times New Roman"/>
                <w:bCs/>
                <w:color w:val="auto"/>
                <w:sz w:val="21"/>
                <w:szCs w:val="21"/>
                <w:highlight w:val="none"/>
              </w:rPr>
              <w:fldChar w:fldCharType="begin"/>
            </w:r>
            <w:r>
              <w:rPr>
                <w:rFonts w:ascii="Times New Roman" w:hAnsi="Times New Roman"/>
                <w:bCs/>
                <w:color w:val="auto"/>
                <w:sz w:val="21"/>
                <w:szCs w:val="21"/>
                <w:highlight w:val="none"/>
              </w:rPr>
              <w:instrText xml:space="preserve"> eq \o\ac(</w:instrText>
            </w:r>
            <w:r>
              <w:rPr>
                <w:rFonts w:ascii="Times New Roman" w:hAnsi="Times New Roman"/>
                <w:bCs/>
                <w:color w:val="auto"/>
                <w:position w:val="-4"/>
                <w:sz w:val="31"/>
                <w:szCs w:val="21"/>
                <w:highlight w:val="none"/>
              </w:rPr>
              <w:instrText xml:space="preserve">□</w:instrText>
            </w:r>
            <w:r>
              <w:rPr>
                <w:rFonts w:ascii="Times New Roman" w:hAnsi="Times New Roman"/>
                <w:bCs/>
                <w:color w:val="auto"/>
                <w:position w:val="0"/>
                <w:sz w:val="21"/>
                <w:szCs w:val="21"/>
                <w:highlight w:val="none"/>
              </w:rPr>
              <w:instrText xml:space="preserve">,√)</w:instrText>
            </w:r>
            <w:r>
              <w:rPr>
                <w:rFonts w:ascii="Times New Roman" w:hAnsi="Times New Roman"/>
                <w:bCs/>
                <w:color w:val="auto"/>
                <w:sz w:val="21"/>
                <w:szCs w:val="21"/>
                <w:highlight w:val="none"/>
              </w:rPr>
              <w:fldChar w:fldCharType="end"/>
            </w:r>
          </w:p>
        </w:tc>
        <w:tc>
          <w:tcPr>
            <w:tcW w:w="857"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一类区和二类区□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评价基准年</w:t>
            </w:r>
          </w:p>
        </w:tc>
        <w:tc>
          <w:tcPr>
            <w:tcW w:w="4031" w:type="pct"/>
            <w:gridSpan w:val="13"/>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(2018)年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环境空气质量现状调查数据来源</w:t>
            </w:r>
          </w:p>
        </w:tc>
        <w:tc>
          <w:tcPr>
            <w:tcW w:w="1393" w:type="pct"/>
            <w:gridSpan w:val="5"/>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长期例行监测标准□</w:t>
            </w:r>
          </w:p>
        </w:tc>
        <w:tc>
          <w:tcPr>
            <w:tcW w:w="1780" w:type="pct"/>
            <w:gridSpan w:val="5"/>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主管部门发布的数据标准</w:t>
            </w:r>
            <w:r>
              <w:rPr>
                <w:rFonts w:ascii="Times New Roman" w:hAnsi="Times New Roman"/>
                <w:bCs/>
                <w:color w:val="auto"/>
                <w:sz w:val="21"/>
                <w:szCs w:val="21"/>
                <w:highlight w:val="none"/>
              </w:rPr>
              <w:fldChar w:fldCharType="begin"/>
            </w:r>
            <w:r>
              <w:rPr>
                <w:rFonts w:ascii="Times New Roman" w:hAnsi="Times New Roman"/>
                <w:bCs/>
                <w:color w:val="auto"/>
                <w:sz w:val="21"/>
                <w:szCs w:val="21"/>
                <w:highlight w:val="none"/>
              </w:rPr>
              <w:instrText xml:space="preserve"> eq \o\ac(</w:instrText>
            </w:r>
            <w:r>
              <w:rPr>
                <w:rFonts w:ascii="Times New Roman" w:hAnsi="Times New Roman"/>
                <w:bCs/>
                <w:color w:val="auto"/>
                <w:position w:val="-4"/>
                <w:sz w:val="31"/>
                <w:szCs w:val="21"/>
                <w:highlight w:val="none"/>
              </w:rPr>
              <w:instrText xml:space="preserve">□</w:instrText>
            </w:r>
            <w:r>
              <w:rPr>
                <w:rFonts w:ascii="Times New Roman" w:hAnsi="Times New Roman"/>
                <w:bCs/>
                <w:color w:val="auto"/>
                <w:position w:val="0"/>
                <w:sz w:val="21"/>
                <w:szCs w:val="21"/>
                <w:highlight w:val="none"/>
              </w:rPr>
              <w:instrText xml:space="preserve">,√)</w:instrText>
            </w:r>
            <w:r>
              <w:rPr>
                <w:rFonts w:ascii="Times New Roman" w:hAnsi="Times New Roman"/>
                <w:bCs/>
                <w:color w:val="auto"/>
                <w:sz w:val="21"/>
                <w:szCs w:val="21"/>
                <w:highlight w:val="none"/>
              </w:rPr>
              <w:fldChar w:fldCharType="end"/>
            </w:r>
          </w:p>
        </w:tc>
        <w:tc>
          <w:tcPr>
            <w:tcW w:w="857" w:type="pct"/>
            <w:gridSpan w:val="3"/>
            <w:tcBorders>
              <w:tl2br w:val="nil"/>
              <w:tr2bl w:val="nil"/>
            </w:tcBorders>
            <w:noWrap w:val="0"/>
            <w:vAlign w:val="center"/>
          </w:tcPr>
          <w:p>
            <w:pPr>
              <w:widowControl/>
              <w:spacing w:line="260" w:lineRule="exact"/>
              <w:ind w:left="0" w:leftChars="0" w:firstLine="0" w:firstLineChars="0"/>
              <w:jc w:val="center"/>
              <w:rPr>
                <w:rFonts w:hint="eastAsia" w:ascii="Times New Roman" w:hAnsi="Times New Roman" w:eastAsia="宋体"/>
                <w:bCs/>
                <w:color w:val="auto"/>
                <w:sz w:val="21"/>
                <w:szCs w:val="21"/>
                <w:highlight w:val="none"/>
                <w:lang w:eastAsia="zh-CN"/>
              </w:rPr>
            </w:pPr>
            <w:r>
              <w:rPr>
                <w:rFonts w:ascii="Times New Roman" w:hAnsi="Times New Roman"/>
                <w:bCs/>
                <w:color w:val="auto"/>
                <w:sz w:val="21"/>
                <w:szCs w:val="21"/>
                <w:highlight w:val="none"/>
              </w:rPr>
              <w:t>现状补充标准</w:t>
            </w:r>
            <w:r>
              <w:rPr>
                <w:rFonts w:ascii="Times New Roman" w:hAnsi="Times New Roman"/>
                <w:bCs/>
                <w:color w:val="auto"/>
                <w:sz w:val="21"/>
                <w:szCs w:val="21"/>
                <w:highlight w:val="none"/>
              </w:rPr>
              <w:fldChar w:fldCharType="begin"/>
            </w:r>
            <w:r>
              <w:rPr>
                <w:rFonts w:ascii="Times New Roman" w:hAnsi="Times New Roman"/>
                <w:bCs/>
                <w:color w:val="auto"/>
                <w:sz w:val="21"/>
                <w:szCs w:val="21"/>
                <w:highlight w:val="none"/>
              </w:rPr>
              <w:instrText xml:space="preserve"> eq \o\ac(</w:instrText>
            </w:r>
            <w:r>
              <w:rPr>
                <w:rFonts w:ascii="Times New Roman" w:hAnsi="Times New Roman"/>
                <w:bCs/>
                <w:color w:val="auto"/>
                <w:position w:val="-4"/>
                <w:sz w:val="31"/>
                <w:szCs w:val="21"/>
                <w:highlight w:val="none"/>
              </w:rPr>
              <w:instrText xml:space="preserve">□</w:instrText>
            </w:r>
            <w:r>
              <w:rPr>
                <w:rFonts w:ascii="Times New Roman" w:hAnsi="Times New Roman"/>
                <w:bCs/>
                <w:color w:val="auto"/>
                <w:position w:val="0"/>
                <w:sz w:val="21"/>
                <w:szCs w:val="21"/>
                <w:highlight w:val="none"/>
              </w:rPr>
              <w:instrText xml:space="preserve">,√)</w:instrText>
            </w:r>
            <w:r>
              <w:rPr>
                <w:rFonts w:ascii="Times New Roman" w:hAnsi="Times New Roman"/>
                <w:bCs/>
                <w:color w:val="auto"/>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现状评价</w:t>
            </w:r>
          </w:p>
        </w:tc>
        <w:tc>
          <w:tcPr>
            <w:tcW w:w="2199" w:type="pct"/>
            <w:gridSpan w:val="8"/>
            <w:tcBorders>
              <w:tl2br w:val="nil"/>
              <w:tr2bl w:val="nil"/>
            </w:tcBorders>
            <w:noWrap w:val="0"/>
            <w:vAlign w:val="center"/>
          </w:tcPr>
          <w:p>
            <w:pPr>
              <w:widowControl/>
              <w:spacing w:line="260" w:lineRule="exact"/>
              <w:jc w:val="center"/>
              <w:rPr>
                <w:rFonts w:hint="eastAsia" w:ascii="Times New Roman" w:hAnsi="Times New Roman" w:eastAsia="宋体"/>
                <w:bCs/>
                <w:color w:val="auto"/>
                <w:sz w:val="21"/>
                <w:szCs w:val="21"/>
                <w:highlight w:val="none"/>
                <w:lang w:eastAsia="zh-CN"/>
              </w:rPr>
            </w:pPr>
            <w:r>
              <w:rPr>
                <w:rFonts w:ascii="Times New Roman" w:hAnsi="Times New Roman"/>
                <w:bCs/>
                <w:color w:val="auto"/>
                <w:sz w:val="21"/>
                <w:szCs w:val="21"/>
                <w:highlight w:val="none"/>
              </w:rPr>
              <w:t>达标区</w:t>
            </w:r>
            <w:r>
              <w:rPr>
                <w:rFonts w:ascii="Times New Roman" w:hAnsi="Times New Roman"/>
                <w:bCs/>
                <w:color w:val="auto"/>
                <w:sz w:val="21"/>
                <w:szCs w:val="21"/>
                <w:highlight w:val="none"/>
              </w:rPr>
              <w:fldChar w:fldCharType="begin"/>
            </w:r>
            <w:r>
              <w:rPr>
                <w:rFonts w:ascii="Times New Roman" w:hAnsi="Times New Roman"/>
                <w:bCs/>
                <w:color w:val="auto"/>
                <w:sz w:val="21"/>
                <w:szCs w:val="21"/>
                <w:highlight w:val="none"/>
              </w:rPr>
              <w:instrText xml:space="preserve"> eq \o\ac(</w:instrText>
            </w:r>
            <w:r>
              <w:rPr>
                <w:rFonts w:ascii="Times New Roman" w:hAnsi="Times New Roman"/>
                <w:bCs/>
                <w:color w:val="auto"/>
                <w:position w:val="-4"/>
                <w:sz w:val="31"/>
                <w:szCs w:val="21"/>
                <w:highlight w:val="none"/>
              </w:rPr>
              <w:instrText xml:space="preserve">□</w:instrText>
            </w:r>
            <w:r>
              <w:rPr>
                <w:rFonts w:ascii="Times New Roman" w:hAnsi="Times New Roman"/>
                <w:bCs/>
                <w:color w:val="auto"/>
                <w:position w:val="0"/>
                <w:sz w:val="21"/>
                <w:szCs w:val="21"/>
                <w:highlight w:val="none"/>
              </w:rPr>
              <w:instrText xml:space="preserve">)</w:instrText>
            </w:r>
            <w:r>
              <w:rPr>
                <w:rFonts w:ascii="Times New Roman" w:hAnsi="Times New Roman"/>
                <w:bCs/>
                <w:color w:val="auto"/>
                <w:sz w:val="21"/>
                <w:szCs w:val="21"/>
                <w:highlight w:val="none"/>
              </w:rPr>
              <w:fldChar w:fldCharType="end"/>
            </w:r>
          </w:p>
        </w:tc>
        <w:tc>
          <w:tcPr>
            <w:tcW w:w="1832" w:type="pct"/>
            <w:gridSpan w:val="5"/>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不达标区</w:t>
            </w:r>
            <w:r>
              <w:rPr>
                <w:rFonts w:ascii="Times New Roman" w:hAnsi="Times New Roman"/>
                <w:bCs/>
                <w:color w:val="auto"/>
                <w:sz w:val="21"/>
                <w:szCs w:val="21"/>
                <w:highlight w:val="none"/>
              </w:rPr>
              <w:fldChar w:fldCharType="begin"/>
            </w:r>
            <w:r>
              <w:rPr>
                <w:rFonts w:ascii="Times New Roman" w:hAnsi="Times New Roman"/>
                <w:bCs/>
                <w:color w:val="auto"/>
                <w:sz w:val="21"/>
                <w:szCs w:val="21"/>
                <w:highlight w:val="none"/>
              </w:rPr>
              <w:instrText xml:space="preserve"> eq \o\ac(</w:instrText>
            </w:r>
            <w:r>
              <w:rPr>
                <w:rFonts w:ascii="Times New Roman" w:hAnsi="Times New Roman"/>
                <w:bCs/>
                <w:color w:val="auto"/>
                <w:position w:val="-4"/>
                <w:sz w:val="31"/>
                <w:szCs w:val="21"/>
                <w:highlight w:val="none"/>
              </w:rPr>
              <w:instrText xml:space="preserve">□</w:instrText>
            </w:r>
            <w:r>
              <w:rPr>
                <w:rFonts w:hint="eastAsia"/>
                <w:bCs/>
                <w:color w:val="auto"/>
                <w:position w:val="-4"/>
                <w:sz w:val="31"/>
                <w:szCs w:val="21"/>
                <w:highlight w:val="none"/>
                <w:lang w:eastAsia="zh-CN"/>
              </w:rPr>
              <w:instrText xml:space="preserve">,</w:instrText>
            </w:r>
            <w:r>
              <w:rPr>
                <w:rFonts w:hint="eastAsia"/>
                <w:bCs/>
                <w:color w:val="auto"/>
                <w:position w:val="0"/>
                <w:sz w:val="21"/>
                <w:szCs w:val="21"/>
                <w:highlight w:val="none"/>
                <w:lang w:eastAsia="zh-CN"/>
              </w:rPr>
              <w:instrText xml:space="preserve">√</w:instrText>
            </w:r>
            <w:r>
              <w:rPr>
                <w:rFonts w:ascii="Times New Roman" w:hAnsi="Times New Roman"/>
                <w:bCs/>
                <w:color w:val="auto"/>
                <w:position w:val="0"/>
                <w:sz w:val="21"/>
                <w:szCs w:val="21"/>
                <w:highlight w:val="none"/>
              </w:rPr>
              <w:instrText xml:space="preserve">)</w:instrText>
            </w:r>
            <w:r>
              <w:rPr>
                <w:rFonts w:ascii="Times New Roman" w:hAnsi="Times New Roman"/>
                <w:bCs/>
                <w:color w:val="auto"/>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污染源调查</w:t>
            </w: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调查内容</w:t>
            </w:r>
          </w:p>
        </w:tc>
        <w:tc>
          <w:tcPr>
            <w:tcW w:w="1393" w:type="pct"/>
            <w:gridSpan w:val="5"/>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本项目正常排放源</w:t>
            </w:r>
            <w:r>
              <w:rPr>
                <w:rFonts w:ascii="Times New Roman" w:hAnsi="Times New Roman"/>
                <w:bCs/>
                <w:color w:val="auto"/>
                <w:sz w:val="21"/>
                <w:szCs w:val="21"/>
                <w:highlight w:val="none"/>
              </w:rPr>
              <w:fldChar w:fldCharType="begin"/>
            </w:r>
            <w:r>
              <w:rPr>
                <w:rFonts w:ascii="Times New Roman" w:hAnsi="Times New Roman"/>
                <w:bCs/>
                <w:color w:val="auto"/>
                <w:sz w:val="21"/>
                <w:szCs w:val="21"/>
                <w:highlight w:val="none"/>
              </w:rPr>
              <w:instrText xml:space="preserve"> eq \o\ac(</w:instrText>
            </w:r>
            <w:r>
              <w:rPr>
                <w:rFonts w:ascii="Times New Roman" w:hAnsi="Times New Roman"/>
                <w:bCs/>
                <w:color w:val="auto"/>
                <w:position w:val="-4"/>
                <w:sz w:val="31"/>
                <w:szCs w:val="21"/>
                <w:highlight w:val="none"/>
              </w:rPr>
              <w:instrText xml:space="preserve">□</w:instrText>
            </w:r>
            <w:r>
              <w:rPr>
                <w:rFonts w:ascii="Times New Roman" w:hAnsi="Times New Roman"/>
                <w:bCs/>
                <w:color w:val="auto"/>
                <w:position w:val="0"/>
                <w:sz w:val="21"/>
                <w:szCs w:val="21"/>
                <w:highlight w:val="none"/>
              </w:rPr>
              <w:instrText xml:space="preserve">,√)</w:instrText>
            </w:r>
            <w:r>
              <w:rPr>
                <w:rFonts w:ascii="Times New Roman" w:hAnsi="Times New Roman"/>
                <w:bCs/>
                <w:color w:val="auto"/>
                <w:sz w:val="21"/>
                <w:szCs w:val="21"/>
                <w:highlight w:val="none"/>
              </w:rPr>
              <w:fldChar w:fldCharType="end"/>
            </w:r>
          </w:p>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本项目非正常排放源□</w:t>
            </w:r>
          </w:p>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现有污染源□</w:t>
            </w:r>
          </w:p>
        </w:tc>
        <w:tc>
          <w:tcPr>
            <w:tcW w:w="806"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拟替代的污染源□</w:t>
            </w:r>
          </w:p>
        </w:tc>
        <w:tc>
          <w:tcPr>
            <w:tcW w:w="974" w:type="pct"/>
            <w:gridSpan w:val="2"/>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其他在建、拟建项目污染源□</w:t>
            </w:r>
          </w:p>
        </w:tc>
        <w:tc>
          <w:tcPr>
            <w:tcW w:w="857"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区域污染源□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restar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大气环境影响预测与评价</w:t>
            </w: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预测模型</w:t>
            </w:r>
          </w:p>
        </w:tc>
        <w:tc>
          <w:tcPr>
            <w:tcW w:w="410"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AERMOD□</w:t>
            </w:r>
          </w:p>
        </w:tc>
        <w:tc>
          <w:tcPr>
            <w:tcW w:w="503" w:type="pct"/>
            <w:gridSpan w:val="2"/>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ADMS□</w:t>
            </w:r>
          </w:p>
        </w:tc>
        <w:tc>
          <w:tcPr>
            <w:tcW w:w="895"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AUSTAL2000□</w:t>
            </w:r>
          </w:p>
        </w:tc>
        <w:tc>
          <w:tcPr>
            <w:tcW w:w="843"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EDMS/AEDT□</w:t>
            </w:r>
          </w:p>
        </w:tc>
        <w:tc>
          <w:tcPr>
            <w:tcW w:w="673" w:type="pct"/>
            <w:gridSpan w:val="2"/>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CALPUFF□</w:t>
            </w:r>
          </w:p>
        </w:tc>
        <w:tc>
          <w:tcPr>
            <w:tcW w:w="428"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网格模型□</w:t>
            </w:r>
          </w:p>
        </w:tc>
        <w:tc>
          <w:tcPr>
            <w:tcW w:w="2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其他</w:t>
            </w:r>
            <w:r>
              <w:rPr>
                <w:rFonts w:ascii="Times New Roman" w:hAnsi="Times New Roman"/>
                <w:bCs/>
                <w:color w:val="auto"/>
                <w:sz w:val="21"/>
                <w:szCs w:val="21"/>
                <w:highlight w:val="none"/>
              </w:rPr>
              <w:fldChar w:fldCharType="begin"/>
            </w:r>
            <w:r>
              <w:rPr>
                <w:rFonts w:ascii="Times New Roman" w:hAnsi="Times New Roman"/>
                <w:bCs/>
                <w:color w:val="auto"/>
                <w:sz w:val="21"/>
                <w:szCs w:val="21"/>
                <w:highlight w:val="none"/>
              </w:rPr>
              <w:instrText xml:space="preserve"> eq \o\ac(</w:instrText>
            </w:r>
            <w:r>
              <w:rPr>
                <w:rFonts w:ascii="Times New Roman" w:hAnsi="Times New Roman"/>
                <w:bCs/>
                <w:color w:val="auto"/>
                <w:position w:val="-4"/>
                <w:sz w:val="31"/>
                <w:szCs w:val="21"/>
                <w:highlight w:val="none"/>
              </w:rPr>
              <w:instrText xml:space="preserve">□</w:instrText>
            </w:r>
            <w:r>
              <w:rPr>
                <w:rFonts w:ascii="Times New Roman" w:hAnsi="Times New Roman"/>
                <w:bCs/>
                <w:color w:val="auto"/>
                <w:position w:val="0"/>
                <w:sz w:val="21"/>
                <w:szCs w:val="21"/>
                <w:highlight w:val="none"/>
              </w:rPr>
              <w:instrText xml:space="preserve">,√)</w:instrText>
            </w:r>
            <w:r>
              <w:rPr>
                <w:rFonts w:ascii="Times New Roman" w:hAnsi="Times New Roman"/>
                <w:bCs/>
                <w:color w:val="auto"/>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预测范围</w:t>
            </w:r>
          </w:p>
        </w:tc>
        <w:tc>
          <w:tcPr>
            <w:tcW w:w="1808" w:type="pct"/>
            <w:gridSpan w:val="6"/>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边长≥50km□</w:t>
            </w:r>
          </w:p>
        </w:tc>
        <w:tc>
          <w:tcPr>
            <w:tcW w:w="1517" w:type="pct"/>
            <w:gridSpan w:val="5"/>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边长5~50km□</w:t>
            </w:r>
          </w:p>
        </w:tc>
        <w:tc>
          <w:tcPr>
            <w:tcW w:w="706" w:type="pct"/>
            <w:gridSpan w:val="2"/>
            <w:tcBorders>
              <w:tl2br w:val="nil"/>
              <w:tr2bl w:val="nil"/>
            </w:tcBorders>
            <w:noWrap w:val="0"/>
            <w:vAlign w:val="center"/>
          </w:tcPr>
          <w:p>
            <w:pPr>
              <w:widowControl/>
              <w:spacing w:line="260" w:lineRule="exact"/>
              <w:ind w:left="0" w:leftChars="0" w:firstLine="0" w:firstLineChars="0"/>
              <w:jc w:val="both"/>
              <w:rPr>
                <w:rFonts w:hint="eastAsia" w:ascii="Times New Roman" w:hAnsi="Times New Roman" w:eastAsia="宋体"/>
                <w:bCs/>
                <w:color w:val="auto"/>
                <w:sz w:val="21"/>
                <w:szCs w:val="21"/>
                <w:highlight w:val="none"/>
                <w:lang w:eastAsia="zh-CN"/>
              </w:rPr>
            </w:pPr>
            <w:r>
              <w:rPr>
                <w:rFonts w:ascii="Times New Roman" w:hAnsi="Times New Roman"/>
                <w:bCs/>
                <w:color w:val="auto"/>
                <w:sz w:val="21"/>
                <w:szCs w:val="21"/>
                <w:highlight w:val="none"/>
              </w:rPr>
              <w:t>边长=5km</w:t>
            </w:r>
            <w:r>
              <w:rPr>
                <w:rFonts w:ascii="Times New Roman" w:hAnsi="Times New Roman"/>
                <w:bCs/>
                <w:color w:val="auto"/>
                <w:sz w:val="21"/>
                <w:szCs w:val="21"/>
                <w:highlight w:val="none"/>
              </w:rPr>
              <w:fldChar w:fldCharType="begin"/>
            </w:r>
            <w:r>
              <w:rPr>
                <w:rFonts w:ascii="Times New Roman" w:hAnsi="Times New Roman"/>
                <w:bCs/>
                <w:color w:val="auto"/>
                <w:sz w:val="21"/>
                <w:szCs w:val="21"/>
                <w:highlight w:val="none"/>
              </w:rPr>
              <w:instrText xml:space="preserve"> eq \o\ac(</w:instrText>
            </w:r>
            <w:r>
              <w:rPr>
                <w:rFonts w:ascii="Times New Roman" w:hAnsi="Times New Roman"/>
                <w:bCs/>
                <w:color w:val="auto"/>
                <w:position w:val="-4"/>
                <w:sz w:val="31"/>
                <w:szCs w:val="21"/>
                <w:highlight w:val="none"/>
              </w:rPr>
              <w:instrText xml:space="preserve">□</w:instrText>
            </w:r>
            <w:r>
              <w:rPr>
                <w:rFonts w:ascii="Times New Roman" w:hAnsi="Times New Roman"/>
                <w:bCs/>
                <w:color w:val="auto"/>
                <w:position w:val="0"/>
                <w:sz w:val="21"/>
                <w:szCs w:val="21"/>
                <w:highlight w:val="none"/>
              </w:rPr>
              <w:instrText xml:space="preserve">,√)</w:instrText>
            </w:r>
            <w:r>
              <w:rPr>
                <w:rFonts w:ascii="Times New Roman" w:hAnsi="Times New Roman"/>
                <w:bCs/>
                <w:color w:val="auto"/>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预测因子</w:t>
            </w:r>
          </w:p>
        </w:tc>
        <w:tc>
          <w:tcPr>
            <w:tcW w:w="2652" w:type="pct"/>
            <w:gridSpan w:val="9"/>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预测因子(H</w:t>
            </w:r>
            <w:r>
              <w:rPr>
                <w:rFonts w:ascii="Times New Roman" w:hAnsi="Times New Roman"/>
                <w:bCs/>
                <w:color w:val="auto"/>
                <w:sz w:val="21"/>
                <w:szCs w:val="21"/>
                <w:highlight w:val="none"/>
                <w:vertAlign w:val="subscript"/>
              </w:rPr>
              <w:t>2</w:t>
            </w:r>
            <w:r>
              <w:rPr>
                <w:rFonts w:ascii="Times New Roman" w:hAnsi="Times New Roman"/>
                <w:bCs/>
                <w:color w:val="auto"/>
                <w:sz w:val="21"/>
                <w:szCs w:val="21"/>
                <w:highlight w:val="none"/>
              </w:rPr>
              <w:t>S、NH</w:t>
            </w:r>
            <w:r>
              <w:rPr>
                <w:rFonts w:ascii="Times New Roman" w:hAnsi="Times New Roman"/>
                <w:bCs/>
                <w:color w:val="auto"/>
                <w:sz w:val="21"/>
                <w:szCs w:val="21"/>
                <w:highlight w:val="none"/>
                <w:vertAlign w:val="subscript"/>
              </w:rPr>
              <w:t>3</w:t>
            </w:r>
            <w:r>
              <w:rPr>
                <w:rFonts w:hint="eastAsia"/>
                <w:bCs/>
                <w:color w:val="auto"/>
                <w:sz w:val="21"/>
                <w:szCs w:val="21"/>
                <w:highlight w:val="none"/>
                <w:vertAlign w:val="baseline"/>
                <w:lang w:eastAsia="zh-CN"/>
              </w:rPr>
              <w:t>、</w:t>
            </w:r>
            <w:r>
              <w:rPr>
                <w:rFonts w:hint="eastAsia" w:ascii="Times New Roman" w:hAnsi="Times New Roman"/>
                <w:bCs/>
                <w:color w:val="auto"/>
                <w:sz w:val="21"/>
                <w:szCs w:val="21"/>
                <w:highlight w:val="none"/>
                <w:lang w:val="en-US" w:eastAsia="zh-CN"/>
              </w:rPr>
              <w:t>PM</w:t>
            </w:r>
            <w:r>
              <w:rPr>
                <w:rFonts w:hint="eastAsia" w:ascii="Times New Roman" w:hAnsi="Times New Roman"/>
                <w:bCs/>
                <w:color w:val="auto"/>
                <w:sz w:val="21"/>
                <w:szCs w:val="21"/>
                <w:highlight w:val="none"/>
                <w:vertAlign w:val="subscript"/>
                <w:lang w:val="en-US" w:eastAsia="zh-CN"/>
              </w:rPr>
              <w:t>10</w:t>
            </w:r>
            <w:r>
              <w:rPr>
                <w:rFonts w:hint="eastAsia"/>
                <w:bCs/>
                <w:color w:val="auto"/>
                <w:sz w:val="21"/>
                <w:szCs w:val="21"/>
                <w:highlight w:val="none"/>
                <w:vertAlign w:val="baseline"/>
                <w:lang w:val="en-US" w:eastAsia="zh-CN"/>
              </w:rPr>
              <w:t>、</w:t>
            </w:r>
            <w:r>
              <w:rPr>
                <w:rFonts w:ascii="Times New Roman" w:hAnsi="Times New Roman"/>
                <w:bCs/>
                <w:color w:val="auto"/>
                <w:sz w:val="21"/>
                <w:szCs w:val="21"/>
                <w:highlight w:val="none"/>
              </w:rPr>
              <w:t>SO</w:t>
            </w:r>
            <w:r>
              <w:rPr>
                <w:rFonts w:ascii="Times New Roman" w:hAnsi="Times New Roman"/>
                <w:bCs/>
                <w:color w:val="auto"/>
                <w:sz w:val="21"/>
                <w:szCs w:val="21"/>
                <w:highlight w:val="none"/>
                <w:vertAlign w:val="subscript"/>
              </w:rPr>
              <w:t>2</w:t>
            </w:r>
            <w:r>
              <w:rPr>
                <w:rFonts w:ascii="Times New Roman" w:hAnsi="Times New Roman"/>
                <w:bCs/>
                <w:color w:val="auto"/>
                <w:sz w:val="21"/>
                <w:szCs w:val="21"/>
                <w:highlight w:val="none"/>
              </w:rPr>
              <w:t>、NO</w:t>
            </w:r>
            <w:r>
              <w:rPr>
                <w:rFonts w:ascii="Times New Roman" w:hAnsi="Times New Roman"/>
                <w:bCs/>
                <w:color w:val="auto"/>
                <w:sz w:val="21"/>
                <w:szCs w:val="21"/>
                <w:highlight w:val="none"/>
                <w:vertAlign w:val="subscript"/>
              </w:rPr>
              <w:t>X</w:t>
            </w:r>
            <w:r>
              <w:rPr>
                <w:rFonts w:ascii="Times New Roman" w:hAnsi="Times New Roman"/>
                <w:bCs/>
                <w:color w:val="auto"/>
                <w:sz w:val="21"/>
                <w:szCs w:val="21"/>
                <w:highlight w:val="none"/>
              </w:rPr>
              <w:t xml:space="preserve">  )</w:t>
            </w:r>
          </w:p>
        </w:tc>
        <w:tc>
          <w:tcPr>
            <w:tcW w:w="1379" w:type="pct"/>
            <w:gridSpan w:val="4"/>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包括二次PM</w:t>
            </w:r>
            <w:r>
              <w:rPr>
                <w:rFonts w:ascii="Times New Roman" w:hAnsi="Times New Roman"/>
                <w:bCs/>
                <w:color w:val="auto"/>
                <w:sz w:val="21"/>
                <w:szCs w:val="21"/>
                <w:highlight w:val="none"/>
                <w:vertAlign w:val="subscript"/>
              </w:rPr>
              <w:t>2.5</w:t>
            </w:r>
            <w:r>
              <w:rPr>
                <w:rFonts w:ascii="Times New Roman" w:hAnsi="Times New Roman"/>
                <w:bCs/>
                <w:color w:val="auto"/>
                <w:sz w:val="21"/>
                <w:szCs w:val="21"/>
                <w:highlight w:val="none"/>
              </w:rPr>
              <w:t>□</w:t>
            </w:r>
            <w:r>
              <w:rPr>
                <w:rFonts w:ascii="Times New Roman" w:hAnsi="Times New Roman"/>
                <w:bCs/>
                <w:color w:val="auto"/>
                <w:sz w:val="21"/>
                <w:szCs w:val="21"/>
                <w:highlight w:val="none"/>
              </w:rPr>
              <w:br w:type="textWrapping"/>
            </w:r>
            <w:r>
              <w:rPr>
                <w:rFonts w:ascii="Times New Roman" w:hAnsi="Times New Roman"/>
                <w:bCs/>
                <w:color w:val="auto"/>
                <w:sz w:val="21"/>
                <w:szCs w:val="21"/>
                <w:highlight w:val="none"/>
              </w:rPr>
              <w:t>不包括二次PM</w:t>
            </w:r>
            <w:r>
              <w:rPr>
                <w:rFonts w:ascii="Times New Roman" w:hAnsi="Times New Roman"/>
                <w:bCs/>
                <w:color w:val="auto"/>
                <w:sz w:val="21"/>
                <w:szCs w:val="21"/>
                <w:highlight w:val="none"/>
                <w:vertAlign w:val="subscript"/>
              </w:rPr>
              <w:t>2.5</w:t>
            </w:r>
            <w:r>
              <w:rPr>
                <w:rFonts w:ascii="Times New Roman" w:hAnsi="Times New Roman"/>
                <w:bCs/>
                <w:color w:val="auto"/>
                <w:sz w:val="21"/>
                <w:szCs w:val="21"/>
                <w:highlight w:val="none"/>
              </w:rPr>
              <w:fldChar w:fldCharType="begin"/>
            </w:r>
            <w:r>
              <w:rPr>
                <w:rFonts w:ascii="Times New Roman" w:hAnsi="Times New Roman"/>
                <w:bCs/>
                <w:color w:val="auto"/>
                <w:sz w:val="21"/>
                <w:szCs w:val="21"/>
                <w:highlight w:val="none"/>
              </w:rPr>
              <w:instrText xml:space="preserve"> eq \o\ac(</w:instrText>
            </w:r>
            <w:r>
              <w:rPr>
                <w:rFonts w:ascii="Times New Roman" w:hAnsi="Times New Roman"/>
                <w:bCs/>
                <w:color w:val="auto"/>
                <w:position w:val="-4"/>
                <w:sz w:val="31"/>
                <w:szCs w:val="21"/>
                <w:highlight w:val="none"/>
              </w:rPr>
              <w:instrText xml:space="preserve">□</w:instrText>
            </w:r>
            <w:r>
              <w:rPr>
                <w:rFonts w:ascii="Times New Roman" w:hAnsi="Times New Roman"/>
                <w:bCs/>
                <w:color w:val="auto"/>
                <w:position w:val="0"/>
                <w:sz w:val="21"/>
                <w:szCs w:val="21"/>
                <w:highlight w:val="none"/>
              </w:rPr>
              <w:instrText xml:space="preserve">,√)</w:instrText>
            </w:r>
            <w:r>
              <w:rPr>
                <w:rFonts w:ascii="Times New Roman" w:hAnsi="Times New Roman"/>
                <w:bCs/>
                <w:color w:val="auto"/>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正常排放短期浓度贡献值</w:t>
            </w:r>
          </w:p>
        </w:tc>
        <w:tc>
          <w:tcPr>
            <w:tcW w:w="2652" w:type="pct"/>
            <w:gridSpan w:val="9"/>
            <w:tcBorders>
              <w:tl2br w:val="nil"/>
              <w:tr2bl w:val="nil"/>
            </w:tcBorders>
            <w:noWrap w:val="0"/>
            <w:vAlign w:val="center"/>
          </w:tcPr>
          <w:p>
            <w:pPr>
              <w:widowControl/>
              <w:spacing w:line="260" w:lineRule="exact"/>
              <w:jc w:val="center"/>
              <w:rPr>
                <w:rFonts w:hint="eastAsia" w:ascii="Times New Roman" w:hAnsi="Times New Roman" w:eastAsia="宋体"/>
                <w:bCs/>
                <w:color w:val="auto"/>
                <w:sz w:val="21"/>
                <w:szCs w:val="21"/>
                <w:highlight w:val="none"/>
                <w:lang w:eastAsia="zh-CN"/>
              </w:rPr>
            </w:pPr>
            <w:r>
              <w:rPr>
                <w:rFonts w:ascii="Times New Roman" w:hAnsi="Times New Roman"/>
                <w:bCs/>
                <w:color w:val="auto"/>
                <w:sz w:val="21"/>
                <w:szCs w:val="21"/>
                <w:highlight w:val="none"/>
              </w:rPr>
              <w:t>C本项目最大占标率≤100%</w:t>
            </w:r>
            <w:r>
              <w:rPr>
                <w:rFonts w:ascii="Times New Roman" w:hAnsi="Times New Roman"/>
                <w:bCs/>
                <w:color w:val="auto"/>
                <w:sz w:val="21"/>
                <w:szCs w:val="21"/>
                <w:highlight w:val="none"/>
              </w:rPr>
              <w:fldChar w:fldCharType="begin"/>
            </w:r>
            <w:r>
              <w:rPr>
                <w:rFonts w:ascii="Times New Roman" w:hAnsi="Times New Roman"/>
                <w:bCs/>
                <w:color w:val="auto"/>
                <w:sz w:val="21"/>
                <w:szCs w:val="21"/>
                <w:highlight w:val="none"/>
              </w:rPr>
              <w:instrText xml:space="preserve"> eq \o\ac(</w:instrText>
            </w:r>
            <w:r>
              <w:rPr>
                <w:rFonts w:ascii="Times New Roman" w:hAnsi="Times New Roman"/>
                <w:bCs/>
                <w:color w:val="auto"/>
                <w:position w:val="-4"/>
                <w:sz w:val="31"/>
                <w:szCs w:val="21"/>
                <w:highlight w:val="none"/>
              </w:rPr>
              <w:instrText xml:space="preserve">□</w:instrText>
            </w:r>
            <w:r>
              <w:rPr>
                <w:rFonts w:ascii="Times New Roman" w:hAnsi="Times New Roman"/>
                <w:bCs/>
                <w:color w:val="auto"/>
                <w:position w:val="0"/>
                <w:sz w:val="21"/>
                <w:szCs w:val="21"/>
                <w:highlight w:val="none"/>
              </w:rPr>
              <w:instrText xml:space="preserve">,√)</w:instrText>
            </w:r>
            <w:r>
              <w:rPr>
                <w:rFonts w:ascii="Times New Roman" w:hAnsi="Times New Roman"/>
                <w:bCs/>
                <w:color w:val="auto"/>
                <w:sz w:val="21"/>
                <w:szCs w:val="21"/>
                <w:highlight w:val="none"/>
              </w:rPr>
              <w:fldChar w:fldCharType="end"/>
            </w:r>
          </w:p>
        </w:tc>
        <w:tc>
          <w:tcPr>
            <w:tcW w:w="1379" w:type="pct"/>
            <w:gridSpan w:val="4"/>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C本项目最大占标率&gt;100%□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p>
        </w:tc>
        <w:tc>
          <w:tcPr>
            <w:tcW w:w="677" w:type="pct"/>
            <w:vMerge w:val="restar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正常排放年均浓度贡献值</w:t>
            </w:r>
          </w:p>
        </w:tc>
        <w:tc>
          <w:tcPr>
            <w:tcW w:w="913"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一类区</w:t>
            </w:r>
          </w:p>
        </w:tc>
        <w:tc>
          <w:tcPr>
            <w:tcW w:w="1739" w:type="pct"/>
            <w:gridSpan w:val="6"/>
            <w:tcBorders>
              <w:tl2br w:val="nil"/>
              <w:tr2bl w:val="nil"/>
            </w:tcBorders>
            <w:noWrap w:val="0"/>
            <w:vAlign w:val="center"/>
          </w:tcPr>
          <w:p>
            <w:pPr>
              <w:widowControl/>
              <w:spacing w:line="260" w:lineRule="exact"/>
              <w:jc w:val="both"/>
              <w:rPr>
                <w:rFonts w:ascii="Times New Roman" w:hAnsi="Times New Roman"/>
                <w:bCs/>
                <w:color w:val="auto"/>
                <w:sz w:val="21"/>
                <w:szCs w:val="21"/>
                <w:highlight w:val="none"/>
              </w:rPr>
            </w:pPr>
            <w:r>
              <w:rPr>
                <w:rFonts w:ascii="Times New Roman" w:hAnsi="Times New Roman"/>
                <w:bCs/>
                <w:color w:val="auto"/>
                <w:sz w:val="21"/>
                <w:szCs w:val="21"/>
                <w:highlight w:val="none"/>
              </w:rPr>
              <w:t>C</w:t>
            </w:r>
            <w:r>
              <w:rPr>
                <w:rFonts w:ascii="Times New Roman" w:hAnsi="Times New Roman"/>
                <w:bCs/>
                <w:color w:val="auto"/>
                <w:sz w:val="21"/>
                <w:szCs w:val="21"/>
                <w:highlight w:val="none"/>
                <w:vertAlign w:val="subscript"/>
              </w:rPr>
              <w:t>本项目</w:t>
            </w:r>
            <w:r>
              <w:rPr>
                <w:rFonts w:ascii="Times New Roman" w:hAnsi="Times New Roman"/>
                <w:bCs/>
                <w:color w:val="auto"/>
                <w:sz w:val="21"/>
                <w:szCs w:val="21"/>
                <w:highlight w:val="none"/>
              </w:rPr>
              <w:t>最大占标率≤10%□</w:t>
            </w:r>
          </w:p>
        </w:tc>
        <w:tc>
          <w:tcPr>
            <w:tcW w:w="1379" w:type="pct"/>
            <w:gridSpan w:val="4"/>
            <w:tcBorders>
              <w:tl2br w:val="nil"/>
              <w:tr2bl w:val="nil"/>
            </w:tcBorders>
            <w:noWrap w:val="0"/>
            <w:vAlign w:val="center"/>
          </w:tcPr>
          <w:p>
            <w:pPr>
              <w:widowControl/>
              <w:spacing w:line="260" w:lineRule="exact"/>
              <w:ind w:left="0" w:leftChars="0" w:firstLine="0" w:firstLineChars="0"/>
              <w:jc w:val="both"/>
              <w:rPr>
                <w:rFonts w:ascii="Times New Roman" w:hAnsi="Times New Roman"/>
                <w:bCs/>
                <w:color w:val="auto"/>
                <w:sz w:val="21"/>
                <w:szCs w:val="21"/>
                <w:highlight w:val="none"/>
              </w:rPr>
            </w:pPr>
            <w:r>
              <w:rPr>
                <w:rFonts w:ascii="Times New Roman" w:hAnsi="Times New Roman"/>
                <w:bCs/>
                <w:color w:val="auto"/>
                <w:sz w:val="21"/>
                <w:szCs w:val="21"/>
                <w:highlight w:val="none"/>
              </w:rPr>
              <w:t>C</w:t>
            </w:r>
            <w:r>
              <w:rPr>
                <w:rFonts w:ascii="Times New Roman" w:hAnsi="Times New Roman"/>
                <w:bCs/>
                <w:color w:val="auto"/>
                <w:sz w:val="21"/>
                <w:szCs w:val="21"/>
                <w:highlight w:val="none"/>
                <w:vertAlign w:val="subscript"/>
              </w:rPr>
              <w:t>本项目</w:t>
            </w:r>
            <w:r>
              <w:rPr>
                <w:rFonts w:ascii="Times New Roman" w:hAnsi="Times New Roman"/>
                <w:bCs/>
                <w:color w:val="auto"/>
                <w:sz w:val="21"/>
                <w:szCs w:val="21"/>
                <w:highlight w:val="none"/>
              </w:rPr>
              <w:t>最大占标率&gt;10%□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p>
        </w:tc>
        <w:tc>
          <w:tcPr>
            <w:tcW w:w="677" w:type="pct"/>
            <w:vMerge w:val="continue"/>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p>
        </w:tc>
        <w:tc>
          <w:tcPr>
            <w:tcW w:w="913" w:type="pct"/>
            <w:gridSpan w:val="3"/>
            <w:tcBorders>
              <w:tl2br w:val="nil"/>
              <w:tr2bl w:val="nil"/>
            </w:tcBorders>
            <w:noWrap w:val="0"/>
            <w:vAlign w:val="center"/>
          </w:tcPr>
          <w:p>
            <w:pPr>
              <w:widowControl/>
              <w:spacing w:line="260" w:lineRule="exact"/>
              <w:jc w:val="both"/>
              <w:rPr>
                <w:rFonts w:ascii="Times New Roman" w:hAnsi="Times New Roman"/>
                <w:bCs/>
                <w:color w:val="auto"/>
                <w:sz w:val="21"/>
                <w:szCs w:val="21"/>
                <w:highlight w:val="none"/>
              </w:rPr>
            </w:pPr>
            <w:r>
              <w:rPr>
                <w:rFonts w:ascii="Times New Roman" w:hAnsi="Times New Roman"/>
                <w:bCs/>
                <w:color w:val="auto"/>
                <w:sz w:val="21"/>
                <w:szCs w:val="21"/>
                <w:highlight w:val="none"/>
              </w:rPr>
              <w:t>二类区</w:t>
            </w:r>
          </w:p>
        </w:tc>
        <w:tc>
          <w:tcPr>
            <w:tcW w:w="1739" w:type="pct"/>
            <w:gridSpan w:val="6"/>
            <w:tcBorders>
              <w:tl2br w:val="nil"/>
              <w:tr2bl w:val="nil"/>
            </w:tcBorders>
            <w:noWrap w:val="0"/>
            <w:vAlign w:val="center"/>
          </w:tcPr>
          <w:p>
            <w:pPr>
              <w:widowControl/>
              <w:spacing w:line="260" w:lineRule="exact"/>
              <w:jc w:val="both"/>
              <w:rPr>
                <w:rFonts w:ascii="Times New Roman" w:hAnsi="Times New Roman"/>
                <w:bCs/>
                <w:color w:val="auto"/>
                <w:sz w:val="21"/>
                <w:szCs w:val="21"/>
                <w:highlight w:val="none"/>
              </w:rPr>
            </w:pPr>
            <w:r>
              <w:rPr>
                <w:rFonts w:ascii="Times New Roman" w:hAnsi="Times New Roman"/>
                <w:bCs/>
                <w:color w:val="auto"/>
                <w:sz w:val="21"/>
                <w:szCs w:val="21"/>
                <w:highlight w:val="none"/>
              </w:rPr>
              <w:t>C</w:t>
            </w:r>
            <w:r>
              <w:rPr>
                <w:rFonts w:ascii="Times New Roman" w:hAnsi="Times New Roman"/>
                <w:bCs/>
                <w:color w:val="auto"/>
                <w:sz w:val="21"/>
                <w:szCs w:val="21"/>
                <w:highlight w:val="none"/>
                <w:vertAlign w:val="subscript"/>
              </w:rPr>
              <w:t>本项目</w:t>
            </w:r>
            <w:r>
              <w:rPr>
                <w:rFonts w:ascii="Times New Roman" w:hAnsi="Times New Roman"/>
                <w:bCs/>
                <w:color w:val="auto"/>
                <w:sz w:val="21"/>
                <w:szCs w:val="21"/>
                <w:highlight w:val="none"/>
              </w:rPr>
              <w:t>最大占标率≤30%□</w:t>
            </w:r>
          </w:p>
        </w:tc>
        <w:tc>
          <w:tcPr>
            <w:tcW w:w="1379" w:type="pct"/>
            <w:gridSpan w:val="4"/>
            <w:tcBorders>
              <w:tl2br w:val="nil"/>
              <w:tr2bl w:val="nil"/>
            </w:tcBorders>
            <w:noWrap w:val="0"/>
            <w:vAlign w:val="center"/>
          </w:tcPr>
          <w:p>
            <w:pPr>
              <w:widowControl/>
              <w:spacing w:line="260" w:lineRule="exact"/>
              <w:ind w:left="0" w:leftChars="0" w:firstLine="0" w:firstLineChars="0"/>
              <w:jc w:val="both"/>
              <w:rPr>
                <w:rFonts w:ascii="Times New Roman" w:hAnsi="Times New Roman"/>
                <w:bCs/>
                <w:color w:val="auto"/>
                <w:sz w:val="21"/>
                <w:szCs w:val="21"/>
                <w:highlight w:val="none"/>
              </w:rPr>
            </w:pPr>
            <w:r>
              <w:rPr>
                <w:rFonts w:ascii="Times New Roman" w:hAnsi="Times New Roman"/>
                <w:bCs/>
                <w:color w:val="auto"/>
                <w:sz w:val="21"/>
                <w:szCs w:val="21"/>
                <w:highlight w:val="none"/>
              </w:rPr>
              <w:t>C</w:t>
            </w:r>
            <w:r>
              <w:rPr>
                <w:rFonts w:ascii="Times New Roman" w:hAnsi="Times New Roman"/>
                <w:bCs/>
                <w:color w:val="auto"/>
                <w:sz w:val="21"/>
                <w:szCs w:val="21"/>
                <w:highlight w:val="none"/>
                <w:vertAlign w:val="subscript"/>
              </w:rPr>
              <w:t>本项目</w:t>
            </w:r>
            <w:r>
              <w:rPr>
                <w:rFonts w:ascii="Times New Roman" w:hAnsi="Times New Roman"/>
                <w:bCs/>
                <w:color w:val="auto"/>
                <w:sz w:val="21"/>
                <w:szCs w:val="21"/>
                <w:highlight w:val="none"/>
              </w:rPr>
              <w:t>最大占标率&gt;30%□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非正常1h浓度贡献值</w:t>
            </w:r>
          </w:p>
        </w:tc>
        <w:tc>
          <w:tcPr>
            <w:tcW w:w="913"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非正常持续时长(  )h</w:t>
            </w:r>
          </w:p>
        </w:tc>
        <w:tc>
          <w:tcPr>
            <w:tcW w:w="2412" w:type="pct"/>
            <w:gridSpan w:val="8"/>
            <w:tcBorders>
              <w:tl2br w:val="nil"/>
              <w:tr2bl w:val="nil"/>
            </w:tcBorders>
            <w:noWrap w:val="0"/>
            <w:vAlign w:val="center"/>
          </w:tcPr>
          <w:p>
            <w:pPr>
              <w:widowControl/>
              <w:spacing w:line="260" w:lineRule="exact"/>
              <w:jc w:val="center"/>
              <w:rPr>
                <w:rFonts w:hint="eastAsia" w:ascii="Times New Roman" w:hAnsi="Times New Roman" w:eastAsia="宋体"/>
                <w:bCs/>
                <w:color w:val="auto"/>
                <w:sz w:val="21"/>
                <w:szCs w:val="21"/>
                <w:highlight w:val="none"/>
                <w:lang w:eastAsia="zh-CN"/>
              </w:rPr>
            </w:pPr>
            <w:r>
              <w:rPr>
                <w:rFonts w:ascii="Times New Roman" w:hAnsi="Times New Roman"/>
                <w:bCs/>
                <w:color w:val="auto"/>
                <w:sz w:val="21"/>
                <w:szCs w:val="21"/>
                <w:highlight w:val="none"/>
              </w:rPr>
              <w:t>C</w:t>
            </w:r>
            <w:r>
              <w:rPr>
                <w:rFonts w:ascii="Times New Roman" w:hAnsi="Times New Roman"/>
                <w:bCs/>
                <w:color w:val="auto"/>
                <w:sz w:val="21"/>
                <w:szCs w:val="21"/>
                <w:highlight w:val="none"/>
                <w:vertAlign w:val="subscript"/>
              </w:rPr>
              <w:t>非正常</w:t>
            </w:r>
            <w:r>
              <w:rPr>
                <w:rFonts w:ascii="Times New Roman" w:hAnsi="Times New Roman"/>
                <w:bCs/>
                <w:color w:val="auto"/>
                <w:sz w:val="21"/>
                <w:szCs w:val="21"/>
                <w:highlight w:val="none"/>
              </w:rPr>
              <w:t>占标率≤100%</w:t>
            </w:r>
            <w:r>
              <w:rPr>
                <w:rFonts w:hint="eastAsia"/>
                <w:bCs/>
                <w:color w:val="auto"/>
                <w:sz w:val="21"/>
                <w:szCs w:val="21"/>
                <w:highlight w:val="none"/>
                <w:lang w:eastAsia="zh-CN"/>
              </w:rPr>
              <w:t>☑</w:t>
            </w:r>
          </w:p>
        </w:tc>
        <w:tc>
          <w:tcPr>
            <w:tcW w:w="706" w:type="pct"/>
            <w:gridSpan w:val="2"/>
            <w:tcBorders>
              <w:tl2br w:val="nil"/>
              <w:tr2bl w:val="nil"/>
            </w:tcBorders>
            <w:noWrap w:val="0"/>
            <w:vAlign w:val="center"/>
          </w:tcPr>
          <w:p>
            <w:pPr>
              <w:widowControl/>
              <w:spacing w:line="260" w:lineRule="exact"/>
              <w:ind w:left="0" w:leftChars="0" w:firstLine="0" w:firstLineChars="0"/>
              <w:jc w:val="both"/>
              <w:rPr>
                <w:rFonts w:ascii="Times New Roman" w:hAnsi="Times New Roman"/>
                <w:bCs/>
                <w:color w:val="auto"/>
                <w:sz w:val="21"/>
                <w:szCs w:val="21"/>
                <w:highlight w:val="none"/>
              </w:rPr>
            </w:pPr>
            <w:r>
              <w:rPr>
                <w:rFonts w:ascii="Times New Roman" w:hAnsi="Times New Roman"/>
                <w:bCs/>
                <w:color w:val="auto"/>
                <w:sz w:val="21"/>
                <w:szCs w:val="21"/>
                <w:highlight w:val="none"/>
              </w:rPr>
              <w:t>C</w:t>
            </w:r>
            <w:r>
              <w:rPr>
                <w:rFonts w:ascii="Times New Roman" w:hAnsi="Times New Roman"/>
                <w:bCs/>
                <w:color w:val="auto"/>
                <w:sz w:val="21"/>
                <w:szCs w:val="21"/>
                <w:highlight w:val="none"/>
                <w:vertAlign w:val="subscript"/>
              </w:rPr>
              <w:t>非正常</w:t>
            </w:r>
            <w:r>
              <w:rPr>
                <w:rFonts w:ascii="Times New Roman" w:hAnsi="Times New Roman"/>
                <w:bCs/>
                <w:color w:val="auto"/>
                <w:sz w:val="21"/>
                <w:szCs w:val="21"/>
                <w:highlight w:val="none"/>
              </w:rPr>
              <w:t>占标率&gt;100%□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保证率日平均浓度和年平均浓度叠加值</w:t>
            </w:r>
          </w:p>
        </w:tc>
        <w:tc>
          <w:tcPr>
            <w:tcW w:w="2652" w:type="pct"/>
            <w:gridSpan w:val="9"/>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C叠加达标□</w:t>
            </w:r>
          </w:p>
        </w:tc>
        <w:tc>
          <w:tcPr>
            <w:tcW w:w="1379" w:type="pct"/>
            <w:gridSpan w:val="4"/>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C叠加不达标□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区域环境质量的整体变化情况</w:t>
            </w:r>
          </w:p>
        </w:tc>
        <w:tc>
          <w:tcPr>
            <w:tcW w:w="2652" w:type="pct"/>
            <w:gridSpan w:val="9"/>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k≤-20%□</w:t>
            </w:r>
          </w:p>
        </w:tc>
        <w:tc>
          <w:tcPr>
            <w:tcW w:w="1379" w:type="pct"/>
            <w:gridSpan w:val="4"/>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k&gt;-20%□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restar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环境监测计划</w:t>
            </w: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污染源监测</w:t>
            </w:r>
          </w:p>
        </w:tc>
        <w:tc>
          <w:tcPr>
            <w:tcW w:w="1808" w:type="pct"/>
            <w:gridSpan w:val="6"/>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监测因子：(H</w:t>
            </w:r>
            <w:r>
              <w:rPr>
                <w:rFonts w:ascii="Times New Roman" w:hAnsi="Times New Roman"/>
                <w:bCs/>
                <w:color w:val="auto"/>
                <w:sz w:val="21"/>
                <w:szCs w:val="21"/>
                <w:highlight w:val="none"/>
                <w:vertAlign w:val="subscript"/>
              </w:rPr>
              <w:t>2</w:t>
            </w:r>
            <w:r>
              <w:rPr>
                <w:rFonts w:ascii="Times New Roman" w:hAnsi="Times New Roman"/>
                <w:bCs/>
                <w:color w:val="auto"/>
                <w:sz w:val="21"/>
                <w:szCs w:val="21"/>
                <w:highlight w:val="none"/>
              </w:rPr>
              <w:t>S、NH</w:t>
            </w:r>
            <w:r>
              <w:rPr>
                <w:rFonts w:ascii="Times New Roman" w:hAnsi="Times New Roman"/>
                <w:bCs/>
                <w:color w:val="auto"/>
                <w:sz w:val="21"/>
                <w:szCs w:val="21"/>
                <w:highlight w:val="none"/>
                <w:vertAlign w:val="subscript"/>
              </w:rPr>
              <w:t>3</w:t>
            </w:r>
            <w:r>
              <w:rPr>
                <w:rFonts w:ascii="Times New Roman" w:hAnsi="Times New Roman"/>
                <w:bCs/>
                <w:color w:val="auto"/>
                <w:sz w:val="21"/>
                <w:szCs w:val="21"/>
                <w:highlight w:val="none"/>
              </w:rPr>
              <w:t>、颗粒物、SO</w:t>
            </w:r>
            <w:r>
              <w:rPr>
                <w:rFonts w:ascii="Times New Roman" w:hAnsi="Times New Roman"/>
                <w:bCs/>
                <w:color w:val="auto"/>
                <w:sz w:val="21"/>
                <w:szCs w:val="21"/>
                <w:highlight w:val="none"/>
                <w:vertAlign w:val="subscript"/>
              </w:rPr>
              <w:t>2</w:t>
            </w:r>
            <w:r>
              <w:rPr>
                <w:rFonts w:ascii="Times New Roman" w:hAnsi="Times New Roman"/>
                <w:bCs/>
                <w:color w:val="auto"/>
                <w:sz w:val="21"/>
                <w:szCs w:val="21"/>
                <w:highlight w:val="none"/>
              </w:rPr>
              <w:t>、NO</w:t>
            </w:r>
            <w:r>
              <w:rPr>
                <w:rFonts w:ascii="Times New Roman" w:hAnsi="Times New Roman"/>
                <w:bCs/>
                <w:color w:val="auto"/>
                <w:sz w:val="21"/>
                <w:szCs w:val="21"/>
                <w:highlight w:val="none"/>
                <w:vertAlign w:val="subscript"/>
              </w:rPr>
              <w:t>X</w:t>
            </w:r>
            <w:r>
              <w:rPr>
                <w:rFonts w:ascii="Times New Roman" w:hAnsi="Times New Roman"/>
                <w:bCs/>
                <w:color w:val="auto"/>
                <w:sz w:val="21"/>
                <w:szCs w:val="21"/>
                <w:highlight w:val="none"/>
              </w:rPr>
              <w:t>)</w:t>
            </w:r>
          </w:p>
        </w:tc>
        <w:tc>
          <w:tcPr>
            <w:tcW w:w="1517" w:type="pct"/>
            <w:gridSpan w:val="5"/>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有组织废气监测</w:t>
            </w:r>
            <w:r>
              <w:rPr>
                <w:rFonts w:ascii="Times New Roman" w:hAnsi="Times New Roman"/>
                <w:bCs/>
                <w:color w:val="auto"/>
                <w:sz w:val="21"/>
                <w:szCs w:val="21"/>
                <w:highlight w:val="none"/>
              </w:rPr>
              <w:fldChar w:fldCharType="begin"/>
            </w:r>
            <w:r>
              <w:rPr>
                <w:rFonts w:ascii="Times New Roman" w:hAnsi="Times New Roman"/>
                <w:bCs/>
                <w:color w:val="auto"/>
                <w:sz w:val="21"/>
                <w:szCs w:val="21"/>
                <w:highlight w:val="none"/>
              </w:rPr>
              <w:instrText xml:space="preserve"> eq \o\ac(</w:instrText>
            </w:r>
            <w:r>
              <w:rPr>
                <w:rFonts w:ascii="Times New Roman" w:hAnsi="Times New Roman"/>
                <w:bCs/>
                <w:color w:val="auto"/>
                <w:position w:val="-4"/>
                <w:sz w:val="31"/>
                <w:szCs w:val="21"/>
                <w:highlight w:val="none"/>
              </w:rPr>
              <w:instrText xml:space="preserve">□</w:instrText>
            </w:r>
            <w:r>
              <w:rPr>
                <w:rFonts w:ascii="Times New Roman" w:hAnsi="Times New Roman"/>
                <w:bCs/>
                <w:color w:val="auto"/>
                <w:position w:val="0"/>
                <w:sz w:val="21"/>
                <w:szCs w:val="21"/>
                <w:highlight w:val="none"/>
              </w:rPr>
              <w:instrText xml:space="preserve">,√)</w:instrText>
            </w:r>
            <w:r>
              <w:rPr>
                <w:rFonts w:ascii="Times New Roman" w:hAnsi="Times New Roman"/>
                <w:bCs/>
                <w:color w:val="auto"/>
                <w:sz w:val="21"/>
                <w:szCs w:val="21"/>
                <w:highlight w:val="none"/>
              </w:rPr>
              <w:fldChar w:fldCharType="end"/>
            </w:r>
            <w:r>
              <w:rPr>
                <w:rFonts w:ascii="Times New Roman" w:hAnsi="Times New Roman"/>
                <w:bCs/>
                <w:color w:val="auto"/>
                <w:sz w:val="21"/>
                <w:szCs w:val="21"/>
                <w:highlight w:val="none"/>
              </w:rPr>
              <w:br w:type="textWrapping"/>
            </w:r>
            <w:r>
              <w:rPr>
                <w:rFonts w:ascii="Times New Roman" w:hAnsi="Times New Roman"/>
                <w:bCs/>
                <w:color w:val="auto"/>
                <w:sz w:val="21"/>
                <w:szCs w:val="21"/>
                <w:highlight w:val="none"/>
              </w:rPr>
              <w:t>无组织废气监测</w:t>
            </w:r>
            <w:r>
              <w:rPr>
                <w:rFonts w:ascii="Times New Roman" w:hAnsi="Times New Roman"/>
                <w:bCs/>
                <w:color w:val="auto"/>
                <w:sz w:val="21"/>
                <w:szCs w:val="21"/>
                <w:highlight w:val="none"/>
              </w:rPr>
              <w:fldChar w:fldCharType="begin"/>
            </w:r>
            <w:r>
              <w:rPr>
                <w:rFonts w:ascii="Times New Roman" w:hAnsi="Times New Roman"/>
                <w:bCs/>
                <w:color w:val="auto"/>
                <w:sz w:val="21"/>
                <w:szCs w:val="21"/>
                <w:highlight w:val="none"/>
              </w:rPr>
              <w:instrText xml:space="preserve"> eq \o\ac(</w:instrText>
            </w:r>
            <w:r>
              <w:rPr>
                <w:rFonts w:ascii="Times New Roman" w:hAnsi="Times New Roman"/>
                <w:bCs/>
                <w:color w:val="auto"/>
                <w:position w:val="-4"/>
                <w:sz w:val="31"/>
                <w:szCs w:val="21"/>
                <w:highlight w:val="none"/>
              </w:rPr>
              <w:instrText xml:space="preserve">□</w:instrText>
            </w:r>
            <w:r>
              <w:rPr>
                <w:rFonts w:ascii="Times New Roman" w:hAnsi="Times New Roman"/>
                <w:bCs/>
                <w:color w:val="auto"/>
                <w:position w:val="0"/>
                <w:sz w:val="21"/>
                <w:szCs w:val="21"/>
                <w:highlight w:val="none"/>
              </w:rPr>
              <w:instrText xml:space="preserve">,√)</w:instrText>
            </w:r>
            <w:r>
              <w:rPr>
                <w:rFonts w:ascii="Times New Roman" w:hAnsi="Times New Roman"/>
                <w:bCs/>
                <w:color w:val="auto"/>
                <w:sz w:val="21"/>
                <w:szCs w:val="21"/>
                <w:highlight w:val="none"/>
              </w:rPr>
              <w:fldChar w:fldCharType="end"/>
            </w:r>
          </w:p>
        </w:tc>
        <w:tc>
          <w:tcPr>
            <w:tcW w:w="706" w:type="pct"/>
            <w:gridSpan w:val="2"/>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无监测□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环境质量监测</w:t>
            </w:r>
          </w:p>
        </w:tc>
        <w:tc>
          <w:tcPr>
            <w:tcW w:w="1808" w:type="pct"/>
            <w:gridSpan w:val="6"/>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监测因子：(   )</w:t>
            </w:r>
          </w:p>
        </w:tc>
        <w:tc>
          <w:tcPr>
            <w:tcW w:w="1517" w:type="pct"/>
            <w:gridSpan w:val="5"/>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监测点位数(  )</w:t>
            </w:r>
          </w:p>
        </w:tc>
        <w:tc>
          <w:tcPr>
            <w:tcW w:w="706" w:type="pct"/>
            <w:gridSpan w:val="2"/>
            <w:tcBorders>
              <w:tl2br w:val="nil"/>
              <w:tr2bl w:val="nil"/>
            </w:tcBorders>
            <w:noWrap w:val="0"/>
            <w:vAlign w:val="center"/>
          </w:tcPr>
          <w:p>
            <w:pPr>
              <w:widowControl/>
              <w:spacing w:line="260" w:lineRule="exact"/>
              <w:ind w:left="0" w:leftChars="0" w:firstLine="0" w:firstLineChars="0"/>
              <w:jc w:val="center"/>
              <w:rPr>
                <w:rFonts w:hint="eastAsia" w:ascii="Times New Roman" w:hAnsi="Times New Roman" w:eastAsia="宋体"/>
                <w:bCs/>
                <w:color w:val="auto"/>
                <w:sz w:val="21"/>
                <w:szCs w:val="21"/>
                <w:highlight w:val="none"/>
                <w:lang w:eastAsia="zh-CN"/>
              </w:rPr>
            </w:pPr>
            <w:r>
              <w:rPr>
                <w:rFonts w:ascii="Times New Roman" w:hAnsi="Times New Roman"/>
                <w:bCs/>
                <w:color w:val="auto"/>
                <w:sz w:val="21"/>
                <w:szCs w:val="21"/>
                <w:highlight w:val="none"/>
              </w:rPr>
              <w:t>无监测</w:t>
            </w:r>
            <w:r>
              <w:rPr>
                <w:rFonts w:hint="eastAsia"/>
                <w:bCs/>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restar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评价结论</w:t>
            </w: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环境影响</w:t>
            </w:r>
          </w:p>
        </w:tc>
        <w:tc>
          <w:tcPr>
            <w:tcW w:w="4031" w:type="pct"/>
            <w:gridSpan w:val="13"/>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 xml:space="preserve">可以接受 </w:t>
            </w:r>
            <w:r>
              <w:rPr>
                <w:rFonts w:ascii="Times New Roman" w:hAnsi="Times New Roman"/>
                <w:bCs/>
                <w:color w:val="auto"/>
                <w:sz w:val="21"/>
                <w:szCs w:val="21"/>
                <w:highlight w:val="none"/>
              </w:rPr>
              <w:fldChar w:fldCharType="begin"/>
            </w:r>
            <w:r>
              <w:rPr>
                <w:rFonts w:ascii="Times New Roman" w:hAnsi="Times New Roman"/>
                <w:bCs/>
                <w:color w:val="auto"/>
                <w:sz w:val="21"/>
                <w:szCs w:val="21"/>
                <w:highlight w:val="none"/>
              </w:rPr>
              <w:instrText xml:space="preserve"> eq \o\ac(</w:instrText>
            </w:r>
            <w:r>
              <w:rPr>
                <w:rFonts w:ascii="Times New Roman" w:hAnsi="Times New Roman"/>
                <w:bCs/>
                <w:color w:val="auto"/>
                <w:position w:val="-4"/>
                <w:sz w:val="31"/>
                <w:szCs w:val="21"/>
                <w:highlight w:val="none"/>
              </w:rPr>
              <w:instrText xml:space="preserve">□</w:instrText>
            </w:r>
            <w:r>
              <w:rPr>
                <w:rFonts w:ascii="Times New Roman" w:hAnsi="Times New Roman"/>
                <w:bCs/>
                <w:color w:val="auto"/>
                <w:position w:val="0"/>
                <w:sz w:val="21"/>
                <w:szCs w:val="21"/>
                <w:highlight w:val="none"/>
              </w:rPr>
              <w:instrText xml:space="preserve">,√)</w:instrText>
            </w:r>
            <w:r>
              <w:rPr>
                <w:rFonts w:ascii="Times New Roman" w:hAnsi="Times New Roman"/>
                <w:bCs/>
                <w:color w:val="auto"/>
                <w:sz w:val="21"/>
                <w:szCs w:val="21"/>
                <w:highlight w:val="none"/>
              </w:rPr>
              <w:fldChar w:fldCharType="end"/>
            </w:r>
            <w:r>
              <w:rPr>
                <w:rFonts w:ascii="Times New Roman" w:hAnsi="Times New Roman"/>
                <w:bCs/>
                <w:color w:val="auto"/>
                <w:sz w:val="21"/>
                <w:szCs w:val="21"/>
                <w:highlight w:val="none"/>
              </w:rPr>
              <w:t xml:space="preserve">             不可以接受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大气环境防护距离</w:t>
            </w:r>
          </w:p>
        </w:tc>
        <w:tc>
          <w:tcPr>
            <w:tcW w:w="4031" w:type="pct"/>
            <w:gridSpan w:val="13"/>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距(    )厂界最远(    )m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290" w:type="pct"/>
            <w:vMerge w:val="continue"/>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p>
        </w:tc>
        <w:tc>
          <w:tcPr>
            <w:tcW w:w="677" w:type="pct"/>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污染源年排放量</w:t>
            </w:r>
          </w:p>
        </w:tc>
        <w:tc>
          <w:tcPr>
            <w:tcW w:w="927" w:type="pct"/>
            <w:gridSpan w:val="4"/>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SO</w:t>
            </w:r>
            <w:r>
              <w:rPr>
                <w:rFonts w:ascii="Times New Roman" w:hAnsi="Times New Roman"/>
                <w:bCs/>
                <w:color w:val="auto"/>
                <w:sz w:val="21"/>
                <w:szCs w:val="21"/>
                <w:highlight w:val="none"/>
                <w:vertAlign w:val="subscript"/>
              </w:rPr>
              <w:t>2</w:t>
            </w:r>
            <w:r>
              <w:rPr>
                <w:rFonts w:hint="eastAsia"/>
                <w:bCs/>
                <w:color w:val="auto"/>
                <w:sz w:val="21"/>
                <w:szCs w:val="21"/>
                <w:highlight w:val="none"/>
                <w:lang w:eastAsia="zh-CN"/>
              </w:rPr>
              <w:t>：</w:t>
            </w:r>
            <w:r>
              <w:rPr>
                <w:rFonts w:ascii="Times New Roman" w:hAnsi="Times New Roman"/>
                <w:bCs/>
                <w:color w:val="auto"/>
                <w:sz w:val="21"/>
                <w:szCs w:val="21"/>
                <w:highlight w:val="none"/>
              </w:rPr>
              <w:t>(</w:t>
            </w:r>
            <w:r>
              <w:rPr>
                <w:rFonts w:hint="eastAsia" w:ascii="Times New Roman" w:hAnsi="Times New Roman"/>
                <w:bCs/>
                <w:color w:val="auto"/>
                <w:sz w:val="21"/>
                <w:szCs w:val="21"/>
                <w:highlight w:val="none"/>
                <w:lang w:val="en-US" w:eastAsia="zh-CN"/>
              </w:rPr>
              <w:t>0.00002</w:t>
            </w:r>
            <w:r>
              <w:rPr>
                <w:rFonts w:ascii="Times New Roman" w:hAnsi="Times New Roman"/>
                <w:bCs/>
                <w:color w:val="auto"/>
                <w:sz w:val="21"/>
                <w:szCs w:val="21"/>
                <w:highlight w:val="none"/>
              </w:rPr>
              <w:t>)t/a</w:t>
            </w:r>
          </w:p>
        </w:tc>
        <w:tc>
          <w:tcPr>
            <w:tcW w:w="962"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NO</w:t>
            </w:r>
            <w:r>
              <w:rPr>
                <w:rFonts w:hint="eastAsia"/>
                <w:bCs/>
                <w:color w:val="auto"/>
                <w:sz w:val="21"/>
                <w:szCs w:val="21"/>
                <w:highlight w:val="none"/>
                <w:vertAlign w:val="subscript"/>
                <w:lang w:val="en-US" w:eastAsia="zh-CN"/>
              </w:rPr>
              <w:t>X</w:t>
            </w:r>
            <w:r>
              <w:rPr>
                <w:rFonts w:hint="eastAsia"/>
                <w:bCs/>
                <w:color w:val="auto"/>
                <w:sz w:val="21"/>
                <w:szCs w:val="21"/>
                <w:highlight w:val="none"/>
                <w:lang w:eastAsia="zh-CN"/>
              </w:rPr>
              <w:t>：</w:t>
            </w:r>
            <w:r>
              <w:rPr>
                <w:rFonts w:ascii="Times New Roman" w:hAnsi="Times New Roman"/>
                <w:bCs/>
                <w:color w:val="auto"/>
                <w:sz w:val="21"/>
                <w:szCs w:val="21"/>
                <w:highlight w:val="none"/>
              </w:rPr>
              <w:t>(</w:t>
            </w:r>
            <w:r>
              <w:rPr>
                <w:rFonts w:hint="eastAsia" w:ascii="Times New Roman" w:hAnsi="Times New Roman"/>
                <w:bCs/>
                <w:color w:val="auto"/>
                <w:sz w:val="21"/>
                <w:szCs w:val="21"/>
                <w:highlight w:val="none"/>
              </w:rPr>
              <w:t>0.0001</w:t>
            </w:r>
            <w:r>
              <w:rPr>
                <w:rFonts w:ascii="Times New Roman" w:hAnsi="Times New Roman"/>
                <w:bCs/>
                <w:color w:val="auto"/>
                <w:sz w:val="21"/>
                <w:szCs w:val="21"/>
                <w:highlight w:val="none"/>
              </w:rPr>
              <w:t>)t/a</w:t>
            </w:r>
          </w:p>
        </w:tc>
        <w:tc>
          <w:tcPr>
            <w:tcW w:w="1284"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颗粒物</w:t>
            </w:r>
            <w:r>
              <w:rPr>
                <w:rFonts w:hint="eastAsia"/>
                <w:bCs/>
                <w:color w:val="auto"/>
                <w:sz w:val="21"/>
                <w:szCs w:val="21"/>
                <w:highlight w:val="none"/>
                <w:lang w:eastAsia="zh-CN"/>
              </w:rPr>
              <w:t>：</w:t>
            </w:r>
            <w:r>
              <w:rPr>
                <w:rFonts w:ascii="Times New Roman" w:hAnsi="Times New Roman"/>
                <w:bCs/>
                <w:color w:val="auto"/>
                <w:sz w:val="21"/>
                <w:szCs w:val="21"/>
                <w:highlight w:val="none"/>
              </w:rPr>
              <w:t>(</w:t>
            </w:r>
            <w:r>
              <w:rPr>
                <w:rFonts w:hint="eastAsia" w:ascii="Times New Roman" w:hAnsi="Times New Roman"/>
                <w:bCs/>
                <w:color w:val="auto"/>
                <w:sz w:val="21"/>
                <w:szCs w:val="21"/>
                <w:highlight w:val="none"/>
              </w:rPr>
              <w:t>0.00004</w:t>
            </w:r>
            <w:r>
              <w:rPr>
                <w:rFonts w:hint="eastAsia"/>
                <w:bCs/>
                <w:color w:val="auto"/>
                <w:sz w:val="21"/>
                <w:szCs w:val="21"/>
                <w:highlight w:val="none"/>
                <w:lang w:val="en-US" w:eastAsia="zh-CN"/>
              </w:rPr>
              <w:t>）</w:t>
            </w:r>
            <w:r>
              <w:rPr>
                <w:rFonts w:ascii="Times New Roman" w:hAnsi="Times New Roman"/>
                <w:bCs/>
                <w:color w:val="auto"/>
                <w:sz w:val="21"/>
                <w:szCs w:val="21"/>
                <w:highlight w:val="none"/>
              </w:rPr>
              <w:t>t/a</w:t>
            </w:r>
          </w:p>
        </w:tc>
        <w:tc>
          <w:tcPr>
            <w:tcW w:w="857" w:type="pct"/>
            <w:gridSpan w:val="3"/>
            <w:tcBorders>
              <w:tl2br w:val="nil"/>
              <w:tr2bl w:val="nil"/>
            </w:tcBorders>
            <w:noWrap w:val="0"/>
            <w:vAlign w:val="center"/>
          </w:tcPr>
          <w:p>
            <w:pPr>
              <w:widowControl/>
              <w:spacing w:line="260" w:lineRule="exact"/>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VOCs</w:t>
            </w:r>
            <w:r>
              <w:rPr>
                <w:rFonts w:hint="eastAsia"/>
                <w:bCs/>
                <w:color w:val="auto"/>
                <w:sz w:val="21"/>
                <w:szCs w:val="21"/>
                <w:highlight w:val="none"/>
                <w:lang w:eastAsia="zh-CN"/>
              </w:rPr>
              <w:t>：</w:t>
            </w:r>
            <w:r>
              <w:rPr>
                <w:rFonts w:ascii="Times New Roman" w:hAnsi="Times New Roman"/>
                <w:bCs/>
                <w:color w:val="auto"/>
                <w:sz w:val="21"/>
                <w:szCs w:val="21"/>
                <w:highlight w:val="none"/>
              </w:rPr>
              <w:t>(0)t/a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5000" w:type="pct"/>
            <w:gridSpan w:val="15"/>
            <w:tcBorders>
              <w:tl2br w:val="nil"/>
              <w:tr2bl w:val="nil"/>
            </w:tcBorders>
            <w:noWrap w:val="0"/>
            <w:vAlign w:val="center"/>
          </w:tcPr>
          <w:p>
            <w:pPr>
              <w:widowControl/>
              <w:spacing w:line="260" w:lineRule="exact"/>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注：“□”，填“√”；“(  )”为内容填写项</w:t>
            </w:r>
          </w:p>
        </w:tc>
      </w:tr>
    </w:tbl>
    <w:p>
      <w:pPr>
        <w:pStyle w:val="5"/>
        <w:spacing w:before="66"/>
        <w:ind w:firstLine="482"/>
        <w:rPr>
          <w:color w:val="auto"/>
          <w:highlight w:val="none"/>
        </w:rPr>
      </w:pPr>
      <w:r>
        <w:rPr>
          <w:rFonts w:hint="eastAsia"/>
          <w:color w:val="auto"/>
          <w:highlight w:val="none"/>
          <w:lang w:val="en-US" w:eastAsia="zh-CN"/>
        </w:rPr>
        <w:t>4</w:t>
      </w:r>
      <w:r>
        <w:rPr>
          <w:color w:val="auto"/>
          <w:highlight w:val="none"/>
        </w:rPr>
        <w:t>.2</w:t>
      </w:r>
      <w:r>
        <w:rPr>
          <w:rFonts w:hint="eastAsia"/>
          <w:color w:val="auto"/>
          <w:highlight w:val="none"/>
        </w:rPr>
        <w:t>.2</w:t>
      </w:r>
      <w:r>
        <w:rPr>
          <w:color w:val="auto"/>
          <w:highlight w:val="none"/>
        </w:rPr>
        <w:t>地表水环境影响预测与评价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《排污许可证申请与核发技术规范 畜禽养殖行业（HJ1029-2019）》对畜禽养殖行业废水的直接排放和间接排放进行了解释：</w:t>
      </w:r>
      <w:r>
        <w:rPr>
          <w:rFonts w:hint="eastAsia" w:asciiTheme="minorEastAsia" w:hAnsiTheme="minorEastAsia" w:eastAsiaTheme="minorEastAsia" w:cstheme="minorEastAsia"/>
          <w:bCs/>
          <w:color w:val="auto"/>
          <w:sz w:val="24"/>
          <w:szCs w:val="24"/>
          <w:highlight w:val="none"/>
        </w:rPr>
        <w:t>“直接排放指进入江河、湖、库等水环境，进入城市下水道（再进入江河、湖、库），进入城市下水道（再入沿海海域），以及其他直接进入环境水体的排放方式；间接排放指进入城镇污水集中处理设施、进入其他单位废水处理设施、进入工业废水集中处理设施，以及其他间接进入环境水体的排放方式”</w:t>
      </w:r>
      <w:r>
        <w:rPr>
          <w:rFonts w:ascii="Times New Roman" w:hAnsi="Times New Roman" w:cs="Times New Roman"/>
          <w:bCs/>
          <w:color w:val="auto"/>
          <w:sz w:val="24"/>
          <w:szCs w:val="24"/>
          <w:highlight w:val="none"/>
        </w:rPr>
        <w:t>。本项目废水经场内污水处理设施处理后，沼液全部实现综合利用，不设排污口，不排放，本项目地表水评价按三级B进行简要分析。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根据《环境影响评价技术导则  地表水环境》（HJ2.3-2018）</w:t>
      </w:r>
      <w:r>
        <w:rPr>
          <w:rFonts w:hint="eastAsia" w:ascii="Times New Roman" w:hAnsi="Times New Roman" w:cs="Times New Roman"/>
          <w:bCs/>
          <w:color w:val="auto"/>
          <w:sz w:val="24"/>
          <w:szCs w:val="24"/>
          <w:highlight w:val="none"/>
        </w:rPr>
        <w:t>“水污染型三级B可不进行水环境影响预测”</w:t>
      </w:r>
      <w:r>
        <w:rPr>
          <w:rFonts w:ascii="Times New Roman" w:hAnsi="Times New Roman" w:cs="Times New Roman"/>
          <w:bCs/>
          <w:color w:val="auto"/>
          <w:sz w:val="24"/>
          <w:szCs w:val="24"/>
          <w:highlight w:val="none"/>
        </w:rPr>
        <w:t>的要求，评价主要评价内容包括水污染控制和水环境影响减缓措施有效性评价；依托污水处理设施的环境可行性评价。</w:t>
      </w:r>
    </w:p>
    <w:p>
      <w:pPr>
        <w:pStyle w:val="6"/>
        <w:ind w:firstLine="482"/>
        <w:rPr>
          <w:rFonts w:ascii="Times New Roman" w:hAnsi="Times New Roman" w:cs="Times New Roman"/>
          <w:bCs/>
          <w:color w:val="auto"/>
          <w:sz w:val="24"/>
          <w:szCs w:val="24"/>
          <w:highlight w:val="none"/>
        </w:rPr>
      </w:pPr>
      <w:r>
        <w:rPr>
          <w:rFonts w:hint="eastAsia"/>
          <w:color w:val="auto"/>
          <w:highlight w:val="none"/>
          <w:lang w:val="en-US" w:eastAsia="zh-CN"/>
        </w:rPr>
        <w:t>4</w:t>
      </w:r>
      <w:r>
        <w:rPr>
          <w:color w:val="auto"/>
          <w:highlight w:val="none"/>
        </w:rPr>
        <w:t>.2.2.1水污染控制和水环境影响减缓措施有效性评价</w:t>
      </w:r>
      <w:r>
        <w:rPr>
          <w:rFonts w:ascii="Times New Roman" w:hAnsi="Times New Roman" w:cs="Times New Roman"/>
          <w:bCs/>
          <w:color w:val="auto"/>
          <w:sz w:val="24"/>
          <w:szCs w:val="24"/>
          <w:highlight w:val="none"/>
        </w:rPr>
        <w:tab/>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auto"/>
          <w:sz w:val="24"/>
          <w:szCs w:val="24"/>
          <w:highlight w:val="none"/>
        </w:rPr>
      </w:pPr>
      <w:r>
        <w:rPr>
          <w:rFonts w:ascii="Times New Roman" w:hAnsi="Times New Roman" w:cs="Times New Roman"/>
          <w:bCs/>
          <w:color w:val="auto"/>
          <w:sz w:val="24"/>
          <w:szCs w:val="22"/>
          <w:highlight w:val="none"/>
        </w:rPr>
        <w:t>（1）</w:t>
      </w:r>
      <w:r>
        <w:rPr>
          <w:rFonts w:ascii="Times New Roman" w:hAnsi="Times New Roman" w:cs="Times New Roman"/>
          <w:bCs/>
          <w:color w:val="auto"/>
          <w:sz w:val="24"/>
          <w:szCs w:val="24"/>
          <w:highlight w:val="none"/>
        </w:rPr>
        <w:t>正常工况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项目废水产生量为夏季</w:t>
      </w:r>
      <w:r>
        <w:rPr>
          <w:rFonts w:hint="eastAsia" w:cs="Times New Roman"/>
          <w:bCs/>
          <w:color w:val="auto"/>
          <w:sz w:val="24"/>
          <w:szCs w:val="24"/>
          <w:highlight w:val="none"/>
          <w:lang w:val="en-US" w:eastAsia="zh-CN"/>
        </w:rPr>
        <w:t>355.982</w:t>
      </w:r>
      <w:r>
        <w:rPr>
          <w:rFonts w:ascii="Times New Roman" w:hAnsi="Times New Roman" w:cs="Times New Roman"/>
          <w:bCs/>
          <w:color w:val="auto"/>
          <w:sz w:val="24"/>
          <w:szCs w:val="24"/>
          <w:highlight w:val="none"/>
        </w:rPr>
        <w:t>m</w:t>
      </w:r>
      <w:r>
        <w:rPr>
          <w:rFonts w:ascii="Times New Roman" w:hAnsi="Times New Roman" w:cs="Times New Roman"/>
          <w:bCs/>
          <w:color w:val="auto"/>
          <w:sz w:val="24"/>
          <w:szCs w:val="24"/>
          <w:highlight w:val="none"/>
          <w:vertAlign w:val="superscript"/>
        </w:rPr>
        <w:t>3</w:t>
      </w:r>
      <w:r>
        <w:rPr>
          <w:rFonts w:ascii="Times New Roman" w:hAnsi="Times New Roman" w:cs="Times New Roman"/>
          <w:bCs/>
          <w:color w:val="auto"/>
          <w:sz w:val="24"/>
          <w:szCs w:val="24"/>
          <w:highlight w:val="none"/>
        </w:rPr>
        <w:t>/d，其他季节</w:t>
      </w:r>
      <w:r>
        <w:rPr>
          <w:rFonts w:hint="eastAsia" w:cs="Times New Roman"/>
          <w:bCs/>
          <w:color w:val="auto"/>
          <w:sz w:val="24"/>
          <w:szCs w:val="24"/>
          <w:highlight w:val="none"/>
          <w:lang w:val="en-US" w:eastAsia="zh-CN"/>
        </w:rPr>
        <w:t>238.082</w:t>
      </w:r>
      <w:r>
        <w:rPr>
          <w:rFonts w:ascii="Times New Roman" w:hAnsi="Times New Roman" w:cs="Times New Roman"/>
          <w:bCs/>
          <w:color w:val="auto"/>
          <w:sz w:val="24"/>
          <w:szCs w:val="24"/>
          <w:highlight w:val="none"/>
        </w:rPr>
        <w:t>m</w:t>
      </w:r>
      <w:r>
        <w:rPr>
          <w:rFonts w:ascii="Times New Roman" w:hAnsi="Times New Roman" w:cs="Times New Roman"/>
          <w:bCs/>
          <w:color w:val="auto"/>
          <w:sz w:val="24"/>
          <w:szCs w:val="24"/>
          <w:highlight w:val="none"/>
          <w:vertAlign w:val="superscript"/>
        </w:rPr>
        <w:t>3</w:t>
      </w:r>
      <w:r>
        <w:rPr>
          <w:rFonts w:ascii="Times New Roman" w:hAnsi="Times New Roman" w:cs="Times New Roman"/>
          <w:bCs/>
          <w:color w:val="auto"/>
          <w:sz w:val="24"/>
          <w:szCs w:val="24"/>
          <w:highlight w:val="none"/>
        </w:rPr>
        <w:t>/d，</w:t>
      </w:r>
      <w:r>
        <w:rPr>
          <w:rFonts w:hint="eastAsia" w:ascii="Times New Roman" w:hAnsi="Times New Roman" w:cs="Times New Roman"/>
          <w:bCs/>
          <w:color w:val="auto"/>
          <w:sz w:val="24"/>
          <w:szCs w:val="24"/>
          <w:highlight w:val="none"/>
          <w:lang w:eastAsia="zh-CN"/>
        </w:rPr>
        <w:t>废水进入沼气池进行处理后沼液</w:t>
      </w:r>
      <w:r>
        <w:rPr>
          <w:rFonts w:ascii="Times New Roman" w:hAnsi="Times New Roman" w:cs="Times New Roman"/>
          <w:bCs/>
          <w:color w:val="auto"/>
          <w:sz w:val="24"/>
          <w:szCs w:val="24"/>
          <w:highlight w:val="none"/>
        </w:rPr>
        <w:t>作为农肥施用于项目配套农田的种植。废水全部消纳利用，不外排。项目的生产运营不会对评价区地表水环境造成污染影响。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（2）雨季及非施肥期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auto"/>
          <w:sz w:val="24"/>
          <w:szCs w:val="24"/>
          <w:highlight w:val="none"/>
        </w:rPr>
      </w:pPr>
      <w:r>
        <w:rPr>
          <w:rFonts w:ascii="Times New Roman" w:hAnsi="Times New Roman" w:cs="Times New Roman"/>
          <w:bCs/>
          <w:color w:val="auto"/>
          <w:sz w:val="24"/>
          <w:szCs w:val="22"/>
          <w:highlight w:val="none"/>
        </w:rPr>
        <w:t>雨季及非施肥期，项目所产生的沼液无法及时消纳，拟全部暂存于</w:t>
      </w:r>
      <w:r>
        <w:rPr>
          <w:rFonts w:hint="eastAsia" w:cs="Times New Roman"/>
          <w:bCs/>
          <w:color w:val="auto"/>
          <w:sz w:val="24"/>
          <w:szCs w:val="22"/>
          <w:highlight w:val="none"/>
          <w:lang w:eastAsia="zh-CN"/>
        </w:rPr>
        <w:t>沼液储存池内</w:t>
      </w:r>
      <w:r>
        <w:rPr>
          <w:rFonts w:ascii="Times New Roman" w:hAnsi="Times New Roman" w:cs="Times New Roman"/>
          <w:bCs/>
          <w:color w:val="auto"/>
          <w:sz w:val="24"/>
          <w:szCs w:val="22"/>
          <w:highlight w:val="none"/>
        </w:rPr>
        <w:t>，项目场内设1个</w:t>
      </w:r>
      <w:r>
        <w:rPr>
          <w:rFonts w:hint="eastAsia" w:cs="Times New Roman"/>
          <w:bCs/>
          <w:color w:val="auto"/>
          <w:sz w:val="24"/>
          <w:szCs w:val="22"/>
          <w:highlight w:val="none"/>
          <w:lang w:eastAsia="zh-CN"/>
        </w:rPr>
        <w:t>沼液储存</w:t>
      </w:r>
      <w:r>
        <w:rPr>
          <w:rFonts w:ascii="Times New Roman" w:hAnsi="Times New Roman" w:cs="Times New Roman"/>
          <w:bCs/>
          <w:color w:val="auto"/>
          <w:sz w:val="24"/>
          <w:szCs w:val="22"/>
          <w:highlight w:val="none"/>
        </w:rPr>
        <w:t>池，项目沼液作为基肥使用，结合当地施肥习惯，按照存储1</w:t>
      </w:r>
      <w:r>
        <w:rPr>
          <w:rFonts w:hint="eastAsia" w:cs="Times New Roman"/>
          <w:bCs/>
          <w:color w:val="auto"/>
          <w:sz w:val="24"/>
          <w:szCs w:val="22"/>
          <w:highlight w:val="none"/>
          <w:lang w:val="en-US" w:eastAsia="zh-CN"/>
        </w:rPr>
        <w:t>20</w:t>
      </w:r>
      <w:r>
        <w:rPr>
          <w:rFonts w:ascii="Times New Roman" w:hAnsi="Times New Roman" w:cs="Times New Roman"/>
          <w:bCs/>
          <w:color w:val="auto"/>
          <w:sz w:val="24"/>
          <w:szCs w:val="22"/>
          <w:highlight w:val="none"/>
        </w:rPr>
        <w:t>d以上沼液的规模设计，有效容积不得低于</w:t>
      </w:r>
      <w:r>
        <w:rPr>
          <w:rFonts w:hint="eastAsia" w:cs="Times New Roman"/>
          <w:bCs/>
          <w:color w:val="auto"/>
          <w:sz w:val="24"/>
          <w:szCs w:val="22"/>
          <w:highlight w:val="none"/>
          <w:lang w:val="en-US" w:eastAsia="zh-CN"/>
        </w:rPr>
        <w:t>42717.84</w:t>
      </w:r>
      <w:r>
        <w:rPr>
          <w:rFonts w:ascii="Times New Roman" w:hAnsi="Times New Roman" w:cs="Times New Roman"/>
          <w:bCs/>
          <w:color w:val="auto"/>
          <w:sz w:val="24"/>
          <w:szCs w:val="22"/>
          <w:highlight w:val="none"/>
        </w:rPr>
        <w:t>m</w:t>
      </w:r>
      <w:r>
        <w:rPr>
          <w:rFonts w:ascii="Times New Roman" w:hAnsi="Times New Roman" w:cs="Times New Roman"/>
          <w:bCs/>
          <w:color w:val="auto"/>
          <w:sz w:val="24"/>
          <w:szCs w:val="22"/>
          <w:highlight w:val="none"/>
          <w:vertAlign w:val="superscript"/>
        </w:rPr>
        <w:t>3</w:t>
      </w:r>
      <w:r>
        <w:rPr>
          <w:rFonts w:ascii="Times New Roman" w:hAnsi="Times New Roman" w:cs="Times New Roman"/>
          <w:bCs/>
          <w:color w:val="auto"/>
          <w:sz w:val="24"/>
          <w:szCs w:val="22"/>
          <w:highlight w:val="none"/>
        </w:rPr>
        <w:t>，同时考虑最大降雨量，本项目设计</w:t>
      </w:r>
      <w:r>
        <w:rPr>
          <w:rFonts w:hint="eastAsia" w:cs="Times New Roman"/>
          <w:bCs/>
          <w:color w:val="auto"/>
          <w:sz w:val="24"/>
          <w:szCs w:val="22"/>
          <w:highlight w:val="none"/>
          <w:lang w:eastAsia="zh-CN"/>
        </w:rPr>
        <w:t>沼液储存</w:t>
      </w:r>
      <w:r>
        <w:rPr>
          <w:rFonts w:ascii="Times New Roman" w:hAnsi="Times New Roman" w:cs="Times New Roman"/>
          <w:bCs/>
          <w:color w:val="auto"/>
          <w:sz w:val="24"/>
          <w:szCs w:val="22"/>
          <w:highlight w:val="none"/>
        </w:rPr>
        <w:t>池总容积</w:t>
      </w:r>
      <w:r>
        <w:rPr>
          <w:rFonts w:hint="eastAsia" w:ascii="Times New Roman" w:hAnsi="Times New Roman" w:cs="Times New Roman"/>
          <w:bCs/>
          <w:color w:val="auto"/>
          <w:sz w:val="24"/>
          <w:szCs w:val="22"/>
          <w:highlight w:val="none"/>
          <w:lang w:eastAsia="zh-CN"/>
        </w:rPr>
        <w:t>60480m</w:t>
      </w:r>
      <w:r>
        <w:rPr>
          <w:rFonts w:ascii="Times New Roman" w:hAnsi="Times New Roman" w:cs="Times New Roman"/>
          <w:bCs/>
          <w:color w:val="auto"/>
          <w:sz w:val="24"/>
          <w:szCs w:val="22"/>
          <w:highlight w:val="none"/>
          <w:vertAlign w:val="superscript"/>
        </w:rPr>
        <w:t>3</w:t>
      </w:r>
      <w:r>
        <w:rPr>
          <w:rFonts w:ascii="Times New Roman" w:hAnsi="Times New Roman" w:cs="Times New Roman"/>
          <w:bCs/>
          <w:color w:val="auto"/>
          <w:sz w:val="24"/>
          <w:szCs w:val="22"/>
          <w:highlight w:val="none"/>
        </w:rPr>
        <w:t>，位于项目用地</w:t>
      </w:r>
      <w:r>
        <w:rPr>
          <w:rFonts w:hint="eastAsia" w:cs="Times New Roman"/>
          <w:bCs/>
          <w:color w:val="auto"/>
          <w:sz w:val="24"/>
          <w:szCs w:val="22"/>
          <w:highlight w:val="none"/>
          <w:lang w:eastAsia="zh-CN"/>
        </w:rPr>
        <w:t>北</w:t>
      </w:r>
      <w:r>
        <w:rPr>
          <w:rFonts w:ascii="Times New Roman" w:hAnsi="Times New Roman" w:cs="Times New Roman"/>
          <w:bCs/>
          <w:color w:val="auto"/>
          <w:sz w:val="24"/>
          <w:szCs w:val="22"/>
          <w:highlight w:val="none"/>
        </w:rPr>
        <w:t>侧。</w:t>
      </w:r>
    </w:p>
    <w:p>
      <w:pPr>
        <w:pStyle w:val="6"/>
        <w:ind w:firstLine="482"/>
        <w:rPr>
          <w:rFonts w:hint="eastAsia"/>
          <w:color w:val="auto"/>
          <w:highlight w:val="none"/>
          <w:lang w:val="en-US" w:eastAsia="zh-CN"/>
        </w:rPr>
      </w:pPr>
      <w:r>
        <w:rPr>
          <w:rFonts w:hint="eastAsia"/>
          <w:color w:val="auto"/>
          <w:highlight w:val="none"/>
          <w:lang w:val="en-US" w:eastAsia="zh-CN"/>
        </w:rPr>
        <w:t>4.2.2.2污水处理设施的环境可行性评价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sz w:val="24"/>
          <w:szCs w:val="22"/>
          <w:highlight w:val="none"/>
        </w:rPr>
      </w:pPr>
      <w:r>
        <w:rPr>
          <w:rFonts w:ascii="Times New Roman" w:hAnsi="Times New Roman" w:cs="Times New Roman"/>
          <w:bCs/>
          <w:color w:val="auto"/>
          <w:sz w:val="24"/>
          <w:szCs w:val="22"/>
          <w:highlight w:val="none"/>
        </w:rPr>
        <w:t>污水处理设施的环境可行性评价主要为本项目自建污水处理设施可行性评价，该部分内容详见</w:t>
      </w:r>
      <w:r>
        <w:rPr>
          <w:rFonts w:hint="eastAsia" w:cs="Times New Roman"/>
          <w:bCs/>
          <w:color w:val="auto"/>
          <w:sz w:val="24"/>
          <w:szCs w:val="22"/>
          <w:highlight w:val="none"/>
          <w:lang w:eastAsia="zh-CN"/>
        </w:rPr>
        <w:t>“</w:t>
      </w:r>
      <w:r>
        <w:rPr>
          <w:rFonts w:ascii="Times New Roman" w:hAnsi="Times New Roman" w:cs="Times New Roman"/>
          <w:bCs/>
          <w:color w:val="auto"/>
          <w:sz w:val="24"/>
          <w:szCs w:val="22"/>
          <w:highlight w:val="none"/>
        </w:rPr>
        <w:t>第五章 环境保护措施及其可行性论证</w:t>
      </w:r>
      <w:r>
        <w:rPr>
          <w:rFonts w:hint="eastAsia" w:cs="Times New Roman"/>
          <w:bCs/>
          <w:color w:val="auto"/>
          <w:sz w:val="24"/>
          <w:szCs w:val="22"/>
          <w:highlight w:val="none"/>
          <w:lang w:eastAsia="zh-CN"/>
        </w:rPr>
        <w:t>”</w:t>
      </w:r>
      <w:r>
        <w:rPr>
          <w:rFonts w:ascii="Times New Roman" w:hAnsi="Times New Roman" w:cs="Times New Roman"/>
          <w:bCs/>
          <w:color w:val="auto"/>
          <w:sz w:val="24"/>
          <w:szCs w:val="22"/>
          <w:highlight w:val="none"/>
        </w:rPr>
        <w:t>中</w:t>
      </w:r>
      <w:r>
        <w:rPr>
          <w:rFonts w:hint="eastAsia" w:asciiTheme="minorEastAsia" w:hAnsiTheme="minorEastAsia" w:eastAsiaTheme="minorEastAsia" w:cstheme="minorEastAsia"/>
          <w:bCs/>
          <w:color w:val="auto"/>
          <w:sz w:val="24"/>
          <w:szCs w:val="22"/>
          <w:highlight w:val="none"/>
        </w:rPr>
        <w:t xml:space="preserve"> “废水</w:t>
      </w:r>
      <w:r>
        <w:rPr>
          <w:rFonts w:hint="eastAsia" w:asciiTheme="minorEastAsia" w:hAnsiTheme="minorEastAsia" w:eastAsiaTheme="minorEastAsia" w:cstheme="minorEastAsia"/>
          <w:bCs/>
          <w:color w:val="auto"/>
          <w:sz w:val="24"/>
          <w:szCs w:val="22"/>
          <w:highlight w:val="none"/>
          <w:lang w:eastAsia="zh-CN"/>
        </w:rPr>
        <w:t>治理措施</w:t>
      </w:r>
      <w:r>
        <w:rPr>
          <w:rFonts w:hint="eastAsia" w:asciiTheme="minorEastAsia" w:hAnsiTheme="minorEastAsia" w:eastAsiaTheme="minorEastAsia" w:cstheme="minorEastAsia"/>
          <w:bCs/>
          <w:color w:val="auto"/>
          <w:sz w:val="24"/>
          <w:szCs w:val="22"/>
          <w:highlight w:val="none"/>
        </w:rPr>
        <w:t>”章节内容。</w:t>
      </w:r>
    </w:p>
    <w:p>
      <w:pPr>
        <w:pStyle w:val="6"/>
        <w:ind w:firstLine="482"/>
        <w:rPr>
          <w:rFonts w:hint="eastAsia"/>
          <w:color w:val="auto"/>
          <w:highlight w:val="none"/>
          <w:lang w:val="en-US" w:eastAsia="zh-CN"/>
        </w:rPr>
      </w:pPr>
      <w:r>
        <w:rPr>
          <w:rFonts w:hint="eastAsia"/>
          <w:color w:val="auto"/>
          <w:highlight w:val="none"/>
          <w:lang w:val="en-US" w:eastAsia="zh-CN"/>
        </w:rPr>
        <w:t>4.2.2.3水污染物排放信息及排放量核算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Cs/>
          <w:color w:val="auto"/>
          <w:sz w:val="24"/>
          <w:szCs w:val="22"/>
          <w:highlight w:val="none"/>
        </w:rPr>
      </w:pPr>
      <w:r>
        <w:rPr>
          <w:rFonts w:ascii="Times New Roman" w:hAnsi="Times New Roman" w:cs="Times New Roman"/>
          <w:bCs/>
          <w:color w:val="auto"/>
          <w:sz w:val="24"/>
          <w:szCs w:val="22"/>
          <w:highlight w:val="none"/>
        </w:rPr>
        <w:t>①废水类别、污染物及污染治理设施信息</w:t>
      </w:r>
    </w:p>
    <w:p>
      <w:pPr>
        <w:pStyle w:val="40"/>
        <w:rPr>
          <w:rFonts w:hint="eastAsia" w:cs="Times New Roman"/>
          <w:color w:val="auto"/>
          <w:highlight w:val="none"/>
          <w:lang w:val="en-US" w:eastAsia="zh-CN"/>
        </w:rPr>
      </w:pPr>
      <w:r>
        <w:rPr>
          <w:rFonts w:hint="eastAsia" w:cs="Times New Roman"/>
          <w:color w:val="auto"/>
          <w:highlight w:val="none"/>
          <w:lang w:val="en-US" w:eastAsia="zh-CN"/>
        </w:rPr>
        <w:t>表4.2-21 废水类别、污染物及污染治理设施信息表</w:t>
      </w:r>
    </w:p>
    <w:tbl>
      <w:tblPr>
        <w:tblStyle w:val="2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1029"/>
        <w:gridCol w:w="975"/>
        <w:gridCol w:w="792"/>
        <w:gridCol w:w="499"/>
        <w:gridCol w:w="858"/>
        <w:gridCol w:w="702"/>
        <w:gridCol w:w="704"/>
        <w:gridCol w:w="484"/>
        <w:gridCol w:w="677"/>
        <w:gridCol w:w="9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Merge w:val="restar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序号</w:t>
            </w:r>
          </w:p>
        </w:tc>
        <w:tc>
          <w:tcPr>
            <w:tcW w:w="608" w:type="pct"/>
            <w:vMerge w:val="restar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废水类别</w:t>
            </w:r>
          </w:p>
        </w:tc>
        <w:tc>
          <w:tcPr>
            <w:tcW w:w="576" w:type="pct"/>
            <w:vMerge w:val="restar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污染物种类</w:t>
            </w:r>
          </w:p>
        </w:tc>
        <w:tc>
          <w:tcPr>
            <w:tcW w:w="468" w:type="pct"/>
            <w:vMerge w:val="restar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排放去向</w:t>
            </w:r>
          </w:p>
        </w:tc>
        <w:tc>
          <w:tcPr>
            <w:tcW w:w="295" w:type="pct"/>
            <w:vMerge w:val="restar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排放规律</w:t>
            </w:r>
          </w:p>
        </w:tc>
        <w:tc>
          <w:tcPr>
            <w:tcW w:w="1338" w:type="pct"/>
            <w:gridSpan w:val="3"/>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污染治理设施</w:t>
            </w:r>
          </w:p>
        </w:tc>
        <w:tc>
          <w:tcPr>
            <w:tcW w:w="286" w:type="pct"/>
            <w:vMerge w:val="restar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排放口编号</w:t>
            </w:r>
          </w:p>
        </w:tc>
        <w:tc>
          <w:tcPr>
            <w:tcW w:w="400" w:type="pct"/>
            <w:vMerge w:val="restar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排放口设置是否符合要求</w:t>
            </w:r>
          </w:p>
        </w:tc>
        <w:tc>
          <w:tcPr>
            <w:tcW w:w="552" w:type="pct"/>
            <w:vMerge w:val="restar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Merge w:val="continue"/>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p>
        </w:tc>
        <w:tc>
          <w:tcPr>
            <w:tcW w:w="608" w:type="pct"/>
            <w:vMerge w:val="continue"/>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p>
        </w:tc>
        <w:tc>
          <w:tcPr>
            <w:tcW w:w="576" w:type="pct"/>
            <w:vMerge w:val="continue"/>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p>
        </w:tc>
        <w:tc>
          <w:tcPr>
            <w:tcW w:w="468" w:type="pct"/>
            <w:vMerge w:val="continue"/>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p>
        </w:tc>
        <w:tc>
          <w:tcPr>
            <w:tcW w:w="295" w:type="pct"/>
            <w:vMerge w:val="continue"/>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p>
        </w:tc>
        <w:tc>
          <w:tcPr>
            <w:tcW w:w="507"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污染治理设施编号</w:t>
            </w:r>
          </w:p>
        </w:tc>
        <w:tc>
          <w:tcPr>
            <w:tcW w:w="415"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污染治理设施名称</w:t>
            </w:r>
          </w:p>
        </w:tc>
        <w:tc>
          <w:tcPr>
            <w:tcW w:w="415"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污染治理设施工艺</w:t>
            </w:r>
          </w:p>
        </w:tc>
        <w:tc>
          <w:tcPr>
            <w:tcW w:w="286" w:type="pct"/>
            <w:vMerge w:val="continue"/>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p>
        </w:tc>
        <w:tc>
          <w:tcPr>
            <w:tcW w:w="400" w:type="pct"/>
            <w:vMerge w:val="continue"/>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p>
        </w:tc>
        <w:tc>
          <w:tcPr>
            <w:tcW w:w="552" w:type="pct"/>
            <w:vMerge w:val="continue"/>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473"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w:t>
            </w:r>
          </w:p>
        </w:tc>
        <w:tc>
          <w:tcPr>
            <w:tcW w:w="608"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养殖废水（猪尿液、猪舍冲洗废水、猪粪含水）</w:t>
            </w:r>
          </w:p>
        </w:tc>
        <w:tc>
          <w:tcPr>
            <w:tcW w:w="576"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COD、BOD</w:t>
            </w:r>
            <w:r>
              <w:rPr>
                <w:rFonts w:hint="eastAsia"/>
                <w:color w:val="auto"/>
                <w:sz w:val="21"/>
                <w:szCs w:val="21"/>
                <w:highlight w:val="none"/>
                <w:vertAlign w:val="subscript"/>
                <w:lang w:val="en-US" w:eastAsia="zh-CN"/>
              </w:rPr>
              <w:t>5</w:t>
            </w:r>
            <w:r>
              <w:rPr>
                <w:rFonts w:hint="eastAsia"/>
                <w:color w:val="auto"/>
                <w:sz w:val="21"/>
                <w:szCs w:val="21"/>
                <w:highlight w:val="none"/>
                <w:lang w:val="en-US" w:eastAsia="zh-CN"/>
              </w:rPr>
              <w:t>、SS、氨氮</w:t>
            </w:r>
          </w:p>
        </w:tc>
        <w:tc>
          <w:tcPr>
            <w:tcW w:w="468" w:type="pct"/>
            <w:vMerge w:val="restar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黑膜沼气池厌氧发酵，制成沼液，沼液综合利用，不外排</w:t>
            </w:r>
          </w:p>
        </w:tc>
        <w:tc>
          <w:tcPr>
            <w:tcW w:w="295" w:type="pct"/>
            <w:vMerge w:val="restar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507" w:type="pct"/>
            <w:vMerge w:val="restar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TW001</w:t>
            </w:r>
          </w:p>
        </w:tc>
        <w:tc>
          <w:tcPr>
            <w:tcW w:w="415" w:type="pct"/>
            <w:vMerge w:val="restar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污水处理系统</w:t>
            </w:r>
          </w:p>
        </w:tc>
        <w:tc>
          <w:tcPr>
            <w:tcW w:w="415" w:type="pct"/>
            <w:vMerge w:val="restar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“固液分离+黑膜沼气池”</w:t>
            </w:r>
          </w:p>
        </w:tc>
        <w:tc>
          <w:tcPr>
            <w:tcW w:w="286" w:type="pct"/>
            <w:vMerge w:val="restar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400" w:type="pct"/>
            <w:vMerge w:val="restar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□是</w:t>
            </w:r>
          </w:p>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□否</w:t>
            </w:r>
          </w:p>
        </w:tc>
        <w:tc>
          <w:tcPr>
            <w:tcW w:w="552" w:type="pct"/>
            <w:vMerge w:val="restar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□企业总排</w:t>
            </w:r>
          </w:p>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□雨水排放</w:t>
            </w:r>
          </w:p>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□清净下水排放</w:t>
            </w:r>
          </w:p>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□温排水排放</w:t>
            </w:r>
          </w:p>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□车间或车间处理设施排放口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473" w:type="pct"/>
            <w:tcBorders>
              <w:tl2br w:val="nil"/>
              <w:tr2bl w:val="nil"/>
            </w:tcBorders>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608"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s="Times New Roman"/>
                <w:bCs/>
                <w:color w:val="auto"/>
                <w:spacing w:val="2"/>
                <w:sz w:val="21"/>
                <w:highlight w:val="none"/>
                <w:lang w:eastAsia="zh-CN"/>
              </w:rPr>
              <w:t>无害化处理车间废水</w:t>
            </w:r>
          </w:p>
        </w:tc>
        <w:tc>
          <w:tcPr>
            <w:tcW w:w="576"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COD、BOD</w:t>
            </w:r>
            <w:r>
              <w:rPr>
                <w:rFonts w:hint="eastAsia"/>
                <w:color w:val="auto"/>
                <w:sz w:val="21"/>
                <w:szCs w:val="21"/>
                <w:highlight w:val="none"/>
                <w:vertAlign w:val="subscript"/>
                <w:lang w:val="en-US" w:eastAsia="zh-CN"/>
              </w:rPr>
              <w:t>5</w:t>
            </w:r>
            <w:r>
              <w:rPr>
                <w:rFonts w:hint="eastAsia"/>
                <w:color w:val="auto"/>
                <w:sz w:val="21"/>
                <w:szCs w:val="21"/>
                <w:highlight w:val="none"/>
                <w:lang w:val="en-US" w:eastAsia="zh-CN"/>
              </w:rPr>
              <w:t>、SS、氨氮</w:t>
            </w:r>
          </w:p>
        </w:tc>
        <w:tc>
          <w:tcPr>
            <w:tcW w:w="468" w:type="pct"/>
            <w:vMerge w:val="continue"/>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p>
        </w:tc>
        <w:tc>
          <w:tcPr>
            <w:tcW w:w="295" w:type="pct"/>
            <w:vMerge w:val="continue"/>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p>
        </w:tc>
        <w:tc>
          <w:tcPr>
            <w:tcW w:w="507" w:type="pct"/>
            <w:vMerge w:val="continue"/>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p>
        </w:tc>
        <w:tc>
          <w:tcPr>
            <w:tcW w:w="415" w:type="pct"/>
            <w:vMerge w:val="continue"/>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p>
        </w:tc>
        <w:tc>
          <w:tcPr>
            <w:tcW w:w="415" w:type="pct"/>
            <w:vMerge w:val="continue"/>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p>
        </w:tc>
        <w:tc>
          <w:tcPr>
            <w:tcW w:w="286" w:type="pct"/>
            <w:vMerge w:val="continue"/>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p>
        </w:tc>
        <w:tc>
          <w:tcPr>
            <w:tcW w:w="400" w:type="pct"/>
            <w:vMerge w:val="continue"/>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p>
        </w:tc>
        <w:tc>
          <w:tcPr>
            <w:tcW w:w="552" w:type="pct"/>
            <w:vMerge w:val="continue"/>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3</w:t>
            </w:r>
          </w:p>
        </w:tc>
        <w:tc>
          <w:tcPr>
            <w:tcW w:w="608"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生活污水</w:t>
            </w:r>
          </w:p>
        </w:tc>
        <w:tc>
          <w:tcPr>
            <w:tcW w:w="576"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COD、BOD</w:t>
            </w:r>
            <w:r>
              <w:rPr>
                <w:rFonts w:hint="eastAsia"/>
                <w:color w:val="auto"/>
                <w:sz w:val="21"/>
                <w:szCs w:val="21"/>
                <w:highlight w:val="none"/>
                <w:vertAlign w:val="subscript"/>
                <w:lang w:val="en-US" w:eastAsia="zh-CN"/>
              </w:rPr>
              <w:t>5</w:t>
            </w:r>
            <w:r>
              <w:rPr>
                <w:rFonts w:hint="eastAsia"/>
                <w:color w:val="auto"/>
                <w:sz w:val="21"/>
                <w:szCs w:val="21"/>
                <w:highlight w:val="none"/>
                <w:lang w:val="en-US" w:eastAsia="zh-CN"/>
              </w:rPr>
              <w:t>、SS、氨氮</w:t>
            </w:r>
          </w:p>
        </w:tc>
        <w:tc>
          <w:tcPr>
            <w:tcW w:w="468" w:type="pct"/>
            <w:vMerge w:val="continue"/>
            <w:tcBorders>
              <w:tl2br w:val="nil"/>
              <w:tr2bl w:val="nil"/>
            </w:tcBorders>
            <w:noWrap w:val="0"/>
            <w:vAlign w:val="center"/>
          </w:tcPr>
          <w:p>
            <w:pPr>
              <w:pStyle w:val="136"/>
              <w:spacing w:line="240" w:lineRule="auto"/>
              <w:ind w:firstLine="0"/>
              <w:jc w:val="center"/>
              <w:rPr>
                <w:color w:val="auto"/>
                <w:sz w:val="21"/>
                <w:szCs w:val="21"/>
                <w:highlight w:val="none"/>
                <w:lang w:val="en-US" w:eastAsia="zh-CN"/>
              </w:rPr>
            </w:pPr>
          </w:p>
        </w:tc>
        <w:tc>
          <w:tcPr>
            <w:tcW w:w="295" w:type="pct"/>
            <w:vMerge w:val="continue"/>
            <w:tcBorders>
              <w:tl2br w:val="nil"/>
              <w:tr2bl w:val="nil"/>
            </w:tcBorders>
            <w:noWrap w:val="0"/>
            <w:vAlign w:val="center"/>
          </w:tcPr>
          <w:p>
            <w:pPr>
              <w:pStyle w:val="136"/>
              <w:spacing w:line="240" w:lineRule="auto"/>
              <w:ind w:firstLine="0"/>
              <w:jc w:val="center"/>
              <w:rPr>
                <w:color w:val="auto"/>
                <w:sz w:val="21"/>
                <w:szCs w:val="21"/>
                <w:highlight w:val="none"/>
                <w:lang w:val="en-US" w:eastAsia="zh-CN"/>
              </w:rPr>
            </w:pPr>
          </w:p>
        </w:tc>
        <w:tc>
          <w:tcPr>
            <w:tcW w:w="507" w:type="pct"/>
            <w:vMerge w:val="continue"/>
            <w:tcBorders>
              <w:tl2br w:val="nil"/>
              <w:tr2bl w:val="nil"/>
            </w:tcBorders>
            <w:noWrap w:val="0"/>
            <w:vAlign w:val="center"/>
          </w:tcPr>
          <w:p>
            <w:pPr>
              <w:pStyle w:val="136"/>
              <w:spacing w:line="240" w:lineRule="auto"/>
              <w:ind w:firstLine="0"/>
              <w:jc w:val="center"/>
              <w:rPr>
                <w:color w:val="auto"/>
                <w:sz w:val="21"/>
                <w:szCs w:val="21"/>
                <w:highlight w:val="none"/>
                <w:lang w:val="en-US" w:eastAsia="zh-CN"/>
              </w:rPr>
            </w:pPr>
          </w:p>
        </w:tc>
        <w:tc>
          <w:tcPr>
            <w:tcW w:w="415" w:type="pct"/>
            <w:vMerge w:val="continue"/>
            <w:tcBorders>
              <w:tl2br w:val="nil"/>
              <w:tr2bl w:val="nil"/>
            </w:tcBorders>
            <w:noWrap w:val="0"/>
            <w:vAlign w:val="center"/>
          </w:tcPr>
          <w:p>
            <w:pPr>
              <w:pStyle w:val="136"/>
              <w:spacing w:line="240" w:lineRule="auto"/>
              <w:ind w:firstLine="0"/>
              <w:jc w:val="center"/>
              <w:rPr>
                <w:color w:val="auto"/>
                <w:sz w:val="21"/>
                <w:szCs w:val="21"/>
                <w:highlight w:val="none"/>
                <w:lang w:val="en-US" w:eastAsia="zh-CN"/>
              </w:rPr>
            </w:pPr>
          </w:p>
        </w:tc>
        <w:tc>
          <w:tcPr>
            <w:tcW w:w="415" w:type="pct"/>
            <w:vMerge w:val="continue"/>
            <w:tcBorders>
              <w:tl2br w:val="nil"/>
              <w:tr2bl w:val="nil"/>
            </w:tcBorders>
            <w:noWrap w:val="0"/>
            <w:vAlign w:val="center"/>
          </w:tcPr>
          <w:p>
            <w:pPr>
              <w:pStyle w:val="136"/>
              <w:spacing w:line="240" w:lineRule="auto"/>
              <w:ind w:firstLine="0"/>
              <w:jc w:val="center"/>
              <w:rPr>
                <w:color w:val="auto"/>
                <w:sz w:val="21"/>
                <w:szCs w:val="21"/>
                <w:highlight w:val="none"/>
                <w:lang w:val="en-US" w:eastAsia="zh-CN"/>
              </w:rPr>
            </w:pPr>
          </w:p>
        </w:tc>
        <w:tc>
          <w:tcPr>
            <w:tcW w:w="286" w:type="pct"/>
            <w:vMerge w:val="continue"/>
            <w:tcBorders>
              <w:tl2br w:val="nil"/>
              <w:tr2bl w:val="nil"/>
            </w:tcBorders>
            <w:noWrap w:val="0"/>
            <w:vAlign w:val="center"/>
          </w:tcPr>
          <w:p>
            <w:pPr>
              <w:pStyle w:val="136"/>
              <w:spacing w:line="240" w:lineRule="auto"/>
              <w:ind w:firstLine="0"/>
              <w:jc w:val="center"/>
              <w:rPr>
                <w:color w:val="auto"/>
                <w:sz w:val="21"/>
                <w:szCs w:val="21"/>
                <w:highlight w:val="none"/>
                <w:lang w:val="en-US" w:eastAsia="zh-CN"/>
              </w:rPr>
            </w:pPr>
          </w:p>
        </w:tc>
        <w:tc>
          <w:tcPr>
            <w:tcW w:w="400" w:type="pct"/>
            <w:vMerge w:val="continue"/>
            <w:tcBorders>
              <w:tl2br w:val="nil"/>
              <w:tr2bl w:val="nil"/>
            </w:tcBorders>
            <w:noWrap w:val="0"/>
            <w:vAlign w:val="center"/>
          </w:tcPr>
          <w:p>
            <w:pPr>
              <w:pStyle w:val="136"/>
              <w:spacing w:line="240" w:lineRule="auto"/>
              <w:ind w:firstLine="0"/>
              <w:jc w:val="center"/>
              <w:rPr>
                <w:b/>
                <w:color w:val="auto"/>
                <w:sz w:val="21"/>
                <w:szCs w:val="21"/>
                <w:highlight w:val="none"/>
                <w:lang w:val="en-US" w:eastAsia="zh-CN"/>
              </w:rPr>
            </w:pPr>
          </w:p>
        </w:tc>
        <w:tc>
          <w:tcPr>
            <w:tcW w:w="552" w:type="pct"/>
            <w:vMerge w:val="continue"/>
            <w:tcBorders>
              <w:tl2br w:val="nil"/>
              <w:tr2bl w:val="nil"/>
            </w:tcBorders>
            <w:noWrap w:val="0"/>
            <w:vAlign w:val="center"/>
          </w:tcPr>
          <w:p>
            <w:pPr>
              <w:pStyle w:val="136"/>
              <w:spacing w:line="240" w:lineRule="auto"/>
              <w:ind w:firstLine="0"/>
              <w:jc w:val="center"/>
              <w:rPr>
                <w:b/>
                <w:color w:val="auto"/>
                <w:sz w:val="21"/>
                <w:szCs w:val="21"/>
                <w:highlight w:val="none"/>
                <w:lang w:val="en-US" w:eastAsia="zh-CN"/>
              </w:rPr>
            </w:pP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bCs/>
          <w:color w:val="auto"/>
          <w:sz w:val="24"/>
          <w:highlight w:val="none"/>
        </w:rPr>
      </w:pPr>
      <w:r>
        <w:rPr>
          <w:rFonts w:ascii="Times New Roman" w:hAnsi="Times New Roman"/>
          <w:bCs/>
          <w:color w:val="auto"/>
          <w:sz w:val="24"/>
          <w:highlight w:val="none"/>
        </w:rPr>
        <w:t>②废水污染物排放信息</w:t>
      </w:r>
    </w:p>
    <w:p>
      <w:pPr>
        <w:pStyle w:val="40"/>
        <w:rPr>
          <w:rFonts w:hint="eastAsia" w:cs="Times New Roman"/>
          <w:color w:val="auto"/>
          <w:highlight w:val="none"/>
          <w:lang w:val="en-US" w:eastAsia="zh-CN"/>
        </w:rPr>
      </w:pPr>
      <w:r>
        <w:rPr>
          <w:rFonts w:hint="eastAsia" w:cs="Times New Roman"/>
          <w:color w:val="auto"/>
          <w:highlight w:val="none"/>
          <w:lang w:val="en-US" w:eastAsia="zh-CN"/>
        </w:rPr>
        <w:t>表4.2-22 废水污染物排放信息表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359"/>
        <w:gridCol w:w="1164"/>
        <w:gridCol w:w="1636"/>
        <w:gridCol w:w="1770"/>
        <w:gridCol w:w="17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49"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序号</w:t>
            </w:r>
          </w:p>
        </w:tc>
        <w:tc>
          <w:tcPr>
            <w:tcW w:w="803"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排放口编号</w:t>
            </w:r>
          </w:p>
        </w:tc>
        <w:tc>
          <w:tcPr>
            <w:tcW w:w="688"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污染物种类</w:t>
            </w:r>
          </w:p>
        </w:tc>
        <w:tc>
          <w:tcPr>
            <w:tcW w:w="967"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排放浓度/（mg/L）</w:t>
            </w:r>
          </w:p>
        </w:tc>
        <w:tc>
          <w:tcPr>
            <w:tcW w:w="1046"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日排放量/（t/d）</w:t>
            </w:r>
          </w:p>
        </w:tc>
        <w:tc>
          <w:tcPr>
            <w:tcW w:w="1045"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w:t>
            </w:r>
          </w:p>
        </w:tc>
        <w:tc>
          <w:tcPr>
            <w:tcW w:w="803" w:type="pct"/>
            <w:vMerge w:val="restar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688"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COD</w:t>
            </w:r>
          </w:p>
        </w:tc>
        <w:tc>
          <w:tcPr>
            <w:tcW w:w="967"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046"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w:t>
            </w:r>
          </w:p>
        </w:tc>
        <w:tc>
          <w:tcPr>
            <w:tcW w:w="1045"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w:t>
            </w:r>
          </w:p>
        </w:tc>
        <w:tc>
          <w:tcPr>
            <w:tcW w:w="803" w:type="pct"/>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688"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BOD</w:t>
            </w:r>
            <w:r>
              <w:rPr>
                <w:rFonts w:hint="eastAsia"/>
                <w:color w:val="auto"/>
                <w:sz w:val="21"/>
                <w:szCs w:val="21"/>
                <w:highlight w:val="none"/>
                <w:vertAlign w:val="subscript"/>
                <w:lang w:val="en-US" w:eastAsia="zh-CN"/>
              </w:rPr>
              <w:t>5</w:t>
            </w:r>
          </w:p>
        </w:tc>
        <w:tc>
          <w:tcPr>
            <w:tcW w:w="967"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046"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w:t>
            </w:r>
          </w:p>
        </w:tc>
        <w:tc>
          <w:tcPr>
            <w:tcW w:w="1045"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3</w:t>
            </w:r>
          </w:p>
        </w:tc>
        <w:tc>
          <w:tcPr>
            <w:tcW w:w="803" w:type="pct"/>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688"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SS</w:t>
            </w:r>
          </w:p>
        </w:tc>
        <w:tc>
          <w:tcPr>
            <w:tcW w:w="967"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046"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w:t>
            </w:r>
          </w:p>
        </w:tc>
        <w:tc>
          <w:tcPr>
            <w:tcW w:w="1045"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4</w:t>
            </w:r>
          </w:p>
        </w:tc>
        <w:tc>
          <w:tcPr>
            <w:tcW w:w="803" w:type="pct"/>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688"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氨氮</w:t>
            </w:r>
          </w:p>
        </w:tc>
        <w:tc>
          <w:tcPr>
            <w:tcW w:w="967"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046"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w:t>
            </w:r>
          </w:p>
        </w:tc>
        <w:tc>
          <w:tcPr>
            <w:tcW w:w="1045"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2" w:type="pct"/>
            <w:gridSpan w:val="2"/>
            <w:vMerge w:val="restar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合计</w:t>
            </w:r>
          </w:p>
        </w:tc>
        <w:tc>
          <w:tcPr>
            <w:tcW w:w="2701" w:type="pct"/>
            <w:gridSpan w:val="3"/>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COD</w:t>
            </w:r>
          </w:p>
        </w:tc>
        <w:tc>
          <w:tcPr>
            <w:tcW w:w="1045"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2" w:type="pct"/>
            <w:gridSpan w:val="2"/>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2701" w:type="pct"/>
            <w:gridSpan w:val="3"/>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BOD</w:t>
            </w:r>
            <w:r>
              <w:rPr>
                <w:rFonts w:hint="eastAsia"/>
                <w:color w:val="auto"/>
                <w:sz w:val="21"/>
                <w:szCs w:val="21"/>
                <w:highlight w:val="none"/>
                <w:vertAlign w:val="subscript"/>
                <w:lang w:val="en-US" w:eastAsia="zh-CN"/>
              </w:rPr>
              <w:t>5</w:t>
            </w:r>
          </w:p>
        </w:tc>
        <w:tc>
          <w:tcPr>
            <w:tcW w:w="1045"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2" w:type="pct"/>
            <w:gridSpan w:val="2"/>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2701" w:type="pct"/>
            <w:gridSpan w:val="3"/>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SS</w:t>
            </w:r>
          </w:p>
        </w:tc>
        <w:tc>
          <w:tcPr>
            <w:tcW w:w="1045"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2" w:type="pct"/>
            <w:gridSpan w:val="2"/>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2701" w:type="pct"/>
            <w:gridSpan w:val="3"/>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氨氮</w:t>
            </w:r>
          </w:p>
        </w:tc>
        <w:tc>
          <w:tcPr>
            <w:tcW w:w="1045"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w:t>
            </w:r>
          </w:p>
        </w:tc>
      </w:tr>
    </w:tbl>
    <w:p>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bCs/>
          <w:color w:val="auto"/>
          <w:sz w:val="24"/>
          <w:highlight w:val="none"/>
        </w:rPr>
      </w:pPr>
      <w:r>
        <w:rPr>
          <w:rFonts w:ascii="Times New Roman" w:hAnsi="Times New Roman"/>
          <w:bCs/>
          <w:color w:val="auto"/>
          <w:sz w:val="24"/>
          <w:highlight w:val="none"/>
        </w:rPr>
        <w:t>③污染物排放量核算</w:t>
      </w:r>
    </w:p>
    <w:p>
      <w:pPr>
        <w:pStyle w:val="21"/>
        <w:rPr>
          <w:rFonts w:hint="eastAsia" w:cs="Times New Roman"/>
          <w:color w:val="auto"/>
          <w:highlight w:val="none"/>
        </w:rPr>
      </w:pPr>
      <w:r>
        <w:rPr>
          <w:rFonts w:hint="eastAsia" w:cs="Times New Roman"/>
          <w:color w:val="auto"/>
          <w:highlight w:val="none"/>
        </w:rPr>
        <w:t>表</w:t>
      </w:r>
      <w:r>
        <w:rPr>
          <w:rFonts w:hint="eastAsia" w:cs="Times New Roman"/>
          <w:color w:val="auto"/>
          <w:highlight w:val="none"/>
          <w:lang w:val="en-US" w:eastAsia="zh-CN"/>
        </w:rPr>
        <w:t>4.2</w:t>
      </w:r>
      <w:r>
        <w:rPr>
          <w:rFonts w:hint="eastAsia" w:cs="Times New Roman"/>
          <w:color w:val="auto"/>
          <w:highlight w:val="none"/>
        </w:rPr>
        <w:t>-2</w:t>
      </w:r>
      <w:r>
        <w:rPr>
          <w:rFonts w:hint="eastAsia" w:cs="Times New Roman"/>
          <w:color w:val="auto"/>
          <w:highlight w:val="none"/>
          <w:lang w:val="en-US" w:eastAsia="zh-CN"/>
        </w:rPr>
        <w:t>3</w:t>
      </w:r>
      <w:r>
        <w:rPr>
          <w:rFonts w:hint="eastAsia" w:cs="Times New Roman"/>
          <w:color w:val="auto"/>
          <w:highlight w:val="none"/>
        </w:rPr>
        <w:t xml:space="preserve"> 水污染物年排放量核算表</w:t>
      </w:r>
    </w:p>
    <w:tbl>
      <w:tblPr>
        <w:tblStyle w:val="24"/>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939"/>
        <w:gridCol w:w="3091"/>
        <w:gridCol w:w="324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72"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序号</w:t>
            </w:r>
          </w:p>
        </w:tc>
        <w:tc>
          <w:tcPr>
            <w:tcW w:w="1868"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污染物</w:t>
            </w:r>
          </w:p>
        </w:tc>
        <w:tc>
          <w:tcPr>
            <w:tcW w:w="1959"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年排放量/（t/a）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72"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w:t>
            </w:r>
          </w:p>
        </w:tc>
        <w:tc>
          <w:tcPr>
            <w:tcW w:w="1868"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COD</w:t>
            </w:r>
          </w:p>
        </w:tc>
        <w:tc>
          <w:tcPr>
            <w:tcW w:w="1959"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72"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w:t>
            </w:r>
          </w:p>
        </w:tc>
        <w:tc>
          <w:tcPr>
            <w:tcW w:w="1868"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BOD</w:t>
            </w:r>
            <w:r>
              <w:rPr>
                <w:rFonts w:hint="eastAsia"/>
                <w:color w:val="auto"/>
                <w:sz w:val="21"/>
                <w:szCs w:val="21"/>
                <w:highlight w:val="none"/>
                <w:vertAlign w:val="subscript"/>
                <w:lang w:val="en-US" w:eastAsia="zh-CN"/>
              </w:rPr>
              <w:t>5</w:t>
            </w:r>
          </w:p>
        </w:tc>
        <w:tc>
          <w:tcPr>
            <w:tcW w:w="1959"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72"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3</w:t>
            </w:r>
          </w:p>
        </w:tc>
        <w:tc>
          <w:tcPr>
            <w:tcW w:w="1868"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SS</w:t>
            </w:r>
          </w:p>
        </w:tc>
        <w:tc>
          <w:tcPr>
            <w:tcW w:w="1959"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72"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4</w:t>
            </w:r>
          </w:p>
        </w:tc>
        <w:tc>
          <w:tcPr>
            <w:tcW w:w="1868"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氨氮</w:t>
            </w:r>
          </w:p>
        </w:tc>
        <w:tc>
          <w:tcPr>
            <w:tcW w:w="1959"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w:t>
            </w:r>
          </w:p>
        </w:tc>
      </w:tr>
    </w:tbl>
    <w:p>
      <w:pPr>
        <w:pStyle w:val="6"/>
        <w:ind w:firstLine="482"/>
        <w:rPr>
          <w:rFonts w:hint="eastAsia"/>
          <w:color w:val="auto"/>
          <w:highlight w:val="none"/>
          <w:lang w:val="en-US" w:eastAsia="zh-CN"/>
        </w:rPr>
      </w:pPr>
      <w:r>
        <w:rPr>
          <w:rFonts w:hint="eastAsia"/>
          <w:color w:val="auto"/>
          <w:highlight w:val="none"/>
          <w:lang w:val="en-US" w:eastAsia="zh-CN"/>
        </w:rPr>
        <w:t>4.2.2.4结论</w:t>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bCs/>
          <w:color w:val="auto"/>
          <w:sz w:val="24"/>
          <w:highlight w:val="none"/>
        </w:rPr>
      </w:pPr>
      <w:r>
        <w:rPr>
          <w:rFonts w:ascii="Times New Roman" w:hAnsi="Times New Roman"/>
          <w:bCs/>
          <w:color w:val="auto"/>
          <w:sz w:val="24"/>
          <w:highlight w:val="none"/>
        </w:rPr>
        <w:t>（1）水环境影响评价结论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highlight w:val="none"/>
        </w:rPr>
      </w:pPr>
      <w:r>
        <w:rPr>
          <w:rFonts w:ascii="Times New Roman" w:hAnsi="Times New Roman"/>
          <w:bCs/>
          <w:color w:val="auto"/>
          <w:sz w:val="24"/>
          <w:highlight w:val="none"/>
        </w:rPr>
        <w:t>本项目营运期间废水主要有养殖废水（包括猪尿液、猪舍冲洗废水、猪粪带入废水）</w:t>
      </w:r>
      <w:r>
        <w:rPr>
          <w:rFonts w:hint="eastAsia"/>
          <w:bCs/>
          <w:color w:val="auto"/>
          <w:sz w:val="24"/>
          <w:highlight w:val="none"/>
          <w:lang w:eastAsia="zh-CN"/>
        </w:rPr>
        <w:t>、无害化处理车间废水</w:t>
      </w:r>
      <w:r>
        <w:rPr>
          <w:rFonts w:ascii="Times New Roman" w:hAnsi="Times New Roman"/>
          <w:bCs/>
          <w:color w:val="auto"/>
          <w:sz w:val="24"/>
          <w:highlight w:val="none"/>
        </w:rPr>
        <w:t>及职工生活废水，全部进入污水处理系统处理，经处理后制成的沼液综合利用，不外排，对周围地表水环境影响较小。</w:t>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bCs/>
          <w:color w:val="auto"/>
          <w:sz w:val="24"/>
          <w:highlight w:val="none"/>
        </w:rPr>
      </w:pPr>
      <w:r>
        <w:rPr>
          <w:rFonts w:ascii="Times New Roman" w:hAnsi="Times New Roman"/>
          <w:bCs/>
          <w:color w:val="auto"/>
          <w:sz w:val="24"/>
          <w:highlight w:val="none"/>
        </w:rPr>
        <w:t>（2）污染物排放量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color w:val="auto"/>
          <w:sz w:val="24"/>
          <w:highlight w:val="none"/>
        </w:rPr>
      </w:pPr>
      <w:r>
        <w:rPr>
          <w:color w:val="auto"/>
          <w:sz w:val="24"/>
          <w:highlight w:val="none"/>
        </w:rPr>
        <w:t>本项目营运期间无废水外排，养殖场不设置污水排放口，因此，项目营运期间对周围地表水环境影响不大。</w:t>
      </w:r>
    </w:p>
    <w:p>
      <w:pPr>
        <w:pStyle w:val="5"/>
        <w:spacing w:before="66"/>
        <w:ind w:firstLine="482"/>
        <w:rPr>
          <w:color w:val="auto"/>
          <w:highlight w:val="none"/>
        </w:rPr>
      </w:pPr>
      <w:r>
        <w:rPr>
          <w:rFonts w:hint="eastAsia"/>
          <w:color w:val="auto"/>
          <w:highlight w:val="none"/>
          <w:lang w:val="en-US" w:eastAsia="zh-CN"/>
        </w:rPr>
        <w:t>4</w:t>
      </w:r>
      <w:r>
        <w:rPr>
          <w:color w:val="auto"/>
          <w:highlight w:val="none"/>
        </w:rPr>
        <w:t>.</w:t>
      </w:r>
      <w:r>
        <w:rPr>
          <w:rFonts w:hint="eastAsia"/>
          <w:color w:val="auto"/>
          <w:highlight w:val="none"/>
        </w:rPr>
        <w:t>2.3地</w:t>
      </w:r>
      <w:r>
        <w:rPr>
          <w:color w:val="auto"/>
          <w:highlight w:val="none"/>
        </w:rPr>
        <w:t>下水环境影响预测与评价</w:t>
      </w:r>
    </w:p>
    <w:p>
      <w:pPr>
        <w:pStyle w:val="6"/>
        <w:ind w:firstLine="482"/>
        <w:rPr>
          <w:rFonts w:hint="eastAsia"/>
          <w:color w:val="auto"/>
          <w:highlight w:val="none"/>
          <w:lang w:eastAsia="zh-CN"/>
        </w:rPr>
      </w:pPr>
      <w:r>
        <w:rPr>
          <w:rFonts w:hint="eastAsia"/>
          <w:color w:val="auto"/>
          <w:highlight w:val="none"/>
          <w:lang w:val="en-US" w:eastAsia="zh-CN"/>
        </w:rPr>
        <w:t>4</w:t>
      </w:r>
      <w:r>
        <w:rPr>
          <w:color w:val="auto"/>
          <w:highlight w:val="none"/>
        </w:rPr>
        <w:t>.2.3.1</w:t>
      </w:r>
      <w:r>
        <w:rPr>
          <w:rFonts w:hint="eastAsia"/>
          <w:color w:val="auto"/>
          <w:highlight w:val="none"/>
          <w:lang w:eastAsia="zh-CN"/>
        </w:rPr>
        <w:t>评价工作等级确定</w:t>
      </w:r>
    </w:p>
    <w:p>
      <w:pPr>
        <w:keepNext w:val="0"/>
        <w:keepLines w:val="0"/>
        <w:pageBreakBefore w:val="0"/>
        <w:widowControl/>
        <w:kinsoku/>
        <w:wordWrap/>
        <w:overflowPunct/>
        <w:topLinePunct/>
        <w:autoSpaceDE/>
        <w:autoSpaceDN/>
        <w:bidi w:val="0"/>
        <w:adjustRightInd/>
        <w:snapToGrid/>
        <w:spacing w:line="360" w:lineRule="auto"/>
        <w:ind w:firstLine="480" w:firstLineChars="200"/>
        <w:textAlignment w:val="auto"/>
        <w:rPr>
          <w:rFonts w:ascii="Times New Roman" w:hAnsi="Times New Roman"/>
          <w:color w:val="auto"/>
          <w:sz w:val="24"/>
          <w:szCs w:val="28"/>
          <w:highlight w:val="none"/>
          <w:lang w:val="en-GB"/>
        </w:rPr>
      </w:pPr>
      <w:r>
        <w:rPr>
          <w:rFonts w:ascii="Times New Roman" w:hAnsi="Times New Roman"/>
          <w:color w:val="auto"/>
          <w:sz w:val="24"/>
          <w:szCs w:val="28"/>
          <w:highlight w:val="none"/>
          <w:lang w:val="en-GB"/>
        </w:rPr>
        <w:t>根据《环境影响评价技术导则</w:t>
      </w:r>
      <w:r>
        <w:rPr>
          <w:rFonts w:hint="eastAsia"/>
          <w:color w:val="auto"/>
          <w:sz w:val="24"/>
          <w:szCs w:val="28"/>
          <w:highlight w:val="none"/>
          <w:lang w:val="en-US" w:eastAsia="zh-CN"/>
        </w:rPr>
        <w:t xml:space="preserve"> </w:t>
      </w:r>
      <w:r>
        <w:rPr>
          <w:rFonts w:ascii="Times New Roman" w:hAnsi="Times New Roman"/>
          <w:color w:val="auto"/>
          <w:sz w:val="24"/>
          <w:szCs w:val="28"/>
          <w:highlight w:val="none"/>
          <w:lang w:val="en-GB"/>
        </w:rPr>
        <w:t>地下水环境》（HJ610-2016）评价等级划分依据，建设项目评价等级由项目类别和环境敏感程度共同判定：</w:t>
      </w:r>
    </w:p>
    <w:p>
      <w:pPr>
        <w:keepNext w:val="0"/>
        <w:keepLines w:val="0"/>
        <w:pageBreakBefore w:val="0"/>
        <w:widowControl/>
        <w:kinsoku/>
        <w:wordWrap/>
        <w:overflowPunct/>
        <w:topLinePunct/>
        <w:autoSpaceDE/>
        <w:autoSpaceDN/>
        <w:bidi w:val="0"/>
        <w:adjustRightInd/>
        <w:snapToGrid/>
        <w:spacing w:line="360" w:lineRule="auto"/>
        <w:ind w:firstLine="480" w:firstLineChars="200"/>
        <w:textAlignment w:val="auto"/>
        <w:rPr>
          <w:rFonts w:ascii="Times New Roman" w:hAnsi="Times New Roman"/>
          <w:color w:val="auto"/>
          <w:sz w:val="24"/>
          <w:szCs w:val="28"/>
          <w:highlight w:val="none"/>
          <w:lang w:val="en-GB"/>
        </w:rPr>
      </w:pPr>
      <w:r>
        <w:rPr>
          <w:rFonts w:ascii="Times New Roman" w:hAnsi="Times New Roman"/>
          <w:color w:val="auto"/>
          <w:sz w:val="24"/>
          <w:szCs w:val="28"/>
          <w:highlight w:val="none"/>
          <w:lang w:val="en-GB"/>
        </w:rPr>
        <w:t>（1）地下水环境影响评价项目类别：根据HJ610-2016附录A</w:t>
      </w:r>
      <w:r>
        <w:rPr>
          <w:rFonts w:hint="eastAsia" w:asciiTheme="minorEastAsia" w:hAnsiTheme="minorEastAsia" w:eastAsiaTheme="minorEastAsia" w:cstheme="minorEastAsia"/>
          <w:color w:val="auto"/>
          <w:sz w:val="24"/>
          <w:szCs w:val="28"/>
          <w:highlight w:val="none"/>
          <w:lang w:val="en-GB"/>
        </w:rPr>
        <w:t>“地下水环境影响评价行业分类表”</w:t>
      </w:r>
      <w:r>
        <w:rPr>
          <w:rFonts w:ascii="Times New Roman" w:hAnsi="Times New Roman"/>
          <w:color w:val="auto"/>
          <w:sz w:val="24"/>
          <w:szCs w:val="28"/>
          <w:highlight w:val="none"/>
          <w:lang w:val="en-GB"/>
        </w:rPr>
        <w:t>，本项目行业类别属于畜禽养殖场、养殖小区项目，环境影响评价文件类型为报告书，因此其地下水环境影响评价项目类别为Ⅲ类。</w:t>
      </w:r>
    </w:p>
    <w:p>
      <w:pPr>
        <w:keepNext w:val="0"/>
        <w:keepLines w:val="0"/>
        <w:pageBreakBefore w:val="0"/>
        <w:widowControl/>
        <w:kinsoku/>
        <w:wordWrap/>
        <w:overflowPunct/>
        <w:topLinePunct/>
        <w:autoSpaceDE/>
        <w:autoSpaceDN/>
        <w:bidi w:val="0"/>
        <w:adjustRightInd/>
        <w:snapToGrid/>
        <w:spacing w:line="360" w:lineRule="auto"/>
        <w:ind w:firstLine="480" w:firstLineChars="200"/>
        <w:textAlignment w:val="auto"/>
        <w:rPr>
          <w:rFonts w:ascii="Times New Roman" w:hAnsi="Times New Roman"/>
          <w:color w:val="auto"/>
          <w:sz w:val="24"/>
          <w:szCs w:val="28"/>
          <w:highlight w:val="none"/>
          <w:lang w:val="en-GB"/>
        </w:rPr>
      </w:pPr>
      <w:r>
        <w:rPr>
          <w:rFonts w:ascii="Times New Roman" w:hAnsi="Times New Roman"/>
          <w:color w:val="auto"/>
          <w:sz w:val="24"/>
          <w:szCs w:val="28"/>
          <w:highlight w:val="none"/>
          <w:lang w:val="en-GB"/>
        </w:rPr>
        <w:t>（2）建设项目场地的地下水环境敏感程度</w:t>
      </w:r>
      <w:r>
        <w:rPr>
          <w:rFonts w:hint="eastAsia"/>
          <w:color w:val="auto"/>
          <w:sz w:val="24"/>
          <w:szCs w:val="28"/>
          <w:highlight w:val="none"/>
          <w:lang w:val="en-GB" w:eastAsia="zh-CN"/>
        </w:rPr>
        <w:t>：</w:t>
      </w:r>
      <w:r>
        <w:rPr>
          <w:rFonts w:ascii="Times New Roman" w:hAnsi="Times New Roman"/>
          <w:color w:val="auto"/>
          <w:sz w:val="24"/>
          <w:szCs w:val="28"/>
          <w:highlight w:val="none"/>
          <w:lang w:val="en-GB"/>
        </w:rPr>
        <w:t>根据《河南省县级集中式饮用水水源保护区划》，本项目在饮用水源保护区范围之外，不会对</w:t>
      </w:r>
      <w:r>
        <w:rPr>
          <w:rFonts w:hint="eastAsia"/>
          <w:color w:val="auto"/>
          <w:sz w:val="24"/>
          <w:szCs w:val="28"/>
          <w:highlight w:val="none"/>
          <w:lang w:val="en-GB" w:eastAsia="zh-CN"/>
        </w:rPr>
        <w:t>平舆</w:t>
      </w:r>
      <w:r>
        <w:rPr>
          <w:rFonts w:ascii="Times New Roman" w:hAnsi="Times New Roman"/>
          <w:color w:val="auto"/>
          <w:sz w:val="24"/>
          <w:szCs w:val="28"/>
          <w:highlight w:val="none"/>
          <w:lang w:val="en-GB"/>
        </w:rPr>
        <w:t>县饮用水源产生影响。且本项目周围无国家和地方政府设定的与地下水环境相关的其它保护区。</w:t>
      </w:r>
      <w:r>
        <w:rPr>
          <w:rFonts w:hint="eastAsia" w:ascii="Times New Roman" w:hAnsi="Times New Roman"/>
          <w:color w:val="auto"/>
          <w:sz w:val="24"/>
          <w:szCs w:val="28"/>
          <w:highlight w:val="none"/>
          <w:lang w:val="en-GB"/>
        </w:rPr>
        <w:t>项目场地距离最近分散居民饮用水源为</w:t>
      </w:r>
      <w:r>
        <w:rPr>
          <w:rFonts w:hint="eastAsia"/>
          <w:color w:val="auto"/>
          <w:sz w:val="24"/>
          <w:szCs w:val="28"/>
          <w:highlight w:val="none"/>
          <w:lang w:val="en-GB" w:eastAsia="zh-CN"/>
        </w:rPr>
        <w:t>东北</w:t>
      </w:r>
      <w:r>
        <w:rPr>
          <w:rFonts w:hint="eastAsia" w:ascii="Times New Roman" w:hAnsi="Times New Roman"/>
          <w:color w:val="auto"/>
          <w:sz w:val="24"/>
          <w:szCs w:val="28"/>
          <w:highlight w:val="none"/>
          <w:lang w:val="en-GB"/>
        </w:rPr>
        <w:t>侧</w:t>
      </w:r>
      <w:r>
        <w:rPr>
          <w:rFonts w:hint="eastAsia"/>
          <w:color w:val="auto"/>
          <w:sz w:val="24"/>
          <w:szCs w:val="28"/>
          <w:highlight w:val="none"/>
          <w:lang w:val="en-US" w:eastAsia="zh-CN"/>
        </w:rPr>
        <w:t>420</w:t>
      </w:r>
      <w:r>
        <w:rPr>
          <w:rFonts w:hint="eastAsia" w:ascii="Times New Roman" w:hAnsi="Times New Roman"/>
          <w:color w:val="auto"/>
          <w:sz w:val="24"/>
          <w:szCs w:val="28"/>
          <w:highlight w:val="none"/>
          <w:lang w:val="en-GB"/>
        </w:rPr>
        <w:t>m处</w:t>
      </w:r>
      <w:r>
        <w:rPr>
          <w:rFonts w:hint="eastAsia"/>
          <w:color w:val="auto"/>
          <w:kern w:val="2"/>
          <w:highlight w:val="none"/>
          <w:lang w:eastAsia="zh-CN"/>
        </w:rPr>
        <w:t>吴自岐庄</w:t>
      </w:r>
      <w:r>
        <w:rPr>
          <w:rFonts w:hint="eastAsia" w:ascii="Times New Roman" w:hAnsi="Times New Roman"/>
          <w:color w:val="auto"/>
          <w:sz w:val="24"/>
          <w:szCs w:val="28"/>
          <w:highlight w:val="none"/>
          <w:lang w:val="en-GB"/>
        </w:rPr>
        <w:t>村民自备水井。因此，本项目的地下水环境敏感程度为较敏感。</w:t>
      </w:r>
    </w:p>
    <w:p>
      <w:pPr>
        <w:keepNext w:val="0"/>
        <w:keepLines w:val="0"/>
        <w:pageBreakBefore w:val="0"/>
        <w:widowControl/>
        <w:kinsoku/>
        <w:wordWrap/>
        <w:overflowPunct/>
        <w:autoSpaceDE/>
        <w:autoSpaceDN/>
        <w:bidi w:val="0"/>
        <w:adjustRightInd/>
        <w:snapToGrid/>
        <w:spacing w:line="360" w:lineRule="auto"/>
        <w:textAlignment w:val="auto"/>
        <w:rPr>
          <w:rFonts w:hint="eastAsia" w:eastAsia="宋体"/>
          <w:color w:val="auto"/>
          <w:highlight w:val="none"/>
          <w:lang w:eastAsia="zh-CN"/>
        </w:rPr>
      </w:pPr>
      <w:r>
        <w:rPr>
          <w:rFonts w:ascii="Times New Roman" w:hAnsi="Times New Roman"/>
          <w:color w:val="auto"/>
          <w:sz w:val="24"/>
          <w:szCs w:val="28"/>
          <w:highlight w:val="none"/>
          <w:lang w:val="en-GB"/>
        </w:rPr>
        <w:t>根据评价工作等级分级表可知，本项目地下水评价工作等级为三级</w:t>
      </w:r>
      <w:r>
        <w:rPr>
          <w:rFonts w:hint="eastAsia" w:ascii="Times New Roman" w:hAnsi="Times New Roman"/>
          <w:color w:val="auto"/>
          <w:sz w:val="24"/>
          <w:szCs w:val="28"/>
          <w:highlight w:val="none"/>
          <w:lang w:val="en-GB" w:eastAsia="zh-CN"/>
        </w:rPr>
        <w:t>。</w:t>
      </w:r>
    </w:p>
    <w:p>
      <w:pPr>
        <w:pStyle w:val="6"/>
        <w:ind w:firstLine="482"/>
        <w:rPr>
          <w:color w:val="auto"/>
          <w:highlight w:val="none"/>
        </w:rPr>
      </w:pPr>
      <w:r>
        <w:rPr>
          <w:rFonts w:hint="eastAsia"/>
          <w:color w:val="auto"/>
          <w:highlight w:val="none"/>
          <w:lang w:val="en-US" w:eastAsia="zh-CN"/>
        </w:rPr>
        <w:t>4</w:t>
      </w:r>
      <w:r>
        <w:rPr>
          <w:color w:val="auto"/>
          <w:highlight w:val="none"/>
        </w:rPr>
        <w:t>.2.3.</w:t>
      </w:r>
      <w:r>
        <w:rPr>
          <w:rFonts w:hint="eastAsia"/>
          <w:color w:val="auto"/>
          <w:highlight w:val="none"/>
          <w:lang w:val="en-US" w:eastAsia="zh-CN"/>
        </w:rPr>
        <w:t>2</w:t>
      </w:r>
      <w:r>
        <w:rPr>
          <w:rFonts w:hint="eastAsia"/>
          <w:color w:val="auto"/>
          <w:highlight w:val="none"/>
        </w:rPr>
        <w:t>区域地下水特征</w:t>
      </w:r>
    </w:p>
    <w:p>
      <w:pPr>
        <w:keepNext w:val="0"/>
        <w:keepLines w:val="0"/>
        <w:pageBreakBefore w:val="0"/>
        <w:kinsoku/>
        <w:wordWrap/>
        <w:overflowPunct/>
        <w:topLinePunct w:val="0"/>
        <w:bidi w:val="0"/>
        <w:adjustRightInd/>
        <w:snapToGrid/>
        <w:ind w:firstLine="480"/>
        <w:textAlignment w:val="auto"/>
        <w:rPr>
          <w:color w:val="auto"/>
          <w:highlight w:val="none"/>
        </w:rPr>
      </w:pPr>
      <w:r>
        <w:rPr>
          <w:rFonts w:hint="eastAsia"/>
          <w:color w:val="auto"/>
          <w:highlight w:val="none"/>
        </w:rPr>
        <w:t>（1）地质状况</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ascii="Times New Roman" w:hAnsi="Times New Roman" w:cs="Times New Roman"/>
          <w:color w:val="auto"/>
          <w:sz w:val="24"/>
          <w:szCs w:val="22"/>
          <w:highlight w:val="none"/>
        </w:rPr>
      </w:pPr>
      <w:r>
        <w:rPr>
          <w:rFonts w:ascii="Times New Roman" w:hAnsi="Times New Roman" w:cs="Times New Roman"/>
          <w:color w:val="auto"/>
          <w:sz w:val="24"/>
          <w:szCs w:val="22"/>
          <w:highlight w:val="none"/>
        </w:rPr>
        <w:t>本项目位于</w:t>
      </w:r>
      <w:r>
        <w:rPr>
          <w:rFonts w:hint="eastAsia" w:cs="Times New Roman"/>
          <w:color w:val="auto"/>
          <w:sz w:val="24"/>
          <w:szCs w:val="22"/>
          <w:highlight w:val="none"/>
          <w:lang w:eastAsia="zh-CN"/>
        </w:rPr>
        <w:t>平舆县庙湾乡赵庄村</w:t>
      </w:r>
      <w:r>
        <w:rPr>
          <w:rFonts w:ascii="Times New Roman" w:hAnsi="Times New Roman" w:cs="Times New Roman"/>
          <w:color w:val="auto"/>
          <w:sz w:val="24"/>
          <w:szCs w:val="22"/>
          <w:highlight w:val="none"/>
        </w:rPr>
        <w:t>，地下水流向和地势基本一致，由西</w:t>
      </w:r>
      <w:r>
        <w:rPr>
          <w:rFonts w:hint="eastAsia" w:cs="Times New Roman"/>
          <w:color w:val="auto"/>
          <w:sz w:val="24"/>
          <w:szCs w:val="22"/>
          <w:highlight w:val="none"/>
          <w:lang w:eastAsia="zh-CN"/>
        </w:rPr>
        <w:t>南</w:t>
      </w:r>
      <w:r>
        <w:rPr>
          <w:rFonts w:ascii="Times New Roman" w:hAnsi="Times New Roman" w:cs="Times New Roman"/>
          <w:color w:val="auto"/>
          <w:sz w:val="24"/>
          <w:szCs w:val="22"/>
          <w:highlight w:val="none"/>
        </w:rPr>
        <w:t>向东</w:t>
      </w:r>
      <w:r>
        <w:rPr>
          <w:rFonts w:hint="eastAsia" w:cs="Times New Roman"/>
          <w:color w:val="auto"/>
          <w:sz w:val="24"/>
          <w:szCs w:val="22"/>
          <w:highlight w:val="none"/>
          <w:lang w:eastAsia="zh-CN"/>
        </w:rPr>
        <w:t>北</w:t>
      </w:r>
      <w:r>
        <w:rPr>
          <w:rFonts w:ascii="Times New Roman" w:hAnsi="Times New Roman" w:cs="Times New Roman"/>
          <w:color w:val="auto"/>
          <w:sz w:val="24"/>
          <w:szCs w:val="22"/>
          <w:highlight w:val="none"/>
        </w:rPr>
        <w:t>减低。</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lang w:eastAsia="zh-CN"/>
        </w:rPr>
        <w:t>平舆县地下水资源分为三个水文地质分区：芦岗以东的岗东平原富水区、岗西中等富水区、岗岭贫水区。根据河南省地矿厅地质三队提供的勘查资料，城区</w:t>
      </w:r>
      <w:r>
        <w:rPr>
          <w:rFonts w:hint="eastAsia" w:ascii="Times New Roman" w:hAnsi="Times New Roman" w:cs="Times New Roman"/>
          <w:color w:val="auto"/>
          <w:sz w:val="24"/>
          <w:szCs w:val="22"/>
          <w:highlight w:val="none"/>
          <w:lang w:val="en-US" w:eastAsia="zh-CN"/>
        </w:rPr>
        <w:t>30m</w:t>
      </w:r>
      <w:r>
        <w:rPr>
          <w:rFonts w:hint="default" w:ascii="Times New Roman" w:hAnsi="Times New Roman" w:cs="Times New Roman"/>
          <w:color w:val="auto"/>
          <w:sz w:val="24"/>
          <w:szCs w:val="22"/>
          <w:highlight w:val="none"/>
          <w:lang w:eastAsia="zh-CN"/>
        </w:rPr>
        <w:t>以上的地下水多为潜水，下部为承压水。岗东平原富水区，其主要补给是接受相邻区域水平方向上的径流补给和层间的赿流补给，在天然条件下该区地下水流向东南。本区深层地下水含水层是指</w:t>
      </w:r>
      <w:r>
        <w:rPr>
          <w:rFonts w:hint="eastAsia" w:ascii="Times New Roman" w:hAnsi="Times New Roman" w:cs="Times New Roman"/>
          <w:color w:val="auto"/>
          <w:sz w:val="24"/>
          <w:szCs w:val="22"/>
          <w:highlight w:val="none"/>
          <w:lang w:val="en-US" w:eastAsia="zh-CN"/>
        </w:rPr>
        <w:t>30-500</w:t>
      </w:r>
      <w:r>
        <w:rPr>
          <w:rFonts w:hint="default" w:ascii="Times New Roman" w:hAnsi="Times New Roman" w:cs="Times New Roman"/>
          <w:color w:val="auto"/>
          <w:sz w:val="24"/>
          <w:szCs w:val="22"/>
          <w:highlight w:val="none"/>
          <w:lang w:eastAsia="zh-CN"/>
        </w:rPr>
        <w:t>m深度以内的含水岩组，其含水层岩性为粉细砂、细砂、中粗砂及砂砾石层。</w:t>
      </w:r>
      <w:r>
        <w:rPr>
          <w:rFonts w:hint="eastAsia" w:ascii="Times New Roman" w:hAnsi="Times New Roman" w:cs="Times New Roman"/>
          <w:color w:val="auto"/>
          <w:sz w:val="24"/>
          <w:szCs w:val="22"/>
          <w:highlight w:val="none"/>
          <w:lang w:val="en-US" w:eastAsia="zh-CN"/>
        </w:rPr>
        <w:t>250-300m</w:t>
      </w:r>
      <w:r>
        <w:rPr>
          <w:rFonts w:hint="default" w:ascii="Times New Roman" w:hAnsi="Times New Roman" w:cs="Times New Roman"/>
          <w:color w:val="auto"/>
          <w:sz w:val="24"/>
          <w:szCs w:val="22"/>
          <w:highlight w:val="none"/>
          <w:lang w:eastAsia="zh-CN"/>
        </w:rPr>
        <w:t>深度间具有多层下更新统含水沙层，向东及东北方向，砂层厚度大，分选好，富水性和导水性均较好，单井出水量一般为1700～2000</w:t>
      </w:r>
      <w:r>
        <w:rPr>
          <w:rFonts w:hint="eastAsia" w:ascii="Times New Roman" w:hAnsi="Times New Roman" w:cs="Times New Roman"/>
          <w:color w:val="auto"/>
          <w:sz w:val="24"/>
          <w:szCs w:val="22"/>
          <w:highlight w:val="none"/>
          <w:lang w:val="en-US" w:eastAsia="zh-CN"/>
        </w:rPr>
        <w:t>m</w:t>
      </w:r>
      <w:r>
        <w:rPr>
          <w:rFonts w:hint="eastAsia" w:ascii="Times New Roman" w:hAnsi="Times New Roman" w:cs="Times New Roman"/>
          <w:color w:val="auto"/>
          <w:sz w:val="24"/>
          <w:szCs w:val="22"/>
          <w:highlight w:val="none"/>
          <w:vertAlign w:val="superscript"/>
          <w:lang w:val="en-US" w:eastAsia="zh-CN"/>
        </w:rPr>
        <w:t>3</w:t>
      </w:r>
      <w:r>
        <w:rPr>
          <w:rFonts w:hint="default" w:ascii="Times New Roman" w:hAnsi="Times New Roman" w:cs="Times New Roman"/>
          <w:color w:val="auto"/>
          <w:sz w:val="24"/>
          <w:szCs w:val="22"/>
          <w:highlight w:val="none"/>
          <w:lang w:eastAsia="zh-CN"/>
        </w:rPr>
        <w:t>/d</w:t>
      </w:r>
      <w:r>
        <w:rPr>
          <w:rFonts w:hint="eastAsia" w:ascii="Times New Roman" w:hAnsi="Times New Roman" w:cs="Times New Roman"/>
          <w:color w:val="auto"/>
          <w:sz w:val="24"/>
          <w:szCs w:val="22"/>
          <w:highlight w:val="none"/>
          <w:lang w:eastAsia="zh-CN"/>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lang w:val="zh-CN"/>
        </w:rPr>
      </w:pPr>
      <w:r>
        <w:rPr>
          <w:rFonts w:hint="eastAsia" w:cs="Times New Roman"/>
          <w:color w:val="auto"/>
          <w:highlight w:val="none"/>
        </w:rPr>
        <w:t>（2）</w:t>
      </w:r>
      <w:r>
        <w:rPr>
          <w:rFonts w:ascii="Times New Roman" w:hAnsi="Times New Roman"/>
          <w:color w:val="auto"/>
          <w:sz w:val="24"/>
          <w:highlight w:val="none"/>
          <w:lang w:val="zh-CN"/>
        </w:rPr>
        <w:t>区域地下水情况</w:t>
      </w:r>
    </w:p>
    <w:p>
      <w:pPr>
        <w:keepNext w:val="0"/>
        <w:keepLines w:val="0"/>
        <w:pageBreakBefore w:val="0"/>
        <w:kinsoku/>
        <w:wordWrap/>
        <w:overflowPunct/>
        <w:topLinePunct w:val="0"/>
        <w:autoSpaceDE/>
        <w:autoSpaceDN/>
        <w:bidi w:val="0"/>
        <w:adjustRightInd/>
        <w:snapToGrid/>
        <w:spacing w:line="360" w:lineRule="auto"/>
        <w:ind w:firstLine="480"/>
        <w:textAlignment w:val="auto"/>
        <w:rPr>
          <w:color w:val="auto"/>
          <w:highlight w:val="none"/>
        </w:rPr>
      </w:pPr>
      <w:r>
        <w:rPr>
          <w:rFonts w:hint="eastAsia"/>
          <w:color w:val="auto"/>
          <w:highlight w:val="none"/>
        </w:rPr>
        <w:t>本项目位于</w:t>
      </w:r>
      <w:r>
        <w:rPr>
          <w:rFonts w:hint="eastAsia"/>
          <w:color w:val="auto"/>
          <w:highlight w:val="none"/>
          <w:lang w:eastAsia="zh-CN"/>
        </w:rPr>
        <w:t>平舆</w:t>
      </w:r>
      <w:r>
        <w:rPr>
          <w:rFonts w:hint="eastAsia"/>
          <w:color w:val="auto"/>
          <w:highlight w:val="none"/>
        </w:rPr>
        <w:t>县</w:t>
      </w:r>
      <w:r>
        <w:rPr>
          <w:rFonts w:hint="eastAsia"/>
          <w:color w:val="auto"/>
          <w:highlight w:val="none"/>
          <w:lang w:eastAsia="zh-CN"/>
        </w:rPr>
        <w:t>庙湾乡赵庄村</w:t>
      </w:r>
      <w:r>
        <w:rPr>
          <w:rFonts w:hint="eastAsia"/>
          <w:color w:val="auto"/>
          <w:highlight w:val="none"/>
        </w:rPr>
        <w:t>，本项目距</w:t>
      </w:r>
      <w:r>
        <w:rPr>
          <w:rFonts w:hint="eastAsia"/>
          <w:color w:val="auto"/>
          <w:highlight w:val="none"/>
          <w:lang w:eastAsia="zh-CN"/>
        </w:rPr>
        <w:t>平舆县城市饮用水水源地一级保护区</w:t>
      </w:r>
      <w:r>
        <w:rPr>
          <w:rFonts w:hint="eastAsia"/>
          <w:color w:val="auto"/>
          <w:highlight w:val="none"/>
        </w:rPr>
        <w:t>最近距离约为12.8km，距离</w:t>
      </w:r>
      <w:r>
        <w:rPr>
          <w:rFonts w:hint="eastAsia"/>
          <w:color w:val="auto"/>
          <w:highlight w:val="none"/>
          <w:lang w:eastAsia="zh-CN"/>
        </w:rPr>
        <w:t>平舆</w:t>
      </w:r>
      <w:r>
        <w:rPr>
          <w:rFonts w:hint="eastAsia"/>
          <w:color w:val="auto"/>
          <w:highlight w:val="none"/>
        </w:rPr>
        <w:t>县</w:t>
      </w:r>
      <w:r>
        <w:rPr>
          <w:rFonts w:hint="eastAsia"/>
          <w:color w:val="auto"/>
          <w:highlight w:val="none"/>
          <w:lang w:eastAsia="zh-CN"/>
        </w:rPr>
        <w:t>庙湾镇</w:t>
      </w:r>
      <w:r>
        <w:rPr>
          <w:rFonts w:hint="eastAsia"/>
          <w:color w:val="auto"/>
          <w:highlight w:val="none"/>
        </w:rPr>
        <w:t>地下水井</w:t>
      </w:r>
      <w:r>
        <w:rPr>
          <w:rFonts w:hint="eastAsia"/>
          <w:color w:val="auto"/>
          <w:highlight w:val="none"/>
          <w:lang w:val="en-US" w:eastAsia="zh-CN"/>
        </w:rPr>
        <w:t>2.4</w:t>
      </w:r>
      <w:r>
        <w:rPr>
          <w:rFonts w:hint="eastAsia"/>
          <w:color w:val="auto"/>
          <w:highlight w:val="none"/>
        </w:rPr>
        <w:t>km，本项目不在饮用水源保护区范围内，建设单位拟自行建设自备井1</w:t>
      </w:r>
      <w:r>
        <w:rPr>
          <w:rFonts w:hint="eastAsia"/>
          <w:color w:val="auto"/>
          <w:highlight w:val="none"/>
          <w:lang w:eastAsia="zh-CN"/>
        </w:rPr>
        <w:t>个</w:t>
      </w:r>
      <w:r>
        <w:rPr>
          <w:rFonts w:hint="eastAsia"/>
          <w:color w:val="auto"/>
          <w:highlight w:val="none"/>
        </w:rPr>
        <w:t>以满足自身用水需求。</w:t>
      </w:r>
    </w:p>
    <w:p>
      <w:pPr>
        <w:pStyle w:val="6"/>
        <w:ind w:firstLine="482"/>
        <w:rPr>
          <w:color w:val="auto"/>
          <w:highlight w:val="none"/>
        </w:rPr>
      </w:pPr>
      <w:r>
        <w:rPr>
          <w:rFonts w:hint="eastAsia"/>
          <w:color w:val="auto"/>
          <w:highlight w:val="none"/>
          <w:lang w:val="en-US" w:eastAsia="zh-CN"/>
        </w:rPr>
        <w:t>4</w:t>
      </w:r>
      <w:r>
        <w:rPr>
          <w:rFonts w:hint="eastAsia"/>
          <w:color w:val="auto"/>
          <w:highlight w:val="none"/>
        </w:rPr>
        <w:t>.2.3.</w:t>
      </w:r>
      <w:r>
        <w:rPr>
          <w:rFonts w:hint="eastAsia"/>
          <w:color w:val="auto"/>
          <w:highlight w:val="none"/>
          <w:lang w:val="en-US" w:eastAsia="zh-CN"/>
        </w:rPr>
        <w:t>3</w:t>
      </w:r>
      <w:r>
        <w:rPr>
          <w:rFonts w:hint="eastAsia"/>
          <w:color w:val="auto"/>
          <w:highlight w:val="none"/>
        </w:rPr>
        <w:t>地下水环境影响预测</w:t>
      </w:r>
    </w:p>
    <w:p>
      <w:pPr>
        <w:keepNext w:val="0"/>
        <w:keepLines w:val="0"/>
        <w:pageBreakBefore w:val="0"/>
        <w:widowControl/>
        <w:kinsoku/>
        <w:wordWrap/>
        <w:overflowPunct/>
        <w:topLinePunct w:val="0"/>
        <w:autoSpaceDE/>
        <w:autoSpaceDN/>
        <w:bidi w:val="0"/>
        <w:adjustRightInd/>
        <w:snapToGrid/>
        <w:ind w:firstLine="480"/>
        <w:textAlignment w:val="auto"/>
        <w:rPr>
          <w:color w:val="auto"/>
          <w:highlight w:val="none"/>
        </w:rPr>
      </w:pPr>
      <w:r>
        <w:rPr>
          <w:rFonts w:hint="eastAsia"/>
          <w:color w:val="auto"/>
          <w:highlight w:val="none"/>
        </w:rPr>
        <w:t>1、评价预测原则</w:t>
      </w:r>
    </w:p>
    <w:p>
      <w:pPr>
        <w:keepNext w:val="0"/>
        <w:keepLines w:val="0"/>
        <w:pageBreakBefore w:val="0"/>
        <w:widowControl/>
        <w:kinsoku/>
        <w:wordWrap/>
        <w:overflowPunct/>
        <w:topLinePunct w:val="0"/>
        <w:autoSpaceDE/>
        <w:autoSpaceDN/>
        <w:bidi w:val="0"/>
        <w:adjustRightInd/>
        <w:snapToGrid/>
        <w:ind w:firstLine="480"/>
        <w:textAlignment w:val="auto"/>
        <w:rPr>
          <w:color w:val="auto"/>
          <w:highlight w:val="none"/>
        </w:rPr>
      </w:pPr>
      <w:r>
        <w:rPr>
          <w:rFonts w:hint="eastAsia"/>
          <w:color w:val="auto"/>
          <w:highlight w:val="none"/>
        </w:rPr>
        <w:t>项目地下水环境影响预测遵循《环境影响评价技术导则-总纲》与《环境影响评价技术导则-地下水环境》</w:t>
      </w:r>
      <w:r>
        <w:rPr>
          <w:rFonts w:hint="eastAsia" w:asciiTheme="minorEastAsia" w:hAnsiTheme="minorEastAsia" w:eastAsiaTheme="minorEastAsia"/>
          <w:color w:val="auto"/>
          <w:highlight w:val="none"/>
        </w:rPr>
        <w:t>(</w:t>
      </w:r>
      <w:r>
        <w:rPr>
          <w:rFonts w:cs="Times New Roman" w:eastAsiaTheme="minorEastAsia"/>
          <w:color w:val="auto"/>
          <w:highlight w:val="none"/>
        </w:rPr>
        <w:t>HJ 610-2016</w:t>
      </w:r>
      <w:r>
        <w:rPr>
          <w:rFonts w:hint="eastAsia" w:asciiTheme="minorEastAsia" w:hAnsiTheme="minorEastAsia" w:eastAsiaTheme="minorEastAsia"/>
          <w:color w:val="auto"/>
          <w:highlight w:val="none"/>
        </w:rPr>
        <w:t>)</w:t>
      </w:r>
      <w:r>
        <w:rPr>
          <w:rFonts w:hint="eastAsia"/>
          <w:color w:val="auto"/>
          <w:highlight w:val="none"/>
        </w:rPr>
        <w:t>的原则进行。</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color w:val="auto"/>
          <w:highlight w:val="none"/>
        </w:rPr>
      </w:pPr>
      <w:r>
        <w:rPr>
          <w:rFonts w:hint="eastAsia"/>
          <w:color w:val="auto"/>
          <w:highlight w:val="none"/>
        </w:rPr>
        <w:t>2、评价预测范围及预测内容</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color w:val="auto"/>
          <w:highlight w:val="none"/>
        </w:rPr>
      </w:pPr>
      <w:r>
        <w:rPr>
          <w:rFonts w:hint="eastAsia"/>
          <w:color w:val="auto"/>
          <w:highlight w:val="none"/>
        </w:rPr>
        <w:t>预测范围：根据项目场区所处的地理位置，从水文地质条件上分析，工程建设后会对附近地下水产生污染潜势，本次确定地下水环境影响预测范围与调查评价范围一致，即厂址周边6km</w:t>
      </w:r>
      <w:r>
        <w:rPr>
          <w:rFonts w:hint="eastAsia"/>
          <w:color w:val="auto"/>
          <w:highlight w:val="none"/>
          <w:vertAlign w:val="superscript"/>
        </w:rPr>
        <w:t>2</w:t>
      </w:r>
      <w:r>
        <w:rPr>
          <w:rFonts w:hint="eastAsia"/>
          <w:color w:val="auto"/>
          <w:highlight w:val="none"/>
        </w:rPr>
        <w:t>的区域。由于地表水和中深层含水层间无明显的水力联系，中深层含水层和深层含水层无明显的水力联系，因此本次预测层位定为预评价区域的潜水层。</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color w:val="auto"/>
          <w:highlight w:val="none"/>
        </w:rPr>
      </w:pPr>
      <w:r>
        <w:rPr>
          <w:rFonts w:hint="eastAsia"/>
          <w:color w:val="auto"/>
          <w:highlight w:val="none"/>
        </w:rPr>
        <w:t>预测内容：根据工程分析可知，本项目运行过程中无</w:t>
      </w:r>
      <w:r>
        <w:rPr>
          <w:rFonts w:hint="eastAsia"/>
          <w:color w:val="auto"/>
          <w:highlight w:val="none"/>
          <w:lang w:eastAsia="zh-CN"/>
        </w:rPr>
        <w:t>废水</w:t>
      </w:r>
      <w:r>
        <w:rPr>
          <w:rFonts w:hint="eastAsia"/>
          <w:color w:val="auto"/>
          <w:highlight w:val="none"/>
        </w:rPr>
        <w:t>外排，考虑厂区现有生产活动及设备设施中，对地下水污染影响最大的为</w:t>
      </w:r>
      <w:r>
        <w:rPr>
          <w:rFonts w:hint="eastAsia"/>
          <w:color w:val="auto"/>
          <w:highlight w:val="none"/>
          <w:lang w:eastAsia="zh-CN"/>
        </w:rPr>
        <w:t>池体</w:t>
      </w:r>
      <w:r>
        <w:rPr>
          <w:rFonts w:hint="eastAsia"/>
          <w:color w:val="auto"/>
          <w:highlight w:val="none"/>
        </w:rPr>
        <w:t>防渗层开裂的非正常排放，废水一旦穿过了表层的亚粘土、亚砂土，即可快速下渗，可能污染地下水。因此项目主要针对污水处理设施进行预测，主要的污染物为COD、氨氮、悬浮物等，鉴于不同污染因子与地质条件的关系存在差异，如吸附、降解、迁移速度的不同，按污染物在污水中含量大小和危害程度，本次选取COD</w:t>
      </w:r>
      <w:r>
        <w:rPr>
          <w:rFonts w:hint="eastAsia"/>
          <w:color w:val="auto"/>
          <w:highlight w:val="none"/>
          <w:lang w:eastAsia="zh-CN"/>
        </w:rPr>
        <w:t>和</w:t>
      </w:r>
      <w:r>
        <w:rPr>
          <w:rFonts w:hint="eastAsia"/>
          <w:color w:val="auto"/>
          <w:highlight w:val="none"/>
        </w:rPr>
        <w:t>氨氮作为预测因子。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hint="eastAsia"/>
          <w:color w:val="auto"/>
          <w:highlight w:val="none"/>
        </w:rPr>
        <w:t>评价标准：</w:t>
      </w:r>
      <w:r>
        <w:rPr>
          <w:rFonts w:ascii="Times New Roman" w:hAnsi="Times New Roman"/>
          <w:color w:val="auto"/>
          <w:sz w:val="24"/>
          <w:szCs w:val="24"/>
          <w:highlight w:val="none"/>
        </w:rPr>
        <w:t>执行《地下水质量标准》（GB/T14848-2017）Ⅲ类。</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color w:val="auto"/>
          <w:highlight w:val="none"/>
        </w:rPr>
      </w:pPr>
      <w:r>
        <w:rPr>
          <w:rFonts w:hint="eastAsia"/>
          <w:color w:val="auto"/>
          <w:highlight w:val="none"/>
        </w:rPr>
        <w:t>3、评价预测时段</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color w:val="auto"/>
          <w:highlight w:val="none"/>
        </w:rPr>
      </w:pPr>
      <w:r>
        <w:rPr>
          <w:rFonts w:hint="eastAsia"/>
          <w:color w:val="auto"/>
          <w:highlight w:val="none"/>
        </w:rPr>
        <w:t>根据本建设项目的类型，结合《环境影响评价技术导则-地下水环境》(HJ 610-2016)的规定，拟建项目的评价预测时段可以分为以下</w:t>
      </w:r>
      <w:r>
        <w:rPr>
          <w:rFonts w:hint="eastAsia"/>
          <w:color w:val="auto"/>
          <w:highlight w:val="none"/>
          <w:lang w:eastAsia="zh-CN"/>
        </w:rPr>
        <w:t>几</w:t>
      </w:r>
      <w:r>
        <w:rPr>
          <w:rFonts w:hint="eastAsia"/>
          <w:color w:val="auto"/>
          <w:highlight w:val="none"/>
        </w:rPr>
        <w:t>个时段：废水下渗100d、500d、1000d、3000、5000d时间点（典型时间节点）。</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color w:val="auto"/>
          <w:highlight w:val="none"/>
        </w:rPr>
      </w:pPr>
      <w:r>
        <w:rPr>
          <w:rFonts w:hint="eastAsia"/>
          <w:color w:val="auto"/>
          <w:highlight w:val="none"/>
        </w:rPr>
        <w:t>4、评价预测方法</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color w:val="auto"/>
          <w:highlight w:val="none"/>
        </w:rPr>
      </w:pPr>
      <w:r>
        <w:rPr>
          <w:rFonts w:hint="eastAsia"/>
          <w:color w:val="auto"/>
          <w:highlight w:val="none"/>
        </w:rPr>
        <w:t>按《环境影响评价技术导则-地下水环境》(HJ 610-2016)的要求，结合场区水文地质条件，本次采用解析法对地下水环境影响进行预测。预测评价项目在建设、生产运行过程中对场址及附近地下水水质的影响。</w:t>
      </w:r>
    </w:p>
    <w:p>
      <w:pPr>
        <w:keepNext w:val="0"/>
        <w:keepLines w:val="0"/>
        <w:pageBreakBefore w:val="0"/>
        <w:widowControl/>
        <w:kinsoku/>
        <w:wordWrap/>
        <w:overflowPunct/>
        <w:topLinePunct w:val="0"/>
        <w:autoSpaceDE/>
        <w:autoSpaceDN/>
        <w:bidi w:val="0"/>
        <w:adjustRightInd/>
        <w:snapToGrid/>
        <w:ind w:firstLine="480"/>
        <w:textAlignment w:val="auto"/>
        <w:rPr>
          <w:color w:val="auto"/>
          <w:highlight w:val="none"/>
        </w:rPr>
      </w:pPr>
      <w:r>
        <w:rPr>
          <w:rFonts w:hint="eastAsia"/>
          <w:color w:val="auto"/>
          <w:highlight w:val="none"/>
        </w:rPr>
        <w:t>5、污染源概化</w:t>
      </w:r>
    </w:p>
    <w:p>
      <w:pPr>
        <w:keepNext w:val="0"/>
        <w:keepLines w:val="0"/>
        <w:pageBreakBefore w:val="0"/>
        <w:widowControl/>
        <w:kinsoku/>
        <w:wordWrap/>
        <w:overflowPunct/>
        <w:topLinePunct w:val="0"/>
        <w:autoSpaceDE/>
        <w:autoSpaceDN/>
        <w:bidi w:val="0"/>
        <w:adjustRightInd/>
        <w:snapToGrid/>
        <w:ind w:firstLine="480"/>
        <w:textAlignment w:val="auto"/>
        <w:rPr>
          <w:color w:val="auto"/>
          <w:highlight w:val="none"/>
        </w:rPr>
      </w:pPr>
      <w:r>
        <w:rPr>
          <w:rFonts w:hint="eastAsia"/>
          <w:color w:val="auto"/>
          <w:highlight w:val="none"/>
        </w:rPr>
        <w:t>从项目区的地质和水文地质条件上概化，由于地下水流向整体是由西向东方向，如果工程发生事故，污染总体上顺着地下水流向发生运移，污染物将会呈面状向四周扩散污染，相对于同一水文地质结构而言，本工程污染源可以概化为点状污染源。工程建设运行后，在易发生污染的下游地段布设监测点，对发现污染的地段及时查明原因，按事故应急预案进行及时处理，及时的切断污染源，因此污染源的排放规律可以概化为瞬时排放。</w:t>
      </w:r>
    </w:p>
    <w:p>
      <w:pPr>
        <w:keepNext w:val="0"/>
        <w:keepLines w:val="0"/>
        <w:pageBreakBefore w:val="0"/>
        <w:widowControl/>
        <w:kinsoku/>
        <w:wordWrap/>
        <w:overflowPunct/>
        <w:topLinePunct w:val="0"/>
        <w:autoSpaceDE/>
        <w:autoSpaceDN/>
        <w:bidi w:val="0"/>
        <w:adjustRightInd/>
        <w:snapToGrid/>
        <w:ind w:firstLine="480"/>
        <w:textAlignment w:val="auto"/>
        <w:rPr>
          <w:color w:val="auto"/>
          <w:highlight w:val="none"/>
        </w:rPr>
      </w:pPr>
      <w:r>
        <w:rPr>
          <w:rFonts w:hint="eastAsia"/>
          <w:color w:val="auto"/>
          <w:highlight w:val="none"/>
        </w:rPr>
        <w:t>6、观测模型的建立</w:t>
      </w:r>
    </w:p>
    <w:p>
      <w:pPr>
        <w:keepNext w:val="0"/>
        <w:keepLines w:val="0"/>
        <w:pageBreakBefore w:val="0"/>
        <w:widowControl/>
        <w:kinsoku/>
        <w:wordWrap/>
        <w:overflowPunct/>
        <w:topLinePunct w:val="0"/>
        <w:autoSpaceDE/>
        <w:autoSpaceDN/>
        <w:bidi w:val="0"/>
        <w:adjustRightInd/>
        <w:snapToGrid/>
        <w:ind w:firstLine="480"/>
        <w:textAlignment w:val="auto"/>
        <w:rPr>
          <w:color w:val="auto"/>
          <w:highlight w:val="none"/>
        </w:rPr>
      </w:pPr>
      <w:r>
        <w:rPr>
          <w:rFonts w:hint="eastAsia"/>
          <w:color w:val="auto"/>
          <w:highlight w:val="none"/>
        </w:rPr>
        <w:t>厂区废水</w:t>
      </w:r>
      <w:r>
        <w:rPr>
          <w:rFonts w:ascii="Times New Roman" w:hAnsi="Times New Roman" w:cs="Times New Roman"/>
          <w:bCs/>
          <w:color w:val="auto"/>
          <w:sz w:val="24"/>
          <w:szCs w:val="24"/>
          <w:highlight w:val="none"/>
        </w:rPr>
        <w:t>统一进入</w:t>
      </w:r>
      <w:r>
        <w:rPr>
          <w:rFonts w:hint="eastAsia" w:ascii="Times New Roman" w:hAnsi="Times New Roman" w:cs="Times New Roman"/>
          <w:bCs/>
          <w:color w:val="auto"/>
          <w:sz w:val="24"/>
          <w:szCs w:val="24"/>
          <w:highlight w:val="none"/>
          <w:lang w:eastAsia="zh-CN"/>
        </w:rPr>
        <w:t>黑膜</w:t>
      </w:r>
      <w:r>
        <w:rPr>
          <w:rFonts w:ascii="Times New Roman" w:hAnsi="Times New Roman" w:cs="Times New Roman"/>
          <w:bCs/>
          <w:color w:val="auto"/>
          <w:sz w:val="24"/>
          <w:szCs w:val="24"/>
          <w:highlight w:val="none"/>
        </w:rPr>
        <w:t>沼气池进行处理，经过厌氧发酵的出水沼液在耕作施肥期用于配套消纳地进行综合利用，在非耕作期于场内沼液储存池中暂存，不外排。</w:t>
      </w:r>
      <w:r>
        <w:rPr>
          <w:rFonts w:hint="eastAsia"/>
          <w:color w:val="auto"/>
          <w:highlight w:val="none"/>
        </w:rPr>
        <w:t>因此本次评价预测在厂区防渗措施破损的情况下，污水处理池发生大型泄漏事故时对地下水环境可能造成的影响。由于大型泄漏事故可以及时发现、及时解决，因此事故状态下污染物的运移可概化为地下水水溶质运移解析法中的一维稳定流动一维水动力弥散模式进行预测与评价。一维稳定流动一维水动力弥散模式预测模型公式如下：</w:t>
      </w:r>
    </w:p>
    <w:p>
      <w:pPr>
        <w:ind w:firstLine="480"/>
        <w:rPr>
          <w:color w:val="auto"/>
          <w:highlight w:val="none"/>
        </w:rPr>
      </w:pPr>
      <w:r>
        <w:rPr>
          <w:rFonts w:hint="eastAsia"/>
          <w:color w:val="auto"/>
          <w:highlight w:val="none"/>
        </w:rPr>
        <w:t>瞬时（事故时）注入示踪剂—平面瞬时点源</w:t>
      </w:r>
    </w:p>
    <w:p>
      <w:pPr>
        <w:ind w:firstLine="480"/>
        <w:rPr>
          <w:color w:val="auto"/>
          <w:highlight w:val="none"/>
        </w:rPr>
      </w:pPr>
      <w:r>
        <w:rPr>
          <w:color w:val="auto"/>
          <w:highlight w:val="none"/>
        </w:rPr>
        <w:drawing>
          <wp:inline distT="0" distB="0" distL="114300" distR="114300">
            <wp:extent cx="2438400" cy="476250"/>
            <wp:effectExtent l="0" t="0" r="0"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44"/>
                    <a:stretch>
                      <a:fillRect/>
                    </a:stretch>
                  </pic:blipFill>
                  <pic:spPr>
                    <a:xfrm>
                      <a:off x="0" y="0"/>
                      <a:ext cx="2438400" cy="476250"/>
                    </a:xfrm>
                    <a:prstGeom prst="rect">
                      <a:avLst/>
                    </a:prstGeom>
                    <a:noFill/>
                    <a:ln>
                      <a:noFill/>
                    </a:ln>
                  </pic:spPr>
                </pic:pic>
              </a:graphicData>
            </a:graphic>
          </wp:inline>
        </w:drawing>
      </w:r>
    </w:p>
    <w:p>
      <w:pPr>
        <w:ind w:firstLine="480"/>
        <w:rPr>
          <w:color w:val="auto"/>
          <w:highlight w:val="none"/>
        </w:rPr>
      </w:pPr>
      <w:r>
        <w:rPr>
          <w:rFonts w:hint="eastAsia"/>
          <w:color w:val="auto"/>
          <w:highlight w:val="none"/>
        </w:rPr>
        <w:t>式中：</w:t>
      </w:r>
    </w:p>
    <w:p>
      <w:pPr>
        <w:ind w:firstLine="480"/>
        <w:rPr>
          <w:rFonts w:hint="eastAsia"/>
          <w:color w:val="auto"/>
          <w:highlight w:val="none"/>
        </w:rPr>
      </w:pPr>
      <w:r>
        <w:rPr>
          <w:rFonts w:hint="eastAsia"/>
          <w:color w:val="auto"/>
          <w:highlight w:val="none"/>
        </w:rPr>
        <w:t>式中：x—预测点至污染源强距离（m）；</w:t>
      </w:r>
    </w:p>
    <w:p>
      <w:pPr>
        <w:ind w:firstLine="480"/>
        <w:rPr>
          <w:rFonts w:hint="eastAsia"/>
          <w:color w:val="auto"/>
          <w:highlight w:val="none"/>
        </w:rPr>
      </w:pPr>
      <w:r>
        <w:rPr>
          <w:rFonts w:hint="eastAsia"/>
          <w:color w:val="auto"/>
          <w:highlight w:val="none"/>
        </w:rPr>
        <w:t>C-t时刻x处的地下水浓度（mg/L）；</w:t>
      </w:r>
    </w:p>
    <w:p>
      <w:pPr>
        <w:ind w:firstLine="480"/>
        <w:rPr>
          <w:rFonts w:hint="eastAsia"/>
          <w:color w:val="auto"/>
          <w:highlight w:val="none"/>
        </w:rPr>
      </w:pPr>
      <w:r>
        <w:rPr>
          <w:rFonts w:hint="eastAsia"/>
          <w:color w:val="auto"/>
          <w:highlight w:val="none"/>
        </w:rPr>
        <w:t>C0—废水浓度（mg/L）；</w:t>
      </w:r>
    </w:p>
    <w:p>
      <w:pPr>
        <w:ind w:firstLine="480"/>
        <w:rPr>
          <w:rFonts w:hint="eastAsia"/>
          <w:color w:val="auto"/>
          <w:highlight w:val="none"/>
        </w:rPr>
      </w:pPr>
      <w:r>
        <w:rPr>
          <w:rFonts w:hint="eastAsia"/>
          <w:color w:val="auto"/>
          <w:highlight w:val="none"/>
        </w:rPr>
        <w:t>D—纵向弥散系数（m</w:t>
      </w:r>
      <w:r>
        <w:rPr>
          <w:rFonts w:hint="eastAsia"/>
          <w:color w:val="auto"/>
          <w:highlight w:val="none"/>
          <w:vertAlign w:val="superscript"/>
        </w:rPr>
        <w:t>2</w:t>
      </w:r>
      <w:r>
        <w:rPr>
          <w:rFonts w:hint="eastAsia"/>
          <w:color w:val="auto"/>
          <w:highlight w:val="none"/>
        </w:rPr>
        <w:t>/d）；</w:t>
      </w:r>
    </w:p>
    <w:p>
      <w:pPr>
        <w:ind w:firstLine="480"/>
        <w:rPr>
          <w:rFonts w:hint="eastAsia"/>
          <w:color w:val="auto"/>
          <w:highlight w:val="none"/>
        </w:rPr>
      </w:pPr>
      <w:r>
        <w:rPr>
          <w:rFonts w:hint="eastAsia"/>
          <w:color w:val="auto"/>
          <w:highlight w:val="none"/>
        </w:rPr>
        <w:t>t—预测时段（d）；</w:t>
      </w:r>
    </w:p>
    <w:p>
      <w:pPr>
        <w:ind w:firstLine="480"/>
        <w:rPr>
          <w:rFonts w:hint="eastAsia"/>
          <w:color w:val="auto"/>
          <w:highlight w:val="none"/>
        </w:rPr>
      </w:pPr>
      <w:r>
        <w:rPr>
          <w:rFonts w:hint="eastAsia"/>
          <w:color w:val="auto"/>
          <w:highlight w:val="none"/>
        </w:rPr>
        <w:t>u—地下水流速（m/d）；</w:t>
      </w:r>
    </w:p>
    <w:p>
      <w:pPr>
        <w:ind w:firstLine="480"/>
        <w:rPr>
          <w:color w:val="auto"/>
          <w:highlight w:val="none"/>
        </w:rPr>
      </w:pPr>
      <w:r>
        <w:rPr>
          <w:rFonts w:hint="eastAsia"/>
          <w:color w:val="auto"/>
          <w:highlight w:val="none"/>
        </w:rPr>
        <w:t>erfc（x）—余误差函数。</w:t>
      </w:r>
    </w:p>
    <w:p>
      <w:pPr>
        <w:keepNext w:val="0"/>
        <w:keepLines w:val="0"/>
        <w:pageBreakBefore w:val="0"/>
        <w:widowControl/>
        <w:kinsoku/>
        <w:wordWrap/>
        <w:overflowPunct/>
        <w:topLinePunct w:val="0"/>
        <w:autoSpaceDE/>
        <w:autoSpaceDN/>
        <w:bidi w:val="0"/>
        <w:adjustRightInd/>
        <w:snapToGrid/>
        <w:ind w:firstLine="480"/>
        <w:textAlignment w:val="auto"/>
        <w:rPr>
          <w:color w:val="auto"/>
          <w:highlight w:val="none"/>
        </w:rPr>
      </w:pPr>
      <w:r>
        <w:rPr>
          <w:rFonts w:hint="eastAsia"/>
          <w:color w:val="auto"/>
          <w:highlight w:val="none"/>
        </w:rPr>
        <w:t>7、模型参数的选取</w:t>
      </w:r>
    </w:p>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rPr>
      </w:pPr>
      <w:r>
        <w:rPr>
          <w:rFonts w:hint="eastAsia"/>
          <w:color w:val="auto"/>
          <w:highlight w:val="none"/>
        </w:rPr>
        <w:t>1）纵向弥散系数确定</w:t>
      </w:r>
    </w:p>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rPr>
      </w:pPr>
      <w:r>
        <w:rPr>
          <w:rFonts w:hint="eastAsia"/>
          <w:color w:val="auto"/>
          <w:highlight w:val="none"/>
        </w:rPr>
        <w:t>DL=a*u</w:t>
      </w:r>
    </w:p>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rPr>
      </w:pPr>
      <w:r>
        <w:rPr>
          <w:rFonts w:hint="eastAsia"/>
          <w:color w:val="auto"/>
          <w:highlight w:val="none"/>
        </w:rPr>
        <w:t>a——弥散度，m，根据经验值取10m；</w:t>
      </w:r>
    </w:p>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rPr>
      </w:pPr>
      <w:r>
        <w:rPr>
          <w:rFonts w:hint="eastAsia"/>
          <w:color w:val="auto"/>
          <w:highlight w:val="none"/>
        </w:rPr>
        <w:t>u——地下水流速，m/d（0.04m/d）。</w:t>
      </w:r>
    </w:p>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rPr>
      </w:pPr>
      <w:r>
        <w:rPr>
          <w:rFonts w:hint="eastAsia"/>
          <w:color w:val="auto"/>
          <w:highlight w:val="none"/>
        </w:rPr>
        <w:t>经计算，工程所在区域纵向弥散系数为0.4m/d。</w:t>
      </w:r>
    </w:p>
    <w:p>
      <w:pPr>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2）地下水流速</w:t>
      </w:r>
    </w:p>
    <w:p>
      <w:pPr>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地下水流速可以利用水利坡度及渗透系数求出，具体计算公式为：</w:t>
      </w:r>
    </w:p>
    <w:p>
      <w:pPr>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u=kI/ne</w:t>
      </w:r>
    </w:p>
    <w:p>
      <w:pPr>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式中：u—地下水流速（m/d）；</w:t>
      </w:r>
    </w:p>
    <w:p>
      <w:pPr>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k—渗透系数（m/d），取2.8m/d；</w:t>
      </w:r>
    </w:p>
    <w:p>
      <w:pPr>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I—水利坡度，0.003（根据经验，本次取3‰）。</w:t>
      </w:r>
    </w:p>
    <w:p>
      <w:pPr>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ne—有效孔隙度，无量纲。（根据附录B细砂0.21）</w:t>
      </w:r>
    </w:p>
    <w:p>
      <w:pPr>
        <w:pStyle w:val="37"/>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3</w:t>
      </w:r>
      <w:r>
        <w:rPr>
          <w:rFonts w:hint="eastAsia" w:ascii="Times New Roman" w:hAnsi="Times New Roman" w:cs="Times New Roman"/>
          <w:color w:val="auto"/>
          <w:highlight w:val="none"/>
          <w:lang w:val="en-US" w:eastAsia="zh-CN"/>
        </w:rPr>
        <w:t>）参数汇总</w:t>
      </w:r>
    </w:p>
    <w:p>
      <w:pPr>
        <w:pStyle w:val="40"/>
        <w:rPr>
          <w:rFonts w:hint="eastAsia" w:cs="Times New Roman"/>
          <w:color w:val="auto"/>
          <w:highlight w:val="none"/>
          <w:lang w:val="en-US" w:eastAsia="zh-CN"/>
        </w:rPr>
      </w:pPr>
      <w:r>
        <w:rPr>
          <w:rFonts w:hint="eastAsia" w:cs="Times New Roman"/>
          <w:color w:val="auto"/>
          <w:highlight w:val="none"/>
          <w:lang w:val="en-US" w:eastAsia="zh-CN"/>
        </w:rPr>
        <w:t>表</w:t>
      </w:r>
      <w:r>
        <w:rPr>
          <w:rFonts w:hint="eastAsia" w:cs="Times New Roman"/>
          <w:color w:val="auto"/>
          <w:highlight w:val="none"/>
          <w:lang w:val="en-US" w:eastAsia="zh-CN"/>
        </w:rPr>
        <w:fldChar w:fldCharType="begin"/>
      </w:r>
      <w:r>
        <w:rPr>
          <w:rFonts w:hint="eastAsia" w:cs="Times New Roman"/>
          <w:color w:val="auto"/>
          <w:highlight w:val="none"/>
          <w:lang w:val="en-US" w:eastAsia="zh-CN"/>
        </w:rPr>
        <w:instrText xml:space="preserve"> STYLEREF 2 \s </w:instrText>
      </w:r>
      <w:r>
        <w:rPr>
          <w:rFonts w:hint="eastAsia" w:cs="Times New Roman"/>
          <w:color w:val="auto"/>
          <w:highlight w:val="none"/>
          <w:lang w:val="en-US" w:eastAsia="zh-CN"/>
        </w:rPr>
        <w:fldChar w:fldCharType="separate"/>
      </w:r>
      <w:r>
        <w:rPr>
          <w:rFonts w:hint="eastAsia" w:cs="Times New Roman"/>
          <w:color w:val="auto"/>
          <w:highlight w:val="none"/>
          <w:lang w:val="en-US" w:eastAsia="zh-CN"/>
        </w:rPr>
        <w:t>4.2</w:t>
      </w:r>
      <w:r>
        <w:rPr>
          <w:rFonts w:hint="eastAsia" w:cs="Times New Roman"/>
          <w:color w:val="auto"/>
          <w:highlight w:val="none"/>
          <w:lang w:val="en-US" w:eastAsia="zh-CN"/>
        </w:rPr>
        <w:fldChar w:fldCharType="end"/>
      </w:r>
      <w:r>
        <w:rPr>
          <w:rFonts w:hint="eastAsia" w:cs="Times New Roman"/>
          <w:color w:val="auto"/>
          <w:highlight w:val="none"/>
          <w:lang w:val="en-US" w:eastAsia="zh-CN"/>
        </w:rPr>
        <w:t>-24 地下水预测参数选取一览表</w:t>
      </w:r>
    </w:p>
    <w:tbl>
      <w:tblPr>
        <w:tblStyle w:val="24"/>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57" w:type="dxa"/>
          <w:bottom w:w="0" w:type="dxa"/>
          <w:right w:w="57" w:type="dxa"/>
        </w:tblCellMar>
      </w:tblPr>
      <w:tblGrid>
        <w:gridCol w:w="1331"/>
        <w:gridCol w:w="1491"/>
        <w:gridCol w:w="1568"/>
        <w:gridCol w:w="1261"/>
        <w:gridCol w:w="1351"/>
        <w:gridCol w:w="13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blHeader/>
          <w:jc w:val="center"/>
        </w:trPr>
        <w:tc>
          <w:tcPr>
            <w:tcW w:w="796" w:type="pct"/>
            <w:shd w:val="clear" w:color="auto" w:fill="auto"/>
            <w:vAlign w:val="center"/>
          </w:tcPr>
          <w:p>
            <w:pPr>
              <w:pStyle w:val="131"/>
              <w:jc w:val="center"/>
              <w:rPr>
                <w:rFonts w:hint="eastAsia"/>
                <w:b w:val="0"/>
                <w:bCs/>
                <w:color w:val="auto"/>
                <w:sz w:val="21"/>
                <w:szCs w:val="21"/>
                <w:highlight w:val="none"/>
                <w:lang w:val="en-US" w:eastAsia="zh-CN"/>
              </w:rPr>
            </w:pPr>
            <w:r>
              <w:rPr>
                <w:rFonts w:hint="eastAsia"/>
                <w:b w:val="0"/>
                <w:bCs/>
                <w:color w:val="auto"/>
                <w:sz w:val="21"/>
                <w:szCs w:val="21"/>
                <w:highlight w:val="none"/>
                <w:lang w:val="en-US" w:eastAsia="zh-CN"/>
              </w:rPr>
              <w:t>参数</w:t>
            </w:r>
          </w:p>
        </w:tc>
        <w:tc>
          <w:tcPr>
            <w:tcW w:w="892" w:type="pct"/>
            <w:shd w:val="clear" w:color="auto" w:fill="auto"/>
            <w:vAlign w:val="center"/>
          </w:tcPr>
          <w:p>
            <w:pPr>
              <w:pStyle w:val="131"/>
              <w:jc w:val="center"/>
              <w:rPr>
                <w:rFonts w:hint="eastAsia"/>
                <w:b w:val="0"/>
                <w:bCs/>
                <w:color w:val="auto"/>
                <w:sz w:val="21"/>
                <w:szCs w:val="21"/>
                <w:highlight w:val="none"/>
                <w:lang w:val="en-US" w:eastAsia="zh-CN"/>
              </w:rPr>
            </w:pPr>
            <w:r>
              <w:rPr>
                <w:rFonts w:hint="eastAsia"/>
                <w:b w:val="0"/>
                <w:bCs/>
                <w:color w:val="auto"/>
                <w:sz w:val="21"/>
                <w:szCs w:val="21"/>
                <w:highlight w:val="none"/>
                <w:lang w:val="en-US" w:eastAsia="zh-CN"/>
              </w:rPr>
              <w:t>X（m）</w:t>
            </w:r>
          </w:p>
        </w:tc>
        <w:tc>
          <w:tcPr>
            <w:tcW w:w="938" w:type="pct"/>
            <w:shd w:val="clear" w:color="auto" w:fill="auto"/>
            <w:vAlign w:val="center"/>
          </w:tcPr>
          <w:p>
            <w:pPr>
              <w:pStyle w:val="131"/>
              <w:jc w:val="center"/>
              <w:rPr>
                <w:rFonts w:hint="eastAsia"/>
                <w:b w:val="0"/>
                <w:bCs/>
                <w:color w:val="auto"/>
                <w:sz w:val="21"/>
                <w:szCs w:val="21"/>
                <w:highlight w:val="none"/>
                <w:lang w:val="en-US" w:eastAsia="zh-CN"/>
              </w:rPr>
            </w:pPr>
            <w:r>
              <w:rPr>
                <w:rFonts w:hint="eastAsia"/>
                <w:b w:val="0"/>
                <w:bCs/>
                <w:color w:val="auto"/>
                <w:sz w:val="21"/>
                <w:szCs w:val="21"/>
                <w:highlight w:val="none"/>
                <w:lang w:val="en-US" w:eastAsia="zh-CN"/>
              </w:rPr>
              <w:t>C</w:t>
            </w:r>
            <w:r>
              <w:rPr>
                <w:rFonts w:hint="eastAsia"/>
                <w:b w:val="0"/>
                <w:bCs/>
                <w:color w:val="auto"/>
                <w:sz w:val="21"/>
                <w:szCs w:val="21"/>
                <w:highlight w:val="none"/>
                <w:vertAlign w:val="subscript"/>
                <w:lang w:val="en-US" w:eastAsia="zh-CN"/>
              </w:rPr>
              <w:t>0</w:t>
            </w:r>
            <w:r>
              <w:rPr>
                <w:rFonts w:hint="eastAsia"/>
                <w:b w:val="0"/>
                <w:bCs/>
                <w:color w:val="auto"/>
                <w:sz w:val="21"/>
                <w:szCs w:val="21"/>
                <w:highlight w:val="none"/>
                <w:lang w:val="en-US" w:eastAsia="zh-CN"/>
              </w:rPr>
              <w:t>（mg/L）</w:t>
            </w:r>
          </w:p>
        </w:tc>
        <w:tc>
          <w:tcPr>
            <w:tcW w:w="754" w:type="pct"/>
            <w:shd w:val="clear" w:color="auto" w:fill="auto"/>
            <w:vAlign w:val="center"/>
          </w:tcPr>
          <w:p>
            <w:pPr>
              <w:pStyle w:val="131"/>
              <w:jc w:val="center"/>
              <w:rPr>
                <w:rFonts w:hint="eastAsia"/>
                <w:b w:val="0"/>
                <w:bCs/>
                <w:color w:val="auto"/>
                <w:sz w:val="21"/>
                <w:szCs w:val="21"/>
                <w:highlight w:val="none"/>
                <w:lang w:val="en-US" w:eastAsia="zh-CN"/>
              </w:rPr>
            </w:pPr>
            <w:r>
              <w:rPr>
                <w:rFonts w:hint="eastAsia"/>
                <w:b w:val="0"/>
                <w:bCs/>
                <w:color w:val="auto"/>
                <w:sz w:val="21"/>
                <w:szCs w:val="21"/>
                <w:highlight w:val="none"/>
                <w:lang w:val="en-US" w:eastAsia="zh-CN"/>
              </w:rPr>
              <w:t>D（m</w:t>
            </w:r>
            <w:r>
              <w:rPr>
                <w:rFonts w:hint="eastAsia"/>
                <w:b w:val="0"/>
                <w:bCs/>
                <w:color w:val="auto"/>
                <w:sz w:val="21"/>
                <w:szCs w:val="21"/>
                <w:highlight w:val="none"/>
                <w:vertAlign w:val="superscript"/>
                <w:lang w:val="en-US" w:eastAsia="zh-CN"/>
              </w:rPr>
              <w:t>2</w:t>
            </w:r>
            <w:r>
              <w:rPr>
                <w:rFonts w:hint="eastAsia"/>
                <w:b w:val="0"/>
                <w:bCs/>
                <w:color w:val="auto"/>
                <w:sz w:val="21"/>
                <w:szCs w:val="21"/>
                <w:highlight w:val="none"/>
                <w:lang w:val="en-US" w:eastAsia="zh-CN"/>
              </w:rPr>
              <w:t>/d）</w:t>
            </w:r>
          </w:p>
        </w:tc>
        <w:tc>
          <w:tcPr>
            <w:tcW w:w="808" w:type="pct"/>
            <w:shd w:val="clear" w:color="auto" w:fill="auto"/>
            <w:vAlign w:val="center"/>
          </w:tcPr>
          <w:p>
            <w:pPr>
              <w:pStyle w:val="131"/>
              <w:jc w:val="center"/>
              <w:rPr>
                <w:rFonts w:hint="eastAsia"/>
                <w:b w:val="0"/>
                <w:bCs/>
                <w:color w:val="auto"/>
                <w:sz w:val="21"/>
                <w:szCs w:val="21"/>
                <w:highlight w:val="none"/>
                <w:lang w:val="en-US" w:eastAsia="zh-CN"/>
              </w:rPr>
            </w:pPr>
            <w:r>
              <w:rPr>
                <w:rFonts w:hint="eastAsia"/>
                <w:b w:val="0"/>
                <w:bCs/>
                <w:color w:val="auto"/>
                <w:sz w:val="21"/>
                <w:szCs w:val="21"/>
                <w:highlight w:val="none"/>
                <w:lang w:val="en-US" w:eastAsia="zh-CN"/>
              </w:rPr>
              <w:t>T（d）</w:t>
            </w:r>
          </w:p>
        </w:tc>
        <w:tc>
          <w:tcPr>
            <w:tcW w:w="808" w:type="pct"/>
            <w:shd w:val="clear" w:color="auto" w:fill="auto"/>
            <w:vAlign w:val="center"/>
          </w:tcPr>
          <w:p>
            <w:pPr>
              <w:pStyle w:val="131"/>
              <w:jc w:val="center"/>
              <w:rPr>
                <w:rFonts w:hint="eastAsia"/>
                <w:b w:val="0"/>
                <w:bCs/>
                <w:color w:val="auto"/>
                <w:sz w:val="21"/>
                <w:szCs w:val="21"/>
                <w:highlight w:val="none"/>
                <w:lang w:val="en-US" w:eastAsia="zh-CN"/>
              </w:rPr>
            </w:pPr>
            <w:r>
              <w:rPr>
                <w:rFonts w:hint="eastAsia"/>
                <w:b w:val="0"/>
                <w:bCs/>
                <w:color w:val="auto"/>
                <w:sz w:val="21"/>
                <w:szCs w:val="21"/>
                <w:highlight w:val="none"/>
                <w:lang w:val="en-US" w:eastAsia="zh-CN"/>
              </w:rPr>
              <w:t>u（m/d）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770" w:hRule="atLeast"/>
          <w:jc w:val="center"/>
        </w:trPr>
        <w:tc>
          <w:tcPr>
            <w:tcW w:w="796" w:type="pct"/>
            <w:shd w:val="clear" w:color="auto" w:fill="auto"/>
            <w:vAlign w:val="center"/>
          </w:tcPr>
          <w:p>
            <w:pPr>
              <w:pStyle w:val="131"/>
              <w:jc w:val="center"/>
              <w:rPr>
                <w:b w:val="0"/>
                <w:bCs/>
                <w:color w:val="auto"/>
                <w:sz w:val="21"/>
                <w:szCs w:val="21"/>
                <w:highlight w:val="none"/>
              </w:rPr>
            </w:pPr>
            <w:r>
              <w:rPr>
                <w:rFonts w:hint="eastAsia"/>
                <w:b w:val="0"/>
                <w:bCs/>
                <w:color w:val="auto"/>
                <w:sz w:val="21"/>
                <w:szCs w:val="21"/>
                <w:highlight w:val="none"/>
                <w:lang w:val="en-US" w:eastAsia="zh-CN"/>
              </w:rPr>
              <w:t>数值</w:t>
            </w:r>
          </w:p>
        </w:tc>
        <w:tc>
          <w:tcPr>
            <w:tcW w:w="892" w:type="pct"/>
            <w:shd w:val="clear" w:color="auto" w:fill="auto"/>
            <w:vAlign w:val="center"/>
          </w:tcPr>
          <w:p>
            <w:pPr>
              <w:pStyle w:val="131"/>
              <w:jc w:val="center"/>
              <w:rPr>
                <w:rFonts w:hint="default" w:eastAsia="宋体"/>
                <w:b w:val="0"/>
                <w:bCs/>
                <w:color w:val="auto"/>
                <w:sz w:val="21"/>
                <w:szCs w:val="21"/>
                <w:highlight w:val="none"/>
                <w:lang w:val="en-US" w:eastAsia="zh-CN"/>
              </w:rPr>
            </w:pPr>
            <w:r>
              <w:rPr>
                <w:rFonts w:hint="eastAsia"/>
                <w:b w:val="0"/>
                <w:bCs/>
                <w:color w:val="auto"/>
                <w:sz w:val="21"/>
                <w:szCs w:val="21"/>
                <w:highlight w:val="none"/>
                <w:lang w:val="en-US" w:eastAsia="zh-CN"/>
              </w:rPr>
              <w:t>0-500</w:t>
            </w:r>
          </w:p>
        </w:tc>
        <w:tc>
          <w:tcPr>
            <w:tcW w:w="938" w:type="pct"/>
            <w:shd w:val="clear" w:color="auto" w:fill="auto"/>
            <w:vAlign w:val="center"/>
          </w:tcPr>
          <w:p>
            <w:pPr>
              <w:pStyle w:val="131"/>
              <w:jc w:val="center"/>
              <w:rPr>
                <w:rFonts w:ascii="Times New Roman" w:hAnsi="Times New Roman"/>
                <w:color w:val="auto"/>
                <w:sz w:val="21"/>
                <w:szCs w:val="21"/>
                <w:highlight w:val="none"/>
              </w:rPr>
            </w:pPr>
            <w:r>
              <w:rPr>
                <w:rFonts w:ascii="Times New Roman" w:hAnsi="Times New Roman"/>
                <w:color w:val="auto"/>
                <w:sz w:val="21"/>
                <w:szCs w:val="21"/>
                <w:highlight w:val="none"/>
              </w:rPr>
              <w:t>COD</w:t>
            </w:r>
            <w:r>
              <w:rPr>
                <w:rFonts w:hint="eastAsia" w:ascii="Times New Roman" w:hAnsi="Times New Roman"/>
                <w:color w:val="auto"/>
                <w:sz w:val="21"/>
                <w:szCs w:val="21"/>
                <w:highlight w:val="none"/>
                <w:lang w:eastAsia="zh-CN"/>
              </w:rPr>
              <w:t>：</w:t>
            </w:r>
            <w:r>
              <w:rPr>
                <w:rFonts w:hint="eastAsia"/>
                <w:b w:val="0"/>
                <w:bCs/>
                <w:color w:val="auto"/>
                <w:sz w:val="21"/>
                <w:szCs w:val="21"/>
                <w:highlight w:val="none"/>
              </w:rPr>
              <w:t>14468.62</w:t>
            </w:r>
          </w:p>
          <w:p>
            <w:pPr>
              <w:pStyle w:val="131"/>
              <w:jc w:val="center"/>
              <w:rPr>
                <w:rFonts w:hint="eastAsia"/>
                <w:b w:val="0"/>
                <w:bCs/>
                <w:color w:val="auto"/>
                <w:sz w:val="21"/>
                <w:szCs w:val="21"/>
                <w:highlight w:val="none"/>
              </w:rPr>
            </w:pPr>
            <w:r>
              <w:rPr>
                <w:b w:val="0"/>
                <w:bCs/>
                <w:color w:val="auto"/>
                <w:sz w:val="21"/>
                <w:szCs w:val="21"/>
                <w:highlight w:val="none"/>
              </w:rPr>
              <w:t>氨氮</w:t>
            </w:r>
            <w:r>
              <w:rPr>
                <w:rFonts w:hint="eastAsia"/>
                <w:b w:val="0"/>
                <w:bCs/>
                <w:color w:val="auto"/>
                <w:sz w:val="21"/>
                <w:szCs w:val="21"/>
                <w:highlight w:val="none"/>
                <w:lang w:eastAsia="zh-CN"/>
              </w:rPr>
              <w:t>：</w:t>
            </w:r>
            <w:r>
              <w:rPr>
                <w:rFonts w:hint="default" w:ascii="Times New Roman" w:hAnsi="Times New Roman" w:cs="Times New Roman"/>
                <w:b w:val="0"/>
                <w:bCs/>
                <w:color w:val="auto"/>
                <w:kern w:val="0"/>
                <w:sz w:val="21"/>
                <w:szCs w:val="21"/>
                <w:highlight w:val="none"/>
                <w:lang w:val="en-US" w:eastAsia="zh-CN"/>
              </w:rPr>
              <w:t>964.72</w:t>
            </w:r>
          </w:p>
        </w:tc>
        <w:tc>
          <w:tcPr>
            <w:tcW w:w="754" w:type="pct"/>
            <w:shd w:val="clear" w:color="auto" w:fill="auto"/>
            <w:vAlign w:val="center"/>
          </w:tcPr>
          <w:p>
            <w:pPr>
              <w:pStyle w:val="131"/>
              <w:jc w:val="center"/>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0.4</w:t>
            </w:r>
          </w:p>
        </w:tc>
        <w:tc>
          <w:tcPr>
            <w:tcW w:w="808" w:type="pct"/>
            <w:shd w:val="clear" w:color="auto" w:fill="auto"/>
            <w:vAlign w:val="center"/>
          </w:tcPr>
          <w:p>
            <w:pPr>
              <w:pStyle w:val="131"/>
              <w:jc w:val="center"/>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0−5000</w:t>
            </w:r>
          </w:p>
        </w:tc>
        <w:tc>
          <w:tcPr>
            <w:tcW w:w="808" w:type="pct"/>
            <w:shd w:val="clear" w:color="auto" w:fill="auto"/>
            <w:vAlign w:val="center"/>
          </w:tcPr>
          <w:p>
            <w:pPr>
              <w:pStyle w:val="131"/>
              <w:jc w:val="center"/>
              <w:rPr>
                <w:rFonts w:hint="eastAsia"/>
                <w:b w:val="0"/>
                <w:bCs/>
                <w:color w:val="auto"/>
                <w:sz w:val="21"/>
                <w:szCs w:val="21"/>
                <w:highlight w:val="none"/>
                <w:lang w:val="en-US" w:eastAsia="zh-CN"/>
              </w:rPr>
            </w:pPr>
            <w:r>
              <w:rPr>
                <w:rFonts w:hint="eastAsia"/>
                <w:b w:val="0"/>
                <w:bCs/>
                <w:color w:val="auto"/>
                <w:sz w:val="21"/>
                <w:szCs w:val="21"/>
                <w:highlight w:val="none"/>
                <w:lang w:val="en-US" w:eastAsia="zh-CN"/>
              </w:rPr>
              <w:t>0.04</w:t>
            </w:r>
          </w:p>
        </w:tc>
      </w:tr>
    </w:tbl>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rPr>
      </w:pPr>
      <w:r>
        <w:rPr>
          <w:rFonts w:hint="eastAsia"/>
          <w:color w:val="auto"/>
          <w:highlight w:val="none"/>
          <w:lang w:val="en-US" w:eastAsia="zh-CN"/>
        </w:rPr>
        <w:t>8、</w:t>
      </w:r>
      <w:r>
        <w:rPr>
          <w:rFonts w:hint="eastAsia"/>
          <w:color w:val="auto"/>
          <w:highlight w:val="none"/>
        </w:rPr>
        <w:t>预测内容</w:t>
      </w:r>
    </w:p>
    <w:p>
      <w:pPr>
        <w:ind w:firstLine="480"/>
        <w:rPr>
          <w:color w:val="auto"/>
          <w:highlight w:val="none"/>
        </w:rPr>
      </w:pPr>
      <w:r>
        <w:rPr>
          <w:rFonts w:hint="eastAsia"/>
          <w:color w:val="auto"/>
          <w:highlight w:val="none"/>
        </w:rPr>
        <w:t>本次工程地下水预测内容如下：非正常状况下，COD、氨氮不同时段的影响范围、程度，最大迁移距离。</w:t>
      </w:r>
    </w:p>
    <w:p>
      <w:pPr>
        <w:keepNext w:val="0"/>
        <w:keepLines w:val="0"/>
        <w:pageBreakBefore w:val="0"/>
        <w:widowControl/>
        <w:numPr>
          <w:ilvl w:val="0"/>
          <w:numId w:val="0"/>
        </w:numPr>
        <w:kinsoku/>
        <w:wordWrap/>
        <w:overflowPunct/>
        <w:topLinePunct w:val="0"/>
        <w:autoSpaceDE/>
        <w:autoSpaceDN/>
        <w:bidi w:val="0"/>
        <w:adjustRightInd/>
        <w:snapToGrid/>
        <w:ind w:left="480" w:leftChars="0"/>
        <w:textAlignment w:val="auto"/>
        <w:rPr>
          <w:rFonts w:hint="eastAsia"/>
          <w:color w:val="auto"/>
          <w:highlight w:val="none"/>
        </w:rPr>
      </w:pPr>
      <w:r>
        <w:rPr>
          <w:rFonts w:hint="eastAsia"/>
          <w:color w:val="auto"/>
          <w:highlight w:val="none"/>
          <w:lang w:val="en-US" w:eastAsia="zh-CN"/>
        </w:rPr>
        <w:t>9、</w:t>
      </w:r>
      <w:r>
        <w:rPr>
          <w:rFonts w:hint="eastAsia"/>
          <w:color w:val="auto"/>
          <w:highlight w:val="none"/>
        </w:rPr>
        <w:t>模型预测结果</w:t>
      </w:r>
    </w:p>
    <w:p>
      <w:pPr>
        <w:pStyle w:val="40"/>
        <w:rPr>
          <w:rFonts w:hint="eastAsia" w:cs="Times New Roman"/>
          <w:color w:val="auto"/>
          <w:highlight w:val="none"/>
          <w:lang w:val="en-US" w:eastAsia="zh-CN"/>
        </w:rPr>
      </w:pPr>
      <w:r>
        <w:rPr>
          <w:rFonts w:hint="eastAsia" w:cs="Times New Roman"/>
          <w:color w:val="auto"/>
          <w:highlight w:val="none"/>
          <w:lang w:val="en-US" w:eastAsia="zh-CN"/>
        </w:rPr>
        <w:t>表4.2-25 非正常状况下地下水影响预测结果一览表 单位：mg/L</w:t>
      </w:r>
    </w:p>
    <w:tbl>
      <w:tblPr>
        <w:tblStyle w:val="24"/>
        <w:tblW w:w="82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541"/>
        <w:gridCol w:w="550"/>
        <w:gridCol w:w="713"/>
        <w:gridCol w:w="787"/>
        <w:gridCol w:w="813"/>
        <w:gridCol w:w="875"/>
        <w:gridCol w:w="750"/>
        <w:gridCol w:w="775"/>
        <w:gridCol w:w="800"/>
        <w:gridCol w:w="875"/>
        <w:gridCol w:w="7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41" w:type="dxa"/>
            <w:vMerge w:val="restart"/>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因子</w:t>
            </w:r>
          </w:p>
        </w:tc>
        <w:tc>
          <w:tcPr>
            <w:tcW w:w="550" w:type="dxa"/>
            <w:vMerge w:val="restart"/>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距离（m）</w:t>
            </w:r>
          </w:p>
        </w:tc>
        <w:tc>
          <w:tcPr>
            <w:tcW w:w="7168" w:type="dxa"/>
            <w:gridSpan w:val="9"/>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时间（d）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100</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300</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500</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1000</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2000</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3000</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4000</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5000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41" w:type="dxa"/>
            <w:vMerge w:val="restart"/>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COD</w:t>
            </w: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 xml:space="preserve">0.00157 </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0.12611 </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0.09042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0.06233 </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0.02846 </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0.00764 </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0.00232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0.00074 </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0.00025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0.03188 </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0.07980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0.07063 </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0.03889 </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0.01146 </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0.00359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0.00117 </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0.00039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30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0.00231 </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0.04642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0.06233 </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0.04692 </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0.01617 </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0.00533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0.00178 </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0.00060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40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0.00005 </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0.01781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0.04284 </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0.04994 </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0.02142 </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0.00760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0.00263 </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0.00091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50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0</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0.00450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0.02293 </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0.04692 </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0.02666 </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0.01039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0.00377 </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0.00134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60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0.00075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0.00956 </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0.03889 </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0.03116 </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0.01362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0.00523 </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0.00193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70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0.00008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0.00310 </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0.02846 </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0.03423 </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0.01713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0.00704 </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0.00270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80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0.00001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0.00078 </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0.01837 </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0.03531 </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0.02066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0.00919 </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0.00369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90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0</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0.00015 </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0.01047 </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0.03423 </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0.02390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0.01161 </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0.00492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100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0</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0.00002 </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0.00526 </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0.03116 </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0.02653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0.01423 </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0.00640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150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0.00003 </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0.00764 </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0.02390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0.02458 </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0.01634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200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0</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0.00039 </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0.00760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0.01945 </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0.02233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250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0</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0.00085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0.00704 </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0.01634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300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0</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0.00003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0.00117 </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0.00640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350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0</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0.00009 </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0.00134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00" w:hRule="atLeast"/>
        </w:trPr>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400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0</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0.00015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00" w:hRule="atLeast"/>
        </w:trPr>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450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0</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0.00001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1" w:hRule="atLeast"/>
        </w:trPr>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500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41" w:type="dxa"/>
            <w:vMerge w:val="restart"/>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氨氮</w:t>
            </w: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 xml:space="preserve">0.00109 </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0.08771 </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0.06289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0.04335 </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0.01979 </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0.00531 </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0.00161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0.00052 </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0.00017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0.02218 </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0.05550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0.04912 </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0.02705 </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0.00797 </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0.00250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0.00081 </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0.00027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30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0.00161 </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0.03229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0.04335 </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0.03263 </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0.01125 </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0.00371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0.00124 </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0.00042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40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0.00003 </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0.01238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0.02979 </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0.03474 </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0.01490 </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0.00529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0.00183 </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0.00063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50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0.00313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0.01595 </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0.03263 </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0.01854 </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0.00723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0.00262 </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0.00093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60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0.00052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0.00665 </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0.02705 </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0.02168 </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0.00947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0.00364 </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0.00134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70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0.00006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0.00216 </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0.01979 </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0.02381 </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0.01191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0.00490 </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0.00188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80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0.00055 </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0.01278 </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0.02456 </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0.01437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0.00639 </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0.00257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90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0.00011 </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0.00728 </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0.02381 </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0.01663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0.00808 </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0.00342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100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0.00002 </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0.00366 </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0.02168 </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0.01845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0.00990 </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0.00445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150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0.00002 </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0.00531 </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0.01663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0.01710 </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0.01137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200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0.00027 </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0.00529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0.01353 </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0.01553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250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0.00059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0.00490 </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0.01137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300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0.00002 </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0.00081 </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0.00445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350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0.00006 </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0.00093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28" w:hRule="atLeast"/>
        </w:trPr>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400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0.00010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28" w:hRule="atLeast"/>
        </w:trPr>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450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 xml:space="preserve">0.00001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13" w:hRule="atLeast"/>
        </w:trPr>
        <w:tc>
          <w:tcPr>
            <w:tcW w:w="541" w:type="dxa"/>
            <w:vMerge w:val="continue"/>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p>
        </w:tc>
        <w:tc>
          <w:tcPr>
            <w:tcW w:w="5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500</w:t>
            </w:r>
          </w:p>
        </w:tc>
        <w:tc>
          <w:tcPr>
            <w:tcW w:w="7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7"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13"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5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0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875"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c>
          <w:tcPr>
            <w:tcW w:w="780" w:type="dxa"/>
            <w:tcBorders>
              <w:tl2br w:val="nil"/>
              <w:tr2bl w:val="nil"/>
            </w:tcBorders>
            <w:noWrap w:val="0"/>
            <w:tcMar>
              <w:top w:w="57" w:type="dxa"/>
              <w:left w:w="0" w:type="dxa"/>
              <w:bottom w:w="68" w:type="dxa"/>
              <w:right w:w="0" w:type="dxa"/>
            </w:tcMar>
            <w:vAlign w:val="center"/>
          </w:tcPr>
          <w:p>
            <w:pPr>
              <w:pStyle w:val="131"/>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w:t>
            </w:r>
          </w:p>
        </w:tc>
      </w:tr>
    </w:tbl>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lang w:val="en-US" w:eastAsia="zh-CN"/>
        </w:rPr>
      </w:pPr>
      <w:r>
        <w:rPr>
          <w:rFonts w:hint="eastAsia"/>
          <w:color w:val="auto"/>
          <w:highlight w:val="none"/>
          <w:lang w:eastAsia="zh-CN"/>
        </w:rPr>
        <w:t>根据预测结果可知，在非正常状况下因池体防渗层达不到设计的防渗效果，养殖废水未经处理而发生渗透，连续泄露5000d，COD影响到距离源强4</w:t>
      </w:r>
      <w:r>
        <w:rPr>
          <w:rFonts w:hint="eastAsia"/>
          <w:color w:val="auto"/>
          <w:highlight w:val="none"/>
          <w:lang w:val="en-US" w:eastAsia="zh-CN"/>
        </w:rPr>
        <w:t>5</w:t>
      </w:r>
      <w:r>
        <w:rPr>
          <w:rFonts w:hint="eastAsia"/>
          <w:color w:val="auto"/>
          <w:highlight w:val="none"/>
          <w:lang w:eastAsia="zh-CN"/>
        </w:rPr>
        <w:t>0m处，浓度为</w:t>
      </w:r>
      <w:r>
        <w:rPr>
          <w:rFonts w:hint="eastAsia"/>
          <w:color w:val="auto"/>
          <w:highlight w:val="none"/>
          <w:lang w:val="en-US" w:eastAsia="zh-CN"/>
        </w:rPr>
        <w:t>0.00001</w:t>
      </w:r>
      <w:r>
        <w:rPr>
          <w:rFonts w:hint="eastAsia"/>
          <w:color w:val="auto"/>
          <w:highlight w:val="none"/>
          <w:lang w:eastAsia="zh-CN"/>
        </w:rPr>
        <w:t>mg/L；在连续渗漏5000d时，氨氮仅影响到距离污染源强4</w:t>
      </w:r>
      <w:r>
        <w:rPr>
          <w:rFonts w:hint="eastAsia"/>
          <w:color w:val="auto"/>
          <w:highlight w:val="none"/>
          <w:lang w:val="en-US" w:eastAsia="zh-CN"/>
        </w:rPr>
        <w:t>5</w:t>
      </w:r>
      <w:r>
        <w:rPr>
          <w:rFonts w:hint="eastAsia"/>
          <w:color w:val="auto"/>
          <w:highlight w:val="none"/>
          <w:lang w:eastAsia="zh-CN"/>
        </w:rPr>
        <w:t>0m处，浓度为</w:t>
      </w:r>
      <w:r>
        <w:rPr>
          <w:rFonts w:hint="eastAsia"/>
          <w:color w:val="auto"/>
          <w:highlight w:val="none"/>
          <w:lang w:val="en-US" w:eastAsia="zh-CN"/>
        </w:rPr>
        <w:t xml:space="preserve">0.00001 </w:t>
      </w:r>
      <w:r>
        <w:rPr>
          <w:rFonts w:hint="eastAsia"/>
          <w:color w:val="auto"/>
          <w:highlight w:val="none"/>
          <w:lang w:eastAsia="zh-CN"/>
        </w:rPr>
        <w:t>mg/L。COD、NH</w:t>
      </w:r>
      <w:r>
        <w:rPr>
          <w:rFonts w:hint="eastAsia"/>
          <w:color w:val="auto"/>
          <w:highlight w:val="none"/>
          <w:vertAlign w:val="subscript"/>
          <w:lang w:eastAsia="zh-CN"/>
        </w:rPr>
        <w:t>3</w:t>
      </w:r>
      <w:r>
        <w:rPr>
          <w:rFonts w:hint="eastAsia"/>
          <w:color w:val="auto"/>
          <w:highlight w:val="none"/>
          <w:lang w:eastAsia="zh-CN"/>
        </w:rPr>
        <w:t>-N预测值在</w:t>
      </w:r>
      <w:r>
        <w:rPr>
          <w:rFonts w:hint="eastAsia"/>
          <w:color w:val="auto"/>
          <w:highlight w:val="none"/>
          <w:lang w:val="en-US" w:eastAsia="zh-CN"/>
        </w:rPr>
        <w:t>1</w:t>
      </w:r>
      <w:r>
        <w:rPr>
          <w:rFonts w:hint="eastAsia"/>
          <w:color w:val="auto"/>
          <w:highlight w:val="none"/>
          <w:lang w:eastAsia="zh-CN"/>
        </w:rPr>
        <w:t>0m时已能满足《地下水质量标准》（GB/T14848-93）Ⅲ类要求。由于下游距离本次工程废水处理设施最近村庄为东北侧4</w:t>
      </w:r>
      <w:r>
        <w:rPr>
          <w:rFonts w:hint="eastAsia"/>
          <w:color w:val="auto"/>
          <w:highlight w:val="none"/>
          <w:lang w:val="en-US" w:eastAsia="zh-CN"/>
        </w:rPr>
        <w:t>2</w:t>
      </w:r>
      <w:r>
        <w:rPr>
          <w:rFonts w:hint="eastAsia"/>
          <w:color w:val="auto"/>
          <w:highlight w:val="none"/>
          <w:lang w:eastAsia="zh-CN"/>
        </w:rPr>
        <w:t>0m处的吴自岐庄，因此，在连续渗漏5000天的情况下，不会对周围环境敏感点地下水造成影响。</w:t>
      </w:r>
    </w:p>
    <w:p>
      <w:pPr>
        <w:keepNext w:val="0"/>
        <w:keepLines w:val="0"/>
        <w:pageBreakBefore w:val="0"/>
        <w:widowControl/>
        <w:kinsoku/>
        <w:wordWrap/>
        <w:overflowPunct/>
        <w:topLinePunct w:val="0"/>
        <w:autoSpaceDE/>
        <w:autoSpaceDN/>
        <w:bidi w:val="0"/>
        <w:adjustRightInd/>
        <w:snapToGrid/>
        <w:ind w:firstLine="480"/>
        <w:textAlignment w:val="auto"/>
        <w:rPr>
          <w:color w:val="auto"/>
          <w:highlight w:val="none"/>
        </w:rPr>
      </w:pPr>
      <w:bookmarkStart w:id="39" w:name="_Toc501092092"/>
      <w:r>
        <w:rPr>
          <w:rFonts w:hint="eastAsia"/>
          <w:color w:val="auto"/>
          <w:highlight w:val="none"/>
          <w:lang w:val="en-US" w:eastAsia="zh-CN"/>
        </w:rPr>
        <w:t>10、</w:t>
      </w:r>
      <w:r>
        <w:rPr>
          <w:rFonts w:hint="eastAsia"/>
          <w:color w:val="auto"/>
          <w:highlight w:val="none"/>
        </w:rPr>
        <w:t>正常</w:t>
      </w:r>
      <w:r>
        <w:rPr>
          <w:color w:val="auto"/>
          <w:highlight w:val="none"/>
        </w:rPr>
        <w:t>工况地下水环境影响分析</w:t>
      </w:r>
      <w:bookmarkEnd w:id="39"/>
    </w:p>
    <w:p>
      <w:pPr>
        <w:keepNext w:val="0"/>
        <w:keepLines w:val="0"/>
        <w:pageBreakBefore w:val="0"/>
        <w:widowControl/>
        <w:kinsoku/>
        <w:wordWrap/>
        <w:overflowPunct/>
        <w:topLinePunct w:val="0"/>
        <w:autoSpaceDE/>
        <w:autoSpaceDN/>
        <w:bidi w:val="0"/>
        <w:adjustRightInd/>
        <w:snapToGrid/>
        <w:ind w:firstLine="480"/>
        <w:textAlignment w:val="auto"/>
        <w:rPr>
          <w:color w:val="auto"/>
          <w:highlight w:val="none"/>
        </w:rPr>
      </w:pPr>
      <w:r>
        <w:rPr>
          <w:rFonts w:hint="eastAsia"/>
          <w:color w:val="auto"/>
          <w:highlight w:val="none"/>
        </w:rPr>
        <w:t>本项目对地下水的影响主要停留在生产运行阶段，但影响不大；建设阶段对地下水的影响短暂，随施工的结束而停止；同时由于本项目废水污染物主要为非持久性污染物，故在服务期满后随地下水稀释、径流等作用，污染逐渐消失。</w:t>
      </w:r>
    </w:p>
    <w:p>
      <w:pPr>
        <w:keepNext w:val="0"/>
        <w:keepLines w:val="0"/>
        <w:pageBreakBefore w:val="0"/>
        <w:widowControl/>
        <w:kinsoku/>
        <w:wordWrap/>
        <w:overflowPunct/>
        <w:topLinePunct w:val="0"/>
        <w:autoSpaceDE/>
        <w:autoSpaceDN/>
        <w:bidi w:val="0"/>
        <w:adjustRightInd/>
        <w:snapToGrid/>
        <w:ind w:firstLine="480"/>
        <w:textAlignment w:val="auto"/>
        <w:rPr>
          <w:color w:val="auto"/>
          <w:highlight w:val="none"/>
        </w:rPr>
      </w:pPr>
      <w:r>
        <w:rPr>
          <w:color w:val="auto"/>
          <w:highlight w:val="none"/>
        </w:rPr>
        <w:t>根据工程分析，项目可能对地下水造成污染的主要</w:t>
      </w:r>
      <w:r>
        <w:rPr>
          <w:rFonts w:hint="eastAsia"/>
          <w:color w:val="auto"/>
          <w:highlight w:val="none"/>
        </w:rPr>
        <w:t>为</w:t>
      </w:r>
      <w:r>
        <w:rPr>
          <w:color w:val="auto"/>
          <w:highlight w:val="none"/>
        </w:rPr>
        <w:t>：</w:t>
      </w:r>
      <w:r>
        <w:rPr>
          <w:rFonts w:hint="eastAsia"/>
          <w:color w:val="auto"/>
          <w:highlight w:val="none"/>
        </w:rPr>
        <w:t>渗漏造成的地下水污染</w:t>
      </w:r>
      <w:r>
        <w:rPr>
          <w:color w:val="auto"/>
          <w:highlight w:val="none"/>
        </w:rPr>
        <w:t>。</w:t>
      </w:r>
      <w:r>
        <w:rPr>
          <w:rFonts w:hint="eastAsia"/>
          <w:color w:val="auto"/>
          <w:highlight w:val="none"/>
        </w:rPr>
        <w:t>项目场区划分为重点防渗区及一般防渗区，根据防渗级别采取不同的防渗材料，地下水防渗措施均为目前养殖行业普遍采用的成熟措施，沼液储存池在清场夯压的基础上铺设HDPE膜防渗，渗透系数</w:t>
      </w:r>
      <w:r>
        <w:rPr>
          <w:rFonts w:hint="default" w:ascii="Times New Roman" w:hAnsi="Times New Roman" w:cs="Times New Roman"/>
          <w:color w:val="auto"/>
          <w:highlight w:val="none"/>
        </w:rPr>
        <w:t>1.0</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10</w:t>
      </w:r>
      <w:r>
        <w:rPr>
          <w:rFonts w:hint="default" w:ascii="Times New Roman" w:hAnsi="Times New Roman" w:cs="Times New Roman"/>
          <w:color w:val="auto"/>
          <w:highlight w:val="none"/>
          <w:vertAlign w:val="superscript"/>
        </w:rPr>
        <w:t>-</w:t>
      </w:r>
      <w:r>
        <w:rPr>
          <w:rFonts w:hint="eastAsia" w:ascii="Times New Roman" w:hAnsi="Times New Roman" w:cs="Times New Roman"/>
          <w:color w:val="auto"/>
          <w:highlight w:val="none"/>
          <w:vertAlign w:val="superscript"/>
          <w:lang w:val="en-US" w:eastAsia="zh-CN"/>
        </w:rPr>
        <w:t>10</w:t>
      </w:r>
      <w:r>
        <w:rPr>
          <w:rFonts w:hint="eastAsia"/>
          <w:color w:val="auto"/>
          <w:highlight w:val="none"/>
        </w:rPr>
        <w:t>cm/s，符合（GB18597-2001）、（GB18599-2001） 的相关规定要求</w:t>
      </w:r>
      <w:r>
        <w:rPr>
          <w:rFonts w:hint="eastAsia"/>
          <w:color w:val="auto"/>
          <w:highlight w:val="none"/>
          <w:lang w:eastAsia="zh-CN"/>
        </w:rPr>
        <w:t>。</w:t>
      </w:r>
      <w:r>
        <w:rPr>
          <w:rFonts w:ascii="Times New Roman" w:hAnsi="Times New Roman"/>
          <w:color w:val="auto"/>
          <w:sz w:val="24"/>
          <w:highlight w:val="none"/>
        </w:rPr>
        <w:t>根据区域水文地质资料，项目区包气带中地下埋深10m处仍为粘土层，渗透系数低，可有效防止污水下渗的污染</w:t>
      </w:r>
      <w:r>
        <w:rPr>
          <w:rFonts w:hint="eastAsia"/>
          <w:color w:val="auto"/>
          <w:highlight w:val="none"/>
        </w:rPr>
        <w:t>。</w:t>
      </w:r>
    </w:p>
    <w:p>
      <w:pPr>
        <w:keepNext w:val="0"/>
        <w:keepLines w:val="0"/>
        <w:pageBreakBefore w:val="0"/>
        <w:widowControl/>
        <w:kinsoku/>
        <w:wordWrap/>
        <w:overflowPunct/>
        <w:topLinePunct w:val="0"/>
        <w:autoSpaceDE/>
        <w:autoSpaceDN/>
        <w:bidi w:val="0"/>
        <w:adjustRightInd/>
        <w:snapToGrid/>
        <w:ind w:firstLine="480"/>
        <w:textAlignment w:val="auto"/>
        <w:rPr>
          <w:color w:val="auto"/>
          <w:highlight w:val="none"/>
        </w:rPr>
      </w:pPr>
      <w:r>
        <w:rPr>
          <w:rFonts w:hint="eastAsia"/>
          <w:color w:val="auto"/>
          <w:highlight w:val="none"/>
          <w:lang w:val="en-US" w:eastAsia="zh-CN"/>
        </w:rPr>
        <w:t>11、</w:t>
      </w:r>
      <w:r>
        <w:rPr>
          <w:rFonts w:hint="eastAsia"/>
          <w:color w:val="auto"/>
          <w:highlight w:val="none"/>
        </w:rPr>
        <w:t>非正常工况地下水环境影响分析</w:t>
      </w:r>
    </w:p>
    <w:p>
      <w:pPr>
        <w:keepNext w:val="0"/>
        <w:keepLines w:val="0"/>
        <w:pageBreakBefore w:val="0"/>
        <w:widowControl/>
        <w:kinsoku/>
        <w:wordWrap/>
        <w:overflowPunct/>
        <w:topLinePunct w:val="0"/>
        <w:autoSpaceDE/>
        <w:autoSpaceDN/>
        <w:bidi w:val="0"/>
        <w:adjustRightInd/>
        <w:snapToGrid/>
        <w:ind w:firstLine="480"/>
        <w:textAlignment w:val="auto"/>
        <w:rPr>
          <w:color w:val="auto"/>
          <w:highlight w:val="none"/>
        </w:rPr>
      </w:pPr>
      <w:r>
        <w:rPr>
          <w:rFonts w:hint="eastAsia"/>
          <w:color w:val="auto"/>
          <w:highlight w:val="none"/>
        </w:rPr>
        <w:t>拟建项目厂内非正常工况主要是生产设施故障、废水收集或输送管道等出现问题，造成非正常排放。根据项目运营后可能发生的情况，确定地下水事故情景如下 ：</w:t>
      </w:r>
    </w:p>
    <w:p>
      <w:pPr>
        <w:ind w:firstLine="480"/>
        <w:rPr>
          <w:color w:val="auto"/>
          <w:highlight w:val="none"/>
        </w:rPr>
      </w:pPr>
      <w:r>
        <w:rPr>
          <w:rFonts w:hint="eastAsia"/>
          <w:color w:val="auto"/>
          <w:highlight w:val="none"/>
        </w:rPr>
        <w:t>（1）生产设施故障如故障，造成废水未收集，或者生产装置中所产生的“跑、冒、滴、漏”，污水下渗，成为造成地下水环境污染的主要途径。</w:t>
      </w:r>
    </w:p>
    <w:p>
      <w:pPr>
        <w:ind w:firstLine="480"/>
        <w:rPr>
          <w:color w:val="auto"/>
          <w:highlight w:val="none"/>
        </w:rPr>
      </w:pPr>
      <w:r>
        <w:rPr>
          <w:rFonts w:hint="eastAsia"/>
          <w:color w:val="auto"/>
          <w:highlight w:val="none"/>
        </w:rPr>
        <w:t>（2）拟建原料若未妥善储存，如被雨水淋溶和冲刷，进入地表水或下渗进入地下水含水层，会对地下水环境产生影响。</w:t>
      </w:r>
    </w:p>
    <w:p>
      <w:pPr>
        <w:ind w:firstLine="480"/>
        <w:rPr>
          <w:color w:val="auto"/>
          <w:highlight w:val="none"/>
        </w:rPr>
      </w:pPr>
      <w:r>
        <w:rPr>
          <w:rFonts w:hint="eastAsia"/>
          <w:color w:val="auto"/>
          <w:highlight w:val="none"/>
        </w:rPr>
        <w:t>（3）生活污水管线泄漏，造成大量废水直接通过地表进入地下水。</w:t>
      </w:r>
    </w:p>
    <w:p>
      <w:pPr>
        <w:ind w:firstLine="480"/>
        <w:rPr>
          <w:color w:val="auto"/>
          <w:highlight w:val="none"/>
        </w:rPr>
      </w:pPr>
      <w:r>
        <w:rPr>
          <w:rFonts w:hint="eastAsia"/>
          <w:color w:val="auto"/>
          <w:highlight w:val="none"/>
        </w:rPr>
        <w:t>（4）固体废弃物等若存放不当，降雨后雨水入渗将固体废弃物中的有毒有害物淋溶出来而渗入地下水，使地下水遭到污染。</w:t>
      </w:r>
    </w:p>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rPr>
      </w:pPr>
      <w:r>
        <w:rPr>
          <w:rFonts w:hint="eastAsia"/>
          <w:color w:val="auto"/>
          <w:highlight w:val="none"/>
        </w:rPr>
        <w:t>若有事故废水下渗，污染物对地下水的影响主要是污染物通过垂直渗透进入包气带，进入包气带的污染物在物理、化学和生物作用下经吸附、转化、迁移和分解后输入地下水。拟建项目产生的废水浓度较小，因此事故废水下渗后，在下渗过程中污染物可以通过土壤对污染物的阻隔、吸收和降解作用，污染物浓度会进一步降低。即使有微量废水渗入地下水，对地下水的水质影响也较微弱。</w:t>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color w:val="auto"/>
          <w:sz w:val="24"/>
          <w:highlight w:val="none"/>
        </w:rPr>
      </w:pPr>
      <w:r>
        <w:rPr>
          <w:rFonts w:hint="eastAsia"/>
          <w:color w:val="auto"/>
          <w:highlight w:val="none"/>
          <w:lang w:val="en-US" w:eastAsia="zh-CN"/>
        </w:rPr>
        <w:t>12、</w:t>
      </w:r>
      <w:r>
        <w:rPr>
          <w:rFonts w:ascii="Times New Roman" w:hAnsi="Times New Roman"/>
          <w:color w:val="auto"/>
          <w:kern w:val="0"/>
          <w:sz w:val="24"/>
          <w:highlight w:val="none"/>
        </w:rPr>
        <w:t>预防地下水污染的要求和管理建议</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kern w:val="0"/>
          <w:sz w:val="24"/>
          <w:highlight w:val="none"/>
        </w:rPr>
        <w:t>项目在施工和运营阶段，应充分做好排污管道的防渗处理，杜绝污水渗漏，确保污水收集处理系统衔接良好，严格用水管理，防止污水“跑、冒、滴、漏”现象的发生。营运期环境管理建议严格按照以下要求进行管理：</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hint="default" w:ascii="Times New Roman" w:hAnsi="Times New Roman" w:cs="Times New Roman" w:eastAsiaTheme="minorEastAsia"/>
          <w:color w:val="auto"/>
          <w:kern w:val="0"/>
          <w:sz w:val="24"/>
          <w:highlight w:val="none"/>
        </w:rPr>
        <w:t>①</w:t>
      </w:r>
      <w:r>
        <w:rPr>
          <w:rFonts w:ascii="Times New Roman" w:hAnsi="Times New Roman"/>
          <w:color w:val="auto"/>
          <w:kern w:val="0"/>
          <w:sz w:val="24"/>
          <w:highlight w:val="none"/>
        </w:rPr>
        <w:t>《畜禽养殖业污染防治技术规范》（HJ/T81－2001）规定，养殖场实施雨水和污水收集输送系统分离，在场区内设置的污水收集输送系统，不得采用明沟布设。排水沟应采取水泥硬化防渗措施或采用水泥排水管进行输送，防止随处溢流和下渗污染。</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kern w:val="0"/>
          <w:sz w:val="24"/>
          <w:highlight w:val="none"/>
        </w:rPr>
        <w:t>②固粪处理区设置顶棚、地面防渗措施，防止粪便淋滤液污染地下水。</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kern w:val="0"/>
          <w:sz w:val="24"/>
          <w:highlight w:val="none"/>
        </w:rPr>
        <w:t>③本项目应在建设项目沼液消纳地上、下游各布设1个跟踪监测点，应明确各监测点的点位、井深、监测浅层地下水、监测因子及监测频次等参数，并明确各检测点的基本功能，本项目为背景值监测点和地下水环境影响跟踪监测点。</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kern w:val="0"/>
          <w:sz w:val="24"/>
          <w:highlight w:val="none"/>
        </w:rPr>
        <w:t>④企业应提高地下水风险防范意识，制定地下水风险事故应急措施，明确地下水污染情况下应采取的控制污染源、切断污染途径的封闭、截流措施等。</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kern w:val="0"/>
          <w:sz w:val="24"/>
          <w:highlight w:val="none"/>
        </w:rPr>
        <w:t>综上分析，严格落实各项地下水防治措施的前提下，项目建设对地下水的影响能得到有效控制。</w:t>
      </w:r>
    </w:p>
    <w:p>
      <w:pPr>
        <w:pStyle w:val="5"/>
        <w:spacing w:before="66"/>
        <w:ind w:firstLine="482"/>
        <w:rPr>
          <w:color w:val="auto"/>
          <w:highlight w:val="none"/>
        </w:rPr>
      </w:pPr>
      <w:r>
        <w:rPr>
          <w:rFonts w:hint="eastAsia"/>
          <w:color w:val="auto"/>
          <w:highlight w:val="none"/>
          <w:lang w:val="en-US" w:eastAsia="zh-CN"/>
        </w:rPr>
        <w:t>4</w:t>
      </w:r>
      <w:r>
        <w:rPr>
          <w:color w:val="auto"/>
          <w:highlight w:val="none"/>
        </w:rPr>
        <w:t>.</w:t>
      </w:r>
      <w:r>
        <w:rPr>
          <w:rFonts w:hint="eastAsia"/>
          <w:color w:val="auto"/>
          <w:highlight w:val="none"/>
        </w:rPr>
        <w:t>2.4</w:t>
      </w:r>
      <w:r>
        <w:rPr>
          <w:color w:val="auto"/>
          <w:highlight w:val="none"/>
        </w:rPr>
        <w:t>噪声环境影响预测与评价</w:t>
      </w:r>
    </w:p>
    <w:p>
      <w:pPr>
        <w:pStyle w:val="6"/>
        <w:ind w:firstLine="482"/>
        <w:rPr>
          <w:color w:val="auto"/>
          <w:highlight w:val="none"/>
        </w:rPr>
      </w:pPr>
      <w:r>
        <w:rPr>
          <w:rFonts w:hint="eastAsia"/>
          <w:color w:val="auto"/>
          <w:highlight w:val="none"/>
          <w:lang w:val="en-US" w:eastAsia="zh-CN"/>
        </w:rPr>
        <w:t>4</w:t>
      </w:r>
      <w:r>
        <w:rPr>
          <w:color w:val="auto"/>
          <w:highlight w:val="none"/>
        </w:rPr>
        <w:t>.</w:t>
      </w:r>
      <w:r>
        <w:rPr>
          <w:rFonts w:hint="eastAsia"/>
          <w:color w:val="auto"/>
          <w:highlight w:val="none"/>
        </w:rPr>
        <w:t>2.4.1</w:t>
      </w:r>
      <w:r>
        <w:rPr>
          <w:color w:val="auto"/>
          <w:highlight w:val="none"/>
        </w:rPr>
        <w:t>主要噪声源</w:t>
      </w:r>
      <w:r>
        <w:rPr>
          <w:rFonts w:hint="eastAsia"/>
          <w:color w:val="auto"/>
          <w:highlight w:val="none"/>
        </w:rPr>
        <w:t>及防治措施</w:t>
      </w:r>
    </w:p>
    <w:p>
      <w:pPr>
        <w:ind w:firstLine="480"/>
        <w:rPr>
          <w:rFonts w:cs="Times New Roman"/>
          <w:color w:val="auto"/>
          <w:highlight w:val="none"/>
        </w:rPr>
      </w:pPr>
      <w:r>
        <w:rPr>
          <w:rFonts w:ascii="Times New Roman" w:hAnsi="Times New Roman"/>
          <w:color w:val="auto"/>
          <w:sz w:val="24"/>
          <w:szCs w:val="24"/>
          <w:highlight w:val="none"/>
        </w:rPr>
        <w:t>噪声主要为猪叫声、清洗猪舍时高压水枪配套空压机、猪舍降温配套风机、粪污处理设施水泵、固液分离机、翻抛机等设备运行时产生的噪声，根据类比调查，其源强为70～90dB(A)</w:t>
      </w:r>
      <w:r>
        <w:rPr>
          <w:color w:val="auto"/>
          <w:highlight w:val="none"/>
        </w:rPr>
        <w:t>。噪声在室外空间传播，由于受到遮挡物的隔阻，各种介质的吸收与反射，以及空气介质的吸收等物理作用而逐渐衰弱。</w:t>
      </w:r>
      <w:r>
        <w:rPr>
          <w:rFonts w:cs="Times New Roman"/>
          <w:color w:val="auto"/>
          <w:highlight w:val="none"/>
        </w:rPr>
        <w:t>主要噪声源</w:t>
      </w:r>
      <w:r>
        <w:rPr>
          <w:rFonts w:hint="eastAsia" w:cs="Times New Roman"/>
          <w:color w:val="auto"/>
          <w:highlight w:val="none"/>
        </w:rPr>
        <w:t>及其源强</w:t>
      </w:r>
      <w:r>
        <w:rPr>
          <w:rFonts w:cs="Times New Roman"/>
          <w:color w:val="auto"/>
          <w:highlight w:val="none"/>
        </w:rPr>
        <w:t>见表</w:t>
      </w:r>
      <w:r>
        <w:rPr>
          <w:rFonts w:hint="eastAsia" w:cs="Times New Roman"/>
          <w:color w:val="auto"/>
          <w:szCs w:val="18"/>
          <w:highlight w:val="none"/>
          <w:lang w:val="en-US" w:eastAsia="zh-CN"/>
        </w:rPr>
        <w:t>4</w:t>
      </w:r>
      <w:r>
        <w:rPr>
          <w:rFonts w:hint="eastAsia" w:cs="Times New Roman"/>
          <w:color w:val="auto"/>
          <w:szCs w:val="18"/>
          <w:highlight w:val="none"/>
        </w:rPr>
        <w:t>.2-</w:t>
      </w:r>
      <w:r>
        <w:rPr>
          <w:rFonts w:hint="eastAsia" w:cs="Times New Roman"/>
          <w:color w:val="auto"/>
          <w:szCs w:val="18"/>
          <w:highlight w:val="none"/>
          <w:lang w:val="en-US" w:eastAsia="zh-CN"/>
        </w:rPr>
        <w:t>26</w:t>
      </w:r>
      <w:r>
        <w:rPr>
          <w:rFonts w:cs="Times New Roman"/>
          <w:color w:val="auto"/>
          <w:highlight w:val="none"/>
        </w:rPr>
        <w:t>。</w:t>
      </w:r>
    </w:p>
    <w:p>
      <w:pPr>
        <w:pStyle w:val="40"/>
        <w:rPr>
          <w:rFonts w:hint="eastAsia"/>
          <w:color w:val="auto"/>
          <w:highlight w:val="none"/>
        </w:rPr>
      </w:pPr>
      <w:r>
        <w:rPr>
          <w:rFonts w:hint="eastAsia"/>
          <w:color w:val="auto"/>
          <w:highlight w:val="none"/>
        </w:rPr>
        <w:t>表</w:t>
      </w:r>
      <w:r>
        <w:rPr>
          <w:rFonts w:hint="eastAsia"/>
          <w:color w:val="auto"/>
          <w:highlight w:val="none"/>
          <w:lang w:val="en-US" w:eastAsia="zh-CN"/>
        </w:rPr>
        <w:t>4</w:t>
      </w:r>
      <w:r>
        <w:rPr>
          <w:rFonts w:hint="eastAsia"/>
          <w:color w:val="auto"/>
          <w:highlight w:val="none"/>
        </w:rPr>
        <w:t>.2-</w:t>
      </w:r>
      <w:r>
        <w:rPr>
          <w:rFonts w:hint="eastAsia"/>
          <w:color w:val="auto"/>
          <w:highlight w:val="none"/>
          <w:lang w:val="en-US" w:eastAsia="zh-CN"/>
        </w:rPr>
        <w:t xml:space="preserve">26 </w:t>
      </w:r>
      <w:r>
        <w:rPr>
          <w:rFonts w:hint="eastAsia"/>
          <w:color w:val="auto"/>
          <w:highlight w:val="none"/>
        </w:rPr>
        <w:t>项目</w:t>
      </w:r>
      <w:r>
        <w:rPr>
          <w:rFonts w:hint="eastAsia"/>
          <w:color w:val="auto"/>
          <w:highlight w:val="none"/>
          <w:lang w:eastAsia="zh-CN"/>
        </w:rPr>
        <w:t>主要</w:t>
      </w:r>
      <w:r>
        <w:rPr>
          <w:rFonts w:hint="eastAsia"/>
          <w:color w:val="auto"/>
          <w:highlight w:val="none"/>
        </w:rPr>
        <w:t>噪声源声功率级及防治措施</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504"/>
        <w:gridCol w:w="1311"/>
        <w:gridCol w:w="975"/>
        <w:gridCol w:w="975"/>
        <w:gridCol w:w="2565"/>
        <w:gridCol w:w="10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0"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污染物来源</w:t>
            </w:r>
          </w:p>
        </w:tc>
        <w:tc>
          <w:tcPr>
            <w:tcW w:w="784"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种类</w:t>
            </w:r>
          </w:p>
        </w:tc>
        <w:tc>
          <w:tcPr>
            <w:tcW w:w="58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产生方式</w:t>
            </w:r>
          </w:p>
        </w:tc>
        <w:tc>
          <w:tcPr>
            <w:tcW w:w="58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产生源强</w:t>
            </w:r>
          </w:p>
        </w:tc>
        <w:tc>
          <w:tcPr>
            <w:tcW w:w="1534"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治理措施</w:t>
            </w:r>
          </w:p>
        </w:tc>
        <w:tc>
          <w:tcPr>
            <w:tcW w:w="61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排放源强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0" w:type="pct"/>
            <w:vMerge w:val="restar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猪舍</w:t>
            </w:r>
          </w:p>
        </w:tc>
        <w:tc>
          <w:tcPr>
            <w:tcW w:w="784"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风机</w:t>
            </w:r>
          </w:p>
        </w:tc>
        <w:tc>
          <w:tcPr>
            <w:tcW w:w="58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间断</w:t>
            </w:r>
          </w:p>
        </w:tc>
        <w:tc>
          <w:tcPr>
            <w:tcW w:w="583" w:type="pct"/>
            <w:tcBorders>
              <w:tl2br w:val="nil"/>
              <w:tr2bl w:val="nil"/>
            </w:tcBorders>
            <w:noWrap w:val="0"/>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1534"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隔声降噪、距离衰减</w:t>
            </w:r>
          </w:p>
        </w:tc>
        <w:tc>
          <w:tcPr>
            <w:tcW w:w="61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0" w:type="pct"/>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cs="Times New Roman"/>
                <w:color w:val="auto"/>
                <w:sz w:val="21"/>
                <w:szCs w:val="21"/>
                <w:highlight w:val="none"/>
              </w:rPr>
              <w:t>猪叫</w:t>
            </w:r>
          </w:p>
        </w:tc>
        <w:tc>
          <w:tcPr>
            <w:tcW w:w="58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rPr>
              <w:t>间断</w:t>
            </w:r>
          </w:p>
        </w:tc>
        <w:tc>
          <w:tcPr>
            <w:tcW w:w="583" w:type="pct"/>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1534"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lang w:val="en-US" w:eastAsia="zh-CN"/>
              </w:rPr>
            </w:pPr>
            <w:r>
              <w:rPr>
                <w:rFonts w:cs="Times New Roman"/>
                <w:color w:val="auto"/>
                <w:sz w:val="21"/>
                <w:szCs w:val="21"/>
                <w:highlight w:val="none"/>
              </w:rPr>
              <w:t>隔声降噪、距离衰减</w:t>
            </w:r>
          </w:p>
        </w:tc>
        <w:tc>
          <w:tcPr>
            <w:tcW w:w="613" w:type="pct"/>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cs="Times New Roman"/>
                <w:color w:val="auto"/>
                <w:sz w:val="21"/>
                <w:szCs w:val="21"/>
                <w:highlight w:val="none"/>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0" w:type="pct"/>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lang w:val="en-US" w:eastAsia="zh-CN"/>
              </w:rPr>
              <w:t>空压机</w:t>
            </w:r>
          </w:p>
        </w:tc>
        <w:tc>
          <w:tcPr>
            <w:tcW w:w="58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hint="default" w:cs="Times New Roman"/>
                <w:color w:val="auto"/>
                <w:sz w:val="21"/>
                <w:szCs w:val="21"/>
                <w:highlight w:val="none"/>
                <w:lang w:val="en-US"/>
              </w:rPr>
            </w:pPr>
            <w:r>
              <w:rPr>
                <w:rFonts w:hint="eastAsia" w:cs="Times New Roman"/>
                <w:color w:val="auto"/>
                <w:sz w:val="21"/>
                <w:szCs w:val="21"/>
                <w:highlight w:val="none"/>
                <w:lang w:val="en-US" w:eastAsia="zh-CN"/>
              </w:rPr>
              <w:t>90</w:t>
            </w:r>
          </w:p>
        </w:tc>
        <w:tc>
          <w:tcPr>
            <w:tcW w:w="1534"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厂房隔声、减振</w:t>
            </w:r>
          </w:p>
        </w:tc>
        <w:tc>
          <w:tcPr>
            <w:tcW w:w="61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lang w:val="en-US" w:eastAsia="zh-CN"/>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0" w:type="pct"/>
            <w:vMerge w:val="restar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污水处理区</w:t>
            </w:r>
          </w:p>
        </w:tc>
        <w:tc>
          <w:tcPr>
            <w:tcW w:w="784"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水泵</w:t>
            </w:r>
          </w:p>
        </w:tc>
        <w:tc>
          <w:tcPr>
            <w:tcW w:w="58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75</w:t>
            </w:r>
          </w:p>
        </w:tc>
        <w:tc>
          <w:tcPr>
            <w:tcW w:w="1534" w:type="pct"/>
            <w:vMerge w:val="restar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选低噪声设备、隔声、减振</w:t>
            </w:r>
          </w:p>
        </w:tc>
        <w:tc>
          <w:tcPr>
            <w:tcW w:w="61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0" w:type="pct"/>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固液分离机</w:t>
            </w:r>
          </w:p>
        </w:tc>
        <w:tc>
          <w:tcPr>
            <w:tcW w:w="58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连续</w:t>
            </w:r>
          </w:p>
        </w:tc>
        <w:tc>
          <w:tcPr>
            <w:tcW w:w="58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75</w:t>
            </w:r>
          </w:p>
        </w:tc>
        <w:tc>
          <w:tcPr>
            <w:tcW w:w="1534" w:type="pct"/>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61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900" w:type="pct"/>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784"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翻抛机</w:t>
            </w:r>
          </w:p>
        </w:tc>
        <w:tc>
          <w:tcPr>
            <w:tcW w:w="58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间断</w:t>
            </w:r>
          </w:p>
        </w:tc>
        <w:tc>
          <w:tcPr>
            <w:tcW w:w="58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75</w:t>
            </w:r>
          </w:p>
        </w:tc>
        <w:tc>
          <w:tcPr>
            <w:tcW w:w="1534" w:type="pct"/>
            <w:vMerge w:val="continue"/>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p>
        </w:tc>
        <w:tc>
          <w:tcPr>
            <w:tcW w:w="613" w:type="pct"/>
            <w:tcBorders>
              <w:tl2br w:val="nil"/>
              <w:tr2bl w:val="nil"/>
            </w:tcBorders>
            <w:noWrap w:val="0"/>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60</w:t>
            </w:r>
          </w:p>
        </w:tc>
      </w:tr>
    </w:tbl>
    <w:p>
      <w:pPr>
        <w:pStyle w:val="6"/>
        <w:ind w:firstLine="482"/>
        <w:rPr>
          <w:color w:val="auto"/>
          <w:highlight w:val="none"/>
        </w:rPr>
      </w:pPr>
      <w:r>
        <w:rPr>
          <w:rFonts w:hint="eastAsia"/>
          <w:color w:val="auto"/>
          <w:highlight w:val="none"/>
          <w:lang w:val="en-US" w:eastAsia="zh-CN"/>
        </w:rPr>
        <w:t>4</w:t>
      </w:r>
      <w:r>
        <w:rPr>
          <w:color w:val="auto"/>
          <w:highlight w:val="none"/>
        </w:rPr>
        <w:t>.</w:t>
      </w:r>
      <w:r>
        <w:rPr>
          <w:rFonts w:hint="eastAsia"/>
          <w:color w:val="auto"/>
          <w:highlight w:val="none"/>
        </w:rPr>
        <w:t>2.4.2</w:t>
      </w:r>
      <w:r>
        <w:rPr>
          <w:color w:val="auto"/>
          <w:highlight w:val="none"/>
        </w:rPr>
        <w:t>噪声影响预测模式</w:t>
      </w:r>
    </w:p>
    <w:p>
      <w:pPr>
        <w:ind w:firstLine="480"/>
        <w:rPr>
          <w:color w:val="auto"/>
          <w:highlight w:val="none"/>
          <w:lang w:val="zh-CN"/>
        </w:rPr>
      </w:pPr>
      <w:r>
        <w:rPr>
          <w:color w:val="auto"/>
          <w:highlight w:val="none"/>
          <w:lang w:val="zh-CN"/>
        </w:rPr>
        <w:t>采用《环境影响评价技术导则-声环境》</w:t>
      </w:r>
      <w:r>
        <w:rPr>
          <w:rFonts w:hint="eastAsia"/>
          <w:color w:val="auto"/>
          <w:highlight w:val="none"/>
          <w:lang w:val="zh-CN"/>
        </w:rPr>
        <w:t>（</w:t>
      </w:r>
      <w:r>
        <w:rPr>
          <w:color w:val="auto"/>
          <w:highlight w:val="none"/>
          <w:lang w:val="zh-CN"/>
        </w:rPr>
        <w:t>HJ2.4-2009</w:t>
      </w:r>
      <w:r>
        <w:rPr>
          <w:rFonts w:hint="eastAsia"/>
          <w:color w:val="auto"/>
          <w:highlight w:val="none"/>
          <w:lang w:val="zh-CN"/>
        </w:rPr>
        <w:t>）</w:t>
      </w:r>
      <w:r>
        <w:rPr>
          <w:color w:val="auto"/>
          <w:highlight w:val="none"/>
          <w:lang w:val="zh-CN"/>
        </w:rPr>
        <w:t>中的工业噪声预测模式。</w:t>
      </w:r>
    </w:p>
    <w:p>
      <w:pPr>
        <w:ind w:firstLine="480"/>
        <w:rPr>
          <w:color w:val="auto"/>
          <w:highlight w:val="none"/>
          <w:lang w:val="zh-CN"/>
        </w:rPr>
      </w:pPr>
      <w:r>
        <w:rPr>
          <w:rFonts w:hint="eastAsia"/>
          <w:color w:val="auto"/>
          <w:highlight w:val="none"/>
          <w:lang w:val="zh-CN"/>
        </w:rPr>
        <w:t>本项目以厂界为边界进行预测。</w:t>
      </w:r>
    </w:p>
    <w:p>
      <w:pPr>
        <w:ind w:firstLine="480"/>
        <w:rPr>
          <w:color w:val="auto"/>
          <w:highlight w:val="none"/>
          <w:lang w:val="zh-CN"/>
        </w:rPr>
      </w:pPr>
      <w:r>
        <w:rPr>
          <w:rFonts w:hint="eastAsia"/>
          <w:color w:val="auto"/>
          <w:highlight w:val="none"/>
          <w:lang w:val="zh-CN"/>
        </w:rPr>
        <w:t>点声源预测模式：</w:t>
      </w:r>
    </w:p>
    <w:p>
      <w:pPr>
        <w:ind w:firstLine="480"/>
        <w:rPr>
          <w:color w:val="auto"/>
          <w:highlight w:val="none"/>
          <w:lang w:val="zh-CN"/>
        </w:rPr>
      </w:pPr>
      <w:r>
        <w:rPr>
          <w:rFonts w:hint="eastAsia"/>
          <w:color w:val="auto"/>
          <w:highlight w:val="none"/>
          <w:lang w:val="zh-CN"/>
        </w:rPr>
        <w:t xml:space="preserve"> </w:t>
      </w:r>
      <w:r>
        <w:rPr>
          <w:rFonts w:hint="eastAsia"/>
          <w:color w:val="auto"/>
          <w:highlight w:val="none"/>
          <w:lang w:val="zh-CN"/>
        </w:rPr>
        <w:object>
          <v:shape id="_x0000_i1028" o:spt="75" type="#_x0000_t75" style="height:18pt;width:148pt;" o:ole="t" filled="f" o:preferrelative="t" stroked="f" coordsize="21600,21600">
            <v:path/>
            <v:fill on="f" focussize="0,0"/>
            <v:stroke on="f" joinstyle="miter"/>
            <v:imagedata r:id="rId46" o:title=""/>
            <o:lock v:ext="edit" aspectratio="t"/>
            <w10:wrap type="none"/>
            <w10:anchorlock/>
          </v:shape>
          <o:OLEObject Type="Embed" ProgID="Equation.3" ShapeID="_x0000_i1028" DrawAspect="Content" ObjectID="_1468075736" r:id="rId45">
            <o:LockedField>false</o:LockedField>
          </o:OLEObject>
        </w:object>
      </w:r>
    </w:p>
    <w:p>
      <w:pPr>
        <w:ind w:firstLine="480"/>
        <w:jc w:val="left"/>
        <w:rPr>
          <w:color w:val="auto"/>
          <w:highlight w:val="none"/>
          <w:lang w:val="zh-CN"/>
        </w:rPr>
      </w:pPr>
      <w:r>
        <w:rPr>
          <w:rFonts w:hint="eastAsia"/>
          <w:color w:val="auto"/>
          <w:highlight w:val="none"/>
          <w:lang w:val="zh-CN"/>
        </w:rPr>
        <w:t>式中：L(r0)——距声源r0距离上的A声压级；</w:t>
      </w:r>
    </w:p>
    <w:p>
      <w:pPr>
        <w:ind w:firstLine="480"/>
        <w:jc w:val="left"/>
        <w:rPr>
          <w:color w:val="auto"/>
          <w:highlight w:val="none"/>
          <w:lang w:val="zh-CN"/>
        </w:rPr>
      </w:pPr>
      <w:r>
        <w:rPr>
          <w:rFonts w:hint="eastAsia"/>
          <w:color w:val="auto"/>
          <w:highlight w:val="none"/>
          <w:lang w:val="zh-CN"/>
        </w:rPr>
        <w:t>L(r)——距声源r距离上的A声压级；</w:t>
      </w:r>
    </w:p>
    <w:p>
      <w:pPr>
        <w:ind w:firstLine="480"/>
        <w:jc w:val="left"/>
        <w:rPr>
          <w:color w:val="auto"/>
          <w:highlight w:val="none"/>
          <w:lang w:val="zh-CN"/>
        </w:rPr>
      </w:pPr>
      <w:r>
        <w:rPr>
          <w:rFonts w:hint="eastAsia"/>
          <w:color w:val="auto"/>
          <w:highlight w:val="none"/>
          <w:lang w:val="zh-CN"/>
        </w:rPr>
        <w:t>ΔL——声屏障、遮挡物、空气吸收地面效应引起的衰减量，本项目厂房经设备减震、厂房隔音等措施，可实现20dB以上的隔音量；</w:t>
      </w:r>
    </w:p>
    <w:p>
      <w:pPr>
        <w:ind w:firstLine="480"/>
        <w:jc w:val="left"/>
        <w:rPr>
          <w:color w:val="auto"/>
          <w:highlight w:val="none"/>
          <w:lang w:val="zh-CN"/>
        </w:rPr>
      </w:pPr>
      <w:r>
        <w:rPr>
          <w:rFonts w:hint="eastAsia"/>
          <w:color w:val="auto"/>
          <w:highlight w:val="none"/>
          <w:lang w:val="zh-CN"/>
        </w:rPr>
        <w:t>r、r</w:t>
      </w:r>
      <w:r>
        <w:rPr>
          <w:rFonts w:hint="eastAsia"/>
          <w:color w:val="auto"/>
          <w:highlight w:val="none"/>
          <w:vertAlign w:val="subscript"/>
          <w:lang w:val="zh-CN"/>
        </w:rPr>
        <w:t>0</w:t>
      </w:r>
      <w:r>
        <w:rPr>
          <w:rFonts w:hint="eastAsia"/>
          <w:color w:val="auto"/>
          <w:highlight w:val="none"/>
          <w:lang w:val="zh-CN"/>
        </w:rPr>
        <w:t>——距声源距离（m）。</w:t>
      </w:r>
    </w:p>
    <w:p>
      <w:pPr>
        <w:ind w:firstLine="480"/>
        <w:rPr>
          <w:color w:val="auto"/>
          <w:highlight w:val="none"/>
          <w:lang w:val="zh-CN"/>
        </w:rPr>
      </w:pPr>
      <w:r>
        <w:rPr>
          <w:rFonts w:hint="eastAsia"/>
          <w:color w:val="auto"/>
          <w:highlight w:val="none"/>
          <w:lang w:val="zh-CN"/>
        </w:rPr>
        <w:t>多声源叠加模式：</w:t>
      </w:r>
    </w:p>
    <w:p>
      <w:pPr>
        <w:ind w:firstLine="480"/>
        <w:rPr>
          <w:color w:val="auto"/>
          <w:highlight w:val="none"/>
          <w:lang w:val="zh-CN"/>
        </w:rPr>
      </w:pPr>
      <w:r>
        <w:rPr>
          <w:color w:val="auto"/>
          <w:highlight w:val="none"/>
          <w:lang w:val="zh-CN"/>
        </w:rPr>
        <w:t xml:space="preserve"> </w:t>
      </w:r>
      <w:r>
        <w:rPr>
          <w:rFonts w:hint="eastAsia"/>
          <w:color w:val="auto"/>
          <w:highlight w:val="none"/>
        </w:rPr>
        <w:drawing>
          <wp:inline distT="0" distB="0" distL="114300" distR="114300">
            <wp:extent cx="1858010" cy="436245"/>
            <wp:effectExtent l="0" t="0" r="8890" b="1905"/>
            <wp:docPr id="4" name="图片 10" descr="UJK[B6NWB06DW9D{4R4Q}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UJK[B6NWB06DW9D{4R4Q}I1"/>
                    <pic:cNvPicPr>
                      <a:picLocks noChangeAspect="1"/>
                    </pic:cNvPicPr>
                  </pic:nvPicPr>
                  <pic:blipFill>
                    <a:blip r:embed="rId47"/>
                    <a:stretch>
                      <a:fillRect/>
                    </a:stretch>
                  </pic:blipFill>
                  <pic:spPr>
                    <a:xfrm>
                      <a:off x="0" y="0"/>
                      <a:ext cx="1858010" cy="436245"/>
                    </a:xfrm>
                    <a:prstGeom prst="rect">
                      <a:avLst/>
                    </a:prstGeom>
                    <a:noFill/>
                    <a:ln w="9525">
                      <a:noFill/>
                    </a:ln>
                  </pic:spPr>
                </pic:pic>
              </a:graphicData>
            </a:graphic>
          </wp:inline>
        </w:drawing>
      </w:r>
    </w:p>
    <w:p>
      <w:pPr>
        <w:ind w:firstLine="480"/>
        <w:jc w:val="left"/>
        <w:rPr>
          <w:color w:val="auto"/>
          <w:highlight w:val="none"/>
          <w:lang w:val="zh-CN"/>
        </w:rPr>
      </w:pPr>
      <w:r>
        <w:rPr>
          <w:rFonts w:hint="eastAsia"/>
          <w:color w:val="auto"/>
          <w:highlight w:val="none"/>
          <w:lang w:val="zh-CN"/>
        </w:rPr>
        <w:t>式中：Li——声源对预测点的等效声级；</w:t>
      </w:r>
    </w:p>
    <w:p>
      <w:pPr>
        <w:ind w:firstLine="480"/>
        <w:jc w:val="left"/>
        <w:rPr>
          <w:color w:val="auto"/>
          <w:highlight w:val="none"/>
          <w:lang w:val="zh-CN"/>
        </w:rPr>
      </w:pPr>
      <w:r>
        <w:rPr>
          <w:rFonts w:hint="eastAsia"/>
          <w:color w:val="auto"/>
          <w:highlight w:val="none"/>
          <w:lang w:val="zh-CN"/>
        </w:rPr>
        <w:t>LAeq总——预测点总等效声级；</w:t>
      </w:r>
    </w:p>
    <w:p>
      <w:pPr>
        <w:tabs>
          <w:tab w:val="left" w:pos="1021"/>
        </w:tabs>
        <w:ind w:firstLine="480"/>
        <w:jc w:val="left"/>
        <w:rPr>
          <w:color w:val="auto"/>
          <w:highlight w:val="none"/>
        </w:rPr>
      </w:pPr>
      <w:r>
        <w:rPr>
          <w:rFonts w:hint="eastAsia"/>
          <w:color w:val="auto"/>
          <w:highlight w:val="none"/>
          <w:lang w:val="zh-CN"/>
        </w:rPr>
        <w:t>n——预测点受声源数量；</w:t>
      </w:r>
    </w:p>
    <w:p>
      <w:pPr>
        <w:pStyle w:val="6"/>
        <w:ind w:firstLine="482"/>
        <w:rPr>
          <w:color w:val="auto"/>
          <w:highlight w:val="none"/>
        </w:rPr>
      </w:pPr>
      <w:r>
        <w:rPr>
          <w:rFonts w:hint="eastAsia"/>
          <w:color w:val="auto"/>
          <w:highlight w:val="none"/>
          <w:lang w:val="en-US" w:eastAsia="zh-CN"/>
        </w:rPr>
        <w:t>4</w:t>
      </w:r>
      <w:r>
        <w:rPr>
          <w:color w:val="auto"/>
          <w:highlight w:val="none"/>
        </w:rPr>
        <w:t>.</w:t>
      </w:r>
      <w:r>
        <w:rPr>
          <w:rFonts w:hint="eastAsia"/>
          <w:color w:val="auto"/>
          <w:highlight w:val="none"/>
        </w:rPr>
        <w:t>2.4.3</w:t>
      </w:r>
      <w:r>
        <w:rPr>
          <w:color w:val="auto"/>
          <w:highlight w:val="none"/>
        </w:rPr>
        <w:t>噪声影响预测结果</w:t>
      </w:r>
    </w:p>
    <w:p>
      <w:pPr>
        <w:ind w:firstLine="480"/>
        <w:rPr>
          <w:color w:val="auto"/>
          <w:highlight w:val="none"/>
        </w:rPr>
      </w:pPr>
      <w:r>
        <w:rPr>
          <w:rFonts w:hint="eastAsia"/>
          <w:color w:val="auto"/>
          <w:highlight w:val="none"/>
        </w:rPr>
        <w:t>厂界噪声排放值预测结果具体见下表</w:t>
      </w:r>
      <w:r>
        <w:rPr>
          <w:color w:val="auto"/>
          <w:highlight w:val="none"/>
        </w:rPr>
        <w:t>。</w:t>
      </w:r>
    </w:p>
    <w:p>
      <w:pPr>
        <w:pStyle w:val="40"/>
        <w:rPr>
          <w:rFonts w:hint="eastAsia"/>
          <w:color w:val="auto"/>
          <w:highlight w:val="none"/>
        </w:rPr>
      </w:pPr>
      <w:r>
        <w:rPr>
          <w:rFonts w:hint="eastAsia"/>
          <w:color w:val="auto"/>
          <w:highlight w:val="none"/>
        </w:rPr>
        <w:t>表</w:t>
      </w:r>
      <w:r>
        <w:rPr>
          <w:rFonts w:hint="eastAsia"/>
          <w:color w:val="auto"/>
          <w:highlight w:val="none"/>
          <w:lang w:val="en-US" w:eastAsia="zh-CN"/>
        </w:rPr>
        <w:t>4</w:t>
      </w:r>
      <w:r>
        <w:rPr>
          <w:rFonts w:hint="eastAsia"/>
          <w:color w:val="auto"/>
          <w:highlight w:val="none"/>
        </w:rPr>
        <w:t>.2-</w:t>
      </w:r>
      <w:r>
        <w:rPr>
          <w:rFonts w:hint="eastAsia"/>
          <w:color w:val="auto"/>
          <w:highlight w:val="none"/>
          <w:lang w:val="en-US" w:eastAsia="zh-CN"/>
        </w:rPr>
        <w:t xml:space="preserve">27 </w:t>
      </w:r>
      <w:r>
        <w:rPr>
          <w:rFonts w:hint="eastAsia"/>
          <w:color w:val="auto"/>
          <w:highlight w:val="none"/>
        </w:rPr>
        <w:t>本项目运营后噪声预测结果单位：dB(A)</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746"/>
        <w:gridCol w:w="1929"/>
        <w:gridCol w:w="1545"/>
        <w:gridCol w:w="1752"/>
        <w:gridCol w:w="19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blHeader/>
          <w:jc w:val="center"/>
        </w:trPr>
        <w:tc>
          <w:tcPr>
            <w:tcW w:w="0" w:type="auto"/>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序号</w:t>
            </w:r>
          </w:p>
        </w:tc>
        <w:tc>
          <w:tcPr>
            <w:tcW w:w="0" w:type="auto"/>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预测点</w:t>
            </w:r>
          </w:p>
        </w:tc>
        <w:tc>
          <w:tcPr>
            <w:tcW w:w="1929" w:type="dxa"/>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噪声源</w:t>
            </w:r>
          </w:p>
        </w:tc>
        <w:tc>
          <w:tcPr>
            <w:tcW w:w="1545" w:type="dxa"/>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厂界距离噪声源距离（m）</w:t>
            </w:r>
          </w:p>
        </w:tc>
        <w:tc>
          <w:tcPr>
            <w:tcW w:w="1752" w:type="dxa"/>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对厂界噪声贡献值（dB(A)）</w:t>
            </w:r>
          </w:p>
        </w:tc>
        <w:tc>
          <w:tcPr>
            <w:tcW w:w="0" w:type="auto"/>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对厂界噪声贡献值叠加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0" w:type="auto"/>
            <w:vMerge w:val="restart"/>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1</w:t>
            </w:r>
          </w:p>
        </w:tc>
        <w:tc>
          <w:tcPr>
            <w:tcW w:w="0" w:type="auto"/>
            <w:vMerge w:val="restart"/>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东场界</w:t>
            </w:r>
          </w:p>
        </w:tc>
        <w:tc>
          <w:tcPr>
            <w:tcW w:w="1929" w:type="dxa"/>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猪舍风机</w:t>
            </w:r>
          </w:p>
        </w:tc>
        <w:tc>
          <w:tcPr>
            <w:tcW w:w="1545" w:type="dxa"/>
            <w:noWrap w:val="0"/>
            <w:vAlign w:val="center"/>
          </w:tcPr>
          <w:p>
            <w:pPr>
              <w:spacing w:line="240" w:lineRule="auto"/>
              <w:ind w:firstLine="0" w:firstLineChars="0"/>
              <w:jc w:val="center"/>
              <w:rPr>
                <w:rFonts w:hint="default"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150</w:t>
            </w:r>
          </w:p>
        </w:tc>
        <w:tc>
          <w:tcPr>
            <w:tcW w:w="1752" w:type="dxa"/>
            <w:noWrap w:val="0"/>
            <w:vAlign w:val="center"/>
          </w:tcPr>
          <w:p>
            <w:pPr>
              <w:spacing w:line="240" w:lineRule="auto"/>
              <w:ind w:firstLine="0" w:firstLineChars="0"/>
              <w:jc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 xml:space="preserve">26.5 </w:t>
            </w:r>
          </w:p>
        </w:tc>
        <w:tc>
          <w:tcPr>
            <w:tcW w:w="0" w:type="auto"/>
            <w:vMerge w:val="restart"/>
            <w:noWrap w:val="0"/>
            <w:vAlign w:val="center"/>
          </w:tcPr>
          <w:p>
            <w:pPr>
              <w:spacing w:line="240" w:lineRule="auto"/>
              <w:ind w:firstLine="0" w:firstLineChars="0"/>
              <w:jc w:val="center"/>
              <w:rPr>
                <w:rFonts w:hint="default"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33.2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15" w:hRule="atLeast"/>
          <w:jc w:val="center"/>
        </w:trPr>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猪叫声</w:t>
            </w:r>
          </w:p>
        </w:tc>
        <w:tc>
          <w:tcPr>
            <w:tcW w:w="1545" w:type="dxa"/>
            <w:noWrap w:val="0"/>
            <w:vAlign w:val="center"/>
          </w:tcPr>
          <w:p>
            <w:pPr>
              <w:spacing w:line="240" w:lineRule="auto"/>
              <w:ind w:firstLine="0" w:firstLineChars="0"/>
              <w:jc w:val="center"/>
              <w:rPr>
                <w:rFonts w:hint="default"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186</w:t>
            </w:r>
          </w:p>
        </w:tc>
        <w:tc>
          <w:tcPr>
            <w:tcW w:w="1752" w:type="dxa"/>
            <w:noWrap w:val="0"/>
            <w:vAlign w:val="center"/>
          </w:tcPr>
          <w:p>
            <w:pPr>
              <w:spacing w:line="240" w:lineRule="auto"/>
              <w:ind w:firstLine="0" w:firstLineChars="0"/>
              <w:jc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 xml:space="preserve">9.6 </w:t>
            </w: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1929" w:type="dxa"/>
            <w:noWrap w:val="0"/>
            <w:vAlign w:val="center"/>
          </w:tcPr>
          <w:p>
            <w:pPr>
              <w:spacing w:line="240" w:lineRule="auto"/>
              <w:ind w:firstLine="0" w:firstLineChars="0"/>
              <w:jc w:val="center"/>
              <w:rPr>
                <w:rFonts w:hint="eastAsia" w:eastAsia="宋体" w:cs="Times New Roman"/>
                <w:snapToGrid w:val="0"/>
                <w:color w:val="auto"/>
                <w:sz w:val="21"/>
                <w:szCs w:val="21"/>
                <w:highlight w:val="none"/>
                <w:lang w:eastAsia="zh-CN"/>
              </w:rPr>
            </w:pPr>
            <w:r>
              <w:rPr>
                <w:rFonts w:hint="eastAsia" w:cs="Times New Roman"/>
                <w:snapToGrid w:val="0"/>
                <w:color w:val="auto"/>
                <w:sz w:val="21"/>
                <w:szCs w:val="21"/>
                <w:highlight w:val="none"/>
                <w:lang w:eastAsia="zh-CN"/>
              </w:rPr>
              <w:t>空压机</w:t>
            </w:r>
          </w:p>
        </w:tc>
        <w:tc>
          <w:tcPr>
            <w:tcW w:w="1545" w:type="dxa"/>
            <w:noWrap w:val="0"/>
            <w:vAlign w:val="center"/>
          </w:tcPr>
          <w:p>
            <w:pPr>
              <w:spacing w:line="240" w:lineRule="auto"/>
              <w:ind w:firstLine="0" w:firstLineChars="0"/>
              <w:jc w:val="center"/>
              <w:rPr>
                <w:rFonts w:hint="default"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81</w:t>
            </w:r>
          </w:p>
        </w:tc>
        <w:tc>
          <w:tcPr>
            <w:tcW w:w="1752" w:type="dxa"/>
            <w:noWrap w:val="0"/>
            <w:vAlign w:val="center"/>
          </w:tcPr>
          <w:p>
            <w:pPr>
              <w:spacing w:line="240" w:lineRule="auto"/>
              <w:ind w:firstLine="0" w:firstLineChars="0"/>
              <w:jc w:val="center"/>
              <w:rPr>
                <w:rFonts w:hint="eastAsia"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 xml:space="preserve">31.8 </w:t>
            </w: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水泵</w:t>
            </w:r>
          </w:p>
        </w:tc>
        <w:tc>
          <w:tcPr>
            <w:tcW w:w="1545" w:type="dxa"/>
            <w:noWrap w:val="0"/>
            <w:vAlign w:val="center"/>
          </w:tcPr>
          <w:p>
            <w:pPr>
              <w:spacing w:line="240" w:lineRule="auto"/>
              <w:ind w:firstLine="0" w:firstLineChars="0"/>
              <w:jc w:val="center"/>
              <w:rPr>
                <w:rFonts w:hint="default"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122</w:t>
            </w:r>
          </w:p>
        </w:tc>
        <w:tc>
          <w:tcPr>
            <w:tcW w:w="1752" w:type="dxa"/>
            <w:noWrap w:val="0"/>
            <w:vAlign w:val="center"/>
          </w:tcPr>
          <w:p>
            <w:pPr>
              <w:spacing w:line="240" w:lineRule="auto"/>
              <w:ind w:firstLine="0" w:firstLineChars="0"/>
              <w:jc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 xml:space="preserve">18.3 </w:t>
            </w: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固液分离机</w:t>
            </w:r>
          </w:p>
        </w:tc>
        <w:tc>
          <w:tcPr>
            <w:tcW w:w="1545" w:type="dxa"/>
            <w:noWrap w:val="0"/>
            <w:vAlign w:val="center"/>
          </w:tcPr>
          <w:p>
            <w:pPr>
              <w:spacing w:line="240" w:lineRule="auto"/>
              <w:ind w:firstLine="0" w:firstLineChars="0"/>
              <w:jc w:val="center"/>
              <w:rPr>
                <w:rFonts w:hint="default"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152</w:t>
            </w:r>
          </w:p>
        </w:tc>
        <w:tc>
          <w:tcPr>
            <w:tcW w:w="1752" w:type="dxa"/>
            <w:noWrap w:val="0"/>
            <w:vAlign w:val="center"/>
          </w:tcPr>
          <w:p>
            <w:pPr>
              <w:spacing w:line="240" w:lineRule="auto"/>
              <w:ind w:firstLine="0" w:firstLineChars="0"/>
              <w:jc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 xml:space="preserve">16.4 </w:t>
            </w: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翻抛机</w:t>
            </w:r>
          </w:p>
        </w:tc>
        <w:tc>
          <w:tcPr>
            <w:tcW w:w="1545" w:type="dxa"/>
            <w:noWrap w:val="0"/>
            <w:vAlign w:val="center"/>
          </w:tcPr>
          <w:p>
            <w:pPr>
              <w:spacing w:line="240" w:lineRule="auto"/>
              <w:ind w:firstLine="0" w:firstLineChars="0"/>
              <w:jc w:val="center"/>
              <w:rPr>
                <w:rFonts w:hint="default"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292</w:t>
            </w:r>
          </w:p>
        </w:tc>
        <w:tc>
          <w:tcPr>
            <w:tcW w:w="1752" w:type="dxa"/>
            <w:noWrap w:val="0"/>
            <w:vAlign w:val="center"/>
          </w:tcPr>
          <w:p>
            <w:pPr>
              <w:spacing w:line="240" w:lineRule="auto"/>
              <w:ind w:firstLine="0" w:firstLineChars="0"/>
              <w:jc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 xml:space="preserve">10.7 </w:t>
            </w: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3" w:hRule="atLeast"/>
          <w:jc w:val="center"/>
        </w:trPr>
        <w:tc>
          <w:tcPr>
            <w:tcW w:w="0" w:type="auto"/>
            <w:vMerge w:val="restart"/>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2</w:t>
            </w:r>
          </w:p>
        </w:tc>
        <w:tc>
          <w:tcPr>
            <w:tcW w:w="0" w:type="auto"/>
            <w:vMerge w:val="restart"/>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西场界</w:t>
            </w:r>
          </w:p>
        </w:tc>
        <w:tc>
          <w:tcPr>
            <w:tcW w:w="1929" w:type="dxa"/>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猪舍风机</w:t>
            </w:r>
          </w:p>
        </w:tc>
        <w:tc>
          <w:tcPr>
            <w:tcW w:w="1545" w:type="dxa"/>
            <w:noWrap w:val="0"/>
            <w:vAlign w:val="center"/>
          </w:tcPr>
          <w:p>
            <w:pPr>
              <w:spacing w:line="240" w:lineRule="auto"/>
              <w:ind w:firstLine="0" w:firstLineChars="0"/>
              <w:jc w:val="center"/>
              <w:rPr>
                <w:rFonts w:hint="default"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184</w:t>
            </w:r>
          </w:p>
        </w:tc>
        <w:tc>
          <w:tcPr>
            <w:tcW w:w="1752" w:type="dxa"/>
            <w:noWrap w:val="0"/>
            <w:vAlign w:val="center"/>
          </w:tcPr>
          <w:p>
            <w:pPr>
              <w:spacing w:line="240" w:lineRule="auto"/>
              <w:ind w:firstLine="0" w:firstLineChars="0"/>
              <w:jc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 xml:space="preserve">24.7 </w:t>
            </w:r>
          </w:p>
        </w:tc>
        <w:tc>
          <w:tcPr>
            <w:tcW w:w="0" w:type="auto"/>
            <w:vMerge w:val="restart"/>
            <w:noWrap w:val="0"/>
            <w:vAlign w:val="center"/>
          </w:tcPr>
          <w:p>
            <w:pPr>
              <w:spacing w:line="240" w:lineRule="auto"/>
              <w:ind w:firstLine="0" w:firstLineChars="0"/>
              <w:jc w:val="center"/>
              <w:rPr>
                <w:rFonts w:hint="default"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27.5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猪叫声</w:t>
            </w:r>
          </w:p>
        </w:tc>
        <w:tc>
          <w:tcPr>
            <w:tcW w:w="1545" w:type="dxa"/>
            <w:noWrap w:val="0"/>
            <w:vAlign w:val="center"/>
          </w:tcPr>
          <w:p>
            <w:pPr>
              <w:spacing w:line="240" w:lineRule="auto"/>
              <w:ind w:firstLine="0" w:firstLineChars="0"/>
              <w:jc w:val="center"/>
              <w:rPr>
                <w:rFonts w:hint="default"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143</w:t>
            </w:r>
          </w:p>
        </w:tc>
        <w:tc>
          <w:tcPr>
            <w:tcW w:w="1752" w:type="dxa"/>
            <w:noWrap w:val="0"/>
            <w:vAlign w:val="center"/>
          </w:tcPr>
          <w:p>
            <w:pPr>
              <w:spacing w:line="240" w:lineRule="auto"/>
              <w:ind w:firstLine="0" w:firstLineChars="0"/>
              <w:jc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 xml:space="preserve">11.9 </w:t>
            </w: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1929" w:type="dxa"/>
            <w:noWrap w:val="0"/>
            <w:vAlign w:val="center"/>
          </w:tcPr>
          <w:p>
            <w:pPr>
              <w:spacing w:line="240" w:lineRule="auto"/>
              <w:ind w:firstLine="0" w:firstLineChars="0"/>
              <w:jc w:val="center"/>
              <w:rPr>
                <w:rFonts w:hint="eastAsia" w:eastAsia="宋体" w:cs="Times New Roman"/>
                <w:snapToGrid w:val="0"/>
                <w:color w:val="auto"/>
                <w:sz w:val="21"/>
                <w:szCs w:val="21"/>
                <w:highlight w:val="none"/>
                <w:lang w:eastAsia="zh-CN"/>
              </w:rPr>
            </w:pPr>
            <w:r>
              <w:rPr>
                <w:rFonts w:hint="eastAsia" w:cs="Times New Roman"/>
                <w:snapToGrid w:val="0"/>
                <w:color w:val="auto"/>
                <w:sz w:val="21"/>
                <w:szCs w:val="21"/>
                <w:highlight w:val="none"/>
                <w:lang w:eastAsia="zh-CN"/>
              </w:rPr>
              <w:t>空压机</w:t>
            </w:r>
          </w:p>
        </w:tc>
        <w:tc>
          <w:tcPr>
            <w:tcW w:w="1545" w:type="dxa"/>
            <w:noWrap w:val="0"/>
            <w:vAlign w:val="center"/>
          </w:tcPr>
          <w:p>
            <w:pPr>
              <w:spacing w:line="240" w:lineRule="auto"/>
              <w:ind w:firstLine="0" w:firstLineChars="0"/>
              <w:jc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249</w:t>
            </w:r>
          </w:p>
        </w:tc>
        <w:tc>
          <w:tcPr>
            <w:tcW w:w="1752" w:type="dxa"/>
            <w:noWrap w:val="0"/>
            <w:vAlign w:val="center"/>
          </w:tcPr>
          <w:p>
            <w:pPr>
              <w:spacing w:line="240" w:lineRule="auto"/>
              <w:ind w:firstLine="0" w:firstLineChars="0"/>
              <w:jc w:val="center"/>
              <w:rPr>
                <w:rFonts w:hint="eastAsia"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 xml:space="preserve">22.1 </w:t>
            </w: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水泵</w:t>
            </w:r>
          </w:p>
        </w:tc>
        <w:tc>
          <w:tcPr>
            <w:tcW w:w="1545" w:type="dxa"/>
            <w:noWrap w:val="0"/>
            <w:vAlign w:val="center"/>
          </w:tcPr>
          <w:p>
            <w:pPr>
              <w:spacing w:line="240" w:lineRule="auto"/>
              <w:ind w:firstLine="0" w:firstLineChars="0"/>
              <w:jc w:val="center"/>
              <w:rPr>
                <w:rFonts w:hint="default"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206</w:t>
            </w:r>
          </w:p>
        </w:tc>
        <w:tc>
          <w:tcPr>
            <w:tcW w:w="1752" w:type="dxa"/>
            <w:noWrap w:val="0"/>
            <w:vAlign w:val="center"/>
          </w:tcPr>
          <w:p>
            <w:pPr>
              <w:spacing w:line="240" w:lineRule="auto"/>
              <w:ind w:firstLine="0" w:firstLineChars="0"/>
              <w:jc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 xml:space="preserve">13.7 </w:t>
            </w: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固液分离机</w:t>
            </w:r>
          </w:p>
        </w:tc>
        <w:tc>
          <w:tcPr>
            <w:tcW w:w="1545" w:type="dxa"/>
            <w:noWrap w:val="0"/>
            <w:vAlign w:val="center"/>
          </w:tcPr>
          <w:p>
            <w:pPr>
              <w:spacing w:line="240" w:lineRule="auto"/>
              <w:ind w:firstLine="0" w:firstLineChars="0"/>
              <w:jc w:val="center"/>
              <w:rPr>
                <w:rFonts w:hint="default"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291</w:t>
            </w:r>
          </w:p>
        </w:tc>
        <w:tc>
          <w:tcPr>
            <w:tcW w:w="1752" w:type="dxa"/>
            <w:noWrap w:val="0"/>
            <w:vAlign w:val="center"/>
          </w:tcPr>
          <w:p>
            <w:pPr>
              <w:spacing w:line="240" w:lineRule="auto"/>
              <w:ind w:firstLine="0" w:firstLineChars="0"/>
              <w:jc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 xml:space="preserve">10.7 </w:t>
            </w: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翻抛机</w:t>
            </w:r>
          </w:p>
        </w:tc>
        <w:tc>
          <w:tcPr>
            <w:tcW w:w="1545" w:type="dxa"/>
            <w:noWrap w:val="0"/>
            <w:vAlign w:val="center"/>
          </w:tcPr>
          <w:p>
            <w:pPr>
              <w:spacing w:line="240" w:lineRule="auto"/>
              <w:ind w:firstLine="0" w:firstLineChars="0"/>
              <w:jc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151</w:t>
            </w:r>
          </w:p>
        </w:tc>
        <w:tc>
          <w:tcPr>
            <w:tcW w:w="1752" w:type="dxa"/>
            <w:noWrap w:val="0"/>
            <w:vAlign w:val="center"/>
          </w:tcPr>
          <w:p>
            <w:pPr>
              <w:spacing w:line="240" w:lineRule="auto"/>
              <w:ind w:firstLine="0" w:firstLineChars="0"/>
              <w:jc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 xml:space="preserve">16.4 </w:t>
            </w: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jc w:val="center"/>
        </w:trPr>
        <w:tc>
          <w:tcPr>
            <w:tcW w:w="0" w:type="auto"/>
            <w:vMerge w:val="restart"/>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3</w:t>
            </w:r>
          </w:p>
        </w:tc>
        <w:tc>
          <w:tcPr>
            <w:tcW w:w="0" w:type="auto"/>
            <w:vMerge w:val="restart"/>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南场界</w:t>
            </w:r>
          </w:p>
        </w:tc>
        <w:tc>
          <w:tcPr>
            <w:tcW w:w="1929" w:type="dxa"/>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猪舍风机</w:t>
            </w:r>
          </w:p>
        </w:tc>
        <w:tc>
          <w:tcPr>
            <w:tcW w:w="1545" w:type="dxa"/>
            <w:noWrap w:val="0"/>
            <w:vAlign w:val="center"/>
          </w:tcPr>
          <w:p>
            <w:pPr>
              <w:spacing w:line="240" w:lineRule="auto"/>
              <w:ind w:firstLine="0" w:firstLineChars="0"/>
              <w:jc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376</w:t>
            </w:r>
          </w:p>
        </w:tc>
        <w:tc>
          <w:tcPr>
            <w:tcW w:w="1752" w:type="dxa"/>
            <w:noWrap w:val="0"/>
            <w:vAlign w:val="center"/>
          </w:tcPr>
          <w:p>
            <w:pPr>
              <w:spacing w:line="240" w:lineRule="auto"/>
              <w:ind w:firstLine="0" w:firstLineChars="0"/>
              <w:jc w:val="center"/>
              <w:rPr>
                <w:rFonts w:hint="eastAsia"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 xml:space="preserve">18.5 </w:t>
            </w:r>
          </w:p>
        </w:tc>
        <w:tc>
          <w:tcPr>
            <w:tcW w:w="0" w:type="auto"/>
            <w:vMerge w:val="restart"/>
            <w:noWrap w:val="0"/>
            <w:vAlign w:val="center"/>
          </w:tcPr>
          <w:p>
            <w:pPr>
              <w:spacing w:line="240" w:lineRule="auto"/>
              <w:ind w:firstLine="0" w:firstLineChars="0"/>
              <w:jc w:val="center"/>
              <w:rPr>
                <w:rFonts w:hint="default"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27.5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猪叫声</w:t>
            </w:r>
          </w:p>
        </w:tc>
        <w:tc>
          <w:tcPr>
            <w:tcW w:w="1545" w:type="dxa"/>
            <w:noWrap w:val="0"/>
            <w:vAlign w:val="center"/>
          </w:tcPr>
          <w:p>
            <w:pPr>
              <w:spacing w:line="240" w:lineRule="auto"/>
              <w:ind w:firstLine="0" w:firstLineChars="0"/>
              <w:jc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296</w:t>
            </w:r>
          </w:p>
        </w:tc>
        <w:tc>
          <w:tcPr>
            <w:tcW w:w="1752" w:type="dxa"/>
            <w:noWrap w:val="0"/>
            <w:vAlign w:val="center"/>
          </w:tcPr>
          <w:p>
            <w:pPr>
              <w:spacing w:line="240" w:lineRule="auto"/>
              <w:ind w:firstLine="0" w:firstLineChars="0"/>
              <w:jc w:val="center"/>
              <w:rPr>
                <w:rFonts w:hint="eastAsia"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 xml:space="preserve">5.6 </w:t>
            </w: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1929" w:type="dxa"/>
            <w:noWrap w:val="0"/>
            <w:vAlign w:val="center"/>
          </w:tcPr>
          <w:p>
            <w:pPr>
              <w:spacing w:line="240" w:lineRule="auto"/>
              <w:ind w:firstLine="0" w:firstLineChars="0"/>
              <w:jc w:val="center"/>
              <w:rPr>
                <w:rFonts w:hint="eastAsia" w:eastAsia="宋体" w:cs="Times New Roman"/>
                <w:snapToGrid w:val="0"/>
                <w:color w:val="auto"/>
                <w:sz w:val="21"/>
                <w:szCs w:val="21"/>
                <w:highlight w:val="none"/>
                <w:lang w:eastAsia="zh-CN"/>
              </w:rPr>
            </w:pPr>
            <w:r>
              <w:rPr>
                <w:rFonts w:hint="eastAsia" w:cs="Times New Roman"/>
                <w:snapToGrid w:val="0"/>
                <w:color w:val="auto"/>
                <w:sz w:val="21"/>
                <w:szCs w:val="21"/>
                <w:highlight w:val="none"/>
                <w:lang w:eastAsia="zh-CN"/>
              </w:rPr>
              <w:t>空压机</w:t>
            </w:r>
          </w:p>
        </w:tc>
        <w:tc>
          <w:tcPr>
            <w:tcW w:w="1545" w:type="dxa"/>
            <w:noWrap w:val="0"/>
            <w:vAlign w:val="center"/>
          </w:tcPr>
          <w:p>
            <w:pPr>
              <w:spacing w:line="240" w:lineRule="auto"/>
              <w:ind w:firstLine="0" w:firstLineChars="0"/>
              <w:jc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167</w:t>
            </w:r>
          </w:p>
        </w:tc>
        <w:tc>
          <w:tcPr>
            <w:tcW w:w="1752" w:type="dxa"/>
            <w:noWrap w:val="0"/>
            <w:vAlign w:val="center"/>
          </w:tcPr>
          <w:p>
            <w:pPr>
              <w:spacing w:line="240" w:lineRule="auto"/>
              <w:ind w:firstLine="0" w:firstLineChars="0"/>
              <w:jc w:val="center"/>
              <w:rPr>
                <w:rFonts w:hint="eastAsia"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 xml:space="preserve">25.5 </w:t>
            </w: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水泵</w:t>
            </w:r>
          </w:p>
        </w:tc>
        <w:tc>
          <w:tcPr>
            <w:tcW w:w="1545" w:type="dxa"/>
            <w:noWrap w:val="0"/>
            <w:vAlign w:val="center"/>
          </w:tcPr>
          <w:p>
            <w:pPr>
              <w:spacing w:line="240" w:lineRule="auto"/>
              <w:ind w:firstLine="0" w:firstLineChars="0"/>
              <w:jc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93</w:t>
            </w:r>
          </w:p>
        </w:tc>
        <w:tc>
          <w:tcPr>
            <w:tcW w:w="1752" w:type="dxa"/>
            <w:noWrap w:val="0"/>
            <w:vAlign w:val="center"/>
          </w:tcPr>
          <w:p>
            <w:pPr>
              <w:spacing w:line="240" w:lineRule="auto"/>
              <w:ind w:firstLine="0" w:firstLineChars="0"/>
              <w:jc w:val="center"/>
              <w:rPr>
                <w:rFonts w:hint="eastAsia"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 xml:space="preserve">20.6 </w:t>
            </w: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固液分离机</w:t>
            </w:r>
          </w:p>
        </w:tc>
        <w:tc>
          <w:tcPr>
            <w:tcW w:w="1545" w:type="dxa"/>
            <w:noWrap w:val="0"/>
            <w:vAlign w:val="center"/>
          </w:tcPr>
          <w:p>
            <w:pPr>
              <w:spacing w:line="240" w:lineRule="auto"/>
              <w:ind w:firstLine="0" w:firstLineChars="0"/>
              <w:jc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493</w:t>
            </w:r>
          </w:p>
        </w:tc>
        <w:tc>
          <w:tcPr>
            <w:tcW w:w="1752" w:type="dxa"/>
            <w:noWrap w:val="0"/>
            <w:vAlign w:val="center"/>
          </w:tcPr>
          <w:p>
            <w:pPr>
              <w:spacing w:line="240" w:lineRule="auto"/>
              <w:ind w:firstLine="0" w:firstLineChars="0"/>
              <w:jc w:val="center"/>
              <w:rPr>
                <w:rFonts w:hint="eastAsia"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 xml:space="preserve">6.1 </w:t>
            </w: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翻抛机</w:t>
            </w:r>
          </w:p>
        </w:tc>
        <w:tc>
          <w:tcPr>
            <w:tcW w:w="1545" w:type="dxa"/>
            <w:noWrap w:val="0"/>
            <w:vAlign w:val="center"/>
          </w:tcPr>
          <w:p>
            <w:pPr>
              <w:spacing w:line="240" w:lineRule="auto"/>
              <w:ind w:firstLine="0" w:firstLineChars="0"/>
              <w:jc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472</w:t>
            </w:r>
          </w:p>
        </w:tc>
        <w:tc>
          <w:tcPr>
            <w:tcW w:w="1752" w:type="dxa"/>
            <w:noWrap w:val="0"/>
            <w:vAlign w:val="center"/>
          </w:tcPr>
          <w:p>
            <w:pPr>
              <w:spacing w:line="240" w:lineRule="auto"/>
              <w:ind w:firstLine="0" w:firstLineChars="0"/>
              <w:jc w:val="center"/>
              <w:rPr>
                <w:rFonts w:hint="eastAsia"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 xml:space="preserve">6.5 </w:t>
            </w: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restart"/>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4</w:t>
            </w:r>
          </w:p>
        </w:tc>
        <w:tc>
          <w:tcPr>
            <w:tcW w:w="0" w:type="auto"/>
            <w:vMerge w:val="restart"/>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北场界</w:t>
            </w:r>
          </w:p>
        </w:tc>
        <w:tc>
          <w:tcPr>
            <w:tcW w:w="1929" w:type="dxa"/>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猪舍风机</w:t>
            </w:r>
          </w:p>
        </w:tc>
        <w:tc>
          <w:tcPr>
            <w:tcW w:w="1545" w:type="dxa"/>
            <w:noWrap w:val="0"/>
            <w:vAlign w:val="center"/>
          </w:tcPr>
          <w:p>
            <w:pPr>
              <w:spacing w:line="240" w:lineRule="auto"/>
              <w:ind w:firstLine="0" w:firstLineChars="0"/>
              <w:jc w:val="center"/>
              <w:rPr>
                <w:rFonts w:hint="default"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162</w:t>
            </w:r>
          </w:p>
        </w:tc>
        <w:tc>
          <w:tcPr>
            <w:tcW w:w="1752" w:type="dxa"/>
            <w:noWrap w:val="0"/>
            <w:vAlign w:val="center"/>
          </w:tcPr>
          <w:p>
            <w:pPr>
              <w:spacing w:line="240" w:lineRule="auto"/>
              <w:ind w:firstLine="0" w:firstLineChars="0"/>
              <w:jc w:val="center"/>
              <w:rPr>
                <w:rFonts w:hint="eastAsia"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 xml:space="preserve">25.8 </w:t>
            </w:r>
          </w:p>
        </w:tc>
        <w:tc>
          <w:tcPr>
            <w:tcW w:w="0" w:type="auto"/>
            <w:vMerge w:val="restart"/>
            <w:noWrap w:val="0"/>
            <w:vAlign w:val="center"/>
          </w:tcPr>
          <w:p>
            <w:pPr>
              <w:spacing w:line="240" w:lineRule="auto"/>
              <w:ind w:firstLine="0" w:firstLineChars="0"/>
              <w:jc w:val="center"/>
              <w:rPr>
                <w:rFonts w:hint="default"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30.8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猪叫声</w:t>
            </w:r>
          </w:p>
        </w:tc>
        <w:tc>
          <w:tcPr>
            <w:tcW w:w="1545" w:type="dxa"/>
            <w:noWrap w:val="0"/>
            <w:vAlign w:val="center"/>
          </w:tcPr>
          <w:p>
            <w:pPr>
              <w:spacing w:line="240" w:lineRule="auto"/>
              <w:ind w:firstLine="0" w:firstLineChars="0"/>
              <w:jc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233</w:t>
            </w:r>
          </w:p>
        </w:tc>
        <w:tc>
          <w:tcPr>
            <w:tcW w:w="1752" w:type="dxa"/>
            <w:noWrap w:val="0"/>
            <w:vAlign w:val="center"/>
          </w:tcPr>
          <w:p>
            <w:pPr>
              <w:spacing w:line="240" w:lineRule="auto"/>
              <w:ind w:firstLine="0" w:firstLineChars="0"/>
              <w:jc w:val="center"/>
              <w:rPr>
                <w:rFonts w:hint="eastAsia"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 xml:space="preserve">7.7 </w:t>
            </w: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1929" w:type="dxa"/>
            <w:noWrap w:val="0"/>
            <w:vAlign w:val="center"/>
          </w:tcPr>
          <w:p>
            <w:pPr>
              <w:spacing w:line="240" w:lineRule="auto"/>
              <w:ind w:firstLine="0" w:firstLineChars="0"/>
              <w:jc w:val="center"/>
              <w:rPr>
                <w:rFonts w:hint="eastAsia" w:eastAsia="宋体" w:cs="Times New Roman"/>
                <w:snapToGrid w:val="0"/>
                <w:color w:val="auto"/>
                <w:sz w:val="21"/>
                <w:szCs w:val="21"/>
                <w:highlight w:val="none"/>
                <w:lang w:eastAsia="zh-CN"/>
              </w:rPr>
            </w:pPr>
            <w:r>
              <w:rPr>
                <w:rFonts w:hint="eastAsia" w:cs="Times New Roman"/>
                <w:snapToGrid w:val="0"/>
                <w:color w:val="auto"/>
                <w:sz w:val="21"/>
                <w:szCs w:val="21"/>
                <w:highlight w:val="none"/>
                <w:lang w:eastAsia="zh-CN"/>
              </w:rPr>
              <w:t>空压机</w:t>
            </w:r>
          </w:p>
        </w:tc>
        <w:tc>
          <w:tcPr>
            <w:tcW w:w="1545" w:type="dxa"/>
            <w:noWrap w:val="0"/>
            <w:vAlign w:val="center"/>
          </w:tcPr>
          <w:p>
            <w:pPr>
              <w:spacing w:line="240" w:lineRule="auto"/>
              <w:ind w:firstLine="0" w:firstLineChars="0"/>
              <w:jc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360</w:t>
            </w:r>
          </w:p>
        </w:tc>
        <w:tc>
          <w:tcPr>
            <w:tcW w:w="1752" w:type="dxa"/>
            <w:noWrap w:val="0"/>
            <w:vAlign w:val="center"/>
          </w:tcPr>
          <w:p>
            <w:pPr>
              <w:spacing w:line="240" w:lineRule="auto"/>
              <w:ind w:firstLine="0" w:firstLineChars="0"/>
              <w:jc w:val="center"/>
              <w:rPr>
                <w:rFonts w:hint="eastAsia"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 xml:space="preserve">18.9 </w:t>
            </w: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水泵</w:t>
            </w:r>
          </w:p>
        </w:tc>
        <w:tc>
          <w:tcPr>
            <w:tcW w:w="1545" w:type="dxa"/>
            <w:noWrap w:val="0"/>
            <w:vAlign w:val="center"/>
          </w:tcPr>
          <w:p>
            <w:pPr>
              <w:spacing w:line="240" w:lineRule="auto"/>
              <w:ind w:firstLine="0" w:firstLineChars="0"/>
              <w:jc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446</w:t>
            </w:r>
          </w:p>
        </w:tc>
        <w:tc>
          <w:tcPr>
            <w:tcW w:w="1752" w:type="dxa"/>
            <w:noWrap w:val="0"/>
            <w:vAlign w:val="center"/>
          </w:tcPr>
          <w:p>
            <w:pPr>
              <w:spacing w:line="240" w:lineRule="auto"/>
              <w:ind w:firstLine="0" w:firstLineChars="0"/>
              <w:jc w:val="center"/>
              <w:rPr>
                <w:rFonts w:hint="eastAsia"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 xml:space="preserve">7.0 </w:t>
            </w: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固液分离机</w:t>
            </w:r>
          </w:p>
        </w:tc>
        <w:tc>
          <w:tcPr>
            <w:tcW w:w="1545" w:type="dxa"/>
            <w:noWrap w:val="0"/>
            <w:vAlign w:val="center"/>
          </w:tcPr>
          <w:p>
            <w:pPr>
              <w:spacing w:line="240" w:lineRule="auto"/>
              <w:ind w:firstLine="0" w:firstLineChars="0"/>
              <w:jc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45</w:t>
            </w:r>
          </w:p>
        </w:tc>
        <w:tc>
          <w:tcPr>
            <w:tcW w:w="1752" w:type="dxa"/>
            <w:noWrap w:val="0"/>
            <w:vAlign w:val="center"/>
          </w:tcPr>
          <w:p>
            <w:pPr>
              <w:spacing w:line="240" w:lineRule="auto"/>
              <w:ind w:firstLine="0" w:firstLineChars="0"/>
              <w:jc w:val="center"/>
              <w:rPr>
                <w:rFonts w:hint="eastAsia"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 xml:space="preserve">26.9 </w:t>
            </w:r>
          </w:p>
        </w:tc>
        <w:tc>
          <w:tcPr>
            <w:tcW w:w="0" w:type="auto"/>
            <w:vMerge w:val="continue"/>
            <w:noWrap w:val="0"/>
            <w:vAlign w:val="center"/>
          </w:tcPr>
          <w:p>
            <w:pPr>
              <w:spacing w:line="240" w:lineRule="auto"/>
              <w:ind w:firstLine="0" w:firstLineChars="0"/>
              <w:jc w:val="center"/>
              <w:rPr>
                <w:rFonts w:hint="eastAsia" w:cs="Times New Roman"/>
                <w:snapToGrid w:val="0"/>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2" w:hRule="atLeast"/>
          <w:jc w:val="center"/>
        </w:trPr>
        <w:tc>
          <w:tcPr>
            <w:tcW w:w="0" w:type="auto"/>
            <w:vMerge w:val="continue"/>
            <w:noWrap w:val="0"/>
            <w:vAlign w:val="center"/>
          </w:tcPr>
          <w:p>
            <w:pPr>
              <w:spacing w:line="240" w:lineRule="exact"/>
              <w:rPr>
                <w:rFonts w:ascii="Times New Roman" w:hAnsi="Times New Roman"/>
                <w:bCs/>
                <w:color w:val="auto"/>
                <w:sz w:val="21"/>
                <w:szCs w:val="21"/>
                <w:highlight w:val="none"/>
              </w:rPr>
            </w:pPr>
          </w:p>
        </w:tc>
        <w:tc>
          <w:tcPr>
            <w:tcW w:w="0" w:type="auto"/>
            <w:vMerge w:val="continue"/>
            <w:noWrap w:val="0"/>
            <w:vAlign w:val="center"/>
          </w:tcPr>
          <w:p>
            <w:pPr>
              <w:spacing w:line="240" w:lineRule="exact"/>
              <w:rPr>
                <w:rFonts w:ascii="Times New Roman" w:hAnsi="Times New Roman"/>
                <w:bCs/>
                <w:color w:val="auto"/>
                <w:sz w:val="21"/>
                <w:szCs w:val="21"/>
                <w:highlight w:val="none"/>
              </w:rPr>
            </w:pPr>
          </w:p>
        </w:tc>
        <w:tc>
          <w:tcPr>
            <w:tcW w:w="1929" w:type="dxa"/>
            <w:noWrap w:val="0"/>
            <w:vAlign w:val="center"/>
          </w:tcPr>
          <w:p>
            <w:pPr>
              <w:spacing w:line="240" w:lineRule="auto"/>
              <w:ind w:firstLine="0" w:firstLineChars="0"/>
              <w:jc w:val="center"/>
              <w:rPr>
                <w:rFonts w:hint="eastAsia" w:cs="Times New Roman"/>
                <w:snapToGrid w:val="0"/>
                <w:color w:val="auto"/>
                <w:sz w:val="21"/>
                <w:szCs w:val="21"/>
                <w:highlight w:val="none"/>
              </w:rPr>
            </w:pPr>
            <w:r>
              <w:rPr>
                <w:rFonts w:hint="eastAsia" w:cs="Times New Roman"/>
                <w:snapToGrid w:val="0"/>
                <w:color w:val="auto"/>
                <w:sz w:val="21"/>
                <w:szCs w:val="21"/>
                <w:highlight w:val="none"/>
              </w:rPr>
              <w:t>翻抛机</w:t>
            </w:r>
          </w:p>
        </w:tc>
        <w:tc>
          <w:tcPr>
            <w:tcW w:w="1545" w:type="dxa"/>
            <w:noWrap w:val="0"/>
            <w:vAlign w:val="center"/>
          </w:tcPr>
          <w:p>
            <w:pPr>
              <w:spacing w:line="240" w:lineRule="auto"/>
              <w:ind w:firstLine="0" w:firstLineChars="0"/>
              <w:jc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65</w:t>
            </w:r>
          </w:p>
        </w:tc>
        <w:tc>
          <w:tcPr>
            <w:tcW w:w="1752" w:type="dxa"/>
            <w:noWrap w:val="0"/>
            <w:vAlign w:val="center"/>
          </w:tcPr>
          <w:p>
            <w:pPr>
              <w:spacing w:line="240" w:lineRule="auto"/>
              <w:ind w:firstLine="0" w:firstLineChars="0"/>
              <w:jc w:val="center"/>
              <w:rPr>
                <w:rFonts w:hint="eastAsia"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 xml:space="preserve">23.7 </w:t>
            </w:r>
          </w:p>
        </w:tc>
        <w:tc>
          <w:tcPr>
            <w:tcW w:w="0" w:type="auto"/>
            <w:vMerge w:val="continue"/>
            <w:noWrap w:val="0"/>
            <w:vAlign w:val="center"/>
          </w:tcPr>
          <w:p>
            <w:pPr>
              <w:spacing w:line="240" w:lineRule="exact"/>
              <w:rPr>
                <w:rFonts w:ascii="Times New Roman" w:hAnsi="Times New Roman"/>
                <w:bCs/>
                <w:color w:val="auto"/>
                <w:sz w:val="21"/>
                <w:szCs w:val="21"/>
                <w:highlight w:val="none"/>
              </w:rPr>
            </w:pPr>
          </w:p>
        </w:tc>
      </w:tr>
    </w:tbl>
    <w:p>
      <w:pPr>
        <w:ind w:firstLine="480"/>
        <w:rPr>
          <w:rFonts w:cs="Times New Roman"/>
          <w:color w:val="auto"/>
          <w:highlight w:val="none"/>
        </w:rPr>
      </w:pPr>
      <w:r>
        <w:rPr>
          <w:rFonts w:cs="Times New Roman"/>
          <w:color w:val="auto"/>
          <w:highlight w:val="none"/>
        </w:rPr>
        <w:t>由</w:t>
      </w:r>
      <w:r>
        <w:rPr>
          <w:rFonts w:hint="eastAsia" w:cs="Times New Roman"/>
          <w:color w:val="auto"/>
          <w:highlight w:val="none"/>
        </w:rPr>
        <w:t>预测结果可知</w:t>
      </w:r>
      <w:r>
        <w:rPr>
          <w:rFonts w:cs="Times New Roman"/>
          <w:color w:val="auto"/>
          <w:highlight w:val="none"/>
        </w:rPr>
        <w:t>可知，在采取</w:t>
      </w:r>
      <w:r>
        <w:rPr>
          <w:rFonts w:hint="eastAsia" w:cs="Times New Roman"/>
          <w:color w:val="auto"/>
          <w:highlight w:val="none"/>
        </w:rPr>
        <w:t>防治</w:t>
      </w:r>
      <w:r>
        <w:rPr>
          <w:rFonts w:cs="Times New Roman"/>
          <w:color w:val="auto"/>
          <w:highlight w:val="none"/>
        </w:rPr>
        <w:t>措施后，项目</w:t>
      </w:r>
      <w:r>
        <w:rPr>
          <w:color w:val="auto"/>
          <w:highlight w:val="none"/>
        </w:rPr>
        <w:t>厂界噪声均能满足《工业企业厂界环境噪声排放标准》（GB12348-2008）</w:t>
      </w:r>
      <w:r>
        <w:rPr>
          <w:rFonts w:hint="eastAsia"/>
          <w:color w:val="auto"/>
          <w:highlight w:val="none"/>
        </w:rPr>
        <w:t>中的</w:t>
      </w:r>
      <w:r>
        <w:rPr>
          <w:rFonts w:hint="eastAsia"/>
          <w:color w:val="auto"/>
          <w:highlight w:val="none"/>
          <w:lang w:val="en-US" w:eastAsia="zh-CN"/>
        </w:rPr>
        <w:t>2</w:t>
      </w:r>
      <w:r>
        <w:rPr>
          <w:rFonts w:hint="eastAsia"/>
          <w:color w:val="auto"/>
          <w:highlight w:val="none"/>
        </w:rPr>
        <w:t>类标准</w:t>
      </w:r>
      <w:r>
        <w:rPr>
          <w:color w:val="auto"/>
          <w:highlight w:val="none"/>
        </w:rPr>
        <w:t>排放限值</w:t>
      </w:r>
      <w:r>
        <w:rPr>
          <w:rFonts w:cs="Times New Roman"/>
          <w:color w:val="auto"/>
          <w:highlight w:val="none"/>
        </w:rPr>
        <w:t>。</w:t>
      </w:r>
    </w:p>
    <w:p>
      <w:pPr>
        <w:pStyle w:val="5"/>
        <w:spacing w:before="66"/>
        <w:ind w:firstLine="482"/>
        <w:rPr>
          <w:color w:val="auto"/>
          <w:highlight w:val="none"/>
        </w:rPr>
      </w:pPr>
      <w:r>
        <w:rPr>
          <w:rFonts w:hint="eastAsia"/>
          <w:color w:val="auto"/>
          <w:highlight w:val="none"/>
          <w:lang w:val="en-US" w:eastAsia="zh-CN"/>
        </w:rPr>
        <w:t>4</w:t>
      </w:r>
      <w:r>
        <w:rPr>
          <w:color w:val="auto"/>
          <w:highlight w:val="none"/>
        </w:rPr>
        <w:t>.</w:t>
      </w:r>
      <w:r>
        <w:rPr>
          <w:rFonts w:hint="eastAsia"/>
          <w:color w:val="auto"/>
          <w:highlight w:val="none"/>
        </w:rPr>
        <w:t>2.</w:t>
      </w:r>
      <w:r>
        <w:rPr>
          <w:color w:val="auto"/>
          <w:highlight w:val="none"/>
        </w:rPr>
        <w:t>5固废环境影响分析与评价</w:t>
      </w:r>
    </w:p>
    <w:p>
      <w:pPr>
        <w:ind w:firstLine="480"/>
        <w:rPr>
          <w:rFonts w:cs="Times New Roman"/>
          <w:color w:val="auto"/>
          <w:highlight w:val="none"/>
        </w:rPr>
      </w:pPr>
      <w:r>
        <w:rPr>
          <w:rFonts w:hint="eastAsia" w:cs="Times New Roman"/>
          <w:color w:val="auto"/>
          <w:highlight w:val="none"/>
        </w:rPr>
        <w:t>本项目产生的固体废物主要包括猪粪固形物、厌氧发酵后的沼渣、疾病防疫产生的医疗废物、职工生活垃圾、废脱硫剂</w:t>
      </w:r>
      <w:r>
        <w:rPr>
          <w:rFonts w:hint="eastAsia" w:cs="Times New Roman"/>
          <w:color w:val="auto"/>
          <w:highlight w:val="none"/>
          <w:lang w:eastAsia="zh-CN"/>
        </w:rPr>
        <w:t>、废导热油</w:t>
      </w:r>
      <w:r>
        <w:rPr>
          <w:rFonts w:hint="eastAsia" w:cs="Times New Roman"/>
          <w:color w:val="auto"/>
          <w:highlight w:val="none"/>
        </w:rPr>
        <w:t>等</w:t>
      </w:r>
      <w:r>
        <w:rPr>
          <w:rFonts w:cs="Times New Roman"/>
          <w:color w:val="auto"/>
          <w:highlight w:val="none"/>
        </w:rPr>
        <w:t>。</w:t>
      </w:r>
    </w:p>
    <w:p>
      <w:pPr>
        <w:ind w:firstLine="480"/>
        <w:rPr>
          <w:color w:val="auto"/>
          <w:highlight w:val="none"/>
        </w:rPr>
      </w:pPr>
      <w:r>
        <w:rPr>
          <w:color w:val="auto"/>
          <w:highlight w:val="none"/>
        </w:rPr>
        <w:t>具体固废产生及处置情况见表</w:t>
      </w:r>
      <w:r>
        <w:rPr>
          <w:rFonts w:hint="eastAsia"/>
          <w:color w:val="auto"/>
          <w:highlight w:val="none"/>
          <w:lang w:val="en-US" w:eastAsia="zh-CN"/>
        </w:rPr>
        <w:t>4</w:t>
      </w:r>
      <w:r>
        <w:rPr>
          <w:rFonts w:hint="eastAsia"/>
          <w:color w:val="auto"/>
          <w:highlight w:val="none"/>
        </w:rPr>
        <w:t>.2-</w:t>
      </w:r>
      <w:r>
        <w:rPr>
          <w:rFonts w:hint="eastAsia"/>
          <w:color w:val="auto"/>
          <w:highlight w:val="none"/>
          <w:lang w:val="en-US" w:eastAsia="zh-CN"/>
        </w:rPr>
        <w:t>28</w:t>
      </w:r>
      <w:r>
        <w:rPr>
          <w:rFonts w:hint="eastAsia"/>
          <w:color w:val="auto"/>
          <w:highlight w:val="none"/>
        </w:rPr>
        <w:t>。</w:t>
      </w:r>
    </w:p>
    <w:p>
      <w:pPr>
        <w:pStyle w:val="21"/>
        <w:rPr>
          <w:rFonts w:hint="eastAsia" w:ascii="Times New Roman" w:hAnsi="Times New Roman" w:eastAsia="宋体" w:cs="Times New Roman"/>
          <w:b/>
          <w:bCs w:val="0"/>
          <w:color w:val="auto"/>
          <w:kern w:val="2"/>
          <w:sz w:val="21"/>
          <w:szCs w:val="24"/>
          <w:highlight w:val="none"/>
          <w:lang w:val="en-US" w:eastAsia="zh-CN" w:bidi="ar-SA"/>
        </w:rPr>
      </w:pPr>
      <w:r>
        <w:rPr>
          <w:rFonts w:hint="eastAsia" w:ascii="Times New Roman" w:hAnsi="Times New Roman" w:eastAsia="宋体" w:cs="Times New Roman"/>
          <w:b/>
          <w:bCs w:val="0"/>
          <w:color w:val="auto"/>
          <w:kern w:val="2"/>
          <w:sz w:val="21"/>
          <w:szCs w:val="24"/>
          <w:highlight w:val="none"/>
          <w:lang w:val="en-US" w:eastAsia="zh-CN" w:bidi="ar-SA"/>
        </w:rPr>
        <w:t>表4.2-2</w:t>
      </w:r>
      <w:r>
        <w:rPr>
          <w:rFonts w:hint="eastAsia" w:cs="Times New Roman"/>
          <w:b/>
          <w:bCs w:val="0"/>
          <w:color w:val="auto"/>
          <w:kern w:val="2"/>
          <w:sz w:val="21"/>
          <w:szCs w:val="24"/>
          <w:highlight w:val="none"/>
          <w:lang w:val="en-US" w:eastAsia="zh-CN" w:bidi="ar-SA"/>
        </w:rPr>
        <w:t>8</w:t>
      </w:r>
      <w:r>
        <w:rPr>
          <w:rFonts w:hint="eastAsia" w:ascii="Times New Roman" w:hAnsi="Times New Roman" w:eastAsia="宋体" w:cs="Times New Roman"/>
          <w:b/>
          <w:bCs w:val="0"/>
          <w:color w:val="auto"/>
          <w:kern w:val="2"/>
          <w:sz w:val="21"/>
          <w:szCs w:val="24"/>
          <w:highlight w:val="none"/>
          <w:lang w:val="en-US" w:eastAsia="zh-CN" w:bidi="ar-SA"/>
        </w:rPr>
        <w:t xml:space="preserve"> 本项目固体废物处理情况一览表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820"/>
        <w:gridCol w:w="443"/>
        <w:gridCol w:w="443"/>
        <w:gridCol w:w="443"/>
        <w:gridCol w:w="1056"/>
        <w:gridCol w:w="555"/>
        <w:gridCol w:w="776"/>
        <w:gridCol w:w="1196"/>
        <w:gridCol w:w="929"/>
        <w:gridCol w:w="13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序号</w:t>
            </w:r>
          </w:p>
        </w:tc>
        <w:tc>
          <w:tcPr>
            <w:tcW w:w="487"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名称</w:t>
            </w:r>
          </w:p>
        </w:tc>
        <w:tc>
          <w:tcPr>
            <w:tcW w:w="264"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属性</w:t>
            </w:r>
          </w:p>
        </w:tc>
        <w:tc>
          <w:tcPr>
            <w:tcW w:w="264"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产生工序</w:t>
            </w:r>
          </w:p>
        </w:tc>
        <w:tc>
          <w:tcPr>
            <w:tcW w:w="264"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形态</w:t>
            </w:r>
          </w:p>
        </w:tc>
        <w:tc>
          <w:tcPr>
            <w:tcW w:w="620"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危险特性鉴别方法</w:t>
            </w:r>
          </w:p>
        </w:tc>
        <w:tc>
          <w:tcPr>
            <w:tcW w:w="325"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危险特性</w:t>
            </w:r>
          </w:p>
        </w:tc>
        <w:tc>
          <w:tcPr>
            <w:tcW w:w="455"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废物类别</w:t>
            </w:r>
          </w:p>
        </w:tc>
        <w:tc>
          <w:tcPr>
            <w:tcW w:w="702"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废物代码</w:t>
            </w:r>
          </w:p>
        </w:tc>
        <w:tc>
          <w:tcPr>
            <w:tcW w:w="551"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产生量（t/a）</w:t>
            </w:r>
          </w:p>
        </w:tc>
        <w:tc>
          <w:tcPr>
            <w:tcW w:w="813"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处理（处置）措施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1</w:t>
            </w:r>
          </w:p>
        </w:tc>
        <w:tc>
          <w:tcPr>
            <w:tcW w:w="487" w:type="pct"/>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猪粪</w:t>
            </w:r>
          </w:p>
        </w:tc>
        <w:tc>
          <w:tcPr>
            <w:tcW w:w="264" w:type="pct"/>
            <w:vMerge w:val="restar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一般固废</w:t>
            </w:r>
          </w:p>
        </w:tc>
        <w:tc>
          <w:tcPr>
            <w:tcW w:w="264" w:type="pct"/>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养殖</w:t>
            </w:r>
          </w:p>
        </w:tc>
        <w:tc>
          <w:tcPr>
            <w:tcW w:w="264"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固态</w:t>
            </w:r>
          </w:p>
        </w:tc>
        <w:tc>
          <w:tcPr>
            <w:tcW w:w="620" w:type="pct"/>
            <w:vMerge w:val="restar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《国家 危险废 物名录》</w:t>
            </w:r>
          </w:p>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（2016）</w:t>
            </w:r>
          </w:p>
        </w:tc>
        <w:tc>
          <w:tcPr>
            <w:tcW w:w="325"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w:t>
            </w:r>
          </w:p>
        </w:tc>
        <w:tc>
          <w:tcPr>
            <w:tcW w:w="455"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w:t>
            </w:r>
          </w:p>
        </w:tc>
        <w:tc>
          <w:tcPr>
            <w:tcW w:w="702"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w:t>
            </w:r>
          </w:p>
        </w:tc>
        <w:tc>
          <w:tcPr>
            <w:tcW w:w="551"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5890.3</w:t>
            </w:r>
          </w:p>
        </w:tc>
        <w:tc>
          <w:tcPr>
            <w:tcW w:w="813"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发酵处理后作为有机肥基料外售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75" w:hRule="atLeast"/>
          <w:jc w:val="center"/>
        </w:trPr>
        <w:tc>
          <w:tcPr>
            <w:tcW w:w="250" w:type="pct"/>
            <w:vAlign w:val="center"/>
          </w:tcPr>
          <w:p>
            <w:pPr>
              <w:spacing w:line="240" w:lineRule="auto"/>
              <w:ind w:firstLine="0" w:firstLineChars="0"/>
              <w:jc w:val="center"/>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487" w:type="pct"/>
            <w:vAlign w:val="center"/>
          </w:tcPr>
          <w:p>
            <w:pPr>
              <w:spacing w:line="240" w:lineRule="auto"/>
              <w:ind w:firstLine="0" w:firstLineChars="0"/>
              <w:jc w:val="center"/>
              <w:rPr>
                <w:rFonts w:hint="eastAsia" w:cs="Times New Roman"/>
                <w:color w:val="auto"/>
                <w:sz w:val="21"/>
                <w:szCs w:val="21"/>
                <w:highlight w:val="none"/>
                <w:lang w:eastAsia="zh-CN"/>
              </w:rPr>
            </w:pPr>
            <w:r>
              <w:rPr>
                <w:rFonts w:ascii="Times New Roman" w:hAnsi="Times New Roman"/>
                <w:color w:val="auto"/>
                <w:sz w:val="21"/>
                <w:szCs w:val="21"/>
                <w:highlight w:val="none"/>
              </w:rPr>
              <w:t>沼渣</w:t>
            </w:r>
          </w:p>
        </w:tc>
        <w:tc>
          <w:tcPr>
            <w:tcW w:w="264" w:type="pct"/>
            <w:vMerge w:val="continue"/>
            <w:vAlign w:val="center"/>
          </w:tcPr>
          <w:p>
            <w:pPr>
              <w:spacing w:line="240" w:lineRule="auto"/>
              <w:ind w:firstLine="0" w:firstLineChars="0"/>
              <w:jc w:val="center"/>
              <w:rPr>
                <w:rFonts w:cs="Times New Roman"/>
                <w:color w:val="auto"/>
                <w:sz w:val="21"/>
                <w:szCs w:val="21"/>
                <w:highlight w:val="none"/>
              </w:rPr>
            </w:pPr>
          </w:p>
        </w:tc>
        <w:tc>
          <w:tcPr>
            <w:tcW w:w="264" w:type="pct"/>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厌氧发酵</w:t>
            </w:r>
          </w:p>
        </w:tc>
        <w:tc>
          <w:tcPr>
            <w:tcW w:w="264"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固态</w:t>
            </w:r>
          </w:p>
        </w:tc>
        <w:tc>
          <w:tcPr>
            <w:tcW w:w="620" w:type="pct"/>
            <w:vMerge w:val="continue"/>
            <w:vAlign w:val="center"/>
          </w:tcPr>
          <w:p>
            <w:pPr>
              <w:spacing w:line="240" w:lineRule="auto"/>
              <w:ind w:firstLine="0" w:firstLineChars="0"/>
              <w:jc w:val="center"/>
              <w:rPr>
                <w:rFonts w:hint="eastAsia" w:cs="Times New Roman"/>
                <w:color w:val="auto"/>
                <w:sz w:val="21"/>
                <w:szCs w:val="21"/>
                <w:highlight w:val="none"/>
              </w:rPr>
            </w:pPr>
          </w:p>
        </w:tc>
        <w:tc>
          <w:tcPr>
            <w:tcW w:w="325" w:type="pct"/>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455" w:type="pct"/>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02" w:type="pct"/>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51"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4124.5</w:t>
            </w:r>
          </w:p>
        </w:tc>
        <w:tc>
          <w:tcPr>
            <w:tcW w:w="813" w:type="pct"/>
            <w:vAlign w:val="center"/>
          </w:tcPr>
          <w:p>
            <w:pPr>
              <w:spacing w:line="240" w:lineRule="auto"/>
              <w:ind w:firstLine="0" w:firstLineChars="0"/>
              <w:jc w:val="center"/>
              <w:rPr>
                <w:rFonts w:hint="eastAsia" w:cs="Times New Roman"/>
                <w:color w:val="auto"/>
                <w:sz w:val="21"/>
                <w:szCs w:val="21"/>
                <w:highlight w:val="none"/>
              </w:rPr>
            </w:pPr>
            <w:r>
              <w:rPr>
                <w:rFonts w:cs="Times New Roman"/>
                <w:color w:val="auto"/>
                <w:sz w:val="21"/>
                <w:szCs w:val="21"/>
                <w:highlight w:val="none"/>
              </w:rPr>
              <w:t>发酵处理后作为有机肥基料外售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75" w:hRule="atLeast"/>
          <w:jc w:val="center"/>
        </w:trPr>
        <w:tc>
          <w:tcPr>
            <w:tcW w:w="250" w:type="pct"/>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3</w:t>
            </w:r>
          </w:p>
        </w:tc>
        <w:tc>
          <w:tcPr>
            <w:tcW w:w="487" w:type="pct"/>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cs="Times New Roman"/>
                <w:color w:val="auto"/>
                <w:sz w:val="21"/>
                <w:szCs w:val="21"/>
                <w:highlight w:val="none"/>
              </w:rPr>
              <w:t>生活</w:t>
            </w:r>
            <w:r>
              <w:rPr>
                <w:rFonts w:hint="eastAsia" w:cs="Times New Roman"/>
                <w:color w:val="auto"/>
                <w:sz w:val="21"/>
                <w:szCs w:val="21"/>
                <w:highlight w:val="none"/>
                <w:lang w:eastAsia="zh-CN"/>
              </w:rPr>
              <w:t>垃圾</w:t>
            </w:r>
          </w:p>
        </w:tc>
        <w:tc>
          <w:tcPr>
            <w:tcW w:w="264" w:type="pct"/>
            <w:vMerge w:val="continue"/>
            <w:vAlign w:val="center"/>
          </w:tcPr>
          <w:p>
            <w:pPr>
              <w:spacing w:line="240" w:lineRule="auto"/>
              <w:ind w:firstLine="0" w:firstLineChars="0"/>
              <w:jc w:val="center"/>
              <w:rPr>
                <w:rFonts w:cs="Times New Roman"/>
                <w:color w:val="auto"/>
                <w:sz w:val="21"/>
                <w:szCs w:val="21"/>
                <w:highlight w:val="none"/>
              </w:rPr>
            </w:pPr>
          </w:p>
        </w:tc>
        <w:tc>
          <w:tcPr>
            <w:tcW w:w="264"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员工生活</w:t>
            </w:r>
          </w:p>
        </w:tc>
        <w:tc>
          <w:tcPr>
            <w:tcW w:w="264"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固态</w:t>
            </w:r>
          </w:p>
        </w:tc>
        <w:tc>
          <w:tcPr>
            <w:tcW w:w="620" w:type="pct"/>
            <w:vMerge w:val="continue"/>
            <w:vAlign w:val="center"/>
          </w:tcPr>
          <w:p>
            <w:pPr>
              <w:spacing w:line="240" w:lineRule="auto"/>
              <w:ind w:firstLine="0" w:firstLineChars="0"/>
              <w:jc w:val="center"/>
              <w:rPr>
                <w:rFonts w:cs="Times New Roman"/>
                <w:color w:val="auto"/>
                <w:sz w:val="21"/>
                <w:szCs w:val="21"/>
                <w:highlight w:val="none"/>
              </w:rPr>
            </w:pPr>
          </w:p>
        </w:tc>
        <w:tc>
          <w:tcPr>
            <w:tcW w:w="325"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w:t>
            </w:r>
          </w:p>
        </w:tc>
        <w:tc>
          <w:tcPr>
            <w:tcW w:w="455"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w:t>
            </w:r>
          </w:p>
        </w:tc>
        <w:tc>
          <w:tcPr>
            <w:tcW w:w="702"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w:t>
            </w:r>
          </w:p>
        </w:tc>
        <w:tc>
          <w:tcPr>
            <w:tcW w:w="551"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17.52</w:t>
            </w:r>
          </w:p>
        </w:tc>
        <w:tc>
          <w:tcPr>
            <w:tcW w:w="813" w:type="pct"/>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cs="Times New Roman"/>
                <w:color w:val="auto"/>
                <w:sz w:val="21"/>
                <w:szCs w:val="21"/>
                <w:highlight w:val="none"/>
              </w:rPr>
              <w:t>环卫部门定期</w:t>
            </w:r>
            <w:r>
              <w:rPr>
                <w:rFonts w:hint="eastAsia" w:cs="Times New Roman"/>
                <w:color w:val="auto"/>
                <w:sz w:val="21"/>
                <w:szCs w:val="21"/>
                <w:highlight w:val="none"/>
                <w:lang w:eastAsia="zh-CN"/>
              </w:rPr>
              <w:t>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487" w:type="pct"/>
            <w:vAlign w:val="center"/>
          </w:tcPr>
          <w:p>
            <w:pPr>
              <w:spacing w:line="240" w:lineRule="auto"/>
              <w:ind w:firstLine="0" w:firstLineChars="0"/>
              <w:jc w:val="center"/>
              <w:rPr>
                <w:rFonts w:hint="eastAsia" w:cs="Times New Roman"/>
                <w:color w:val="auto"/>
                <w:sz w:val="21"/>
                <w:szCs w:val="21"/>
                <w:highlight w:val="none"/>
              </w:rPr>
            </w:pPr>
            <w:r>
              <w:rPr>
                <w:rFonts w:ascii="Times New Roman" w:hAnsi="Times New Roman"/>
                <w:color w:val="auto"/>
                <w:sz w:val="21"/>
                <w:szCs w:val="21"/>
                <w:highlight w:val="none"/>
              </w:rPr>
              <w:t>废脱硫剂</w:t>
            </w:r>
          </w:p>
        </w:tc>
        <w:tc>
          <w:tcPr>
            <w:tcW w:w="264" w:type="pct"/>
            <w:vMerge w:val="continue"/>
            <w:vAlign w:val="center"/>
          </w:tcPr>
          <w:p>
            <w:pPr>
              <w:spacing w:line="240" w:lineRule="auto"/>
              <w:ind w:firstLine="0" w:firstLineChars="0"/>
              <w:jc w:val="center"/>
              <w:rPr>
                <w:rFonts w:cs="Times New Roman"/>
                <w:color w:val="auto"/>
                <w:sz w:val="21"/>
                <w:szCs w:val="21"/>
                <w:highlight w:val="none"/>
              </w:rPr>
            </w:pPr>
          </w:p>
        </w:tc>
        <w:tc>
          <w:tcPr>
            <w:tcW w:w="264" w:type="pct"/>
            <w:vAlign w:val="center"/>
          </w:tcPr>
          <w:p>
            <w:pPr>
              <w:spacing w:line="240" w:lineRule="auto"/>
              <w:ind w:firstLine="0" w:firstLineChars="0"/>
              <w:jc w:val="center"/>
              <w:rPr>
                <w:rFonts w:hint="eastAsia" w:cs="Times New Roman"/>
                <w:color w:val="auto"/>
                <w:sz w:val="21"/>
                <w:szCs w:val="21"/>
                <w:highlight w:val="none"/>
                <w:lang w:eastAsia="zh-CN"/>
              </w:rPr>
            </w:pPr>
            <w:r>
              <w:rPr>
                <w:rFonts w:hint="eastAsia" w:cs="Times New Roman"/>
                <w:color w:val="auto"/>
                <w:sz w:val="21"/>
                <w:szCs w:val="21"/>
                <w:highlight w:val="none"/>
                <w:lang w:val="en-US" w:eastAsia="zh-CN"/>
              </w:rPr>
              <w:t>沼气脱硫装置</w:t>
            </w:r>
          </w:p>
        </w:tc>
        <w:tc>
          <w:tcPr>
            <w:tcW w:w="264" w:type="pct"/>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固态</w:t>
            </w:r>
          </w:p>
        </w:tc>
        <w:tc>
          <w:tcPr>
            <w:tcW w:w="620" w:type="pct"/>
            <w:vMerge w:val="continue"/>
            <w:vAlign w:val="center"/>
          </w:tcPr>
          <w:p>
            <w:pPr>
              <w:spacing w:line="240" w:lineRule="auto"/>
              <w:ind w:firstLine="0" w:firstLineChars="0"/>
              <w:jc w:val="center"/>
              <w:rPr>
                <w:rFonts w:cs="Times New Roman"/>
                <w:color w:val="auto"/>
                <w:sz w:val="21"/>
                <w:szCs w:val="21"/>
                <w:highlight w:val="none"/>
              </w:rPr>
            </w:pPr>
          </w:p>
        </w:tc>
        <w:tc>
          <w:tcPr>
            <w:tcW w:w="325" w:type="pct"/>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455" w:type="pct"/>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702" w:type="pct"/>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w:t>
            </w:r>
          </w:p>
        </w:tc>
        <w:tc>
          <w:tcPr>
            <w:tcW w:w="551" w:type="pct"/>
            <w:vAlign w:val="center"/>
          </w:tcPr>
          <w:p>
            <w:pPr>
              <w:spacing w:line="240" w:lineRule="auto"/>
              <w:ind w:firstLine="0" w:firstLineChars="0"/>
              <w:jc w:val="center"/>
              <w:rPr>
                <w:rFonts w:hint="default" w:cs="Times New Roman"/>
                <w:color w:val="auto"/>
                <w:sz w:val="21"/>
                <w:szCs w:val="21"/>
                <w:highlight w:val="none"/>
                <w:lang w:val="en-US"/>
              </w:rPr>
            </w:pPr>
            <w:r>
              <w:rPr>
                <w:rFonts w:hint="eastAsia" w:cs="Times New Roman"/>
                <w:color w:val="auto"/>
                <w:sz w:val="21"/>
                <w:szCs w:val="21"/>
                <w:highlight w:val="none"/>
                <w:lang w:val="en-US" w:eastAsia="zh-CN"/>
              </w:rPr>
              <w:t>2.6</w:t>
            </w:r>
          </w:p>
        </w:tc>
        <w:tc>
          <w:tcPr>
            <w:tcW w:w="813" w:type="pct"/>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生产厂家统一回收处置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75" w:hRule="atLeast"/>
          <w:jc w:val="center"/>
        </w:trPr>
        <w:tc>
          <w:tcPr>
            <w:tcW w:w="250" w:type="pct"/>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5</w:t>
            </w:r>
          </w:p>
        </w:tc>
        <w:tc>
          <w:tcPr>
            <w:tcW w:w="487"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病死猪尸体</w:t>
            </w:r>
          </w:p>
        </w:tc>
        <w:tc>
          <w:tcPr>
            <w:tcW w:w="264" w:type="pct"/>
            <w:vMerge w:val="continue"/>
            <w:vAlign w:val="center"/>
          </w:tcPr>
          <w:p>
            <w:pPr>
              <w:spacing w:line="240" w:lineRule="auto"/>
              <w:ind w:firstLine="0" w:firstLineChars="0"/>
              <w:jc w:val="center"/>
              <w:rPr>
                <w:rFonts w:cs="Times New Roman"/>
                <w:color w:val="auto"/>
                <w:sz w:val="21"/>
                <w:szCs w:val="21"/>
                <w:highlight w:val="none"/>
              </w:rPr>
            </w:pPr>
          </w:p>
        </w:tc>
        <w:tc>
          <w:tcPr>
            <w:tcW w:w="264"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lang w:eastAsia="zh-CN"/>
              </w:rPr>
              <w:t>养殖</w:t>
            </w:r>
          </w:p>
        </w:tc>
        <w:tc>
          <w:tcPr>
            <w:tcW w:w="264"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固态</w:t>
            </w:r>
          </w:p>
        </w:tc>
        <w:tc>
          <w:tcPr>
            <w:tcW w:w="620" w:type="pct"/>
            <w:vMerge w:val="continue"/>
            <w:vAlign w:val="center"/>
          </w:tcPr>
          <w:p>
            <w:pPr>
              <w:spacing w:line="240" w:lineRule="auto"/>
              <w:ind w:firstLine="0" w:firstLineChars="0"/>
              <w:jc w:val="center"/>
              <w:rPr>
                <w:rFonts w:cs="Times New Roman"/>
                <w:color w:val="auto"/>
                <w:sz w:val="21"/>
                <w:szCs w:val="21"/>
                <w:highlight w:val="none"/>
              </w:rPr>
            </w:pPr>
          </w:p>
        </w:tc>
        <w:tc>
          <w:tcPr>
            <w:tcW w:w="325"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w:t>
            </w:r>
          </w:p>
        </w:tc>
        <w:tc>
          <w:tcPr>
            <w:tcW w:w="455"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w:t>
            </w:r>
          </w:p>
        </w:tc>
        <w:tc>
          <w:tcPr>
            <w:tcW w:w="702"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w:t>
            </w:r>
          </w:p>
        </w:tc>
        <w:tc>
          <w:tcPr>
            <w:tcW w:w="551"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23.5</w:t>
            </w:r>
          </w:p>
        </w:tc>
        <w:tc>
          <w:tcPr>
            <w:tcW w:w="813"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送</w:t>
            </w:r>
            <w:r>
              <w:rPr>
                <w:rFonts w:hint="eastAsia" w:cs="Times New Roman"/>
                <w:color w:val="auto"/>
                <w:sz w:val="21"/>
                <w:szCs w:val="21"/>
                <w:highlight w:val="none"/>
                <w:lang w:eastAsia="zh-CN"/>
              </w:rPr>
              <w:t>本厂自建的</w:t>
            </w:r>
            <w:r>
              <w:rPr>
                <w:rFonts w:hint="eastAsia" w:cs="Times New Roman"/>
                <w:color w:val="auto"/>
                <w:sz w:val="21"/>
                <w:szCs w:val="21"/>
                <w:highlight w:val="none"/>
              </w:rPr>
              <w:t>无害化处理车间处置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6</w:t>
            </w:r>
          </w:p>
        </w:tc>
        <w:tc>
          <w:tcPr>
            <w:tcW w:w="487"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医疗废物</w:t>
            </w:r>
          </w:p>
        </w:tc>
        <w:tc>
          <w:tcPr>
            <w:tcW w:w="264" w:type="pct"/>
            <w:vMerge w:val="restar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危废</w:t>
            </w:r>
          </w:p>
        </w:tc>
        <w:tc>
          <w:tcPr>
            <w:tcW w:w="264" w:type="pct"/>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防疫</w:t>
            </w:r>
          </w:p>
        </w:tc>
        <w:tc>
          <w:tcPr>
            <w:tcW w:w="264"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固态</w:t>
            </w:r>
          </w:p>
        </w:tc>
        <w:tc>
          <w:tcPr>
            <w:tcW w:w="620" w:type="pct"/>
            <w:vMerge w:val="continue"/>
            <w:vAlign w:val="center"/>
          </w:tcPr>
          <w:p>
            <w:pPr>
              <w:spacing w:line="240" w:lineRule="auto"/>
              <w:ind w:firstLine="0" w:firstLineChars="0"/>
              <w:jc w:val="center"/>
              <w:rPr>
                <w:rFonts w:cs="Times New Roman"/>
                <w:color w:val="auto"/>
                <w:sz w:val="21"/>
                <w:szCs w:val="21"/>
                <w:highlight w:val="none"/>
              </w:rPr>
            </w:pPr>
          </w:p>
        </w:tc>
        <w:tc>
          <w:tcPr>
            <w:tcW w:w="325"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In</w:t>
            </w:r>
          </w:p>
        </w:tc>
        <w:tc>
          <w:tcPr>
            <w:tcW w:w="455"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cs="Times New Roman"/>
                <w:color w:val="auto"/>
                <w:sz w:val="21"/>
                <w:szCs w:val="21"/>
                <w:highlight w:val="none"/>
              </w:rPr>
              <w:t>HW</w:t>
            </w:r>
            <w:r>
              <w:rPr>
                <w:rFonts w:hint="eastAsia" w:cs="Times New Roman"/>
                <w:color w:val="auto"/>
                <w:sz w:val="21"/>
                <w:szCs w:val="21"/>
                <w:highlight w:val="none"/>
                <w:lang w:val="en-US" w:eastAsia="zh-CN"/>
              </w:rPr>
              <w:t>01</w:t>
            </w:r>
          </w:p>
        </w:tc>
        <w:tc>
          <w:tcPr>
            <w:tcW w:w="702"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900-001-01</w:t>
            </w:r>
          </w:p>
        </w:tc>
        <w:tc>
          <w:tcPr>
            <w:tcW w:w="551"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rPr>
              <w:t>0.</w:t>
            </w:r>
            <w:r>
              <w:rPr>
                <w:rFonts w:hint="eastAsia" w:cs="Times New Roman"/>
                <w:color w:val="auto"/>
                <w:sz w:val="21"/>
                <w:szCs w:val="21"/>
                <w:highlight w:val="none"/>
                <w:lang w:val="en-US" w:eastAsia="zh-CN"/>
              </w:rPr>
              <w:t>344</w:t>
            </w:r>
          </w:p>
        </w:tc>
        <w:tc>
          <w:tcPr>
            <w:tcW w:w="813"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交由新蔡县中绿环保有限公司处置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250" w:type="pct"/>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487" w:type="pct"/>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废导热油</w:t>
            </w:r>
          </w:p>
        </w:tc>
        <w:tc>
          <w:tcPr>
            <w:tcW w:w="264" w:type="pct"/>
            <w:vMerge w:val="continue"/>
            <w:vAlign w:val="center"/>
          </w:tcPr>
          <w:p>
            <w:pPr>
              <w:spacing w:line="240" w:lineRule="auto"/>
              <w:ind w:firstLine="0" w:firstLineChars="0"/>
              <w:jc w:val="center"/>
              <w:rPr>
                <w:rFonts w:cs="Times New Roman"/>
                <w:color w:val="auto"/>
                <w:sz w:val="21"/>
                <w:szCs w:val="21"/>
                <w:highlight w:val="none"/>
              </w:rPr>
            </w:pPr>
          </w:p>
        </w:tc>
        <w:tc>
          <w:tcPr>
            <w:tcW w:w="264" w:type="pct"/>
            <w:vAlign w:val="center"/>
          </w:tcPr>
          <w:p>
            <w:pPr>
              <w:spacing w:line="240" w:lineRule="auto"/>
              <w:ind w:firstLine="0" w:firstLineChars="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无害化</w:t>
            </w:r>
          </w:p>
        </w:tc>
        <w:tc>
          <w:tcPr>
            <w:tcW w:w="264" w:type="pct"/>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液态</w:t>
            </w:r>
          </w:p>
        </w:tc>
        <w:tc>
          <w:tcPr>
            <w:tcW w:w="620" w:type="pct"/>
            <w:vMerge w:val="continue"/>
            <w:vAlign w:val="center"/>
          </w:tcPr>
          <w:p>
            <w:pPr>
              <w:spacing w:line="240" w:lineRule="auto"/>
              <w:ind w:firstLine="0" w:firstLineChars="0"/>
              <w:jc w:val="center"/>
              <w:rPr>
                <w:rFonts w:cs="Times New Roman"/>
                <w:color w:val="auto"/>
                <w:sz w:val="21"/>
                <w:szCs w:val="21"/>
                <w:highlight w:val="none"/>
              </w:rPr>
            </w:pPr>
          </w:p>
        </w:tc>
        <w:tc>
          <w:tcPr>
            <w:tcW w:w="325"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T，I</w:t>
            </w:r>
          </w:p>
        </w:tc>
        <w:tc>
          <w:tcPr>
            <w:tcW w:w="455"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HW</w:t>
            </w:r>
            <w:r>
              <w:rPr>
                <w:rFonts w:hint="eastAsia" w:cs="Times New Roman"/>
                <w:color w:val="auto"/>
                <w:sz w:val="21"/>
                <w:szCs w:val="21"/>
                <w:highlight w:val="none"/>
                <w:lang w:val="en-US" w:eastAsia="zh-CN"/>
              </w:rPr>
              <w:t>08</w:t>
            </w:r>
          </w:p>
        </w:tc>
        <w:tc>
          <w:tcPr>
            <w:tcW w:w="702" w:type="pct"/>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900-249-08</w:t>
            </w:r>
          </w:p>
        </w:tc>
        <w:tc>
          <w:tcPr>
            <w:tcW w:w="551"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813" w:type="pct"/>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危险废物暂存间暂存，定期交有相应危废类别处理资质的单位安全处置</w:t>
            </w:r>
          </w:p>
        </w:tc>
      </w:tr>
    </w:tbl>
    <w:p>
      <w:pPr>
        <w:keepNext w:val="0"/>
        <w:keepLines w:val="0"/>
        <w:pageBreakBefore w:val="0"/>
        <w:widowControl/>
        <w:kinsoku/>
        <w:wordWrap/>
        <w:overflowPunct/>
        <w:topLinePunct w:val="0"/>
        <w:autoSpaceDE/>
        <w:autoSpaceDN/>
        <w:bidi w:val="0"/>
        <w:adjustRightInd/>
        <w:snapToGrid/>
        <w:ind w:firstLine="480"/>
        <w:textAlignment w:val="auto"/>
        <w:rPr>
          <w:bCs/>
          <w:color w:val="auto"/>
          <w:highlight w:val="none"/>
          <w:u w:val="none"/>
        </w:rPr>
      </w:pPr>
      <w:r>
        <w:rPr>
          <w:rFonts w:hint="eastAsia"/>
          <w:bCs/>
          <w:color w:val="auto"/>
          <w:highlight w:val="none"/>
          <w:u w:val="none"/>
        </w:rPr>
        <w:t>（1）一般工业固体</w:t>
      </w:r>
      <w:r>
        <w:rPr>
          <w:bCs/>
          <w:color w:val="auto"/>
          <w:highlight w:val="none"/>
          <w:u w:val="none"/>
        </w:rPr>
        <w:t>废物贮存场所（设施）环境影响分析</w:t>
      </w:r>
    </w:p>
    <w:p>
      <w:pPr>
        <w:keepNext w:val="0"/>
        <w:keepLines w:val="0"/>
        <w:pageBreakBefore w:val="0"/>
        <w:widowControl/>
        <w:kinsoku/>
        <w:wordWrap/>
        <w:overflowPunct/>
        <w:topLinePunct w:val="0"/>
        <w:autoSpaceDE/>
        <w:autoSpaceDN/>
        <w:bidi w:val="0"/>
        <w:adjustRightInd/>
        <w:snapToGrid/>
        <w:ind w:firstLine="480"/>
        <w:textAlignment w:val="auto"/>
        <w:rPr>
          <w:bCs/>
          <w:color w:val="auto"/>
          <w:highlight w:val="none"/>
          <w:u w:val="none"/>
        </w:rPr>
      </w:pPr>
      <w:r>
        <w:rPr>
          <w:rFonts w:hint="eastAsia"/>
          <w:bCs/>
          <w:color w:val="auto"/>
          <w:highlight w:val="none"/>
          <w:u w:val="none"/>
        </w:rPr>
        <w:t>建设单位必须按照《一般工业固体废物贮存、处置场污染控制标准（GB18599-2001）》的相关要求建立固体废物临时堆放场地，不得到处堆放。临时堆放场的地面与裙脚要用坚固、防渗的材料建造，基础必须防渗，应设计建造径流疏导系统，保证能防止暴雨不会流到临时堆放场。临时堆放场要防风、防雨、防晒，禁止危险废物和生活垃圾混入。</w:t>
      </w:r>
    </w:p>
    <w:p>
      <w:pPr>
        <w:ind w:firstLine="480"/>
        <w:rPr>
          <w:bCs/>
          <w:color w:val="auto"/>
          <w:highlight w:val="none"/>
          <w:u w:val="none"/>
        </w:rPr>
      </w:pPr>
      <w:r>
        <w:rPr>
          <w:bCs/>
          <w:color w:val="auto"/>
          <w:highlight w:val="none"/>
          <w:u w:val="none"/>
        </w:rPr>
        <w:t>（</w:t>
      </w:r>
      <w:r>
        <w:rPr>
          <w:rFonts w:hint="eastAsia"/>
          <w:bCs/>
          <w:color w:val="auto"/>
          <w:highlight w:val="none"/>
          <w:u w:val="none"/>
        </w:rPr>
        <w:t>2</w:t>
      </w:r>
      <w:r>
        <w:rPr>
          <w:bCs/>
          <w:color w:val="auto"/>
          <w:highlight w:val="none"/>
          <w:u w:val="none"/>
        </w:rPr>
        <w:t>）危险废物贮存场所（设施）环境影响分析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kern w:val="0"/>
          <w:sz w:val="24"/>
          <w:highlight w:val="none"/>
        </w:rPr>
      </w:pPr>
      <w:r>
        <w:rPr>
          <w:rFonts w:ascii="Times New Roman" w:hAnsi="Times New Roman"/>
          <w:color w:val="auto"/>
          <w:kern w:val="0"/>
          <w:sz w:val="24"/>
          <w:highlight w:val="none"/>
        </w:rPr>
        <w:t>本项目危险废物在处置过程中应严格执行以下措施：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kern w:val="0"/>
          <w:sz w:val="24"/>
          <w:highlight w:val="none"/>
        </w:rPr>
      </w:pPr>
      <w:r>
        <w:rPr>
          <w:rFonts w:ascii="Times New Roman" w:hAnsi="Times New Roman"/>
          <w:color w:val="auto"/>
          <w:kern w:val="0"/>
          <w:sz w:val="24"/>
          <w:highlight w:val="none"/>
        </w:rPr>
        <w:t>①认真落实申报登记制度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kern w:val="0"/>
          <w:sz w:val="24"/>
          <w:highlight w:val="none"/>
        </w:rPr>
      </w:pPr>
      <w:r>
        <w:rPr>
          <w:rFonts w:ascii="Times New Roman" w:hAnsi="Times New Roman"/>
          <w:color w:val="auto"/>
          <w:kern w:val="0"/>
          <w:sz w:val="24"/>
          <w:highlight w:val="none"/>
        </w:rPr>
        <w:t>根据《中华人民共和国固体废物污染环境防治法》第三十二条、第五十三条的规定，产生危险废物、工业固体废物的单位必须向所在地县级以上人民政府环境保护行政主管部门如实、及时申报固体废物和危险废物的种类、数量、流向，以及贮存、处置等情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kern w:val="0"/>
          <w:sz w:val="24"/>
          <w:highlight w:val="none"/>
        </w:rPr>
      </w:pPr>
      <w:r>
        <w:rPr>
          <w:rFonts w:ascii="Times New Roman" w:hAnsi="Times New Roman"/>
          <w:color w:val="auto"/>
          <w:kern w:val="0"/>
          <w:sz w:val="24"/>
          <w:highlight w:val="none"/>
        </w:rPr>
        <w:t>②建设单位必须建立健全台帐登记制度，如实记录危险废物产生、贮存、利用和处置等环节的情况。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kern w:val="0"/>
          <w:sz w:val="24"/>
          <w:highlight w:val="none"/>
        </w:rPr>
      </w:pPr>
      <w:r>
        <w:rPr>
          <w:rFonts w:ascii="Times New Roman" w:hAnsi="Times New Roman"/>
          <w:color w:val="auto"/>
          <w:kern w:val="0"/>
          <w:sz w:val="24"/>
          <w:highlight w:val="none"/>
        </w:rPr>
        <w:t>③建设单位必须做好相应的防护措施（防渗漏、防雨淋等），达到《危险废物贮存污染控制标准》（GB18597-2001）的要求。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kern w:val="0"/>
          <w:sz w:val="24"/>
          <w:highlight w:val="none"/>
        </w:rPr>
      </w:pPr>
      <w:r>
        <w:rPr>
          <w:rFonts w:ascii="Times New Roman" w:hAnsi="Times New Roman"/>
          <w:color w:val="auto"/>
          <w:kern w:val="0"/>
          <w:sz w:val="24"/>
          <w:highlight w:val="none"/>
        </w:rPr>
        <w:t>④建设单位必须在盛装危险废物的容器和包装物以及收集、贮存、运输、处置危险废物的设施、场所，设置危险废物标识。产生、贮存危险废物的单位及盛装危险废物的容器和包装物要按照《危险废物贮存污染控制标准》（GB18597-2001）附录A的规定设置危险废物标签；收集、运输、处置危险废物的设施、场所要按照《环境保护图形标志-固体废物贮存（处置）场》（GB15562.2-1995）要求，设置危险废物警告标志。</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kern w:val="0"/>
          <w:sz w:val="24"/>
          <w:highlight w:val="none"/>
        </w:rPr>
      </w:pPr>
      <w:r>
        <w:rPr>
          <w:rFonts w:ascii="Times New Roman" w:hAnsi="Times New Roman"/>
          <w:color w:val="auto"/>
          <w:kern w:val="0"/>
          <w:sz w:val="24"/>
          <w:highlight w:val="none"/>
        </w:rPr>
        <w:t>⑤危险废物的转移、运输，必须严格按照《中华人民共和国固体废物污染环境防治法》和国家环境保护总局《危险废物转移联单管理办法》的规定，执行危险废物转移联单制度；任何单位和个人不得接受无转移联单的危险废物。危险废物的转移必须到环保部门办理交换转移审批手续，批准后方可实施，转进转出危险废物均应按照国家环保总局的《危险废物转移联单管理办法》要求填写转移联单。</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kern w:val="0"/>
          <w:sz w:val="24"/>
          <w:highlight w:val="none"/>
        </w:rPr>
      </w:pPr>
      <w:r>
        <w:rPr>
          <w:rFonts w:ascii="Times New Roman" w:hAnsi="Times New Roman"/>
          <w:color w:val="auto"/>
          <w:kern w:val="0"/>
          <w:sz w:val="24"/>
          <w:highlight w:val="none"/>
        </w:rPr>
        <w:t>⑥选择具有专业处置利用能力和《危险废物经营许可证》的单位，确保不造成新的环境污染。对危险废物必须分类收集处置，禁止将危险废物混入一般废物收集、贮存、运输和处置。</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kern w:val="0"/>
          <w:sz w:val="24"/>
          <w:highlight w:val="none"/>
        </w:rPr>
      </w:pPr>
      <w:r>
        <w:rPr>
          <w:rFonts w:ascii="Times New Roman" w:hAnsi="Times New Roman"/>
          <w:color w:val="auto"/>
          <w:kern w:val="0"/>
          <w:sz w:val="24"/>
          <w:highlight w:val="none"/>
        </w:rPr>
        <w:t>⑦本项目危废暂存间须满足《危险废物贮存污染控制标准》（GB18597-2001）及修改单，关于贮存设施和场所的管理要求。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kern w:val="0"/>
          <w:sz w:val="24"/>
          <w:highlight w:val="none"/>
        </w:rPr>
      </w:pPr>
      <w:r>
        <w:rPr>
          <w:rFonts w:ascii="Times New Roman" w:hAnsi="Times New Roman"/>
          <w:color w:val="auto"/>
          <w:kern w:val="0"/>
          <w:sz w:val="24"/>
          <w:highlight w:val="none"/>
        </w:rPr>
        <w:t>危废暂存间应做到以下几点：</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kern w:val="0"/>
          <w:sz w:val="24"/>
          <w:highlight w:val="none"/>
        </w:rPr>
      </w:pPr>
      <w:r>
        <w:rPr>
          <w:rFonts w:ascii="Times New Roman" w:hAnsi="Times New Roman"/>
          <w:color w:val="auto"/>
          <w:kern w:val="0"/>
          <w:sz w:val="24"/>
          <w:highlight w:val="none"/>
        </w:rPr>
        <w:t>①贮存场所必须符合《危险废弃物贮存污染控制标准》（GB18597-2001）的规定，必须有符合要求的专用标志。</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kern w:val="0"/>
          <w:sz w:val="24"/>
          <w:highlight w:val="none"/>
        </w:rPr>
      </w:pPr>
      <w:r>
        <w:rPr>
          <w:rFonts w:ascii="Times New Roman" w:hAnsi="Times New Roman"/>
          <w:color w:val="auto"/>
          <w:kern w:val="0"/>
          <w:sz w:val="24"/>
          <w:highlight w:val="none"/>
        </w:rPr>
        <w:t>②贮存场所内一般废物和危险废物应分别存放。</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kern w:val="0"/>
          <w:sz w:val="24"/>
          <w:highlight w:val="none"/>
        </w:rPr>
      </w:pPr>
      <w:r>
        <w:rPr>
          <w:rFonts w:ascii="Times New Roman" w:hAnsi="Times New Roman"/>
          <w:color w:val="auto"/>
          <w:kern w:val="0"/>
          <w:sz w:val="24"/>
          <w:highlight w:val="none"/>
        </w:rPr>
        <w:t>③</w:t>
      </w:r>
      <w:r>
        <w:rPr>
          <w:rFonts w:hint="eastAsia"/>
          <w:color w:val="auto"/>
          <w:kern w:val="0"/>
          <w:sz w:val="24"/>
          <w:highlight w:val="none"/>
          <w:lang w:eastAsia="zh-CN"/>
        </w:rPr>
        <w:t>贮</w:t>
      </w:r>
      <w:r>
        <w:rPr>
          <w:rFonts w:ascii="Times New Roman" w:hAnsi="Times New Roman"/>
          <w:color w:val="auto"/>
          <w:kern w:val="0"/>
          <w:sz w:val="24"/>
          <w:highlight w:val="none"/>
        </w:rPr>
        <w:t>存场所应防风、防雨、防晒、防渗漏。</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kern w:val="0"/>
          <w:sz w:val="24"/>
          <w:highlight w:val="none"/>
        </w:rPr>
      </w:pPr>
      <w:r>
        <w:rPr>
          <w:rFonts w:ascii="Times New Roman" w:hAnsi="Times New Roman"/>
          <w:color w:val="auto"/>
          <w:kern w:val="0"/>
          <w:sz w:val="24"/>
          <w:highlight w:val="none"/>
        </w:rPr>
        <w:t>④贮存场所要有集排水和防渗设施，渗滤水收集入事故池。</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kern w:val="0"/>
          <w:sz w:val="24"/>
          <w:highlight w:val="none"/>
        </w:rPr>
      </w:pPr>
      <w:r>
        <w:rPr>
          <w:rFonts w:ascii="Times New Roman" w:hAnsi="Times New Roman"/>
          <w:color w:val="auto"/>
          <w:kern w:val="0"/>
          <w:sz w:val="24"/>
          <w:highlight w:val="none"/>
        </w:rPr>
        <w:t>⑤贮存场所符合消防要求，废物的贮存容器必须有明显标志，具有耐腐蚀、耐压、密封和不与所贮存的废物发生反应等特性。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kern w:val="0"/>
          <w:sz w:val="24"/>
          <w:highlight w:val="none"/>
        </w:rPr>
      </w:pPr>
      <w:r>
        <w:rPr>
          <w:rFonts w:ascii="Times New Roman" w:hAnsi="Times New Roman"/>
          <w:color w:val="auto"/>
          <w:kern w:val="0"/>
          <w:sz w:val="24"/>
          <w:highlight w:val="none"/>
        </w:rPr>
        <w:t>⑥危废暂存场所采取防渗挡雨淋措施，地面铺设防渗膜，并对危险废物进行袋装后分类堆放。</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kern w:val="0"/>
          <w:sz w:val="24"/>
          <w:highlight w:val="none"/>
        </w:rPr>
      </w:pPr>
      <w:r>
        <w:rPr>
          <w:rFonts w:ascii="Times New Roman" w:hAnsi="Times New Roman"/>
          <w:color w:val="auto"/>
          <w:kern w:val="0"/>
          <w:sz w:val="24"/>
          <w:highlight w:val="none"/>
        </w:rPr>
        <w:t>⑦包装容器、包装方法、衬垫物应符合要求，经常检查包装、储存容器（罐、桶）是否完好，无破损，搬运危废桶、袋时要轻装轻卸，防止包装及容器损坏。</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kern w:val="0"/>
          <w:sz w:val="24"/>
          <w:highlight w:val="none"/>
        </w:rPr>
      </w:pPr>
      <w:r>
        <w:rPr>
          <w:rFonts w:ascii="Times New Roman" w:hAnsi="Times New Roman"/>
          <w:color w:val="auto"/>
          <w:kern w:val="0"/>
          <w:sz w:val="24"/>
          <w:highlight w:val="none"/>
        </w:rPr>
        <w:t>⑧根据危废的种类，危废收集后要及时综合利用或安全处置，尽量减少在厂内的暂存时间，以减少暂存风险。</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kern w:val="0"/>
          <w:sz w:val="24"/>
          <w:highlight w:val="none"/>
        </w:rPr>
      </w:pPr>
      <w:r>
        <w:rPr>
          <w:rFonts w:ascii="Times New Roman" w:hAnsi="Times New Roman"/>
          <w:color w:val="auto"/>
          <w:kern w:val="0"/>
          <w:sz w:val="24"/>
          <w:highlight w:val="none"/>
        </w:rPr>
        <w:t>本项目营运过程中产生的固体废物均得到妥善处置，处置率达到100%，并充分回收利用有价值的物质，做到减量化、无害化，对环境无影响。</w:t>
      </w:r>
    </w:p>
    <w:p>
      <w:pPr>
        <w:ind w:firstLine="480"/>
        <w:rPr>
          <w:bCs/>
          <w:color w:val="auto"/>
          <w:highlight w:val="none"/>
        </w:rPr>
      </w:pPr>
      <w:r>
        <w:rPr>
          <w:rFonts w:hint="eastAsia"/>
          <w:bCs/>
          <w:color w:val="auto"/>
          <w:highlight w:val="none"/>
        </w:rPr>
        <w:t>项目危险废物贮存场所（设施）基本情况详见表</w:t>
      </w:r>
      <w:r>
        <w:rPr>
          <w:rFonts w:hint="eastAsia"/>
          <w:bCs/>
          <w:color w:val="auto"/>
          <w:highlight w:val="none"/>
          <w:lang w:val="en-US" w:eastAsia="zh-CN"/>
        </w:rPr>
        <w:t>4</w:t>
      </w:r>
      <w:r>
        <w:rPr>
          <w:rFonts w:hint="eastAsia"/>
          <w:bCs/>
          <w:color w:val="auto"/>
          <w:highlight w:val="none"/>
        </w:rPr>
        <w:t>.2-</w:t>
      </w:r>
      <w:r>
        <w:rPr>
          <w:rFonts w:hint="eastAsia"/>
          <w:bCs/>
          <w:color w:val="auto"/>
          <w:highlight w:val="none"/>
          <w:lang w:val="en-US" w:eastAsia="zh-CN"/>
        </w:rPr>
        <w:t>29</w:t>
      </w:r>
      <w:r>
        <w:rPr>
          <w:rFonts w:hint="eastAsia"/>
          <w:bCs/>
          <w:color w:val="auto"/>
          <w:highlight w:val="none"/>
        </w:rPr>
        <w:t>。</w:t>
      </w:r>
    </w:p>
    <w:p>
      <w:pPr>
        <w:pStyle w:val="21"/>
        <w:rPr>
          <w:rFonts w:hint="eastAsia" w:ascii="Times New Roman" w:hAnsi="Times New Roman" w:eastAsia="宋体" w:cs="Times New Roman"/>
          <w:b/>
          <w:bCs w:val="0"/>
          <w:color w:val="auto"/>
          <w:kern w:val="2"/>
          <w:sz w:val="21"/>
          <w:szCs w:val="24"/>
          <w:highlight w:val="none"/>
          <w:lang w:val="en-US" w:eastAsia="zh-CN" w:bidi="ar-SA"/>
        </w:rPr>
      </w:pPr>
      <w:r>
        <w:rPr>
          <w:rFonts w:hint="eastAsia" w:ascii="Times New Roman" w:hAnsi="Times New Roman" w:eastAsia="宋体" w:cs="Times New Roman"/>
          <w:b/>
          <w:bCs w:val="0"/>
          <w:color w:val="auto"/>
          <w:kern w:val="2"/>
          <w:sz w:val="21"/>
          <w:szCs w:val="24"/>
          <w:highlight w:val="none"/>
          <w:lang w:val="en-US" w:eastAsia="zh-CN" w:bidi="ar-SA"/>
        </w:rPr>
        <w:t>表4.2-2</w:t>
      </w:r>
      <w:r>
        <w:rPr>
          <w:rFonts w:hint="eastAsia" w:cs="Times New Roman"/>
          <w:b/>
          <w:bCs w:val="0"/>
          <w:color w:val="auto"/>
          <w:kern w:val="2"/>
          <w:sz w:val="21"/>
          <w:szCs w:val="24"/>
          <w:highlight w:val="none"/>
          <w:lang w:val="en-US" w:eastAsia="zh-CN" w:bidi="ar-SA"/>
        </w:rPr>
        <w:t>9</w:t>
      </w:r>
      <w:r>
        <w:rPr>
          <w:rFonts w:hint="eastAsia" w:ascii="Times New Roman" w:hAnsi="Times New Roman" w:eastAsia="宋体" w:cs="Times New Roman"/>
          <w:b/>
          <w:bCs w:val="0"/>
          <w:color w:val="auto"/>
          <w:kern w:val="2"/>
          <w:sz w:val="21"/>
          <w:szCs w:val="24"/>
          <w:highlight w:val="none"/>
          <w:lang w:val="en-US" w:eastAsia="zh-CN" w:bidi="ar-SA"/>
        </w:rPr>
        <w:t xml:space="preserve"> 建设项目危险废物贮存场所（设施）基本情况表</w:t>
      </w:r>
    </w:p>
    <w:tbl>
      <w:tblPr>
        <w:tblStyle w:val="24"/>
        <w:tblW w:w="827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78"/>
        <w:gridCol w:w="449"/>
        <w:gridCol w:w="725"/>
        <w:gridCol w:w="1055"/>
        <w:gridCol w:w="713"/>
        <w:gridCol w:w="494"/>
        <w:gridCol w:w="349"/>
        <w:gridCol w:w="437"/>
        <w:gridCol w:w="439"/>
        <w:gridCol w:w="461"/>
        <w:gridCol w:w="476"/>
        <w:gridCol w:w="23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1" w:hRule="atLeast"/>
          <w:tblHeader/>
          <w:jc w:val="center"/>
        </w:trPr>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序号</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危险废物名称</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危险废物类别</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危险废物代码</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产生量（吨/年）</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产生工序及装置</w:t>
            </w:r>
          </w:p>
        </w:tc>
        <w:tc>
          <w:tcPr>
            <w:tcW w:w="349" w:type="dxa"/>
            <w:noWrap w:val="0"/>
            <w:tcMar>
              <w:top w:w="0" w:type="dxa"/>
              <w:left w:w="0" w:type="dxa"/>
              <w:bottom w:w="0" w:type="dxa"/>
              <w:right w:w="0" w:type="dxa"/>
            </w:tcMar>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形态</w:t>
            </w:r>
          </w:p>
        </w:tc>
        <w:tc>
          <w:tcPr>
            <w:tcW w:w="437" w:type="dxa"/>
            <w:noWrap w:val="0"/>
            <w:tcMar>
              <w:top w:w="0" w:type="dxa"/>
              <w:left w:w="0" w:type="dxa"/>
              <w:bottom w:w="0" w:type="dxa"/>
              <w:right w:w="0" w:type="dxa"/>
            </w:tcMar>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主要</w:t>
            </w:r>
          </w:p>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成分</w:t>
            </w:r>
          </w:p>
        </w:tc>
        <w:tc>
          <w:tcPr>
            <w:tcW w:w="439" w:type="dxa"/>
            <w:noWrap w:val="0"/>
            <w:tcMar>
              <w:top w:w="0" w:type="dxa"/>
              <w:left w:w="0" w:type="dxa"/>
              <w:bottom w:w="0" w:type="dxa"/>
              <w:right w:w="0" w:type="dxa"/>
            </w:tcMar>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有害</w:t>
            </w:r>
          </w:p>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成分</w:t>
            </w:r>
          </w:p>
        </w:tc>
        <w:tc>
          <w:tcPr>
            <w:tcW w:w="461" w:type="dxa"/>
            <w:noWrap w:val="0"/>
            <w:tcMar>
              <w:top w:w="0" w:type="dxa"/>
              <w:left w:w="0" w:type="dxa"/>
              <w:bottom w:w="0" w:type="dxa"/>
              <w:right w:w="0" w:type="dxa"/>
            </w:tcMar>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产废周期</w:t>
            </w:r>
          </w:p>
        </w:tc>
        <w:tc>
          <w:tcPr>
            <w:tcW w:w="476" w:type="dxa"/>
            <w:noWrap w:val="0"/>
            <w:tcMar>
              <w:top w:w="0" w:type="dxa"/>
              <w:left w:w="0" w:type="dxa"/>
              <w:bottom w:w="0" w:type="dxa"/>
              <w:right w:w="0" w:type="dxa"/>
            </w:tcMar>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危险</w:t>
            </w:r>
          </w:p>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特性</w:t>
            </w:r>
          </w:p>
        </w:tc>
        <w:tc>
          <w:tcPr>
            <w:tcW w:w="2398" w:type="dxa"/>
            <w:noWrap w:val="0"/>
            <w:tcMar>
              <w:top w:w="0" w:type="dxa"/>
              <w:left w:w="0" w:type="dxa"/>
              <w:bottom w:w="0" w:type="dxa"/>
              <w:right w:w="0" w:type="dxa"/>
            </w:tcMar>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污染防治措施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1" w:hRule="atLeast"/>
          <w:jc w:val="center"/>
        </w:trPr>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1</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医疗废物</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HW01</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900-001-01</w:t>
            </w:r>
          </w:p>
        </w:tc>
        <w:tc>
          <w:tcPr>
            <w:tcW w:w="0" w:type="auto"/>
            <w:noWrap w:val="0"/>
            <w:tcMar>
              <w:top w:w="0" w:type="dxa"/>
              <w:left w:w="0" w:type="dxa"/>
              <w:bottom w:w="0" w:type="dxa"/>
              <w:right w:w="0" w:type="dxa"/>
            </w:tcMar>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cs="Times New Roman"/>
                <w:color w:val="auto"/>
                <w:sz w:val="21"/>
                <w:szCs w:val="21"/>
                <w:highlight w:val="none"/>
              </w:rPr>
              <w:t>0.</w:t>
            </w:r>
            <w:r>
              <w:rPr>
                <w:rFonts w:hint="eastAsia" w:cs="Times New Roman"/>
                <w:color w:val="auto"/>
                <w:sz w:val="21"/>
                <w:szCs w:val="21"/>
                <w:highlight w:val="none"/>
                <w:lang w:val="en-US" w:eastAsia="zh-CN"/>
              </w:rPr>
              <w:t>344</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动物防治过程</w:t>
            </w:r>
          </w:p>
        </w:tc>
        <w:tc>
          <w:tcPr>
            <w:tcW w:w="349" w:type="dxa"/>
            <w:noWrap w:val="0"/>
            <w:tcMar>
              <w:top w:w="0" w:type="dxa"/>
              <w:left w:w="0" w:type="dxa"/>
              <w:bottom w:w="0" w:type="dxa"/>
              <w:right w:w="0" w:type="dxa"/>
            </w:tcMar>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固态</w:t>
            </w:r>
          </w:p>
        </w:tc>
        <w:tc>
          <w:tcPr>
            <w:tcW w:w="437" w:type="dxa"/>
            <w:noWrap w:val="0"/>
            <w:tcMar>
              <w:top w:w="0" w:type="dxa"/>
              <w:left w:w="0" w:type="dxa"/>
              <w:bottom w:w="0" w:type="dxa"/>
              <w:right w:w="0" w:type="dxa"/>
            </w:tcMar>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医疗物品</w:t>
            </w:r>
          </w:p>
        </w:tc>
        <w:tc>
          <w:tcPr>
            <w:tcW w:w="439" w:type="dxa"/>
            <w:noWrap w:val="0"/>
            <w:tcMar>
              <w:top w:w="0" w:type="dxa"/>
              <w:left w:w="0" w:type="dxa"/>
              <w:bottom w:w="0" w:type="dxa"/>
              <w:right w:w="0" w:type="dxa"/>
            </w:tcMar>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医疗物品</w:t>
            </w:r>
          </w:p>
        </w:tc>
        <w:tc>
          <w:tcPr>
            <w:tcW w:w="461" w:type="dxa"/>
            <w:vMerge w:val="restart"/>
            <w:noWrap w:val="0"/>
            <w:tcMar>
              <w:top w:w="0" w:type="dxa"/>
              <w:left w:w="0" w:type="dxa"/>
              <w:bottom w:w="0" w:type="dxa"/>
              <w:right w:w="0" w:type="dxa"/>
            </w:tcMar>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1月/次</w:t>
            </w:r>
          </w:p>
        </w:tc>
        <w:tc>
          <w:tcPr>
            <w:tcW w:w="476" w:type="dxa"/>
            <w:noWrap w:val="0"/>
            <w:tcMar>
              <w:top w:w="0" w:type="dxa"/>
              <w:left w:w="0" w:type="dxa"/>
              <w:bottom w:w="0" w:type="dxa"/>
              <w:right w:w="0" w:type="dxa"/>
            </w:tcMar>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In</w:t>
            </w:r>
          </w:p>
        </w:tc>
        <w:tc>
          <w:tcPr>
            <w:tcW w:w="2398" w:type="dxa"/>
            <w:vMerge w:val="restart"/>
            <w:noWrap w:val="0"/>
            <w:tcMar>
              <w:top w:w="0" w:type="dxa"/>
              <w:left w:w="0" w:type="dxa"/>
              <w:bottom w:w="0" w:type="dxa"/>
              <w:right w:w="0" w:type="dxa"/>
            </w:tcMar>
            <w:vAlign w:val="center"/>
          </w:tcPr>
          <w:p>
            <w:pPr>
              <w:spacing w:line="240" w:lineRule="auto"/>
              <w:ind w:firstLine="0" w:firstLineChars="0"/>
              <w:jc w:val="center"/>
              <w:rPr>
                <w:rFonts w:hint="eastAsia" w:asciiTheme="minorEastAsia" w:hAnsiTheme="minorEastAsia" w:eastAsiaTheme="minorEastAsia" w:cstheme="minorEastAsia"/>
                <w:color w:val="auto"/>
                <w:sz w:val="21"/>
                <w:szCs w:val="21"/>
                <w:highlight w:val="none"/>
              </w:rPr>
            </w:pPr>
            <w:r>
              <w:rPr>
                <w:rFonts w:cs="Times New Roman"/>
                <w:color w:val="auto"/>
                <w:sz w:val="21"/>
                <w:szCs w:val="21"/>
                <w:highlight w:val="none"/>
              </w:rPr>
              <w:t>暂存于具有</w:t>
            </w:r>
            <w:r>
              <w:rPr>
                <w:rFonts w:hint="eastAsia" w:asciiTheme="minorEastAsia" w:hAnsiTheme="minorEastAsia" w:eastAsiaTheme="minorEastAsia" w:cstheme="minorEastAsia"/>
                <w:color w:val="auto"/>
                <w:sz w:val="21"/>
                <w:szCs w:val="21"/>
                <w:highlight w:val="none"/>
              </w:rPr>
              <w:t>“防风、防</w:t>
            </w:r>
          </w:p>
          <w:p>
            <w:pPr>
              <w:spacing w:line="240" w:lineRule="auto"/>
              <w:ind w:firstLine="0" w:firstLineChars="0"/>
              <w:jc w:val="center"/>
              <w:rPr>
                <w:rFonts w:cs="Times New Roman"/>
                <w:color w:val="auto"/>
                <w:sz w:val="21"/>
                <w:szCs w:val="21"/>
                <w:highlight w:val="none"/>
              </w:rPr>
            </w:pPr>
            <w:r>
              <w:rPr>
                <w:rFonts w:hint="eastAsia" w:asciiTheme="minorEastAsia" w:hAnsiTheme="minorEastAsia" w:eastAsiaTheme="minorEastAsia" w:cstheme="minorEastAsia"/>
                <w:color w:val="auto"/>
                <w:sz w:val="21"/>
                <w:szCs w:val="21"/>
                <w:highlight w:val="none"/>
              </w:rPr>
              <w:t>雨、防晒、防渗”</w:t>
            </w:r>
            <w:r>
              <w:rPr>
                <w:rFonts w:cs="Times New Roman"/>
                <w:color w:val="auto"/>
                <w:sz w:val="21"/>
                <w:szCs w:val="21"/>
                <w:highlight w:val="none"/>
              </w:rPr>
              <w:t>的危废暂存间暂存，定期送新蔡县中绿环保科技有限公司处置，危废暂存间最大储存能力</w:t>
            </w:r>
            <w:r>
              <w:rPr>
                <w:rFonts w:hint="eastAsia" w:cs="Times New Roman"/>
                <w:color w:val="auto"/>
                <w:sz w:val="21"/>
                <w:szCs w:val="21"/>
                <w:highlight w:val="none"/>
                <w:lang w:val="en-US" w:eastAsia="zh-CN"/>
              </w:rPr>
              <w:t>2</w:t>
            </w:r>
            <w:r>
              <w:rPr>
                <w:rFonts w:cs="Times New Roman"/>
                <w:color w:val="auto"/>
                <w:sz w:val="21"/>
                <w:szCs w:val="21"/>
                <w:highlight w:val="none"/>
              </w:rPr>
              <w:t>t，贮存周期不超过半年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1" w:hRule="atLeast"/>
          <w:jc w:val="center"/>
        </w:trPr>
        <w:tc>
          <w:tcPr>
            <w:tcW w:w="0" w:type="auto"/>
            <w:noWrap w:val="0"/>
            <w:tcMar>
              <w:top w:w="0" w:type="dxa"/>
              <w:left w:w="0" w:type="dxa"/>
              <w:bottom w:w="0" w:type="dxa"/>
              <w:right w:w="0" w:type="dxa"/>
            </w:tcMar>
            <w:vAlign w:val="center"/>
          </w:tcPr>
          <w:p>
            <w:pPr>
              <w:spacing w:line="240" w:lineRule="auto"/>
              <w:ind w:firstLine="0" w:firstLineChars="0"/>
              <w:jc w:val="center"/>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0" w:type="auto"/>
            <w:noWrap w:val="0"/>
            <w:tcMar>
              <w:top w:w="0" w:type="dxa"/>
              <w:left w:w="0" w:type="dxa"/>
              <w:bottom w:w="0" w:type="dxa"/>
              <w:right w:w="0" w:type="dxa"/>
            </w:tcMar>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lang w:val="en-US" w:eastAsia="zh-CN"/>
              </w:rPr>
              <w:t>废导热油</w:t>
            </w:r>
          </w:p>
        </w:tc>
        <w:tc>
          <w:tcPr>
            <w:tcW w:w="725" w:type="dxa"/>
            <w:noWrap w:val="0"/>
            <w:tcMar>
              <w:top w:w="0" w:type="dxa"/>
              <w:left w:w="0" w:type="dxa"/>
              <w:bottom w:w="0" w:type="dxa"/>
              <w:right w:w="0" w:type="dxa"/>
            </w:tcMar>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HW</w:t>
            </w:r>
            <w:r>
              <w:rPr>
                <w:rFonts w:hint="eastAsia" w:cs="Times New Roman"/>
                <w:color w:val="auto"/>
                <w:sz w:val="21"/>
                <w:szCs w:val="21"/>
                <w:highlight w:val="none"/>
                <w:lang w:val="en-US" w:eastAsia="zh-CN"/>
              </w:rPr>
              <w:t>08</w:t>
            </w:r>
          </w:p>
        </w:tc>
        <w:tc>
          <w:tcPr>
            <w:tcW w:w="1055" w:type="dxa"/>
            <w:noWrap w:val="0"/>
            <w:tcMar>
              <w:top w:w="0" w:type="dxa"/>
              <w:left w:w="0" w:type="dxa"/>
              <w:bottom w:w="0" w:type="dxa"/>
              <w:right w:w="0" w:type="dxa"/>
            </w:tcMar>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900-249-08</w:t>
            </w:r>
          </w:p>
        </w:tc>
        <w:tc>
          <w:tcPr>
            <w:tcW w:w="713" w:type="dxa"/>
            <w:noWrap w:val="0"/>
            <w:tcMar>
              <w:top w:w="0" w:type="dxa"/>
              <w:left w:w="0" w:type="dxa"/>
              <w:bottom w:w="0" w:type="dxa"/>
              <w:right w:w="0" w:type="dxa"/>
            </w:tcMar>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lang w:val="en-US" w:eastAsia="zh-CN"/>
              </w:rPr>
              <w:t>0.3</w:t>
            </w:r>
          </w:p>
        </w:tc>
        <w:tc>
          <w:tcPr>
            <w:tcW w:w="0" w:type="auto"/>
            <w:noWrap w:val="0"/>
            <w:tcMar>
              <w:top w:w="0" w:type="dxa"/>
              <w:left w:w="0" w:type="dxa"/>
              <w:bottom w:w="0" w:type="dxa"/>
              <w:right w:w="0" w:type="dxa"/>
            </w:tcMar>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无害化处理</w:t>
            </w:r>
          </w:p>
        </w:tc>
        <w:tc>
          <w:tcPr>
            <w:tcW w:w="349" w:type="dxa"/>
            <w:noWrap w:val="0"/>
            <w:tcMar>
              <w:top w:w="0" w:type="dxa"/>
              <w:left w:w="0" w:type="dxa"/>
              <w:bottom w:w="0" w:type="dxa"/>
              <w:right w:w="0" w:type="dxa"/>
            </w:tcMar>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液态</w:t>
            </w:r>
          </w:p>
        </w:tc>
        <w:tc>
          <w:tcPr>
            <w:tcW w:w="437" w:type="dxa"/>
            <w:noWrap w:val="0"/>
            <w:tcMar>
              <w:top w:w="0" w:type="dxa"/>
              <w:left w:w="0" w:type="dxa"/>
              <w:bottom w:w="0" w:type="dxa"/>
              <w:right w:w="0" w:type="dxa"/>
            </w:tcMar>
            <w:vAlign w:val="center"/>
          </w:tcPr>
          <w:p>
            <w:pPr>
              <w:spacing w:line="240" w:lineRule="auto"/>
              <w:ind w:firstLine="0" w:firstLineChars="0"/>
              <w:jc w:val="center"/>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39" w:type="dxa"/>
            <w:noWrap w:val="0"/>
            <w:tcMar>
              <w:top w:w="0" w:type="dxa"/>
              <w:left w:w="0" w:type="dxa"/>
              <w:bottom w:w="0" w:type="dxa"/>
              <w:right w:w="0" w:type="dxa"/>
            </w:tcMar>
            <w:vAlign w:val="center"/>
          </w:tcPr>
          <w:p>
            <w:pPr>
              <w:spacing w:line="240" w:lineRule="auto"/>
              <w:ind w:firstLine="0" w:firstLineChars="0"/>
              <w:jc w:val="center"/>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61" w:type="dxa"/>
            <w:vMerge w:val="continue"/>
            <w:noWrap w:val="0"/>
            <w:tcMar>
              <w:top w:w="0" w:type="dxa"/>
              <w:left w:w="0" w:type="dxa"/>
              <w:bottom w:w="0" w:type="dxa"/>
              <w:right w:w="0" w:type="dxa"/>
            </w:tcMar>
            <w:vAlign w:val="center"/>
          </w:tcPr>
          <w:p>
            <w:pPr>
              <w:spacing w:line="240" w:lineRule="auto"/>
              <w:ind w:firstLine="0" w:firstLineChars="0"/>
              <w:jc w:val="center"/>
              <w:rPr>
                <w:rFonts w:cs="Times New Roman"/>
                <w:color w:val="auto"/>
                <w:sz w:val="21"/>
                <w:szCs w:val="21"/>
                <w:highlight w:val="none"/>
              </w:rPr>
            </w:pPr>
          </w:p>
        </w:tc>
        <w:tc>
          <w:tcPr>
            <w:tcW w:w="476" w:type="dxa"/>
            <w:noWrap w:val="0"/>
            <w:tcMar>
              <w:top w:w="0" w:type="dxa"/>
              <w:left w:w="0" w:type="dxa"/>
              <w:bottom w:w="0" w:type="dxa"/>
              <w:right w:w="0" w:type="dxa"/>
            </w:tcMar>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lang w:val="en-US" w:eastAsia="zh-CN"/>
              </w:rPr>
              <w:t>T，I</w:t>
            </w:r>
          </w:p>
        </w:tc>
        <w:tc>
          <w:tcPr>
            <w:tcW w:w="2398" w:type="dxa"/>
            <w:vMerge w:val="continue"/>
            <w:noWrap w:val="0"/>
            <w:tcMar>
              <w:top w:w="0" w:type="dxa"/>
              <w:left w:w="0" w:type="dxa"/>
              <w:bottom w:w="0" w:type="dxa"/>
              <w:right w:w="0" w:type="dxa"/>
            </w:tcMar>
            <w:vAlign w:val="center"/>
          </w:tcPr>
          <w:p>
            <w:pPr>
              <w:spacing w:line="240" w:lineRule="auto"/>
              <w:ind w:firstLine="0" w:firstLineChars="0"/>
              <w:jc w:val="center"/>
              <w:rPr>
                <w:rFonts w:hint="eastAsia" w:asciiTheme="minorEastAsia" w:hAnsiTheme="minorEastAsia" w:eastAsiaTheme="minorEastAsia" w:cstheme="minorEastAsia"/>
                <w:color w:val="auto"/>
                <w:sz w:val="21"/>
                <w:szCs w:val="21"/>
                <w:highlight w:val="none"/>
              </w:rPr>
            </w:pPr>
          </w:p>
        </w:tc>
      </w:tr>
    </w:tbl>
    <w:p>
      <w:pPr>
        <w:pStyle w:val="5"/>
        <w:spacing w:before="66"/>
        <w:ind w:firstLine="482"/>
        <w:rPr>
          <w:color w:val="auto"/>
          <w:highlight w:val="none"/>
        </w:rPr>
      </w:pPr>
      <w:r>
        <w:rPr>
          <w:rFonts w:hint="eastAsia"/>
          <w:color w:val="auto"/>
          <w:highlight w:val="none"/>
          <w:lang w:val="en-US" w:eastAsia="zh-CN"/>
        </w:rPr>
        <w:t>4</w:t>
      </w:r>
      <w:r>
        <w:rPr>
          <w:color w:val="auto"/>
          <w:highlight w:val="none"/>
        </w:rPr>
        <w:t>.</w:t>
      </w:r>
      <w:r>
        <w:rPr>
          <w:rFonts w:hint="eastAsia"/>
          <w:color w:val="auto"/>
          <w:highlight w:val="none"/>
        </w:rPr>
        <w:t>2.</w:t>
      </w:r>
      <w:r>
        <w:rPr>
          <w:color w:val="auto"/>
          <w:highlight w:val="none"/>
        </w:rPr>
        <w:t>6</w:t>
      </w:r>
      <w:r>
        <w:rPr>
          <w:rFonts w:hint="eastAsia"/>
          <w:color w:val="auto"/>
          <w:highlight w:val="none"/>
          <w:lang w:eastAsia="zh-CN"/>
        </w:rPr>
        <w:t>土壤</w:t>
      </w:r>
      <w:r>
        <w:rPr>
          <w:color w:val="auto"/>
          <w:highlight w:val="none"/>
        </w:rPr>
        <w:t>环境影响分析与评价</w:t>
      </w:r>
    </w:p>
    <w:p>
      <w:pPr>
        <w:pStyle w:val="6"/>
        <w:ind w:firstLine="482"/>
        <w:rPr>
          <w:rFonts w:hint="eastAsia"/>
          <w:color w:val="auto"/>
          <w:highlight w:val="none"/>
        </w:rPr>
      </w:pPr>
      <w:r>
        <w:rPr>
          <w:rFonts w:hint="eastAsia"/>
          <w:color w:val="auto"/>
          <w:highlight w:val="none"/>
          <w:lang w:val="en-US" w:eastAsia="zh-CN"/>
        </w:rPr>
        <w:t>4.</w:t>
      </w:r>
      <w:r>
        <w:rPr>
          <w:rFonts w:hint="eastAsia"/>
          <w:color w:val="auto"/>
          <w:highlight w:val="none"/>
        </w:rPr>
        <w:t>2.</w:t>
      </w:r>
      <w:r>
        <w:rPr>
          <w:rFonts w:hint="eastAsia"/>
          <w:color w:val="auto"/>
          <w:highlight w:val="none"/>
          <w:lang w:val="en-US" w:eastAsia="zh-CN"/>
        </w:rPr>
        <w:t>6</w:t>
      </w:r>
      <w:r>
        <w:rPr>
          <w:rFonts w:hint="eastAsia"/>
          <w:color w:val="auto"/>
          <w:highlight w:val="none"/>
        </w:rPr>
        <w:t>.1 区域土壤环境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驻马店市由于受生物气候、地形地貌、母质类型、河流水文和人为耕作活动的影响，致使土壤组合存在有分异，并呈现一定的规律性，以地带性黄棕壤土类为主，兼有区域性砂姜黑土、潮土、水稻土、紫色土等土类。从驻马店市的土壤类型来看，分布有黄褐土、砂姜黑土、潮土、粗骨土、黄棕壤、棕壤、水稻土、石质土、紫色土、红粘土10个土类，18个亚类，33个土属，93个土种。其中黄褐土土类面积最大，占总耕作土壤面积的一半以上地；其次是砂姜黑土土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（1）黄棕壤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黄棕壤为亚热带湿润的落叶、常绿阔叶林下的淋溶土壤，具有暗色有机质含量不高的腐殖质表层，亮棕色粘化B层，通体无石灰反应，pH为微酸性，土壤剖面构型为O-Ah-Bts-C，B层结构体外有明显的粘粒胶膜和铁锰斑纹。剖面形态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O层：在自然植被下为残落物层，其厚度因植被类型而异。一般针叶林下较薄约1cm，混交林下较厚，灌丛草类下最厚，可达10~20cm。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Ah层：呈红棕色（5YR5/2），或亮棕色（7.5YR5/4）。质地多壤质土，粒状或团块状结构，疏松，根系多向下逐渐过渡。因利用情况不同，耕种黄棕壤则为耕作表层。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Bts层</w:t>
      </w:r>
      <w:r>
        <w:rPr>
          <w:rFonts w:hint="eastAsia" w:ascii="Times New Roman" w:hAnsi="Times New Roman" w:cs="Times New Roman"/>
          <w:color w:val="auto"/>
          <w:kern w:val="0"/>
          <w:sz w:val="24"/>
          <w:szCs w:val="22"/>
          <w:highlight w:val="none"/>
          <w:lang w:eastAsia="zh-CN"/>
        </w:rPr>
        <w:t>：</w:t>
      </w:r>
      <w:r>
        <w:rPr>
          <w:rFonts w:ascii="Times New Roman" w:hAnsi="Times New Roman" w:cs="Times New Roman"/>
          <w:color w:val="auto"/>
          <w:kern w:val="0"/>
          <w:sz w:val="24"/>
          <w:szCs w:val="22"/>
          <w:highlight w:val="none"/>
        </w:rPr>
        <w:t>棕色（7.5YR4/6—10YR4/6）心土层是最醒目的，该层虽因母质不同而色泽不一，但一般棱块状块状结构，结构面上覆盖有棕色或暗棕色胶膜或有铁锰核，由于粘粒的聚集，质地一般较粘重，有的甚至形粘磐层。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C层：基岩上发育的黄棕壤，其母质仍带基岩本身的色泽，而下蜀黄土母质上 发育的土壤，则呈大块状结构，结构面上有铁锰胶膜，并有少量的灰白色 （2.5Y8/1）网纹。它是最接近中心概念的亚类，土体层次分异较明显，即 O-Ah-Bts-C的剖面构型</w:t>
      </w:r>
      <w:r>
        <w:rPr>
          <w:rFonts w:hint="eastAsia" w:ascii="Times New Roman" w:hAnsi="Times New Roman" w:cs="Times New Roman"/>
          <w:color w:val="auto"/>
          <w:kern w:val="0"/>
          <w:sz w:val="24"/>
          <w:szCs w:val="22"/>
          <w:highlight w:val="none"/>
          <w:lang w:eastAsia="zh-CN"/>
        </w:rPr>
        <w:t>。</w:t>
      </w:r>
      <w:r>
        <w:rPr>
          <w:rFonts w:ascii="Times New Roman" w:hAnsi="Times New Roman" w:cs="Times New Roman"/>
          <w:color w:val="auto"/>
          <w:kern w:val="0"/>
          <w:sz w:val="24"/>
          <w:szCs w:val="22"/>
          <w:highlight w:val="none"/>
        </w:rPr>
        <w:t>PH5.5~6.0，盐基饱和度为30%~75%</w:t>
      </w:r>
      <w:r>
        <w:rPr>
          <w:rFonts w:hint="eastAsia" w:ascii="Times New Roman" w:hAnsi="Times New Roman" w:cs="Times New Roman"/>
          <w:color w:val="auto"/>
          <w:kern w:val="0"/>
          <w:sz w:val="24"/>
          <w:szCs w:val="22"/>
          <w:highlight w:val="none"/>
          <w:lang w:eastAsia="zh-CN"/>
        </w:rPr>
        <w:t>，</w:t>
      </w:r>
      <w:r>
        <w:rPr>
          <w:rFonts w:ascii="Times New Roman" w:hAnsi="Times New Roman" w:cs="Times New Roman"/>
          <w:color w:val="auto"/>
          <w:kern w:val="0"/>
          <w:sz w:val="24"/>
          <w:szCs w:val="22"/>
          <w:highlight w:val="none"/>
        </w:rPr>
        <w:t>不含游离碳酸盐，含少量交换性铝。粘土矿物为水云母、蛭石、绿泥石和高岭石，也有少量蒙脱石。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1）颗粒组成与主要水分物理特性。表层腐殖质有一定的积聚，有机质一般为30~50g/kg，松林、灌丛及旱地仅为15~20g/kg。质地多为壤土，较疏松，粒状块、结构。B层粉沙粘粒之比较A层小，质地偏粘，为粉沙粘壤土—粉沙质粘土，较紧实，核状、块状结构，有的土体胶膜、铁锰斑明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2）主要化学性质。pH5.5~6.0，盐基饱和度为30%~75%，不含游离碳酸盐，含少量交换性铝。粘土矿物为水云母、蛭石、绿泥石和高岭石，也有少量蒙脱石。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（2）潮土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潮土是发育于富含碳酸盐或不含碳酸盐的河流冲积物土，受地下潜水作用，经过耕作熟化而形成的一种半水成土壤。土壤腐殖积累过程较弱。具有腐殖质层（耕作层）、氧化还原层及母质层等剖面层次，沉积层理明显。社旗县潮土分步属性特征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1）有Apk－Ap2－BCk－Cgk剖面构型。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2）富含碳酸钙，若其为粘质土则偏高，沙质土偏低，是中性至微碱性反应。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 xml:space="preserve">3）可溶性盐分含量&lt;1g/kg。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（3）砂姜黑土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砂姜黑土发育于河湖相沉积物上经脱沼泽作用而形成的半水成土，因而多分布于山前交接洼地、岗丘间洼地和河间洼地。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1）形态特征。砂姜黑土土体深厚，剖面自上而下有耕作层、亚耕层、残留黑土层、氧化还原过渡层及砂姜土层。上部50或</w:t>
      </w:r>
      <w:r>
        <w:rPr>
          <w:rFonts w:hint="eastAsia" w:ascii="Times New Roman" w:hAnsi="Times New Roman" w:cs="Times New Roman"/>
          <w:color w:val="auto"/>
          <w:kern w:val="0"/>
          <w:sz w:val="24"/>
          <w:szCs w:val="22"/>
          <w:highlight w:val="none"/>
          <w:lang w:val="en-US" w:eastAsia="zh-CN"/>
        </w:rPr>
        <w:t>8</w:t>
      </w:r>
      <w:r>
        <w:rPr>
          <w:rFonts w:ascii="Times New Roman" w:hAnsi="Times New Roman" w:cs="Times New Roman"/>
          <w:color w:val="auto"/>
          <w:kern w:val="0"/>
          <w:sz w:val="24"/>
          <w:szCs w:val="22"/>
          <w:highlight w:val="none"/>
        </w:rPr>
        <w:t>0厘米土体以暗灰黄，橄榄棕色为主，并有20-40厘米不等厚的棕黑色残留黑土层</w:t>
      </w:r>
      <w:r>
        <w:rPr>
          <w:rFonts w:hint="eastAsia" w:ascii="Times New Roman" w:hAnsi="Times New Roman" w:cs="Times New Roman"/>
          <w:color w:val="auto"/>
          <w:kern w:val="0"/>
          <w:sz w:val="24"/>
          <w:szCs w:val="22"/>
          <w:highlight w:val="none"/>
          <w:lang w:eastAsia="zh-CN"/>
        </w:rPr>
        <w:t>；</w:t>
      </w:r>
      <w:r>
        <w:rPr>
          <w:rFonts w:ascii="Times New Roman" w:hAnsi="Times New Roman" w:cs="Times New Roman"/>
          <w:color w:val="auto"/>
          <w:kern w:val="0"/>
          <w:sz w:val="24"/>
          <w:szCs w:val="22"/>
          <w:highlight w:val="none"/>
        </w:rPr>
        <w:t>心土层呈橄榄棕色为主，有较多黄棕色锈斑或铁锰斑、灰斑，其下为橄榄棕色砂姜土层，夹有少量锈斑，铁锰斑等新生体。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由于微地形的起伏或上部土层遭侵蚀，残留黑土层出现部位及其厚度不一，砂姜土层出现部位常随黑土层厚薄而深浅也不一。耕作层以下的土体呈棱块，棱柱状结构，中、小垂直裂隙发育，可见滑擦面及楔形结构体。据微形态观察，可见较多裂隙和裂纹，粗骨颗粒边缘和裂隙壁可见大量亮线状光性定向粘粒，基质有大量纤维状光性定向粘粒，常见铁质凝团或铁锰质浓聚物。</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一般理化性质。砂姜黑土有机质含量并不高，耕作层也不过10-15克每千克，黑土层仅10克每千克左右，往下层逐渐减少。除特殊情况外，剖面上部游离碳酸钙的含量甚低，一般在10克每千克以下，甚至小于5克每千克，剖面下部夹面砂姜的土层其含量可达40-70克每千克或更高；有硬砂姜的土层则可大于100克每千克。土壤交换量较高，一般为20-30me/100g，剖面上部土层高于下部土层，尤以黑土层为高。土体中粗砂含量甚少，粘粒含量多在30%以上，但也有20%左右的土层，前者常具有变性特征。土层质地以壤质粘土、粉砂质粘壤土及粘土为主，质地层次分异不明显。粘粒的硅铝铁率、硅铝率和硅铁率均较高，分别为3.0-3.3、3.8-4.3、13-16之间。粘粒的交换量高达55-60me/100g。K</w:t>
      </w:r>
      <w:r>
        <w:rPr>
          <w:rFonts w:ascii="Times New Roman" w:hAnsi="Times New Roman" w:cs="Times New Roman"/>
          <w:color w:val="auto"/>
          <w:kern w:val="0"/>
          <w:sz w:val="24"/>
          <w:szCs w:val="22"/>
          <w:highlight w:val="none"/>
          <w:vertAlign w:val="subscript"/>
        </w:rPr>
        <w:t>2</w:t>
      </w:r>
      <w:r>
        <w:rPr>
          <w:rFonts w:ascii="Times New Roman" w:hAnsi="Times New Roman" w:cs="Times New Roman"/>
          <w:color w:val="auto"/>
          <w:kern w:val="0"/>
          <w:sz w:val="24"/>
          <w:szCs w:val="22"/>
          <w:highlight w:val="none"/>
        </w:rPr>
        <w:t>O的含量多数在26%-30%。</w:t>
      </w:r>
    </w:p>
    <w:p>
      <w:pPr>
        <w:widowControl w:val="0"/>
        <w:ind w:firstLine="0" w:firstLineChars="0"/>
        <w:jc w:val="center"/>
        <w:rPr>
          <w:rFonts w:ascii="Times New Roman" w:hAnsi="Times New Roman" w:eastAsia="宋体" w:cs="Times New Roman"/>
          <w:color w:val="auto"/>
          <w:kern w:val="0"/>
          <w:sz w:val="24"/>
          <w:szCs w:val="22"/>
          <w:highlight w:val="none"/>
          <w:lang w:val="en-US" w:eastAsia="zh-CN" w:bidi="ar-SA"/>
        </w:rPr>
      </w:pPr>
      <w:r>
        <w:rPr>
          <w:rFonts w:ascii="Times New Roman" w:hAnsi="Times New Roman" w:eastAsia="宋体" w:cs="Times New Roman"/>
          <w:color w:val="auto"/>
          <w:kern w:val="0"/>
          <w:sz w:val="24"/>
          <w:szCs w:val="22"/>
          <w:highlight w:val="none"/>
          <w:lang w:val="en-US" w:eastAsia="zh-CN" w:bidi="ar-SA"/>
        </w:rPr>
        <w:drawing>
          <wp:inline distT="0" distB="0" distL="114300" distR="114300">
            <wp:extent cx="5540375" cy="3596640"/>
            <wp:effectExtent l="0" t="0" r="3175" b="3810"/>
            <wp:docPr id="58" name="图片 7" descr="1582875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descr="1582875774(1)"/>
                    <pic:cNvPicPr>
                      <a:picLocks noChangeAspect="1"/>
                    </pic:cNvPicPr>
                  </pic:nvPicPr>
                  <pic:blipFill>
                    <a:blip r:embed="rId48"/>
                    <a:stretch>
                      <a:fillRect/>
                    </a:stretch>
                  </pic:blipFill>
                  <pic:spPr>
                    <a:xfrm>
                      <a:off x="0" y="0"/>
                      <a:ext cx="5540375" cy="3596640"/>
                    </a:xfrm>
                    <a:prstGeom prst="rect">
                      <a:avLst/>
                    </a:prstGeom>
                    <a:noFill/>
                    <a:ln>
                      <a:noFill/>
                    </a:ln>
                  </pic:spPr>
                </pic:pic>
              </a:graphicData>
            </a:graphic>
          </wp:inline>
        </w:drawing>
      </w:r>
    </w:p>
    <w:p>
      <w:pPr>
        <w:pStyle w:val="2"/>
        <w:jc w:val="center"/>
        <w:rPr>
          <w:rStyle w:val="43"/>
          <w:rFonts w:hint="eastAsia" w:ascii="Times New Roman" w:hAnsi="Times New Roman"/>
          <w:color w:val="auto"/>
          <w:szCs w:val="22"/>
          <w:highlight w:val="none"/>
          <w:lang w:val="en-US" w:eastAsia="zh-CN"/>
        </w:rPr>
      </w:pPr>
      <w:r>
        <w:rPr>
          <w:rStyle w:val="43"/>
          <w:rFonts w:hint="eastAsia" w:ascii="Times New Roman" w:hAnsi="Times New Roman"/>
          <w:color w:val="auto"/>
          <w:szCs w:val="22"/>
          <w:highlight w:val="none"/>
          <w:lang w:val="en-US" w:eastAsia="zh-CN"/>
        </w:rPr>
        <w:t>图4.2-2 区域土体构型图</w:t>
      </w:r>
    </w:p>
    <w:p>
      <w:pPr>
        <w:pStyle w:val="6"/>
        <w:ind w:firstLine="482"/>
        <w:rPr>
          <w:rFonts w:hint="eastAsia"/>
          <w:color w:val="auto"/>
          <w:highlight w:val="none"/>
          <w:lang w:val="en-US" w:eastAsia="zh-CN"/>
        </w:rPr>
      </w:pPr>
      <w:r>
        <w:rPr>
          <w:rFonts w:hint="eastAsia"/>
          <w:color w:val="auto"/>
          <w:highlight w:val="none"/>
          <w:lang w:val="en-US" w:eastAsia="zh-CN"/>
        </w:rPr>
        <w:t xml:space="preserve">4.2.6.2 区域土地利用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s="Times New Roman"/>
          <w:color w:val="auto"/>
          <w:kern w:val="0"/>
          <w:sz w:val="24"/>
          <w:szCs w:val="22"/>
          <w:highlight w:val="none"/>
          <w:lang w:eastAsia="zh-CN"/>
        </w:rPr>
      </w:pPr>
      <w:r>
        <w:rPr>
          <w:rFonts w:hint="eastAsia" w:cs="Times New Roman"/>
          <w:color w:val="auto"/>
          <w:kern w:val="0"/>
          <w:sz w:val="24"/>
          <w:szCs w:val="22"/>
          <w:highlight w:val="none"/>
          <w:lang w:eastAsia="zh-CN"/>
        </w:rPr>
        <w:t>平舆牧原农牧有限公司平舆四场生猪养殖项目位于平舆县庙湾乡赵庄村</w:t>
      </w:r>
      <w:r>
        <w:rPr>
          <w:rFonts w:ascii="Times New Roman" w:hAnsi="Times New Roman" w:cs="Times New Roman"/>
          <w:color w:val="auto"/>
          <w:kern w:val="0"/>
          <w:sz w:val="24"/>
          <w:szCs w:val="22"/>
          <w:highlight w:val="none"/>
        </w:rPr>
        <w:t>。</w:t>
      </w:r>
      <w:r>
        <w:rPr>
          <w:rFonts w:hint="eastAsia" w:cs="Times New Roman"/>
          <w:color w:val="auto"/>
          <w:kern w:val="0"/>
          <w:sz w:val="24"/>
          <w:szCs w:val="22"/>
          <w:highlight w:val="none"/>
          <w:lang w:eastAsia="zh-CN"/>
        </w:rPr>
        <w:t>项目所在地土地性质为一般农田，未占用基本农田，详见附件三。</w:t>
      </w:r>
    </w:p>
    <w:p>
      <w:pPr>
        <w:pStyle w:val="6"/>
        <w:ind w:firstLine="482"/>
        <w:rPr>
          <w:rFonts w:hint="eastAsia"/>
          <w:color w:val="auto"/>
          <w:highlight w:val="none"/>
          <w:lang w:val="en-US" w:eastAsia="zh-CN"/>
        </w:rPr>
      </w:pPr>
      <w:r>
        <w:rPr>
          <w:rFonts w:hint="eastAsia"/>
          <w:color w:val="auto"/>
          <w:highlight w:val="none"/>
          <w:lang w:val="en-US" w:eastAsia="zh-CN"/>
        </w:rPr>
        <w:t xml:space="preserve">4.2.6.3 建设项目影响识别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 xml:space="preserve">本项目土壤影响为污染影响型，影响途径见下表。 </w:t>
      </w:r>
    </w:p>
    <w:p>
      <w:pPr>
        <w:pStyle w:val="40"/>
        <w:keepNext w:val="0"/>
        <w:keepLines w:val="0"/>
        <w:pageBreakBefore w:val="0"/>
        <w:widowControl/>
        <w:kinsoku/>
        <w:wordWrap/>
        <w:overflowPunct/>
        <w:topLinePunct w:val="0"/>
        <w:autoSpaceDE/>
        <w:autoSpaceDN/>
        <w:bidi w:val="0"/>
        <w:adjustRightInd/>
        <w:snapToGrid/>
        <w:textAlignment w:val="auto"/>
        <w:rPr>
          <w:rFonts w:hint="eastAsia" w:cs="Times New Roman"/>
          <w:color w:val="auto"/>
          <w:highlight w:val="none"/>
          <w:lang w:val="en-US" w:eastAsia="zh-CN"/>
        </w:rPr>
      </w:pPr>
      <w:r>
        <w:rPr>
          <w:rFonts w:hint="eastAsia" w:cs="Times New Roman"/>
          <w:color w:val="auto"/>
          <w:highlight w:val="none"/>
          <w:lang w:val="en-US" w:eastAsia="zh-CN"/>
        </w:rPr>
        <w:t>表4.2-30 项目土壤影响途径</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92"/>
        <w:gridCol w:w="1692"/>
        <w:gridCol w:w="1692"/>
        <w:gridCol w:w="1692"/>
        <w:gridCol w:w="16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000" w:type="pct"/>
            <w:vMerge w:val="restart"/>
            <w:tcBorders>
              <w:tl2br w:val="nil"/>
              <w:tr2bl w:val="nil"/>
            </w:tcBorders>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不同时期</w:t>
            </w:r>
          </w:p>
        </w:tc>
        <w:tc>
          <w:tcPr>
            <w:tcW w:w="4000" w:type="pct"/>
            <w:gridSpan w:val="4"/>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污染影响型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00" w:type="pct"/>
            <w:vMerge w:val="continue"/>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p>
        </w:tc>
        <w:tc>
          <w:tcPr>
            <w:tcW w:w="1000"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大气沉降</w:t>
            </w:r>
          </w:p>
        </w:tc>
        <w:tc>
          <w:tcPr>
            <w:tcW w:w="1000"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地面漫流</w:t>
            </w:r>
          </w:p>
        </w:tc>
        <w:tc>
          <w:tcPr>
            <w:tcW w:w="1000"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垂直渗入</w:t>
            </w:r>
          </w:p>
        </w:tc>
        <w:tc>
          <w:tcPr>
            <w:tcW w:w="1000"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沼液消纳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00"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运营期</w:t>
            </w:r>
          </w:p>
        </w:tc>
        <w:tc>
          <w:tcPr>
            <w:tcW w:w="1000"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000"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000"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default" w:ascii="Arial" w:hAnsi="Arial" w:cs="Arial"/>
                <w:color w:val="auto"/>
                <w:sz w:val="21"/>
                <w:szCs w:val="21"/>
                <w:highlight w:val="none"/>
                <w:lang w:val="en-US" w:eastAsia="zh-CN"/>
              </w:rPr>
              <w:t>√</w:t>
            </w:r>
          </w:p>
        </w:tc>
        <w:tc>
          <w:tcPr>
            <w:tcW w:w="1000"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default" w:ascii="Arial" w:hAnsi="Arial" w:cs="Arial"/>
                <w:color w:val="auto"/>
                <w:sz w:val="21"/>
                <w:szCs w:val="21"/>
                <w:highlight w:val="none"/>
                <w:lang w:val="en-US" w:eastAsia="zh-CN"/>
              </w:rPr>
              <w:t>√</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根据南阳市卧龙牧原养殖有限公司安皋分场年出栏20万头生猪养殖建设项目的沼液重金属含量检测数据（检测因子包括铜、锌、铬、镉、砷、汞、铅），其中铜的含量为1.87mg/L，其他因子均未检出，污染影响型建设项目土壤环境影响源及影响因子识别见下表。</w:t>
      </w:r>
    </w:p>
    <w:p>
      <w:pPr>
        <w:pStyle w:val="21"/>
        <w:rPr>
          <w:rFonts w:hint="eastAsia" w:cs="Times New Roman"/>
          <w:color w:val="auto"/>
          <w:highlight w:val="none"/>
        </w:rPr>
      </w:pPr>
      <w:r>
        <w:rPr>
          <w:rFonts w:hint="eastAsia" w:ascii="Times New Roman" w:hAnsi="Times New Roman" w:eastAsia="宋体" w:cs="Times New Roman"/>
          <w:b/>
          <w:bCs w:val="0"/>
          <w:color w:val="auto"/>
          <w:kern w:val="2"/>
          <w:sz w:val="21"/>
          <w:szCs w:val="24"/>
          <w:highlight w:val="none"/>
          <w:lang w:val="en-US" w:eastAsia="zh-CN" w:bidi="ar-SA"/>
        </w:rPr>
        <w:t>表4.2-3</w:t>
      </w:r>
      <w:r>
        <w:rPr>
          <w:rFonts w:hint="eastAsia" w:cs="Times New Roman"/>
          <w:b/>
          <w:bCs w:val="0"/>
          <w:color w:val="auto"/>
          <w:kern w:val="2"/>
          <w:sz w:val="21"/>
          <w:szCs w:val="24"/>
          <w:highlight w:val="none"/>
          <w:lang w:val="en-US" w:eastAsia="zh-CN" w:bidi="ar-SA"/>
        </w:rPr>
        <w:t>1</w:t>
      </w:r>
      <w:r>
        <w:rPr>
          <w:rFonts w:hint="eastAsia" w:ascii="Times New Roman" w:hAnsi="Times New Roman" w:eastAsia="宋体" w:cs="Times New Roman"/>
          <w:b/>
          <w:bCs w:val="0"/>
          <w:color w:val="auto"/>
          <w:kern w:val="2"/>
          <w:sz w:val="21"/>
          <w:szCs w:val="24"/>
          <w:highlight w:val="none"/>
          <w:lang w:val="en-US" w:eastAsia="zh-CN" w:bidi="ar-SA"/>
        </w:rPr>
        <w:t xml:space="preserve"> 污染影响型建设项目土壤环境影响源及影响因子识别</w:t>
      </w:r>
      <w:r>
        <w:rPr>
          <w:rFonts w:hint="eastAsia" w:cs="Times New Roman"/>
          <w:color w:val="auto"/>
          <w:highlight w:val="none"/>
        </w:rPr>
        <w:t>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1158"/>
        <w:gridCol w:w="1077"/>
        <w:gridCol w:w="2859"/>
        <w:gridCol w:w="1178"/>
        <w:gridCol w:w="10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0" w:type="auto"/>
            <w:tcBorders>
              <w:tl2br w:val="nil"/>
              <w:tr2bl w:val="nil"/>
            </w:tcBorders>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污染源</w:t>
            </w:r>
          </w:p>
        </w:tc>
        <w:tc>
          <w:tcPr>
            <w:tcW w:w="1158" w:type="dxa"/>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工艺流程</w:t>
            </w:r>
          </w:p>
        </w:tc>
        <w:tc>
          <w:tcPr>
            <w:tcW w:w="1077" w:type="dxa"/>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污染途径</w:t>
            </w:r>
          </w:p>
        </w:tc>
        <w:tc>
          <w:tcPr>
            <w:tcW w:w="2859" w:type="dxa"/>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全部污染物指标</w:t>
            </w:r>
          </w:p>
        </w:tc>
        <w:tc>
          <w:tcPr>
            <w:tcW w:w="1178" w:type="dxa"/>
            <w:tcBorders>
              <w:tl2br w:val="nil"/>
              <w:tr2bl w:val="nil"/>
            </w:tcBorders>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特征因子</w:t>
            </w:r>
          </w:p>
        </w:tc>
        <w:tc>
          <w:tcPr>
            <w:tcW w:w="1012" w:type="dxa"/>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0" w:type="auto"/>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消纳地</w:t>
            </w:r>
          </w:p>
        </w:tc>
        <w:tc>
          <w:tcPr>
            <w:tcW w:w="1158" w:type="dxa"/>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农田</w:t>
            </w:r>
          </w:p>
        </w:tc>
        <w:tc>
          <w:tcPr>
            <w:tcW w:w="1077" w:type="dxa"/>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沼液消纳</w:t>
            </w:r>
          </w:p>
        </w:tc>
        <w:tc>
          <w:tcPr>
            <w:tcW w:w="2859" w:type="dxa"/>
            <w:tcBorders>
              <w:tl2br w:val="nil"/>
              <w:tr2bl w:val="nil"/>
            </w:tcBorders>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pH、COD、BOD</w:t>
            </w:r>
            <w:r>
              <w:rPr>
                <w:rFonts w:hint="eastAsia"/>
                <w:color w:val="auto"/>
                <w:sz w:val="21"/>
                <w:szCs w:val="21"/>
                <w:highlight w:val="none"/>
                <w:vertAlign w:val="subscript"/>
                <w:lang w:val="en-US" w:eastAsia="zh-CN"/>
              </w:rPr>
              <w:t>5</w:t>
            </w:r>
            <w:r>
              <w:rPr>
                <w:rFonts w:hint="eastAsia"/>
                <w:color w:val="auto"/>
                <w:sz w:val="21"/>
                <w:szCs w:val="21"/>
                <w:highlight w:val="none"/>
                <w:lang w:val="en-US" w:eastAsia="zh-CN"/>
              </w:rPr>
              <w:t>、氨氮、SS、Cu</w:t>
            </w:r>
          </w:p>
        </w:tc>
        <w:tc>
          <w:tcPr>
            <w:tcW w:w="1178" w:type="dxa"/>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Cu</w:t>
            </w:r>
          </w:p>
        </w:tc>
        <w:tc>
          <w:tcPr>
            <w:tcW w:w="1012" w:type="dxa"/>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连续，正常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0" w:type="auto"/>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沼液储存池</w:t>
            </w:r>
          </w:p>
        </w:tc>
        <w:tc>
          <w:tcPr>
            <w:tcW w:w="1158" w:type="dxa"/>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储存池</w:t>
            </w:r>
          </w:p>
        </w:tc>
        <w:tc>
          <w:tcPr>
            <w:tcW w:w="1077" w:type="dxa"/>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垂直入渗</w:t>
            </w:r>
          </w:p>
        </w:tc>
        <w:tc>
          <w:tcPr>
            <w:tcW w:w="2859" w:type="dxa"/>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pH、COD、BOD</w:t>
            </w:r>
            <w:r>
              <w:rPr>
                <w:rFonts w:hint="eastAsia"/>
                <w:color w:val="auto"/>
                <w:sz w:val="21"/>
                <w:szCs w:val="21"/>
                <w:highlight w:val="none"/>
                <w:vertAlign w:val="subscript"/>
                <w:lang w:val="en-US" w:eastAsia="zh-CN"/>
              </w:rPr>
              <w:t>5</w:t>
            </w:r>
            <w:r>
              <w:rPr>
                <w:rFonts w:hint="eastAsia"/>
                <w:color w:val="auto"/>
                <w:sz w:val="21"/>
                <w:szCs w:val="21"/>
                <w:highlight w:val="none"/>
                <w:lang w:val="en-US" w:eastAsia="zh-CN"/>
              </w:rPr>
              <w:t>、氨氮、SS、Cu</w:t>
            </w:r>
          </w:p>
        </w:tc>
        <w:tc>
          <w:tcPr>
            <w:tcW w:w="1178" w:type="dxa"/>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Cu</w:t>
            </w:r>
          </w:p>
        </w:tc>
        <w:tc>
          <w:tcPr>
            <w:tcW w:w="1012" w:type="dxa"/>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事故</w:t>
            </w:r>
          </w:p>
        </w:tc>
      </w:tr>
    </w:tbl>
    <w:p>
      <w:pPr>
        <w:pStyle w:val="6"/>
        <w:ind w:firstLine="482"/>
        <w:rPr>
          <w:rFonts w:hint="eastAsia"/>
          <w:color w:val="auto"/>
          <w:highlight w:val="none"/>
          <w:lang w:val="en-US" w:eastAsia="zh-CN"/>
        </w:rPr>
      </w:pPr>
      <w:r>
        <w:rPr>
          <w:rFonts w:hint="eastAsia"/>
          <w:color w:val="auto"/>
          <w:highlight w:val="none"/>
          <w:lang w:val="en-US" w:eastAsia="zh-CN"/>
        </w:rPr>
        <w:t xml:space="preserve">4.2.6.4 预测与评价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color w:val="auto"/>
          <w:kern w:val="0"/>
          <w:sz w:val="24"/>
          <w:szCs w:val="22"/>
          <w:highlight w:val="none"/>
        </w:rPr>
      </w:pPr>
      <w:r>
        <w:rPr>
          <w:rFonts w:hint="eastAsia" w:ascii="Times New Roman" w:hAnsi="Times New Roman" w:cs="Times New Roman"/>
          <w:color w:val="auto"/>
          <w:kern w:val="0"/>
          <w:sz w:val="24"/>
          <w:szCs w:val="22"/>
          <w:highlight w:val="none"/>
          <w:lang w:val="en-US" w:eastAsia="zh-CN"/>
        </w:rPr>
        <w:t>A、</w:t>
      </w:r>
      <w:r>
        <w:rPr>
          <w:rFonts w:ascii="Times New Roman" w:hAnsi="Times New Roman" w:cs="Times New Roman"/>
          <w:color w:val="auto"/>
          <w:kern w:val="0"/>
          <w:sz w:val="24"/>
          <w:szCs w:val="22"/>
          <w:highlight w:val="none"/>
        </w:rPr>
        <w:t xml:space="preserve">沼液消纳影响分析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 xml:space="preserve">（1）预测评价范围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 xml:space="preserve">预测评价范围与现状调查范围一致，评价范围为项目区和周边沼液消纳地外延200m。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 xml:space="preserve">（2）预测评价时段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 xml:space="preserve">重点预测时段为项目运营期，运营期设计为20年。项目运营期，沼液消纳灌溉对周围土壤环境的影响。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 xml:space="preserve">（3）预测情景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 xml:space="preserve">本次仅对营运期沼液消纳重金属累积效应对土壤的影响进行预测分析。沼液储存池事故状态下垂直入渗对土壤影响进行定性分析，对地下水影响见地下水影响预测章节。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（4）预测评价因子及标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预测及评价因子：重金属Cu，标准值：</w:t>
      </w:r>
      <w:r>
        <w:rPr>
          <w:rFonts w:hint="eastAsia" w:cs="Times New Roman"/>
          <w:color w:val="auto"/>
          <w:kern w:val="0"/>
          <w:sz w:val="24"/>
          <w:szCs w:val="22"/>
          <w:highlight w:val="none"/>
          <w:lang w:val="en-US" w:eastAsia="zh-CN"/>
        </w:rPr>
        <w:t>5</w:t>
      </w:r>
      <w:r>
        <w:rPr>
          <w:rFonts w:ascii="Times New Roman" w:hAnsi="Times New Roman" w:cs="Times New Roman"/>
          <w:color w:val="auto"/>
          <w:kern w:val="0"/>
          <w:sz w:val="24"/>
          <w:szCs w:val="22"/>
          <w:highlight w:val="none"/>
        </w:rPr>
        <w:t>0mg/kg（</w:t>
      </w:r>
      <w:r>
        <w:rPr>
          <w:rFonts w:hint="eastAsia" w:cs="Times New Roman"/>
          <w:color w:val="auto"/>
          <w:kern w:val="0"/>
          <w:sz w:val="24"/>
          <w:szCs w:val="22"/>
          <w:highlight w:val="none"/>
          <w:lang w:val="en-US" w:eastAsia="zh-CN"/>
        </w:rPr>
        <w:t>5</w:t>
      </w:r>
      <w:r>
        <w:rPr>
          <w:rFonts w:ascii="Times New Roman" w:hAnsi="Times New Roman" w:cs="Times New Roman"/>
          <w:color w:val="auto"/>
          <w:kern w:val="0"/>
          <w:sz w:val="24"/>
          <w:szCs w:val="22"/>
          <w:highlight w:val="none"/>
        </w:rPr>
        <w:t>.5＜pH≤</w:t>
      </w:r>
      <w:r>
        <w:rPr>
          <w:rFonts w:hint="eastAsia" w:cs="Times New Roman"/>
          <w:color w:val="auto"/>
          <w:kern w:val="0"/>
          <w:sz w:val="24"/>
          <w:szCs w:val="22"/>
          <w:highlight w:val="none"/>
          <w:lang w:val="en-US" w:eastAsia="zh-CN"/>
        </w:rPr>
        <w:t>6</w:t>
      </w:r>
      <w:r>
        <w:rPr>
          <w:rFonts w:ascii="Times New Roman" w:hAnsi="Times New Roman" w:cs="Times New Roman"/>
          <w:color w:val="auto"/>
          <w:kern w:val="0"/>
          <w:sz w:val="24"/>
          <w:szCs w:val="22"/>
          <w:highlight w:val="none"/>
        </w:rPr>
        <w:t>.5）</w:t>
      </w:r>
      <w:r>
        <w:rPr>
          <w:rFonts w:hint="eastAsia" w:cs="Times New Roman"/>
          <w:color w:val="auto"/>
          <w:kern w:val="0"/>
          <w:sz w:val="24"/>
          <w:szCs w:val="22"/>
          <w:highlight w:val="none"/>
          <w:lang w:eastAsia="zh-CN"/>
        </w:rPr>
        <w:t>、</w:t>
      </w:r>
      <w:r>
        <w:rPr>
          <w:rFonts w:hint="eastAsia" w:cs="Times New Roman"/>
          <w:color w:val="auto"/>
          <w:kern w:val="0"/>
          <w:sz w:val="24"/>
          <w:szCs w:val="22"/>
          <w:highlight w:val="none"/>
          <w:lang w:val="en-US" w:eastAsia="zh-CN"/>
        </w:rPr>
        <w:t>5</w:t>
      </w:r>
      <w:r>
        <w:rPr>
          <w:rFonts w:ascii="Times New Roman" w:hAnsi="Times New Roman" w:cs="Times New Roman"/>
          <w:color w:val="auto"/>
          <w:kern w:val="0"/>
          <w:sz w:val="24"/>
          <w:szCs w:val="22"/>
          <w:highlight w:val="none"/>
        </w:rPr>
        <w:t>0mg/kg（pH≤</w:t>
      </w:r>
      <w:r>
        <w:rPr>
          <w:rFonts w:hint="eastAsia" w:cs="Times New Roman"/>
          <w:color w:val="auto"/>
          <w:kern w:val="0"/>
          <w:sz w:val="24"/>
          <w:szCs w:val="22"/>
          <w:highlight w:val="none"/>
          <w:lang w:val="en-US" w:eastAsia="zh-CN"/>
        </w:rPr>
        <w:t>5</w:t>
      </w:r>
      <w:r>
        <w:rPr>
          <w:rFonts w:hint="eastAsia" w:ascii="Times New Roman" w:hAnsi="Times New Roman" w:cs="Times New Roman"/>
          <w:color w:val="auto"/>
          <w:kern w:val="0"/>
          <w:sz w:val="24"/>
          <w:szCs w:val="22"/>
          <w:highlight w:val="none"/>
        </w:rPr>
        <w:t>.5</w:t>
      </w:r>
      <w:r>
        <w:rPr>
          <w:rFonts w:ascii="Times New Roman" w:hAnsi="Times New Roman" w:cs="Times New Roman"/>
          <w:color w:val="auto"/>
          <w:kern w:val="0"/>
          <w:sz w:val="24"/>
          <w:szCs w:val="22"/>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（5）预测评价方法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 xml:space="preserve">根据工程分析沼液产生量和沼液重金属含量检测数据，结合《环境影响评价技术导则 土壤环境（试行）》（HJ 964-2018）附录E推荐方法，计算土壤中污染物的增量和叠加现状量，进而分析周边农田沼液消纳负荷和能力。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 xml:space="preserve">（6）影响预测结果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 xml:space="preserve">根据《环境影响评价技术导则—土壤环境（试行）》（HJ 964-2018）附录 E推荐方法，计算公式如下：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 xml:space="preserve">a）单位质量土壤中某种物质的增量可用下式计算： </w:t>
      </w:r>
    </w:p>
    <w:p>
      <w:pPr>
        <w:widowControl w:val="0"/>
        <w:spacing w:line="520" w:lineRule="exact"/>
        <w:ind w:firstLine="480" w:firstLineChars="200"/>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 xml:space="preserve">∆S=n（IS-LS-RS）/（ρb×A×D）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 xml:space="preserve">式中：ΔS——单位质量表层土壤中某种物质的增量，g/kg；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IS——预测评价范围内单位年份表层土壤中某种物质的输入量，g；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LS——预测评价范围内单位年份表层土壤中某种物质经淋溶排出的量，g；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RS——预测评价范围内单位年份表层土壤中某种物质经径流排出的量，g；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ρb——表层土壤容重，kg/m</w:t>
      </w:r>
      <w:r>
        <w:rPr>
          <w:rFonts w:ascii="Times New Roman" w:hAnsi="Times New Roman" w:cs="Times New Roman"/>
          <w:color w:val="auto"/>
          <w:kern w:val="0"/>
          <w:sz w:val="24"/>
          <w:szCs w:val="22"/>
          <w:highlight w:val="none"/>
          <w:vertAlign w:val="superscript"/>
        </w:rPr>
        <w:t>3</w:t>
      </w:r>
      <w:r>
        <w:rPr>
          <w:rFonts w:ascii="Times New Roman" w:hAnsi="Times New Roman" w:cs="Times New Roman"/>
          <w:color w:val="auto"/>
          <w:kern w:val="0"/>
          <w:sz w:val="24"/>
          <w:szCs w:val="22"/>
          <w:highlight w:val="none"/>
        </w:rPr>
        <w:t>，按1400kg/m</w:t>
      </w:r>
      <w:r>
        <w:rPr>
          <w:rFonts w:ascii="Times New Roman" w:hAnsi="Times New Roman" w:cs="Times New Roman"/>
          <w:color w:val="auto"/>
          <w:kern w:val="0"/>
          <w:sz w:val="24"/>
          <w:szCs w:val="22"/>
          <w:highlight w:val="none"/>
          <w:vertAlign w:val="superscript"/>
        </w:rPr>
        <w:t>3</w:t>
      </w:r>
      <w:r>
        <w:rPr>
          <w:rFonts w:ascii="Times New Roman" w:hAnsi="Times New Roman" w:cs="Times New Roman"/>
          <w:color w:val="auto"/>
          <w:kern w:val="0"/>
          <w:sz w:val="24"/>
          <w:szCs w:val="22"/>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A——预测评价范围，m</w:t>
      </w:r>
      <w:r>
        <w:rPr>
          <w:rFonts w:ascii="Times New Roman" w:hAnsi="Times New Roman" w:cs="Times New Roman"/>
          <w:color w:val="auto"/>
          <w:kern w:val="0"/>
          <w:sz w:val="24"/>
          <w:szCs w:val="22"/>
          <w:highlight w:val="none"/>
          <w:vertAlign w:val="superscript"/>
        </w:rPr>
        <w:t>2</w:t>
      </w:r>
      <w:r>
        <w:rPr>
          <w:rFonts w:ascii="Times New Roman" w:hAnsi="Times New Roman" w:cs="Times New Roman"/>
          <w:color w:val="auto"/>
          <w:kern w:val="0"/>
          <w:sz w:val="24"/>
          <w:szCs w:val="22"/>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D——表层土壤深度，一般取0.2m，可根据实际情况适当调整，本次取0.2m；</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n——持续年份，a，设计运行20a。</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b）单位质量土壤中某种物质的预测值可根据其增量叠加现状值进行计算，如下式：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S= Sb+ΔS</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式中：Sb——单位质量土壤中某种物质的现状值，g/kg；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S——单位质量土壤中某种物质的预测值，g/kg。</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本次重点评价沼液消纳区，面积取沼液消纳区面积</w:t>
      </w:r>
      <w:r>
        <w:rPr>
          <w:rFonts w:hint="eastAsia" w:cs="Times New Roman"/>
          <w:color w:val="auto"/>
          <w:kern w:val="0"/>
          <w:sz w:val="24"/>
          <w:szCs w:val="22"/>
          <w:highlight w:val="none"/>
          <w:lang w:val="en-US" w:eastAsia="zh-CN"/>
        </w:rPr>
        <w:t>4800</w:t>
      </w:r>
      <w:r>
        <w:rPr>
          <w:rFonts w:ascii="Times New Roman" w:hAnsi="Times New Roman" w:cs="Times New Roman"/>
          <w:color w:val="auto"/>
          <w:kern w:val="0"/>
          <w:sz w:val="24"/>
          <w:szCs w:val="22"/>
          <w:highlight w:val="none"/>
        </w:rPr>
        <w:t>亩，即</w:t>
      </w:r>
      <w:r>
        <w:rPr>
          <w:rFonts w:hint="eastAsia" w:cs="Times New Roman"/>
          <w:color w:val="auto"/>
          <w:kern w:val="0"/>
          <w:sz w:val="24"/>
          <w:szCs w:val="22"/>
          <w:highlight w:val="none"/>
          <w:lang w:val="en-US" w:eastAsia="zh-CN"/>
        </w:rPr>
        <w:t>3200000</w:t>
      </w:r>
      <w:r>
        <w:rPr>
          <w:rFonts w:ascii="Times New Roman" w:hAnsi="Times New Roman" w:cs="Times New Roman"/>
          <w:color w:val="auto"/>
          <w:kern w:val="0"/>
          <w:sz w:val="24"/>
          <w:szCs w:val="22"/>
          <w:highlight w:val="none"/>
        </w:rPr>
        <w:t>m</w:t>
      </w:r>
      <w:r>
        <w:rPr>
          <w:rFonts w:ascii="Times New Roman" w:hAnsi="Times New Roman" w:cs="Times New Roman"/>
          <w:color w:val="auto"/>
          <w:kern w:val="0"/>
          <w:sz w:val="24"/>
          <w:szCs w:val="22"/>
          <w:highlight w:val="none"/>
          <w:vertAlign w:val="superscript"/>
        </w:rPr>
        <w:t>2</w:t>
      </w:r>
      <w:r>
        <w:rPr>
          <w:rFonts w:ascii="Times New Roman" w:hAnsi="Times New Roman" w:cs="Times New Roman"/>
          <w:color w:val="auto"/>
          <w:kern w:val="0"/>
          <w:sz w:val="24"/>
          <w:szCs w:val="22"/>
          <w:highlight w:val="none"/>
        </w:rPr>
        <w:t>。本次预测不考虑淋溶或径流的情况下，项目重金属的增量最大，项目需土地消纳的沼液量为</w:t>
      </w:r>
      <w:r>
        <w:rPr>
          <w:rFonts w:hint="eastAsia" w:ascii="Times New Roman" w:hAnsi="Times New Roman" w:cs="Times New Roman"/>
          <w:color w:val="auto"/>
          <w:kern w:val="0"/>
          <w:sz w:val="24"/>
          <w:szCs w:val="22"/>
          <w:highlight w:val="none"/>
        </w:rPr>
        <w:t>94775.233</w:t>
      </w:r>
      <w:r>
        <w:rPr>
          <w:rFonts w:ascii="Times New Roman" w:hAnsi="Times New Roman" w:cs="Times New Roman"/>
          <w:color w:val="auto"/>
          <w:kern w:val="0"/>
          <w:sz w:val="24"/>
          <w:szCs w:val="22"/>
          <w:highlight w:val="none"/>
        </w:rPr>
        <w:t>m</w:t>
      </w:r>
      <w:r>
        <w:rPr>
          <w:rFonts w:ascii="Times New Roman" w:hAnsi="Times New Roman" w:cs="Times New Roman"/>
          <w:color w:val="auto"/>
          <w:kern w:val="0"/>
          <w:sz w:val="24"/>
          <w:szCs w:val="22"/>
          <w:highlight w:val="none"/>
          <w:vertAlign w:val="superscript"/>
        </w:rPr>
        <w:t>3</w:t>
      </w:r>
      <w:r>
        <w:rPr>
          <w:rFonts w:ascii="Times New Roman" w:hAnsi="Times New Roman" w:cs="Times New Roman"/>
          <w:color w:val="auto"/>
          <w:kern w:val="0"/>
          <w:sz w:val="24"/>
          <w:szCs w:val="22"/>
          <w:highlight w:val="none"/>
        </w:rPr>
        <w:t>/a，铜含量按1.87mg/L计算，计算可得施用沼液1年1kg土壤中铜的含量增加0.</w:t>
      </w:r>
      <w:r>
        <w:rPr>
          <w:rFonts w:hint="eastAsia" w:cs="Times New Roman"/>
          <w:color w:val="auto"/>
          <w:kern w:val="0"/>
          <w:sz w:val="24"/>
          <w:szCs w:val="22"/>
          <w:highlight w:val="none"/>
          <w:lang w:val="en-US" w:eastAsia="zh-CN"/>
        </w:rPr>
        <w:t>64</w:t>
      </w:r>
      <w:r>
        <w:rPr>
          <w:rFonts w:ascii="Times New Roman" w:hAnsi="Times New Roman" w:cs="Times New Roman"/>
          <w:color w:val="auto"/>
          <w:kern w:val="0"/>
          <w:sz w:val="24"/>
          <w:szCs w:val="22"/>
          <w:highlight w:val="none"/>
        </w:rPr>
        <w:t>mg、10年后增量</w:t>
      </w:r>
      <w:r>
        <w:rPr>
          <w:rFonts w:hint="eastAsia" w:cs="Times New Roman"/>
          <w:color w:val="auto"/>
          <w:kern w:val="0"/>
          <w:sz w:val="24"/>
          <w:szCs w:val="22"/>
          <w:highlight w:val="none"/>
          <w:lang w:val="en-US" w:eastAsia="zh-CN"/>
        </w:rPr>
        <w:t>6</w:t>
      </w:r>
      <w:r>
        <w:rPr>
          <w:rFonts w:ascii="Times New Roman" w:hAnsi="Times New Roman" w:cs="Times New Roman"/>
          <w:color w:val="auto"/>
          <w:kern w:val="0"/>
          <w:sz w:val="24"/>
          <w:szCs w:val="22"/>
          <w:highlight w:val="none"/>
        </w:rPr>
        <w:t>mg、20年后的增量</w:t>
      </w:r>
      <w:r>
        <w:rPr>
          <w:rFonts w:hint="eastAsia" w:cs="Times New Roman"/>
          <w:color w:val="auto"/>
          <w:kern w:val="0"/>
          <w:sz w:val="24"/>
          <w:szCs w:val="22"/>
          <w:highlight w:val="none"/>
          <w:lang w:val="en-US" w:eastAsia="zh-CN"/>
        </w:rPr>
        <w:t>12</w:t>
      </w:r>
      <w:r>
        <w:rPr>
          <w:rFonts w:ascii="Times New Roman" w:hAnsi="Times New Roman" w:cs="Times New Roman"/>
          <w:color w:val="auto"/>
          <w:kern w:val="0"/>
          <w:sz w:val="24"/>
          <w:szCs w:val="22"/>
          <w:highlight w:val="none"/>
        </w:rPr>
        <w:t xml:space="preserve">mg。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根据现状监测数据，项目配套消纳地中</w:t>
      </w:r>
      <w:r>
        <w:rPr>
          <w:rFonts w:hint="eastAsia" w:cs="Times New Roman"/>
          <w:color w:val="auto"/>
          <w:kern w:val="0"/>
          <w:sz w:val="24"/>
          <w:szCs w:val="22"/>
          <w:highlight w:val="none"/>
          <w:lang w:eastAsia="zh-CN"/>
        </w:rPr>
        <w:t>未检测到</w:t>
      </w:r>
      <w:r>
        <w:rPr>
          <w:rFonts w:ascii="Times New Roman" w:hAnsi="Times New Roman" w:cs="Times New Roman"/>
          <w:color w:val="auto"/>
          <w:kern w:val="0"/>
          <w:sz w:val="24"/>
          <w:szCs w:val="22"/>
          <w:highlight w:val="none"/>
        </w:rPr>
        <w:t>土壤铜</w:t>
      </w:r>
      <w:r>
        <w:rPr>
          <w:rFonts w:hint="eastAsia" w:cs="Times New Roman"/>
          <w:color w:val="auto"/>
          <w:kern w:val="0"/>
          <w:sz w:val="24"/>
          <w:szCs w:val="22"/>
          <w:highlight w:val="none"/>
          <w:lang w:eastAsia="zh-CN"/>
        </w:rPr>
        <w:t>，以检出限一半计即</w:t>
      </w:r>
      <w:r>
        <w:rPr>
          <w:rFonts w:ascii="Times New Roman" w:hAnsi="Times New Roman" w:cs="Times New Roman"/>
          <w:color w:val="auto"/>
          <w:kern w:val="0"/>
          <w:sz w:val="24"/>
          <w:szCs w:val="22"/>
          <w:highlight w:val="none"/>
        </w:rPr>
        <w:t>土壤铜含量为</w:t>
      </w:r>
      <w:r>
        <w:rPr>
          <w:rFonts w:hint="eastAsia" w:cs="Times New Roman"/>
          <w:color w:val="auto"/>
          <w:kern w:val="0"/>
          <w:sz w:val="24"/>
          <w:szCs w:val="22"/>
          <w:highlight w:val="none"/>
          <w:lang w:val="en-US" w:eastAsia="zh-CN"/>
        </w:rPr>
        <w:t>0.025</w:t>
      </w:r>
      <w:r>
        <w:rPr>
          <w:rFonts w:ascii="Times New Roman" w:hAnsi="Times New Roman" w:cs="Times New Roman"/>
          <w:color w:val="auto"/>
          <w:kern w:val="0"/>
          <w:sz w:val="24"/>
          <w:szCs w:val="22"/>
          <w:highlight w:val="none"/>
        </w:rPr>
        <w:t>mg/kg，营运期10年后土壤中铜预测值为</w:t>
      </w:r>
      <w:r>
        <w:rPr>
          <w:rFonts w:hint="eastAsia" w:cs="Times New Roman"/>
          <w:color w:val="auto"/>
          <w:kern w:val="0"/>
          <w:sz w:val="24"/>
          <w:szCs w:val="22"/>
          <w:highlight w:val="none"/>
          <w:lang w:val="en-US" w:eastAsia="zh-CN"/>
        </w:rPr>
        <w:t>6.025</w:t>
      </w:r>
      <w:r>
        <w:rPr>
          <w:rFonts w:ascii="Times New Roman" w:hAnsi="Times New Roman" w:cs="Times New Roman"/>
          <w:color w:val="auto"/>
          <w:kern w:val="0"/>
          <w:sz w:val="24"/>
          <w:szCs w:val="22"/>
          <w:highlight w:val="none"/>
        </w:rPr>
        <w:t>mg/kg，20年后土壤中铜预测值为</w:t>
      </w:r>
      <w:r>
        <w:rPr>
          <w:rFonts w:hint="eastAsia" w:cs="Times New Roman"/>
          <w:color w:val="auto"/>
          <w:kern w:val="0"/>
          <w:sz w:val="24"/>
          <w:szCs w:val="22"/>
          <w:highlight w:val="none"/>
          <w:lang w:val="en-US" w:eastAsia="zh-CN"/>
        </w:rPr>
        <w:t>12.025</w:t>
      </w:r>
      <w:r>
        <w:rPr>
          <w:rFonts w:ascii="Times New Roman" w:hAnsi="Times New Roman" w:cs="Times New Roman"/>
          <w:color w:val="auto"/>
          <w:kern w:val="0"/>
          <w:sz w:val="24"/>
          <w:szCs w:val="22"/>
          <w:highlight w:val="none"/>
        </w:rPr>
        <w:t>mg/kg。参照《土壤环境质量 农用地土壤污染风险管控标准（试行）》（GB 15618-2018），土壤</w:t>
      </w:r>
      <w:r>
        <w:rPr>
          <w:rFonts w:hint="eastAsia" w:cs="Times New Roman"/>
          <w:color w:val="auto"/>
          <w:kern w:val="0"/>
          <w:sz w:val="24"/>
          <w:szCs w:val="22"/>
          <w:highlight w:val="none"/>
          <w:lang w:val="en-US" w:eastAsia="zh-CN"/>
        </w:rPr>
        <w:t>5</w:t>
      </w:r>
      <w:r>
        <w:rPr>
          <w:rFonts w:ascii="Times New Roman" w:hAnsi="Times New Roman" w:cs="Times New Roman"/>
          <w:color w:val="auto"/>
          <w:kern w:val="0"/>
          <w:sz w:val="24"/>
          <w:szCs w:val="22"/>
          <w:highlight w:val="none"/>
        </w:rPr>
        <w:t>.5＜pH≤</w:t>
      </w:r>
      <w:r>
        <w:rPr>
          <w:rFonts w:hint="eastAsia" w:cs="Times New Roman"/>
          <w:color w:val="auto"/>
          <w:kern w:val="0"/>
          <w:sz w:val="24"/>
          <w:szCs w:val="22"/>
          <w:highlight w:val="none"/>
          <w:lang w:val="en-US" w:eastAsia="zh-CN"/>
        </w:rPr>
        <w:t>6</w:t>
      </w:r>
      <w:r>
        <w:rPr>
          <w:rFonts w:ascii="Times New Roman" w:hAnsi="Times New Roman" w:cs="Times New Roman"/>
          <w:color w:val="auto"/>
          <w:kern w:val="0"/>
          <w:sz w:val="24"/>
          <w:szCs w:val="22"/>
          <w:highlight w:val="none"/>
        </w:rPr>
        <w:t>.5时，土壤中铜限量为</w:t>
      </w:r>
      <w:r>
        <w:rPr>
          <w:rFonts w:hint="eastAsia" w:cs="Times New Roman"/>
          <w:color w:val="auto"/>
          <w:kern w:val="0"/>
          <w:sz w:val="24"/>
          <w:szCs w:val="22"/>
          <w:highlight w:val="none"/>
          <w:lang w:val="en-US" w:eastAsia="zh-CN"/>
        </w:rPr>
        <w:t>5</w:t>
      </w:r>
      <w:r>
        <w:rPr>
          <w:rFonts w:ascii="Times New Roman" w:hAnsi="Times New Roman" w:cs="Times New Roman"/>
          <w:color w:val="auto"/>
          <w:kern w:val="0"/>
          <w:sz w:val="24"/>
          <w:szCs w:val="22"/>
          <w:highlight w:val="none"/>
        </w:rPr>
        <w:t>0mg/kg</w:t>
      </w:r>
      <w:r>
        <w:rPr>
          <w:rFonts w:hint="eastAsia" w:cs="Times New Roman"/>
          <w:color w:val="auto"/>
          <w:kern w:val="0"/>
          <w:sz w:val="24"/>
          <w:szCs w:val="22"/>
          <w:highlight w:val="none"/>
          <w:lang w:eastAsia="zh-CN"/>
        </w:rPr>
        <w:t>；</w:t>
      </w:r>
      <w:r>
        <w:rPr>
          <w:rFonts w:ascii="Times New Roman" w:hAnsi="Times New Roman" w:cs="Times New Roman"/>
          <w:color w:val="auto"/>
          <w:kern w:val="0"/>
          <w:sz w:val="24"/>
          <w:szCs w:val="22"/>
          <w:highlight w:val="none"/>
        </w:rPr>
        <w:t>土壤</w:t>
      </w:r>
      <w:r>
        <w:rPr>
          <w:rFonts w:hint="eastAsia" w:ascii="Times New Roman" w:hAnsi="Times New Roman" w:cs="Times New Roman"/>
          <w:color w:val="auto"/>
          <w:kern w:val="0"/>
          <w:sz w:val="24"/>
          <w:szCs w:val="22"/>
          <w:highlight w:val="none"/>
        </w:rPr>
        <w:t>PH</w:t>
      </w:r>
      <w:r>
        <w:rPr>
          <w:rFonts w:ascii="Times New Roman" w:hAnsi="Times New Roman" w:cs="Times New Roman"/>
          <w:color w:val="auto"/>
          <w:kern w:val="0"/>
          <w:sz w:val="24"/>
          <w:szCs w:val="22"/>
          <w:highlight w:val="none"/>
        </w:rPr>
        <w:t>≤</w:t>
      </w:r>
      <w:r>
        <w:rPr>
          <w:rFonts w:hint="eastAsia" w:cs="Times New Roman"/>
          <w:color w:val="auto"/>
          <w:kern w:val="0"/>
          <w:sz w:val="24"/>
          <w:szCs w:val="22"/>
          <w:highlight w:val="none"/>
          <w:lang w:val="en-US" w:eastAsia="zh-CN"/>
        </w:rPr>
        <w:t>5</w:t>
      </w:r>
      <w:r>
        <w:rPr>
          <w:rFonts w:hint="eastAsia" w:ascii="Times New Roman" w:hAnsi="Times New Roman" w:cs="Times New Roman"/>
          <w:color w:val="auto"/>
          <w:kern w:val="0"/>
          <w:sz w:val="24"/>
          <w:szCs w:val="22"/>
          <w:highlight w:val="none"/>
        </w:rPr>
        <w:t>.5</w:t>
      </w:r>
      <w:r>
        <w:rPr>
          <w:rFonts w:ascii="Times New Roman" w:hAnsi="Times New Roman" w:cs="Times New Roman"/>
          <w:color w:val="auto"/>
          <w:kern w:val="0"/>
          <w:sz w:val="24"/>
          <w:szCs w:val="22"/>
          <w:highlight w:val="none"/>
        </w:rPr>
        <w:t>时，土壤中铜限量为</w:t>
      </w:r>
      <w:r>
        <w:rPr>
          <w:rFonts w:hint="eastAsia" w:cs="Times New Roman"/>
          <w:color w:val="auto"/>
          <w:kern w:val="0"/>
          <w:sz w:val="24"/>
          <w:szCs w:val="22"/>
          <w:highlight w:val="none"/>
          <w:lang w:val="en-US" w:eastAsia="zh-CN"/>
        </w:rPr>
        <w:t>5</w:t>
      </w:r>
      <w:r>
        <w:rPr>
          <w:rFonts w:ascii="Times New Roman" w:hAnsi="Times New Roman" w:cs="Times New Roman"/>
          <w:color w:val="auto"/>
          <w:kern w:val="0"/>
          <w:sz w:val="24"/>
          <w:szCs w:val="22"/>
          <w:highlight w:val="none"/>
        </w:rPr>
        <w:t xml:space="preserve">0mg/kg，运行期沼液农灌对周边土壤造成的富集影响较小，可以满足土壤环境质量标准限值要求。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color w:val="auto"/>
          <w:kern w:val="0"/>
          <w:sz w:val="24"/>
          <w:szCs w:val="22"/>
          <w:highlight w:val="none"/>
        </w:rPr>
      </w:pPr>
      <w:r>
        <w:rPr>
          <w:rFonts w:hint="eastAsia" w:ascii="Times New Roman" w:hAnsi="Times New Roman" w:cs="Times New Roman"/>
          <w:color w:val="auto"/>
          <w:kern w:val="0"/>
          <w:sz w:val="24"/>
          <w:szCs w:val="22"/>
          <w:highlight w:val="none"/>
          <w:lang w:val="en-US" w:eastAsia="zh-CN"/>
        </w:rPr>
        <w:t>B、</w:t>
      </w:r>
      <w:r>
        <w:rPr>
          <w:rFonts w:ascii="Times New Roman" w:hAnsi="Times New Roman" w:cs="Times New Roman"/>
          <w:color w:val="auto"/>
          <w:kern w:val="0"/>
          <w:sz w:val="24"/>
          <w:szCs w:val="22"/>
          <w:highlight w:val="none"/>
        </w:rPr>
        <w:t xml:space="preserve">垂直入渗影响分析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 xml:space="preserve">根据污染物在入渗过程中迁移转化的特征，包气带表层受蒸发和植物蒸腾作用影响，经常处于亏缺状态；其下部为天然持水稳定带；在潜水面之上，天然持水稳定带之下，是支持毛细水带。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 xml:space="preserve">当污染液进入包气带表层时，处于水分亏缺状态的土壤，在高水势梯度(大于1.0cm/cm）作用下，迅速吸附入渗水。只有在满足其水分亏缺补给之后，入渗液才能向更深层位运移。因在水分亏缺带内深度愈浅，水分亏缺愈严重，故在入渗液水量充足前提下，当入渗液通过水分亏缺带之后，该带各层位土壤获取的溶液水量随深度增大而减少。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 xml:space="preserve">污染物在随入渗溶液下渗迁移过程中，其在土壤剖面上的含量分布与溶液入渗的方向性有关。沿着溶液运动方向，随着路径的增加，土壤中污染物含量降低。当入渗水量足够大时，不仅能完全满足水分亏缺带补给水分的需要，而且入渗液可达到潜水面。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kern w:val="0"/>
          <w:sz w:val="24"/>
          <w:szCs w:val="22"/>
          <w:highlight w:val="none"/>
        </w:rPr>
      </w:pPr>
      <w:r>
        <w:rPr>
          <w:rFonts w:hint="eastAsia" w:cs="Times New Roman"/>
          <w:color w:val="auto"/>
          <w:kern w:val="0"/>
          <w:sz w:val="24"/>
          <w:szCs w:val="22"/>
          <w:highlight w:val="none"/>
          <w:lang w:eastAsia="zh-CN"/>
        </w:rPr>
        <w:t xml:space="preserve">因此沼液储存池一旦发生泄漏事故，在泄漏发生点周围泄漏溶液被土壤迅速吸附，随着泄漏，泄漏溶液向更远更深层位移动，沿着溶液运动方向，随着路径的增加，土壤中重金属污染物含量降低。当泄漏溶液量足够大时，污染可达到潜水面 </w:t>
      </w:r>
      <w:r>
        <w:rPr>
          <w:rFonts w:ascii="Times New Roman" w:hAnsi="Times New Roman" w:cs="Times New Roman"/>
          <w:color w:val="auto"/>
          <w:kern w:val="0"/>
          <w:sz w:val="24"/>
          <w:szCs w:val="22"/>
          <w:highlight w:val="none"/>
        </w:rPr>
        <w:t xml:space="preserve">。 </w:t>
      </w:r>
    </w:p>
    <w:p>
      <w:pPr>
        <w:pStyle w:val="6"/>
        <w:ind w:firstLine="482"/>
        <w:rPr>
          <w:rFonts w:hint="eastAsia"/>
          <w:color w:val="auto"/>
          <w:highlight w:val="none"/>
          <w:lang w:val="en-US" w:eastAsia="zh-CN"/>
        </w:rPr>
      </w:pPr>
      <w:r>
        <w:rPr>
          <w:rFonts w:hint="eastAsia"/>
          <w:color w:val="auto"/>
          <w:highlight w:val="none"/>
          <w:lang w:val="en-US" w:eastAsia="zh-CN"/>
        </w:rPr>
        <w:t xml:space="preserve">4.2.6.5 防止土壤污染的措施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color w:val="auto"/>
          <w:kern w:val="0"/>
          <w:sz w:val="24"/>
          <w:szCs w:val="22"/>
          <w:highlight w:val="none"/>
          <w:lang w:val="en-US" w:eastAsia="zh-CN" w:bidi="ar-SA"/>
        </w:rPr>
      </w:pPr>
      <w:r>
        <w:rPr>
          <w:rFonts w:ascii="Times New Roman" w:hAnsi="Times New Roman" w:eastAsia="宋体" w:cs="Times New Roman"/>
          <w:color w:val="auto"/>
          <w:kern w:val="0"/>
          <w:sz w:val="24"/>
          <w:szCs w:val="22"/>
          <w:highlight w:val="none"/>
          <w:lang w:val="en-US" w:eastAsia="zh-CN" w:bidi="ar-SA"/>
        </w:rPr>
        <w:t>企业运营过程中，为防止事故状态对土壤的污染，应采取如下措施：</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color w:val="auto"/>
          <w:kern w:val="0"/>
          <w:sz w:val="24"/>
          <w:szCs w:val="22"/>
          <w:highlight w:val="none"/>
          <w:lang w:val="en-US" w:eastAsia="zh-CN" w:bidi="ar-SA"/>
        </w:rPr>
      </w:pPr>
      <w:r>
        <w:rPr>
          <w:rFonts w:ascii="Times New Roman" w:hAnsi="Times New Roman" w:eastAsia="宋体" w:cs="Times New Roman"/>
          <w:color w:val="auto"/>
          <w:kern w:val="0"/>
          <w:sz w:val="24"/>
          <w:szCs w:val="22"/>
          <w:highlight w:val="none"/>
          <w:lang w:val="en-US" w:eastAsia="zh-CN" w:bidi="ar-SA"/>
        </w:rPr>
        <w:t>（1）医疗废物严格按要求进行处理处置，严禁随意倾倒、丢弃；企业应及时联系医疗废物处置单位回收，在处置单位未回收期间，应集中收集，专人管理，集中贮存， 厂内应建设医疗垃圾贮存设施，贮存场所要防风、防雨、防晒，贮存设施应避开易燃、易爆沼气贮存区，基础必须防渗。贮存设施应满足《危险废物贮存污染控制标准》及《关于发布&lt;一般工业固体废物贮存、处置场污染控制标准&gt;（GB18599-2001）等3项国家污染物控制标准修改单的公告》（环境保护部公告2013年第36号）的要求。</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color w:val="auto"/>
          <w:kern w:val="0"/>
          <w:sz w:val="24"/>
          <w:szCs w:val="22"/>
          <w:highlight w:val="none"/>
          <w:lang w:val="en-US" w:eastAsia="zh-CN" w:bidi="ar-SA"/>
        </w:rPr>
      </w:pPr>
      <w:r>
        <w:rPr>
          <w:rFonts w:ascii="Times New Roman" w:hAnsi="Times New Roman" w:eastAsia="宋体" w:cs="Times New Roman"/>
          <w:color w:val="auto"/>
          <w:kern w:val="0"/>
          <w:sz w:val="24"/>
          <w:szCs w:val="22"/>
          <w:highlight w:val="none"/>
          <w:lang w:val="en-US" w:eastAsia="zh-CN" w:bidi="ar-SA"/>
        </w:rPr>
        <w:t>（2）项目一旦发生粪污泄漏事故，公司应及时通知有关部门并采取必要的安全措施，减少事故损失，防止事故蔓延、扩大；因此必须建立严格的规章制度，保证粪污处理系统的正常运转，随时检查设备的运转情况，一旦有非正常情况发生，要立即对粪污处理设备进行维修，同时暂停贮粪池的粪污向粪污处理系统输送，待粪污处理系统正常运转后，再进行粪污输送。</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color w:val="auto"/>
          <w:kern w:val="0"/>
          <w:sz w:val="24"/>
          <w:szCs w:val="22"/>
          <w:highlight w:val="none"/>
          <w:lang w:val="en-US" w:eastAsia="zh-CN" w:bidi="ar-SA"/>
        </w:rPr>
      </w:pPr>
      <w:r>
        <w:rPr>
          <w:rFonts w:ascii="Times New Roman" w:hAnsi="Times New Roman" w:eastAsia="宋体" w:cs="Times New Roman"/>
          <w:color w:val="auto"/>
          <w:kern w:val="0"/>
          <w:sz w:val="24"/>
          <w:szCs w:val="22"/>
          <w:highlight w:val="none"/>
          <w:lang w:val="en-US" w:eastAsia="zh-CN" w:bidi="ar-SA"/>
        </w:rPr>
        <w:t>（3）为了防止项目对当地的土壤产生不利影响，建设单位采取防渗措施具体如下：对场区的道路、地面等进行硬化处理，防止粪污发生“跑、冒、滴、漏”现象时污染土壤和地下水环境；另外对于所有的粪污管道、粪污池等均采取了防渗措施，如对地面进行碾压、夯实，并在地下设置防渗膜等，管道材料使用防腐材料，防止具有腐蚀性的粪污泄露污染地下水，以保护土壤环境。</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color w:val="auto"/>
          <w:kern w:val="0"/>
          <w:sz w:val="24"/>
          <w:szCs w:val="22"/>
          <w:highlight w:val="none"/>
          <w:lang w:val="en-US" w:eastAsia="zh-CN" w:bidi="ar-SA"/>
        </w:rPr>
      </w:pPr>
      <w:r>
        <w:rPr>
          <w:rFonts w:ascii="Times New Roman" w:hAnsi="Times New Roman" w:eastAsia="宋体" w:cs="Times New Roman"/>
          <w:color w:val="auto"/>
          <w:kern w:val="0"/>
          <w:sz w:val="24"/>
          <w:szCs w:val="22"/>
          <w:highlight w:val="none"/>
          <w:lang w:val="en-US" w:eastAsia="zh-CN" w:bidi="ar-SA"/>
        </w:rPr>
        <w:t>（4）项目运行过程中要严格管理，控制沼液还田利用过程中，要科学合理计算施肥量和施肥间隔期，避免出现过量施肥情况。同时采用科学合理的施肥方式，做到均匀施肥，避免出现局部过量的情况。同时企业运行过程中要经常对粪污管道进行检查检修， 出现破损现象要及时修补或更换，从而防止管道泄漏粪污对土壤尤其是农田的影响。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（5）制定土壤跟踪监测计划，根据项目所在区域地下水流向，在沼液消纳区农田的</w:t>
      </w:r>
      <w:r>
        <w:rPr>
          <w:rFonts w:hint="eastAsia" w:cs="Times New Roman"/>
          <w:color w:val="auto"/>
          <w:kern w:val="0"/>
          <w:sz w:val="24"/>
          <w:szCs w:val="22"/>
          <w:highlight w:val="none"/>
          <w:lang w:eastAsia="zh-CN"/>
        </w:rPr>
        <w:t>东</w:t>
      </w:r>
      <w:r>
        <w:rPr>
          <w:rFonts w:ascii="Times New Roman" w:hAnsi="Times New Roman" w:cs="Times New Roman"/>
          <w:color w:val="auto"/>
          <w:kern w:val="0"/>
          <w:sz w:val="24"/>
          <w:szCs w:val="22"/>
          <w:highlight w:val="none"/>
        </w:rPr>
        <w:t>北侧（上游）、场址处、东南侧（下游）设置土壤监测点位，每</w:t>
      </w:r>
      <w:r>
        <w:rPr>
          <w:rFonts w:hint="eastAsia" w:cs="Times New Roman"/>
          <w:color w:val="auto"/>
          <w:kern w:val="0"/>
          <w:sz w:val="24"/>
          <w:szCs w:val="22"/>
          <w:highlight w:val="none"/>
          <w:lang w:eastAsia="zh-CN"/>
        </w:rPr>
        <w:t>隔</w:t>
      </w:r>
      <w:r>
        <w:rPr>
          <w:rFonts w:ascii="Times New Roman" w:hAnsi="Times New Roman" w:cs="Times New Roman"/>
          <w:color w:val="auto"/>
          <w:kern w:val="0"/>
          <w:sz w:val="24"/>
          <w:szCs w:val="22"/>
          <w:highlight w:val="none"/>
        </w:rPr>
        <w:t>3~5年对配套的沼液消纳区农田进行土壤养分含量监测；每半年对配套农田的中重金属、抗生素进行监测，并保存监测记录，一旦发现土壤出现污染（如重金属、抗生素含量出现农用地风险筛选监控限值），立即停止使用沼液施肥，待该种污染消除后方可继续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kern w:val="0"/>
          <w:sz w:val="24"/>
          <w:szCs w:val="22"/>
          <w:highlight w:val="none"/>
        </w:rPr>
      </w:pPr>
      <w:r>
        <w:rPr>
          <w:rFonts w:ascii="Times New Roman" w:hAnsi="Times New Roman" w:cs="Times New Roman"/>
          <w:color w:val="auto"/>
          <w:kern w:val="0"/>
          <w:sz w:val="24"/>
          <w:szCs w:val="22"/>
          <w:highlight w:val="none"/>
        </w:rPr>
        <w:t xml:space="preserve">在采取以上各项措施后，本项目对场区及周围的土壤环境影响较小。 </w:t>
      </w:r>
    </w:p>
    <w:p>
      <w:pPr>
        <w:pStyle w:val="6"/>
        <w:ind w:firstLine="482"/>
        <w:rPr>
          <w:rFonts w:hint="eastAsia"/>
          <w:color w:val="auto"/>
          <w:highlight w:val="none"/>
          <w:lang w:val="en-US" w:eastAsia="zh-CN"/>
        </w:rPr>
      </w:pPr>
      <w:r>
        <w:rPr>
          <w:rFonts w:hint="eastAsia"/>
          <w:color w:val="auto"/>
          <w:highlight w:val="none"/>
          <w:lang w:val="en-US" w:eastAsia="zh-CN"/>
        </w:rPr>
        <w:t xml:space="preserve">4.2.6.6 评价结论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highlight w:val="none"/>
        </w:rPr>
      </w:pPr>
      <w:r>
        <w:rPr>
          <w:rFonts w:ascii="Times New Roman" w:hAnsi="Times New Roman" w:cs="Times New Roman"/>
          <w:color w:val="auto"/>
          <w:kern w:val="0"/>
          <w:sz w:val="24"/>
          <w:szCs w:val="22"/>
          <w:highlight w:val="none"/>
        </w:rPr>
        <w:t>项目土壤影响途径主要为沼液消纳灌溉和垂直入渗。沼液消纳灌溉影响经预测，项目营运期运行20年，消纳地土壤满足《土壤环境质量 农用地土壤污染风险管控标准（试行）》（GB 15618-2018）表1筛选值</w:t>
      </w:r>
      <w:r>
        <w:rPr>
          <w:rFonts w:hint="eastAsia" w:cs="Times New Roman"/>
          <w:color w:val="auto"/>
          <w:highlight w:val="none"/>
        </w:rPr>
        <w:t>。</w:t>
      </w:r>
    </w:p>
    <w:p>
      <w:pPr>
        <w:pStyle w:val="5"/>
        <w:spacing w:before="66"/>
        <w:ind w:firstLine="482"/>
        <w:rPr>
          <w:rFonts w:hint="eastAsia"/>
          <w:color w:val="auto"/>
          <w:highlight w:val="none"/>
          <w:lang w:val="en-US" w:eastAsia="zh-CN"/>
        </w:rPr>
      </w:pPr>
      <w:r>
        <w:rPr>
          <w:rFonts w:hint="eastAsia"/>
          <w:color w:val="auto"/>
          <w:highlight w:val="none"/>
          <w:lang w:val="en-US" w:eastAsia="zh-CN"/>
        </w:rPr>
        <w:t>4</w:t>
      </w:r>
      <w:r>
        <w:rPr>
          <w:color w:val="auto"/>
          <w:highlight w:val="none"/>
        </w:rPr>
        <w:t>.</w:t>
      </w:r>
      <w:r>
        <w:rPr>
          <w:rFonts w:hint="eastAsia"/>
          <w:color w:val="auto"/>
          <w:highlight w:val="none"/>
        </w:rPr>
        <w:t>2.</w:t>
      </w:r>
      <w:r>
        <w:rPr>
          <w:rFonts w:hint="eastAsia"/>
          <w:color w:val="auto"/>
          <w:highlight w:val="none"/>
          <w:lang w:val="en-US" w:eastAsia="zh-CN"/>
        </w:rPr>
        <w:t>7环境风险评价</w:t>
      </w:r>
    </w:p>
    <w:p>
      <w:pPr>
        <w:ind w:firstLine="480"/>
        <w:rPr>
          <w:rFonts w:cs="Times New Roman"/>
          <w:color w:val="auto"/>
          <w:highlight w:val="none"/>
        </w:rPr>
      </w:pPr>
      <w:r>
        <w:rPr>
          <w:rFonts w:cs="Times New Roman"/>
          <w:color w:val="auto"/>
          <w:highlight w:val="none"/>
        </w:rPr>
        <w:t>环境风险是指的突发性事故造成的重大环境污染的风险，具有危害性大、影响范围广、处理难度大、发生概率难确定等特点，但一旦发生，其破坏性极强、污染极严重，不仅会影响企业的正常生产、生活秩序，还可能造成人员伤亡、生态环境的大范围破坏、国家财产遭受重大损失。</w:t>
      </w:r>
    </w:p>
    <w:p>
      <w:pPr>
        <w:pStyle w:val="6"/>
        <w:ind w:firstLine="482"/>
        <w:rPr>
          <w:rFonts w:hint="eastAsia"/>
          <w:color w:val="auto"/>
          <w:highlight w:val="none"/>
          <w:lang w:val="en-US" w:eastAsia="zh-CN"/>
        </w:rPr>
      </w:pPr>
      <w:r>
        <w:rPr>
          <w:rFonts w:hint="eastAsia"/>
          <w:color w:val="auto"/>
          <w:highlight w:val="none"/>
          <w:lang w:val="en-US" w:eastAsia="zh-CN"/>
        </w:rPr>
        <w:t>4.2.7.1项目风险物质调查</w:t>
      </w:r>
    </w:p>
    <w:p>
      <w:pPr>
        <w:tabs>
          <w:tab w:val="left" w:pos="864"/>
        </w:tabs>
        <w:ind w:firstLine="482"/>
        <w:outlineLvl w:val="9"/>
        <w:rPr>
          <w:rFonts w:hint="eastAsia"/>
          <w:color w:val="auto"/>
          <w:highlight w:val="none"/>
          <w:lang w:val="en-US" w:eastAsia="zh-CN"/>
        </w:rPr>
      </w:pPr>
      <w:r>
        <w:rPr>
          <w:rFonts w:hint="eastAsia"/>
          <w:color w:val="auto"/>
          <w:highlight w:val="none"/>
          <w:lang w:val="en-US" w:eastAsia="zh-CN"/>
        </w:rPr>
        <w:t>根据《建设项目环境风险评价技术导则》（HJ/T169-2018）附录 B，本项目涉及到的危险物质包括沼气（主要成分为甲烷）、高浓度有机废液及养殖过程中的硫化氢（H</w:t>
      </w:r>
      <w:r>
        <w:rPr>
          <w:rFonts w:hint="eastAsia"/>
          <w:color w:val="auto"/>
          <w:highlight w:val="none"/>
          <w:vertAlign w:val="subscript"/>
          <w:lang w:val="en-US" w:eastAsia="zh-CN"/>
        </w:rPr>
        <w:t>2</w:t>
      </w:r>
      <w:r>
        <w:rPr>
          <w:rFonts w:hint="eastAsia"/>
          <w:color w:val="auto"/>
          <w:highlight w:val="none"/>
          <w:lang w:val="en-US" w:eastAsia="zh-CN"/>
        </w:rPr>
        <w:t>S）和氨气（NH</w:t>
      </w:r>
      <w:r>
        <w:rPr>
          <w:rFonts w:hint="eastAsia"/>
          <w:color w:val="auto"/>
          <w:highlight w:val="none"/>
          <w:vertAlign w:val="subscript"/>
          <w:lang w:val="en-US" w:eastAsia="zh-CN"/>
        </w:rPr>
        <w:t>3</w:t>
      </w:r>
      <w:r>
        <w:rPr>
          <w:rFonts w:hint="eastAsia"/>
          <w:color w:val="auto"/>
          <w:highlight w:val="none"/>
          <w:lang w:val="en-US" w:eastAsia="zh-CN"/>
        </w:rPr>
        <w:t>）。根据工程分析，本项目养殖过程中NH</w:t>
      </w:r>
      <w:r>
        <w:rPr>
          <w:rFonts w:hint="eastAsia"/>
          <w:color w:val="auto"/>
          <w:highlight w:val="none"/>
          <w:vertAlign w:val="subscript"/>
          <w:lang w:val="en-US" w:eastAsia="zh-CN"/>
        </w:rPr>
        <w:t>3</w:t>
      </w:r>
      <w:r>
        <w:rPr>
          <w:rFonts w:hint="eastAsia"/>
          <w:color w:val="auto"/>
          <w:highlight w:val="none"/>
          <w:lang w:val="en-US" w:eastAsia="zh-CN"/>
        </w:rPr>
        <w:t>和H</w:t>
      </w:r>
      <w:r>
        <w:rPr>
          <w:rFonts w:hint="eastAsia"/>
          <w:color w:val="auto"/>
          <w:highlight w:val="none"/>
          <w:vertAlign w:val="subscript"/>
          <w:lang w:val="en-US" w:eastAsia="zh-CN"/>
        </w:rPr>
        <w:t>2</w:t>
      </w:r>
      <w:r>
        <w:rPr>
          <w:rFonts w:hint="eastAsia"/>
          <w:color w:val="auto"/>
          <w:highlight w:val="none"/>
          <w:lang w:val="en-US" w:eastAsia="zh-CN"/>
        </w:rPr>
        <w:t>S的产生量很小，且项目配套有各项处理措施对其进行处理，项目厂区周边比较空旷，未被收集处理的NH</w:t>
      </w:r>
      <w:r>
        <w:rPr>
          <w:rFonts w:hint="eastAsia"/>
          <w:color w:val="auto"/>
          <w:highlight w:val="none"/>
          <w:vertAlign w:val="subscript"/>
          <w:lang w:val="en-US" w:eastAsia="zh-CN"/>
        </w:rPr>
        <w:t>3</w:t>
      </w:r>
      <w:r>
        <w:rPr>
          <w:rFonts w:hint="eastAsia"/>
          <w:color w:val="auto"/>
          <w:highlight w:val="none"/>
          <w:lang w:val="en-US" w:eastAsia="zh-CN"/>
        </w:rPr>
        <w:t>和H</w:t>
      </w:r>
      <w:r>
        <w:rPr>
          <w:rFonts w:hint="eastAsia"/>
          <w:color w:val="auto"/>
          <w:highlight w:val="none"/>
          <w:vertAlign w:val="subscript"/>
          <w:lang w:val="en-US" w:eastAsia="zh-CN"/>
        </w:rPr>
        <w:t>2</w:t>
      </w:r>
      <w:r>
        <w:rPr>
          <w:rFonts w:hint="eastAsia"/>
          <w:color w:val="auto"/>
          <w:highlight w:val="none"/>
          <w:lang w:val="en-US" w:eastAsia="zh-CN"/>
        </w:rPr>
        <w:t>S将很快在大气中无组织扩散，对周边环境影响较小。因此，本项目重点关注的风险物质为沼气和高浓度有机废液。</w:t>
      </w:r>
    </w:p>
    <w:p>
      <w:pPr>
        <w:tabs>
          <w:tab w:val="left" w:pos="864"/>
        </w:tabs>
        <w:ind w:firstLine="482"/>
        <w:outlineLvl w:val="9"/>
        <w:rPr>
          <w:rFonts w:hint="eastAsia"/>
          <w:color w:val="auto"/>
          <w:highlight w:val="none"/>
          <w:lang w:val="en-US" w:eastAsia="zh-CN"/>
        </w:rPr>
      </w:pPr>
      <w:r>
        <w:rPr>
          <w:rFonts w:hint="eastAsia"/>
          <w:color w:val="auto"/>
          <w:highlight w:val="none"/>
          <w:lang w:val="en-US" w:eastAsia="zh-CN"/>
        </w:rPr>
        <w:t>沼气的主要成分为甲烷，为易燃、易爆气体。在物质的运输（输送）、贮存和使用过程中，如管理操作不当或发生意外泄露，存在着污染周围环境空气、燃烧爆炸等事故风险。同时项目养殖过程中会产生高浓度有机废水，如果发生泄漏，对地表水和地下水也会产生一定的影响。</w:t>
      </w:r>
    </w:p>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lang w:eastAsia="zh-CN"/>
        </w:rPr>
      </w:pPr>
      <w:r>
        <w:rPr>
          <w:rFonts w:hint="eastAsia" w:eastAsia="宋体"/>
          <w:color w:val="auto"/>
          <w:highlight w:val="none"/>
          <w:lang w:eastAsia="zh-CN"/>
        </w:rPr>
        <w:t>本项目的主要环境风险过程主要是沼气存储、输送及使用过程和高难度有机废水存储和输送过程。</w:t>
      </w:r>
    </w:p>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lang w:eastAsia="zh-CN"/>
        </w:rPr>
      </w:pPr>
      <w:r>
        <w:rPr>
          <w:rFonts w:hint="eastAsia" w:ascii="Times New Roman" w:eastAsia="宋体"/>
          <w:color w:val="auto"/>
          <w:highlight w:val="none"/>
          <w:lang w:val="en-US" w:eastAsia="zh-CN"/>
        </w:rPr>
        <w:t>A、</w:t>
      </w:r>
      <w:r>
        <w:rPr>
          <w:rFonts w:hint="eastAsia" w:eastAsia="宋体"/>
          <w:color w:val="auto"/>
          <w:highlight w:val="none"/>
          <w:lang w:eastAsia="zh-CN"/>
        </w:rPr>
        <w:t>沼气贮存、输送过程</w:t>
      </w:r>
    </w:p>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lang w:eastAsia="zh-CN"/>
        </w:rPr>
      </w:pPr>
      <w:r>
        <w:rPr>
          <w:rFonts w:hint="eastAsia" w:eastAsia="宋体"/>
          <w:color w:val="auto"/>
          <w:highlight w:val="none"/>
          <w:lang w:eastAsia="zh-CN"/>
        </w:rPr>
        <w:t>本项目养猪场沼气工程为黑膜沼气池，沼气分别通过管道输送到食堂</w:t>
      </w:r>
      <w:r>
        <w:rPr>
          <w:rFonts w:hint="eastAsia"/>
          <w:color w:val="auto"/>
          <w:highlight w:val="none"/>
          <w:lang w:eastAsia="zh-CN"/>
        </w:rPr>
        <w:t>和无害化处理车间</w:t>
      </w:r>
      <w:r>
        <w:rPr>
          <w:rFonts w:hint="eastAsia" w:eastAsia="宋体"/>
          <w:color w:val="auto"/>
          <w:highlight w:val="none"/>
          <w:lang w:eastAsia="zh-CN"/>
        </w:rPr>
        <w:t>，故涉及的风险主要为黑膜沼气池中的沼气泄漏，从而污染环境空气、引发火灾、爆炸事故计事故次生废气污染。</w:t>
      </w:r>
    </w:p>
    <w:p>
      <w:pPr>
        <w:keepNext w:val="0"/>
        <w:keepLines w:val="0"/>
        <w:pageBreakBefore w:val="0"/>
        <w:widowControl/>
        <w:kinsoku/>
        <w:wordWrap/>
        <w:overflowPunct/>
        <w:topLinePunct w:val="0"/>
        <w:autoSpaceDE/>
        <w:autoSpaceDN/>
        <w:bidi w:val="0"/>
        <w:adjustRightInd/>
        <w:snapToGrid/>
        <w:ind w:firstLine="480"/>
        <w:textAlignment w:val="auto"/>
        <w:rPr>
          <w:color w:val="auto"/>
          <w:highlight w:val="none"/>
        </w:rPr>
      </w:pPr>
      <w:r>
        <w:rPr>
          <w:rFonts w:hint="eastAsia" w:hAnsi="宋体"/>
          <w:color w:val="auto"/>
          <w:highlight w:val="none"/>
          <w:lang w:eastAsia="zh-CN"/>
        </w:rPr>
        <w:t>甲烷</w:t>
      </w:r>
      <w:r>
        <w:rPr>
          <w:rFonts w:hint="eastAsia" w:hAnsi="宋体"/>
          <w:color w:val="auto"/>
          <w:highlight w:val="none"/>
        </w:rPr>
        <w:t>的理化性质、燃烧爆炸性、毒性见表</w:t>
      </w:r>
      <w:r>
        <w:rPr>
          <w:rFonts w:hint="eastAsia" w:hAnsi="宋体"/>
          <w:color w:val="auto"/>
          <w:highlight w:val="none"/>
          <w:lang w:val="en-US" w:eastAsia="zh-CN"/>
        </w:rPr>
        <w:t>4</w:t>
      </w:r>
      <w:r>
        <w:rPr>
          <w:rFonts w:hint="eastAsia" w:hAnsi="宋体"/>
          <w:color w:val="auto"/>
          <w:highlight w:val="none"/>
        </w:rPr>
        <w:t>.</w:t>
      </w:r>
      <w:r>
        <w:rPr>
          <w:rFonts w:hint="eastAsia" w:hAnsi="宋体"/>
          <w:color w:val="auto"/>
          <w:highlight w:val="none"/>
          <w:lang w:val="en-US" w:eastAsia="zh-CN"/>
        </w:rPr>
        <w:t>2</w:t>
      </w:r>
      <w:r>
        <w:rPr>
          <w:rFonts w:hAnsi="宋体"/>
          <w:color w:val="auto"/>
          <w:highlight w:val="none"/>
        </w:rPr>
        <w:t>-3</w:t>
      </w:r>
      <w:r>
        <w:rPr>
          <w:rFonts w:hint="eastAsia" w:hAnsi="宋体"/>
          <w:color w:val="auto"/>
          <w:highlight w:val="none"/>
          <w:lang w:val="en-US" w:eastAsia="zh-CN"/>
        </w:rPr>
        <w:t>2</w:t>
      </w:r>
      <w:r>
        <w:rPr>
          <w:color w:val="auto"/>
          <w:highlight w:val="none"/>
        </w:rPr>
        <w:t>。</w:t>
      </w:r>
    </w:p>
    <w:p>
      <w:pPr>
        <w:pStyle w:val="40"/>
        <w:rPr>
          <w:rFonts w:hint="eastAsia"/>
          <w:color w:val="auto"/>
          <w:highlight w:val="none"/>
        </w:rPr>
      </w:pPr>
      <w:r>
        <w:rPr>
          <w:rFonts w:hint="eastAsia"/>
          <w:color w:val="auto"/>
          <w:highlight w:val="none"/>
        </w:rPr>
        <w:t>表</w:t>
      </w:r>
      <w:r>
        <w:rPr>
          <w:rFonts w:hint="eastAsia"/>
          <w:color w:val="auto"/>
          <w:highlight w:val="none"/>
          <w:lang w:val="en-US" w:eastAsia="zh-CN"/>
        </w:rPr>
        <w:t>4</w:t>
      </w:r>
      <w:r>
        <w:rPr>
          <w:rFonts w:hint="eastAsia"/>
          <w:color w:val="auto"/>
          <w:highlight w:val="none"/>
        </w:rPr>
        <w:t>.</w:t>
      </w:r>
      <w:r>
        <w:rPr>
          <w:rFonts w:hint="eastAsia"/>
          <w:color w:val="auto"/>
          <w:highlight w:val="none"/>
          <w:lang w:val="en-US" w:eastAsia="zh-CN"/>
        </w:rPr>
        <w:t>2</w:t>
      </w:r>
      <w:r>
        <w:rPr>
          <w:rFonts w:hint="eastAsia"/>
          <w:color w:val="auto"/>
          <w:highlight w:val="none"/>
        </w:rPr>
        <w:t>-3</w:t>
      </w:r>
      <w:r>
        <w:rPr>
          <w:rFonts w:hint="eastAsia"/>
          <w:color w:val="auto"/>
          <w:highlight w:val="none"/>
          <w:lang w:val="en-US" w:eastAsia="zh-CN"/>
        </w:rPr>
        <w:t>2</w:t>
      </w:r>
      <w:r>
        <w:rPr>
          <w:rFonts w:hint="eastAsia"/>
          <w:color w:val="auto"/>
          <w:highlight w:val="none"/>
        </w:rPr>
        <w:t xml:space="preserve"> 毒性物质判别</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970"/>
        <w:gridCol w:w="269"/>
        <w:gridCol w:w="478"/>
        <w:gridCol w:w="1071"/>
        <w:gridCol w:w="900"/>
        <w:gridCol w:w="200"/>
        <w:gridCol w:w="932"/>
        <w:gridCol w:w="716"/>
        <w:gridCol w:w="314"/>
        <w:gridCol w:w="1059"/>
        <w:gridCol w:w="687"/>
        <w:gridCol w:w="7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中文名称</w:t>
            </w:r>
          </w:p>
        </w:tc>
        <w:tc>
          <w:tcPr>
            <w:tcW w:w="1461" w:type="pct"/>
            <w:gridSpan w:val="3"/>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hint="eastAsia" w:cs="Times New Roman"/>
                <w:b w:val="0"/>
                <w:bCs/>
                <w:color w:val="auto"/>
                <w:spacing w:val="2"/>
                <w:sz w:val="21"/>
                <w:highlight w:val="none"/>
              </w:rPr>
              <w:t>甲烷</w:t>
            </w:r>
          </w:p>
        </w:tc>
        <w:tc>
          <w:tcPr>
            <w:tcW w:w="1309" w:type="pct"/>
            <w:gridSpan w:val="4"/>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英文名称</w:t>
            </w:r>
          </w:p>
        </w:tc>
        <w:tc>
          <w:tcPr>
            <w:tcW w:w="1480" w:type="pct"/>
            <w:gridSpan w:val="3"/>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Naturalgasdehydration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外观与性状</w:t>
            </w:r>
          </w:p>
        </w:tc>
        <w:tc>
          <w:tcPr>
            <w:tcW w:w="1461" w:type="pct"/>
            <w:gridSpan w:val="3"/>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无色无味气体</w:t>
            </w:r>
          </w:p>
        </w:tc>
        <w:tc>
          <w:tcPr>
            <w:tcW w:w="1309" w:type="pct"/>
            <w:gridSpan w:val="4"/>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主要成分/分子式</w:t>
            </w:r>
          </w:p>
        </w:tc>
        <w:tc>
          <w:tcPr>
            <w:tcW w:w="1480" w:type="pct"/>
            <w:gridSpan w:val="3"/>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CH</w:t>
            </w:r>
            <w:r>
              <w:rPr>
                <w:rFonts w:cs="Times New Roman"/>
                <w:b w:val="0"/>
                <w:bCs/>
                <w:color w:val="auto"/>
                <w:spacing w:val="2"/>
                <w:sz w:val="21"/>
                <w:highlight w:val="none"/>
                <w:vertAlign w:val="subscript"/>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CASNO.</w:t>
            </w:r>
          </w:p>
        </w:tc>
        <w:tc>
          <w:tcPr>
            <w:tcW w:w="1461" w:type="pct"/>
            <w:gridSpan w:val="3"/>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74-82-8</w:t>
            </w:r>
          </w:p>
        </w:tc>
        <w:tc>
          <w:tcPr>
            <w:tcW w:w="1309" w:type="pct"/>
            <w:gridSpan w:val="4"/>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UN编号：1971</w:t>
            </w:r>
          </w:p>
        </w:tc>
        <w:tc>
          <w:tcPr>
            <w:tcW w:w="1480" w:type="pct"/>
            <w:gridSpan w:val="3"/>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危险货物编号：21007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6" w:type="pct"/>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熔点（</w:t>
            </w:r>
            <w:r>
              <w:rPr>
                <w:rFonts w:hint="eastAsia" w:cs="Times New Roman"/>
                <w:b w:val="0"/>
                <w:bCs/>
                <w:color w:val="auto"/>
                <w:spacing w:val="2"/>
                <w:sz w:val="21"/>
                <w:highlight w:val="none"/>
              </w:rPr>
              <w:t>℃</w:t>
            </w:r>
            <w:r>
              <w:rPr>
                <w:rFonts w:cs="Times New Roman"/>
                <w:b w:val="0"/>
                <w:bCs/>
                <w:color w:val="auto"/>
                <w:spacing w:val="2"/>
                <w:sz w:val="21"/>
                <w:highlight w:val="none"/>
              </w:rPr>
              <w:t>）</w:t>
            </w:r>
          </w:p>
        </w:tc>
        <w:tc>
          <w:tcPr>
            <w:tcW w:w="454" w:type="pct"/>
            <w:gridSpan w:val="2"/>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-182.5</w:t>
            </w:r>
          </w:p>
        </w:tc>
        <w:tc>
          <w:tcPr>
            <w:tcW w:w="627" w:type="pct"/>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沸点（</w:t>
            </w:r>
            <w:r>
              <w:rPr>
                <w:rFonts w:hint="eastAsia" w:cs="Times New Roman"/>
                <w:b w:val="0"/>
                <w:bCs/>
                <w:color w:val="auto"/>
                <w:spacing w:val="2"/>
                <w:sz w:val="21"/>
                <w:highlight w:val="none"/>
              </w:rPr>
              <w:t>℃</w:t>
            </w:r>
            <w:r>
              <w:rPr>
                <w:rFonts w:cs="Times New Roman"/>
                <w:b w:val="0"/>
                <w:bCs/>
                <w:color w:val="auto"/>
                <w:spacing w:val="2"/>
                <w:sz w:val="21"/>
                <w:highlight w:val="none"/>
              </w:rPr>
              <w:t>）</w:t>
            </w:r>
          </w:p>
        </w:tc>
        <w:tc>
          <w:tcPr>
            <w:tcW w:w="544" w:type="pct"/>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-161.5</w:t>
            </w:r>
          </w:p>
        </w:tc>
        <w:tc>
          <w:tcPr>
            <w:tcW w:w="685" w:type="pct"/>
            <w:gridSpan w:val="2"/>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闪点（</w:t>
            </w:r>
            <w:r>
              <w:rPr>
                <w:rFonts w:hint="eastAsia" w:cs="Times New Roman"/>
                <w:b w:val="0"/>
                <w:bCs/>
                <w:color w:val="auto"/>
                <w:spacing w:val="2"/>
                <w:sz w:val="21"/>
                <w:highlight w:val="none"/>
              </w:rPr>
              <w:t>℃</w:t>
            </w:r>
            <w:r>
              <w:rPr>
                <w:rFonts w:cs="Times New Roman"/>
                <w:b w:val="0"/>
                <w:bCs/>
                <w:color w:val="auto"/>
                <w:spacing w:val="2"/>
                <w:sz w:val="21"/>
                <w:highlight w:val="none"/>
              </w:rPr>
              <w:t>）</w:t>
            </w:r>
          </w:p>
        </w:tc>
        <w:tc>
          <w:tcPr>
            <w:tcW w:w="624" w:type="pct"/>
            <w:gridSpan w:val="2"/>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-188</w:t>
            </w:r>
          </w:p>
        </w:tc>
        <w:tc>
          <w:tcPr>
            <w:tcW w:w="640" w:type="pct"/>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引燃温度（</w:t>
            </w:r>
            <w:r>
              <w:rPr>
                <w:rFonts w:hint="eastAsia" w:cs="Times New Roman"/>
                <w:b w:val="0"/>
                <w:bCs/>
                <w:color w:val="auto"/>
                <w:spacing w:val="2"/>
                <w:sz w:val="21"/>
                <w:highlight w:val="none"/>
              </w:rPr>
              <w:t>℃</w:t>
            </w:r>
            <w:r>
              <w:rPr>
                <w:rFonts w:cs="Times New Roman"/>
                <w:b w:val="0"/>
                <w:bCs/>
                <w:color w:val="auto"/>
                <w:spacing w:val="2"/>
                <w:sz w:val="21"/>
                <w:highlight w:val="none"/>
              </w:rPr>
              <w:t>）</w:t>
            </w:r>
          </w:p>
        </w:tc>
        <w:tc>
          <w:tcPr>
            <w:tcW w:w="840" w:type="pct"/>
            <w:gridSpan w:val="2"/>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538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6" w:type="pct"/>
            <w:vMerge w:val="restart"/>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相对密度</w:t>
            </w:r>
          </w:p>
        </w:tc>
        <w:tc>
          <w:tcPr>
            <w:tcW w:w="454" w:type="pct"/>
            <w:gridSpan w:val="2"/>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水=1</w:t>
            </w:r>
          </w:p>
        </w:tc>
        <w:tc>
          <w:tcPr>
            <w:tcW w:w="627" w:type="pct"/>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0.42（-164</w:t>
            </w:r>
            <w:r>
              <w:rPr>
                <w:rFonts w:hint="eastAsia" w:cs="Times New Roman"/>
                <w:b w:val="0"/>
                <w:bCs/>
                <w:color w:val="auto"/>
                <w:spacing w:val="2"/>
                <w:sz w:val="21"/>
                <w:highlight w:val="none"/>
              </w:rPr>
              <w:t>℃</w:t>
            </w:r>
            <w:r>
              <w:rPr>
                <w:rFonts w:cs="Times New Roman"/>
                <w:b w:val="0"/>
                <w:bCs/>
                <w:color w:val="auto"/>
                <w:spacing w:val="2"/>
                <w:sz w:val="21"/>
                <w:highlight w:val="none"/>
              </w:rPr>
              <w:t>）</w:t>
            </w:r>
          </w:p>
        </w:tc>
        <w:tc>
          <w:tcPr>
            <w:tcW w:w="544" w:type="pct"/>
            <w:vMerge w:val="restart"/>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急性毒性</w:t>
            </w:r>
          </w:p>
        </w:tc>
        <w:tc>
          <w:tcPr>
            <w:tcW w:w="685" w:type="pct"/>
            <w:gridSpan w:val="2"/>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LC50（mg/m3）</w:t>
            </w:r>
          </w:p>
        </w:tc>
        <w:tc>
          <w:tcPr>
            <w:tcW w:w="624" w:type="pct"/>
            <w:gridSpan w:val="2"/>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无资料</w:t>
            </w:r>
          </w:p>
        </w:tc>
        <w:tc>
          <w:tcPr>
            <w:tcW w:w="640" w:type="pct"/>
            <w:vMerge w:val="restart"/>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爆炸极限（V%）</w:t>
            </w:r>
          </w:p>
        </w:tc>
        <w:tc>
          <w:tcPr>
            <w:tcW w:w="415" w:type="pct"/>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上限</w:t>
            </w:r>
          </w:p>
        </w:tc>
        <w:tc>
          <w:tcPr>
            <w:tcW w:w="425" w:type="pct"/>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6" w:type="pct"/>
            <w:vMerge w:val="continue"/>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p>
        </w:tc>
        <w:tc>
          <w:tcPr>
            <w:tcW w:w="454" w:type="pct"/>
            <w:gridSpan w:val="2"/>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空气=1</w:t>
            </w:r>
          </w:p>
        </w:tc>
        <w:tc>
          <w:tcPr>
            <w:tcW w:w="627" w:type="pct"/>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0.55</w:t>
            </w:r>
          </w:p>
        </w:tc>
        <w:tc>
          <w:tcPr>
            <w:tcW w:w="544" w:type="pct"/>
            <w:vMerge w:val="continue"/>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p>
        </w:tc>
        <w:tc>
          <w:tcPr>
            <w:tcW w:w="685" w:type="pct"/>
            <w:gridSpan w:val="2"/>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LD50（mg/kg）</w:t>
            </w:r>
          </w:p>
        </w:tc>
        <w:tc>
          <w:tcPr>
            <w:tcW w:w="624" w:type="pct"/>
            <w:gridSpan w:val="2"/>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无资料</w:t>
            </w:r>
          </w:p>
        </w:tc>
        <w:tc>
          <w:tcPr>
            <w:tcW w:w="640" w:type="pct"/>
            <w:vMerge w:val="continue"/>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p>
        </w:tc>
        <w:tc>
          <w:tcPr>
            <w:tcW w:w="415" w:type="pct"/>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下限</w:t>
            </w:r>
          </w:p>
        </w:tc>
        <w:tc>
          <w:tcPr>
            <w:tcW w:w="425" w:type="pct"/>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侵入途径</w:t>
            </w:r>
          </w:p>
        </w:tc>
        <w:tc>
          <w:tcPr>
            <w:tcW w:w="4250" w:type="pct"/>
            <w:gridSpan w:val="10"/>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吸入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危险性类别</w:t>
            </w:r>
          </w:p>
        </w:tc>
        <w:tc>
          <w:tcPr>
            <w:tcW w:w="1583" w:type="pct"/>
            <w:gridSpan w:val="4"/>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第2.1类易燃气体</w:t>
            </w:r>
          </w:p>
        </w:tc>
        <w:tc>
          <w:tcPr>
            <w:tcW w:w="996" w:type="pct"/>
            <w:gridSpan w:val="2"/>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有害燃烧产物</w:t>
            </w:r>
          </w:p>
        </w:tc>
        <w:tc>
          <w:tcPr>
            <w:tcW w:w="1671" w:type="pct"/>
            <w:gridSpan w:val="4"/>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CO</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燃爆危险</w:t>
            </w:r>
          </w:p>
        </w:tc>
        <w:tc>
          <w:tcPr>
            <w:tcW w:w="4250" w:type="pct"/>
            <w:gridSpan w:val="10"/>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易燃，与空气混合能形成爆炸性混合物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灭火方法</w:t>
            </w:r>
          </w:p>
        </w:tc>
        <w:tc>
          <w:tcPr>
            <w:tcW w:w="4250" w:type="pct"/>
            <w:gridSpan w:val="10"/>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切断气源。若不能立即切断气源，则不允许熄灭正在燃烧的气体。喷水冷却容器，可能的话将容器移至空旷处。灭火剂：雾状水、泡沫、二氧化碳、干粉。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健康危害</w:t>
            </w:r>
          </w:p>
        </w:tc>
        <w:tc>
          <w:tcPr>
            <w:tcW w:w="4250" w:type="pct"/>
            <w:gridSpan w:val="10"/>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空气中甲烷浓度过高，能使人窒息。当空气中甲烷达25%~30%时，可引起头痛、头晕、乏力、注意力不集中、呼吸和心跳加速、共济失调。若不及时脱离，可致窒息死亡。皮肤接触液化本品，可致冻伤。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急救措施</w:t>
            </w:r>
          </w:p>
        </w:tc>
        <w:tc>
          <w:tcPr>
            <w:tcW w:w="4250" w:type="pct"/>
            <w:gridSpan w:val="10"/>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吸入：迅速脱离现场至空气新鲜处，保持呼吸道通畅。如呼吸困难，给输氧。呼吸、心跳停止，立即进行心肺复苏术，就医。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泄漏应急处理</w:t>
            </w:r>
          </w:p>
        </w:tc>
        <w:tc>
          <w:tcPr>
            <w:tcW w:w="4250" w:type="pct"/>
            <w:gridSpan w:val="10"/>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迅速撤离泄漏污染区人员至上风处，并进行隔离，严格限制出入。切断火源。应急处理人员戴自给正压式呼吸器，穿消防防护服。尽可能切断泄漏源。合理通风，加速扩散。喷雾状水稀释、溶解。构筑围堤或挖坑收容产生的大量废水。如有可能，将漏出气用排风机送至空旷地方或装设适当喷头烧掉。也可以将漏气的容器移至空旷处，注意通风。漏气容器妥善处理，修复、检验后再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操作注意事项</w:t>
            </w:r>
          </w:p>
        </w:tc>
        <w:tc>
          <w:tcPr>
            <w:tcW w:w="4250" w:type="pct"/>
            <w:gridSpan w:val="10"/>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密闭操作，全面通风。操作人员必须经过专门培训，严格遵守操作规程。远离火种、热源，工作场所严禁吸烟。使用防爆型的通风系统和设备。防止气体泄漏到工作场所空气中。避免与氧化剂接触。在传送过程中，容器必须接地和跨接，防止产生静电。配备相应品种和数量的消防器材及泄漏应急处理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0" w:type="pct"/>
            <w:gridSpan w:val="2"/>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储运注意事项</w:t>
            </w:r>
          </w:p>
        </w:tc>
        <w:tc>
          <w:tcPr>
            <w:tcW w:w="4250" w:type="pct"/>
            <w:gridSpan w:val="10"/>
            <w:tcBorders>
              <w:tl2br w:val="nil"/>
              <w:tr2bl w:val="nil"/>
            </w:tcBorders>
            <w:vAlign w:val="center"/>
          </w:tcPr>
          <w:p>
            <w:pPr>
              <w:spacing w:line="240" w:lineRule="auto"/>
              <w:ind w:right="-20" w:firstLine="0" w:firstLineChars="0"/>
              <w:jc w:val="center"/>
              <w:rPr>
                <w:rFonts w:cs="Times New Roman"/>
                <w:b w:val="0"/>
                <w:bCs/>
                <w:color w:val="auto"/>
                <w:spacing w:val="2"/>
                <w:sz w:val="21"/>
                <w:highlight w:val="none"/>
              </w:rPr>
            </w:pPr>
            <w:r>
              <w:rPr>
                <w:rFonts w:cs="Times New Roman"/>
                <w:b w:val="0"/>
                <w:bCs/>
                <w:color w:val="auto"/>
                <w:spacing w:val="2"/>
                <w:sz w:val="21"/>
                <w:highlight w:val="none"/>
              </w:rPr>
              <w:t>易燃压缩气体。储存于阴凉、干燥、通风良好的不燃库房。仓温不宜超过30</w:t>
            </w:r>
            <w:r>
              <w:rPr>
                <w:rFonts w:hint="eastAsia" w:cs="Times New Roman"/>
                <w:b w:val="0"/>
                <w:bCs/>
                <w:color w:val="auto"/>
                <w:spacing w:val="2"/>
                <w:sz w:val="21"/>
                <w:highlight w:val="none"/>
              </w:rPr>
              <w:t>℃</w:t>
            </w:r>
            <w:r>
              <w:rPr>
                <w:rFonts w:cs="Times New Roman"/>
                <w:b w:val="0"/>
                <w:bCs/>
                <w:color w:val="auto"/>
                <w:spacing w:val="2"/>
                <w:sz w:val="21"/>
                <w:highlight w:val="none"/>
              </w:rPr>
              <w:t>。远离火种、热源。防止阳光直射。应与氧气、压缩空气、卤素、氧化剂等分开存放。储存间内的照明、通风等设施应采用防爆型。禁止使用易产生火花的机械设备和共计。</w:t>
            </w:r>
          </w:p>
        </w:tc>
      </w:tr>
    </w:tbl>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lang w:eastAsia="zh-CN"/>
        </w:rPr>
      </w:pPr>
      <w:r>
        <w:rPr>
          <w:rFonts w:hint="eastAsia" w:ascii="Times New Roman" w:eastAsia="宋体"/>
          <w:color w:val="auto"/>
          <w:highlight w:val="none"/>
          <w:lang w:val="en-US" w:eastAsia="zh-CN"/>
        </w:rPr>
        <w:t>B、</w:t>
      </w:r>
      <w:r>
        <w:rPr>
          <w:rFonts w:hint="eastAsia" w:eastAsia="宋体"/>
          <w:color w:val="auto"/>
          <w:highlight w:val="none"/>
          <w:lang w:eastAsia="zh-CN"/>
        </w:rPr>
        <w:t>高浓度有机废</w:t>
      </w:r>
      <w:r>
        <w:rPr>
          <w:rFonts w:hint="eastAsia"/>
          <w:color w:val="auto"/>
          <w:highlight w:val="none"/>
          <w:lang w:eastAsia="zh-CN"/>
        </w:rPr>
        <w:t>液</w:t>
      </w:r>
    </w:p>
    <w:p>
      <w:pPr>
        <w:keepNext w:val="0"/>
        <w:keepLines w:val="0"/>
        <w:pageBreakBefore w:val="0"/>
        <w:widowControl/>
        <w:kinsoku/>
        <w:wordWrap/>
        <w:overflowPunct/>
        <w:topLinePunct w:val="0"/>
        <w:autoSpaceDE/>
        <w:autoSpaceDN/>
        <w:bidi w:val="0"/>
        <w:adjustRightInd/>
        <w:snapToGrid/>
        <w:ind w:firstLine="480"/>
        <w:textAlignment w:val="auto"/>
        <w:rPr>
          <w:rFonts w:hint="eastAsia" w:eastAsia="宋体"/>
          <w:color w:val="auto"/>
          <w:highlight w:val="none"/>
          <w:lang w:eastAsia="zh-CN"/>
        </w:rPr>
      </w:pPr>
      <w:r>
        <w:rPr>
          <w:rFonts w:hint="eastAsia" w:eastAsia="宋体"/>
          <w:color w:val="auto"/>
          <w:highlight w:val="none"/>
          <w:lang w:eastAsia="zh-CN"/>
        </w:rPr>
        <w:t>项目</w:t>
      </w:r>
      <w:r>
        <w:rPr>
          <w:rFonts w:hint="eastAsia"/>
          <w:color w:val="auto"/>
          <w:highlight w:val="none"/>
          <w:lang w:eastAsia="zh-CN"/>
        </w:rPr>
        <w:t>生产</w:t>
      </w:r>
      <w:r>
        <w:rPr>
          <w:rFonts w:hint="eastAsia" w:eastAsia="宋体"/>
          <w:color w:val="auto"/>
          <w:highlight w:val="none"/>
          <w:lang w:eastAsia="zh-CN"/>
        </w:rPr>
        <w:t>废水与生活污水混合后，废水总排水量为101283.348m</w:t>
      </w:r>
      <w:r>
        <w:rPr>
          <w:rFonts w:hint="eastAsia" w:eastAsia="宋体"/>
          <w:color w:val="auto"/>
          <w:highlight w:val="none"/>
          <w:vertAlign w:val="superscript"/>
          <w:lang w:eastAsia="zh-CN"/>
        </w:rPr>
        <w:t>3</w:t>
      </w:r>
      <w:r>
        <w:rPr>
          <w:rFonts w:hint="eastAsia" w:eastAsia="宋体"/>
          <w:color w:val="auto"/>
          <w:highlight w:val="none"/>
          <w:lang w:eastAsia="zh-CN"/>
        </w:rPr>
        <w:t>/a。项目废水通过管道泵送至固粪处理区进行固液分离，固液分离后废水进入</w:t>
      </w:r>
      <w:r>
        <w:rPr>
          <w:rFonts w:hint="eastAsia"/>
          <w:color w:val="auto"/>
          <w:highlight w:val="none"/>
          <w:lang w:eastAsia="zh-CN"/>
        </w:rPr>
        <w:t>黑膜</w:t>
      </w:r>
      <w:r>
        <w:rPr>
          <w:rFonts w:hint="eastAsia" w:eastAsia="宋体"/>
          <w:color w:val="auto"/>
          <w:highlight w:val="none"/>
          <w:lang w:eastAsia="zh-CN"/>
        </w:rPr>
        <w:t>沼气池，项目不设收集池。废水进入沼气池，经沼气池发酵后废水浓度可降至3000mg/L以下，故本项目COD浓度大于10000mg/L的废水仅存在于污水管道内。因此废水风险单元主要为污水管道破裂。存在的风险主要为污水管道发生泄漏，废水排出，污染地下水、土壤及地表水体。</w:t>
      </w:r>
    </w:p>
    <w:p>
      <w:pPr>
        <w:pStyle w:val="6"/>
        <w:ind w:firstLine="482"/>
        <w:rPr>
          <w:rFonts w:hint="eastAsia"/>
          <w:color w:val="auto"/>
          <w:highlight w:val="none"/>
          <w:lang w:val="en-US" w:eastAsia="zh-CN"/>
        </w:rPr>
      </w:pPr>
      <w:r>
        <w:rPr>
          <w:rFonts w:hint="eastAsia"/>
          <w:color w:val="auto"/>
          <w:highlight w:val="none"/>
          <w:lang w:val="en-US" w:eastAsia="zh-CN"/>
        </w:rPr>
        <w:t>4.2.7.2环境风险潜势初判</w:t>
      </w:r>
    </w:p>
    <w:p>
      <w:pPr>
        <w:numPr>
          <w:ilvl w:val="0"/>
          <w:numId w:val="17"/>
        </w:numPr>
        <w:ind w:firstLine="480"/>
        <w:rPr>
          <w:rFonts w:hint="eastAsia" w:hAnsi="宋体"/>
          <w:color w:val="auto"/>
          <w:highlight w:val="none"/>
        </w:rPr>
      </w:pPr>
      <w:r>
        <w:rPr>
          <w:rFonts w:hint="eastAsia" w:hAnsi="宋体"/>
          <w:color w:val="auto"/>
          <w:highlight w:val="none"/>
        </w:rPr>
        <w:t>危险物质及工艺系统危险性（P）</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heme="minorBidi"/>
          <w:color w:val="auto"/>
          <w:kern w:val="2"/>
          <w:sz w:val="24"/>
          <w:szCs w:val="24"/>
          <w:highlight w:val="none"/>
          <w:lang w:val="en-US" w:eastAsia="zh-CN" w:bidi="ar-SA"/>
        </w:rPr>
      </w:pPr>
      <w:r>
        <w:rPr>
          <w:rFonts w:hint="eastAsia" w:ascii="Times New Roman" w:hAnsi="Times New Roman" w:eastAsia="宋体" w:cstheme="minorBidi"/>
          <w:color w:val="auto"/>
          <w:kern w:val="2"/>
          <w:sz w:val="24"/>
          <w:szCs w:val="24"/>
          <w:highlight w:val="none"/>
          <w:lang w:val="en-US" w:eastAsia="zh-CN" w:bidi="ar-SA"/>
        </w:rPr>
        <w:t>（1）危险物质数量与临界量比值（Q）</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heme="minorBidi"/>
          <w:color w:val="auto"/>
          <w:kern w:val="2"/>
          <w:sz w:val="24"/>
          <w:szCs w:val="24"/>
          <w:highlight w:val="none"/>
          <w:lang w:val="en-US" w:eastAsia="zh-CN" w:bidi="ar-SA"/>
        </w:rPr>
      </w:pPr>
      <w:r>
        <w:rPr>
          <w:rFonts w:hint="eastAsia" w:ascii="Times New Roman" w:hAnsi="Times New Roman" w:eastAsia="宋体" w:cstheme="minorBidi"/>
          <w:color w:val="auto"/>
          <w:kern w:val="2"/>
          <w:sz w:val="24"/>
          <w:szCs w:val="24"/>
          <w:highlight w:val="none"/>
          <w:lang w:val="en-US" w:eastAsia="zh-CN" w:bidi="ar-SA"/>
        </w:rPr>
        <w:t>根据《建设项目环境风险评价技术导则》（HJ 169-2018），危险物质及工艺系统危害性（P）应根据危险物质数量与临界量的比值（Q）和行业及生产工艺（M）确定。根据《建设项目环境风险评价技术导则》（HJ 169-2018）附录C，Q值按照下式进行计算：</w:t>
      </w:r>
    </w:p>
    <w:p>
      <w:pPr>
        <w:rPr>
          <w:rFonts w:hint="eastAsia"/>
          <w:color w:val="auto"/>
          <w:highlight w:val="none"/>
          <w:lang w:val="en-US" w:eastAsia="zh-CN"/>
        </w:rPr>
      </w:pPr>
      <w:r>
        <w:rPr>
          <w:rFonts w:hint="eastAsia"/>
          <w:color w:val="auto"/>
          <w:highlight w:val="none"/>
          <w:lang w:val="en-US" w:eastAsia="zh-CN"/>
        </w:rPr>
        <w:t>Q=q1/Q1+q2/Q2+…qn/Qn</w:t>
      </w:r>
    </w:p>
    <w:p>
      <w:pPr>
        <w:rPr>
          <w:rFonts w:hint="eastAsia"/>
          <w:color w:val="auto"/>
          <w:highlight w:val="none"/>
          <w:lang w:val="en-US" w:eastAsia="zh-CN"/>
        </w:rPr>
      </w:pPr>
      <w:r>
        <w:rPr>
          <w:rFonts w:hint="eastAsia"/>
          <w:color w:val="auto"/>
          <w:highlight w:val="none"/>
          <w:lang w:val="en-US" w:eastAsia="zh-CN"/>
        </w:rPr>
        <w:t>式中：q1，q2……qn—每种危险物质的最大存在量，t；</w:t>
      </w:r>
    </w:p>
    <w:p>
      <w:pPr>
        <w:rPr>
          <w:rFonts w:hint="eastAsia"/>
          <w:color w:val="auto"/>
          <w:highlight w:val="none"/>
          <w:lang w:val="en-US" w:eastAsia="zh-CN"/>
        </w:rPr>
      </w:pPr>
      <w:r>
        <w:rPr>
          <w:rFonts w:hint="eastAsia"/>
          <w:color w:val="auto"/>
          <w:highlight w:val="none"/>
          <w:lang w:val="en-US" w:eastAsia="zh-CN"/>
        </w:rPr>
        <w:t>Q1，Q2…Qn—每种危险物质的临界量，t。</w:t>
      </w:r>
    </w:p>
    <w:p>
      <w:pPr>
        <w:rPr>
          <w:rFonts w:hint="eastAsia"/>
          <w:color w:val="auto"/>
          <w:highlight w:val="none"/>
          <w:lang w:val="en-US" w:eastAsia="zh-CN"/>
        </w:rPr>
      </w:pPr>
      <w:r>
        <w:rPr>
          <w:rFonts w:hint="eastAsia"/>
          <w:color w:val="auto"/>
          <w:highlight w:val="none"/>
          <w:lang w:val="en-US" w:eastAsia="zh-CN"/>
        </w:rPr>
        <w:t>当 Q＜1 时，该项目环境风险潜势为I。</w:t>
      </w:r>
    </w:p>
    <w:p>
      <w:pPr>
        <w:rPr>
          <w:rFonts w:hint="eastAsia"/>
          <w:color w:val="auto"/>
          <w:highlight w:val="none"/>
          <w:lang w:val="en-US" w:eastAsia="zh-CN"/>
        </w:rPr>
      </w:pPr>
      <w:r>
        <w:rPr>
          <w:rFonts w:hint="eastAsia"/>
          <w:color w:val="auto"/>
          <w:highlight w:val="none"/>
          <w:lang w:val="en-US" w:eastAsia="zh-CN"/>
        </w:rPr>
        <w:t>当 Q≥1 时，将Q 值划分为：（1）1≤Q＜10；（2）10≤Q＜100；（3）Q≥100。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本项目共建有</w:t>
      </w:r>
      <w:r>
        <w:rPr>
          <w:rFonts w:hint="default" w:ascii="Times New Roman" w:hAnsi="Times New Roman" w:cs="Times New Roman"/>
          <w:color w:val="auto"/>
          <w:sz w:val="24"/>
          <w:szCs w:val="22"/>
          <w:highlight w:val="none"/>
          <w:lang w:val="en-US" w:eastAsia="zh-CN"/>
        </w:rPr>
        <w:t>1</w:t>
      </w:r>
      <w:r>
        <w:rPr>
          <w:rFonts w:hint="default" w:ascii="Times New Roman" w:hAnsi="Times New Roman" w:cs="Times New Roman"/>
          <w:color w:val="auto"/>
          <w:sz w:val="24"/>
          <w:szCs w:val="22"/>
          <w:highlight w:val="none"/>
        </w:rPr>
        <w:t>座</w:t>
      </w:r>
      <w:r>
        <w:rPr>
          <w:rFonts w:hint="eastAsia" w:ascii="Times New Roman" w:hAnsi="Times New Roman" w:cs="Times New Roman"/>
          <w:color w:val="auto"/>
          <w:sz w:val="24"/>
          <w:szCs w:val="22"/>
          <w:highlight w:val="none"/>
          <w:lang w:eastAsia="zh-CN"/>
        </w:rPr>
        <w:t>黑膜</w:t>
      </w:r>
      <w:r>
        <w:rPr>
          <w:rFonts w:hint="default" w:ascii="Times New Roman" w:hAnsi="Times New Roman" w:cs="Times New Roman"/>
          <w:color w:val="auto"/>
          <w:sz w:val="24"/>
          <w:szCs w:val="22"/>
          <w:highlight w:val="none"/>
        </w:rPr>
        <w:t>沼气池，沼液的厌氧发酵在此完成，沼气日产量为</w:t>
      </w:r>
      <w:r>
        <w:rPr>
          <w:rFonts w:hint="eastAsia" w:cs="Times New Roman"/>
          <w:color w:val="auto"/>
          <w:sz w:val="24"/>
          <w:szCs w:val="22"/>
          <w:highlight w:val="none"/>
          <w:lang w:val="en-US" w:eastAsia="zh-CN"/>
        </w:rPr>
        <w:t>1109</w:t>
      </w:r>
      <w:r>
        <w:rPr>
          <w:rFonts w:hint="default" w:ascii="Times New Roman" w:hAnsi="Times New Roman" w:cs="Times New Roman"/>
          <w:color w:val="auto"/>
          <w:sz w:val="24"/>
          <w:szCs w:val="22"/>
          <w:highlight w:val="none"/>
        </w:rPr>
        <w:t>m</w:t>
      </w:r>
      <w:r>
        <w:rPr>
          <w:rFonts w:hint="default" w:ascii="Times New Roman" w:hAnsi="Times New Roman" w:cs="Times New Roman"/>
          <w:color w:val="auto"/>
          <w:sz w:val="24"/>
          <w:szCs w:val="22"/>
          <w:highlight w:val="none"/>
          <w:vertAlign w:val="superscript"/>
        </w:rPr>
        <w:t>3</w:t>
      </w:r>
      <w:r>
        <w:rPr>
          <w:rFonts w:hint="default" w:ascii="Times New Roman" w:hAnsi="Times New Roman" w:cs="Times New Roman"/>
          <w:color w:val="auto"/>
          <w:sz w:val="24"/>
          <w:szCs w:val="22"/>
          <w:highlight w:val="none"/>
        </w:rPr>
        <w:t>，产生的沼气优先用作职工食堂炊事燃料</w:t>
      </w:r>
      <w:r>
        <w:rPr>
          <w:rFonts w:hint="default" w:ascii="Times New Roman" w:hAnsi="Times New Roman" w:cs="Times New Roman"/>
          <w:color w:val="auto"/>
          <w:sz w:val="24"/>
          <w:szCs w:val="22"/>
          <w:highlight w:val="none"/>
          <w:lang w:eastAsia="zh-CN"/>
        </w:rPr>
        <w:t>，</w:t>
      </w:r>
      <w:r>
        <w:rPr>
          <w:rFonts w:hint="eastAsia" w:ascii="Times New Roman" w:hAnsi="Times New Roman" w:cs="Times New Roman"/>
          <w:color w:val="auto"/>
          <w:sz w:val="24"/>
          <w:szCs w:val="22"/>
          <w:highlight w:val="none"/>
          <w:lang w:eastAsia="zh-CN"/>
        </w:rPr>
        <w:t>其余部分全部</w:t>
      </w:r>
      <w:r>
        <w:rPr>
          <w:rFonts w:hint="eastAsia" w:cs="Times New Roman"/>
          <w:color w:val="auto"/>
          <w:sz w:val="24"/>
          <w:szCs w:val="22"/>
          <w:highlight w:val="none"/>
          <w:lang w:eastAsia="zh-CN"/>
        </w:rPr>
        <w:t>用于无害化处理车间</w:t>
      </w:r>
      <w:r>
        <w:rPr>
          <w:rFonts w:hint="default" w:ascii="Times New Roman" w:hAnsi="Times New Roman" w:cs="Times New Roman"/>
          <w:color w:val="auto"/>
          <w:sz w:val="24"/>
          <w:szCs w:val="22"/>
          <w:highlight w:val="none"/>
          <w:lang w:eastAsia="zh-CN"/>
        </w:rPr>
        <w:t>。</w:t>
      </w:r>
      <w:r>
        <w:rPr>
          <w:rFonts w:hint="default" w:ascii="Times New Roman" w:hAnsi="Times New Roman" w:cs="Times New Roman"/>
          <w:color w:val="auto"/>
          <w:sz w:val="24"/>
          <w:szCs w:val="22"/>
          <w:highlight w:val="none"/>
        </w:rPr>
        <w:t>本次评价沼气存在量以单日沼气最大产生量的10倍进行计算，沼气组分中甲烷含量为60%，则沼气中甲烷最大储存量为</w:t>
      </w:r>
      <w:r>
        <w:rPr>
          <w:rFonts w:hint="eastAsia" w:cs="Times New Roman"/>
          <w:color w:val="auto"/>
          <w:sz w:val="24"/>
          <w:szCs w:val="22"/>
          <w:highlight w:val="none"/>
          <w:lang w:val="en-US" w:eastAsia="zh-CN"/>
        </w:rPr>
        <w:t>6654</w:t>
      </w:r>
      <w:r>
        <w:rPr>
          <w:rFonts w:hint="default" w:ascii="Times New Roman" w:hAnsi="Times New Roman" w:cs="Times New Roman"/>
          <w:color w:val="auto"/>
          <w:sz w:val="24"/>
          <w:szCs w:val="22"/>
          <w:highlight w:val="none"/>
        </w:rPr>
        <w:t>m</w:t>
      </w:r>
      <w:r>
        <w:rPr>
          <w:rFonts w:hint="default" w:ascii="Times New Roman" w:hAnsi="Times New Roman" w:cs="Times New Roman"/>
          <w:color w:val="auto"/>
          <w:sz w:val="24"/>
          <w:szCs w:val="22"/>
          <w:highlight w:val="none"/>
          <w:vertAlign w:val="superscript"/>
        </w:rPr>
        <w:t>3</w:t>
      </w:r>
      <w:r>
        <w:rPr>
          <w:rFonts w:hint="default" w:ascii="Times New Roman" w:hAnsi="Times New Roman" w:cs="Times New Roman"/>
          <w:color w:val="auto"/>
          <w:sz w:val="24"/>
          <w:szCs w:val="22"/>
          <w:highlight w:val="none"/>
        </w:rPr>
        <w:t>，甲烷密度为0.71kg/m</w:t>
      </w:r>
      <w:r>
        <w:rPr>
          <w:rFonts w:hint="default" w:ascii="Times New Roman" w:hAnsi="Times New Roman" w:cs="Times New Roman"/>
          <w:color w:val="auto"/>
          <w:sz w:val="24"/>
          <w:szCs w:val="22"/>
          <w:highlight w:val="none"/>
          <w:vertAlign w:val="superscript"/>
        </w:rPr>
        <w:t>3</w:t>
      </w:r>
      <w:r>
        <w:rPr>
          <w:rFonts w:hint="default" w:ascii="Times New Roman" w:hAnsi="Times New Roman" w:cs="Times New Roman"/>
          <w:color w:val="auto"/>
          <w:sz w:val="24"/>
          <w:szCs w:val="22"/>
          <w:highlight w:val="none"/>
        </w:rPr>
        <w:t>，则甲烷最大存在量</w:t>
      </w:r>
      <w:r>
        <w:rPr>
          <w:rFonts w:hint="eastAsia" w:cs="Times New Roman"/>
          <w:color w:val="auto"/>
          <w:sz w:val="24"/>
          <w:szCs w:val="22"/>
          <w:highlight w:val="none"/>
          <w:lang w:val="en-US" w:eastAsia="zh-CN"/>
        </w:rPr>
        <w:t>4.72</w:t>
      </w:r>
      <w:r>
        <w:rPr>
          <w:rFonts w:hint="default" w:ascii="Times New Roman" w:hAnsi="Times New Roman" w:cs="Times New Roman"/>
          <w:color w:val="auto"/>
          <w:sz w:val="24"/>
          <w:szCs w:val="22"/>
          <w:highlight w:val="none"/>
        </w:rPr>
        <w:t>t。</w:t>
      </w:r>
    </w:p>
    <w:p>
      <w:pPr>
        <w:pStyle w:val="23"/>
        <w:keepNext w:val="0"/>
        <w:keepLines w:val="0"/>
        <w:pageBreakBefore w:val="0"/>
        <w:kinsoku/>
        <w:wordWrap/>
        <w:overflowPunct/>
        <w:topLinePunct w:val="0"/>
        <w:autoSpaceDE/>
        <w:autoSpaceDN/>
        <w:bidi w:val="0"/>
        <w:adjustRightInd/>
        <w:snapToGrid/>
        <w:spacing w:before="0" w:beforeLines="0" w:after="0" w:afterLines="0"/>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项目养殖废水与生活污水混合后，废水总排水量为101283.348m</w:t>
      </w:r>
      <w:r>
        <w:rPr>
          <w:rFonts w:hint="default" w:ascii="Times New Roman" w:hAnsi="Times New Roman" w:eastAsia="宋体" w:cs="Times New Roman"/>
          <w:color w:val="auto"/>
          <w:kern w:val="2"/>
          <w:sz w:val="24"/>
          <w:szCs w:val="22"/>
          <w:highlight w:val="none"/>
          <w:vertAlign w:val="superscript"/>
          <w:lang w:val="en-US" w:eastAsia="zh-CN" w:bidi="ar-SA"/>
        </w:rPr>
        <w:t>3</w:t>
      </w:r>
      <w:r>
        <w:rPr>
          <w:rFonts w:hint="default" w:ascii="Times New Roman" w:hAnsi="Times New Roman" w:eastAsia="宋体" w:cs="Times New Roman"/>
          <w:color w:val="auto"/>
          <w:kern w:val="2"/>
          <w:sz w:val="24"/>
          <w:szCs w:val="22"/>
          <w:highlight w:val="none"/>
          <w:lang w:val="en-US" w:eastAsia="zh-CN" w:bidi="ar-SA"/>
        </w:rPr>
        <w:t>/a。</w:t>
      </w:r>
      <w:r>
        <w:rPr>
          <w:rFonts w:hint="eastAsia" w:ascii="Times New Roman" w:hAnsi="Times New Roman" w:cs="Times New Roman"/>
          <w:color w:val="auto"/>
          <w:kern w:val="2"/>
          <w:sz w:val="24"/>
          <w:szCs w:val="22"/>
          <w:highlight w:val="none"/>
          <w:lang w:val="en-US" w:eastAsia="zh-CN" w:bidi="ar-SA"/>
        </w:rPr>
        <w:t>项目废水</w:t>
      </w:r>
      <w:r>
        <w:rPr>
          <w:rFonts w:hint="default" w:ascii="Times New Roman" w:hAnsi="Times New Roman" w:eastAsia="宋体" w:cs="Times New Roman"/>
          <w:color w:val="auto"/>
          <w:kern w:val="2"/>
          <w:sz w:val="24"/>
          <w:szCs w:val="22"/>
          <w:highlight w:val="none"/>
          <w:lang w:val="en-US" w:eastAsia="zh-CN" w:bidi="ar-SA"/>
        </w:rPr>
        <w:t>通过管道泵送至固粪处理区进行固液分离，固液分离后废水进入</w:t>
      </w:r>
      <w:r>
        <w:rPr>
          <w:rFonts w:hint="eastAsia" w:ascii="Times New Roman" w:hAnsi="Times New Roman" w:cs="Times New Roman"/>
          <w:color w:val="auto"/>
          <w:kern w:val="2"/>
          <w:sz w:val="24"/>
          <w:szCs w:val="22"/>
          <w:highlight w:val="none"/>
          <w:lang w:val="en-US" w:eastAsia="zh-CN" w:bidi="ar-SA"/>
        </w:rPr>
        <w:t>黑膜</w:t>
      </w:r>
      <w:r>
        <w:rPr>
          <w:rFonts w:hint="default" w:ascii="Times New Roman" w:hAnsi="Times New Roman" w:eastAsia="宋体" w:cs="Times New Roman"/>
          <w:color w:val="auto"/>
          <w:kern w:val="2"/>
          <w:sz w:val="24"/>
          <w:szCs w:val="22"/>
          <w:highlight w:val="none"/>
          <w:lang w:val="en-US" w:eastAsia="zh-CN" w:bidi="ar-SA"/>
        </w:rPr>
        <w:t>沼气池，经沼气池发酵后废水浓度可降至3000mg/L以下，故本项目COD浓度大于10000mg/L的废水仅存在于</w:t>
      </w:r>
      <w:r>
        <w:rPr>
          <w:rFonts w:hint="eastAsia" w:ascii="Times New Roman" w:hAnsi="Times New Roman" w:cs="Times New Roman"/>
          <w:color w:val="auto"/>
          <w:kern w:val="2"/>
          <w:sz w:val="24"/>
          <w:szCs w:val="22"/>
          <w:highlight w:val="none"/>
          <w:lang w:val="en-US" w:eastAsia="zh-CN" w:bidi="ar-SA"/>
        </w:rPr>
        <w:t>污水管道</w:t>
      </w:r>
      <w:r>
        <w:rPr>
          <w:rFonts w:hint="default" w:ascii="Times New Roman" w:hAnsi="Times New Roman" w:eastAsia="宋体" w:cs="Times New Roman"/>
          <w:color w:val="auto"/>
          <w:kern w:val="2"/>
          <w:sz w:val="24"/>
          <w:szCs w:val="22"/>
          <w:highlight w:val="none"/>
          <w:lang w:val="en-US" w:eastAsia="zh-CN" w:bidi="ar-SA"/>
        </w:rPr>
        <w:t>内。污水管道内废水COD浓度高达19500mg/L，属于环境风险</w:t>
      </w:r>
      <w:r>
        <w:rPr>
          <w:rFonts w:hint="eastAsia" w:cs="Times New Roman"/>
          <w:color w:val="auto"/>
          <w:kern w:val="2"/>
          <w:sz w:val="24"/>
          <w:szCs w:val="22"/>
          <w:highlight w:val="none"/>
          <w:lang w:val="en-US" w:eastAsia="zh-CN" w:bidi="ar-SA"/>
        </w:rPr>
        <w:t>物质</w:t>
      </w:r>
      <w:r>
        <w:rPr>
          <w:rFonts w:hint="default" w:ascii="Times New Roman" w:hAnsi="Times New Roman" w:eastAsia="宋体" w:cs="Times New Roman"/>
          <w:color w:val="auto"/>
          <w:kern w:val="2"/>
          <w:sz w:val="24"/>
          <w:szCs w:val="22"/>
          <w:highlight w:val="none"/>
          <w:lang w:val="en-US" w:eastAsia="zh-CN" w:bidi="ar-SA"/>
        </w:rPr>
        <w:t>的废水量最大为</w:t>
      </w:r>
      <w:r>
        <w:rPr>
          <w:rFonts w:hint="eastAsia" w:ascii="Times New Roman" w:hAnsi="Times New Roman" w:cs="Times New Roman"/>
          <w:color w:val="auto"/>
          <w:kern w:val="2"/>
          <w:sz w:val="24"/>
          <w:szCs w:val="22"/>
          <w:highlight w:val="none"/>
          <w:lang w:val="en-US" w:eastAsia="zh-CN" w:bidi="ar-SA"/>
        </w:rPr>
        <w:t>333.491</w:t>
      </w:r>
      <w:r>
        <w:rPr>
          <w:rFonts w:hint="default" w:ascii="Times New Roman" w:hAnsi="Times New Roman" w:eastAsia="宋体" w:cs="Times New Roman"/>
          <w:color w:val="auto"/>
          <w:kern w:val="2"/>
          <w:sz w:val="24"/>
          <w:szCs w:val="22"/>
          <w:highlight w:val="none"/>
          <w:lang w:val="en-US" w:eastAsia="zh-CN" w:bidi="ar-SA"/>
        </w:rPr>
        <w:t>t。</w:t>
      </w:r>
    </w:p>
    <w:p>
      <w:pPr>
        <w:ind w:firstLine="480"/>
        <w:rPr>
          <w:color w:val="auto"/>
          <w:highlight w:val="none"/>
        </w:rPr>
      </w:pPr>
      <w:r>
        <w:rPr>
          <w:rFonts w:hAnsi="宋体"/>
          <w:color w:val="auto"/>
          <w:highlight w:val="none"/>
        </w:rPr>
        <w:t>本项目贮存单元涉及的危险物质最大贮存量及临界量见表</w:t>
      </w:r>
      <w:r>
        <w:rPr>
          <w:rFonts w:hint="eastAsia"/>
          <w:color w:val="auto"/>
          <w:highlight w:val="none"/>
          <w:lang w:val="en-US" w:eastAsia="zh-CN"/>
        </w:rPr>
        <w:t>4</w:t>
      </w:r>
      <w:r>
        <w:rPr>
          <w:color w:val="auto"/>
          <w:highlight w:val="none"/>
        </w:rPr>
        <w:t>.</w:t>
      </w:r>
      <w:r>
        <w:rPr>
          <w:rFonts w:hint="eastAsia"/>
          <w:color w:val="auto"/>
          <w:highlight w:val="none"/>
          <w:lang w:val="en-US" w:eastAsia="zh-CN"/>
        </w:rPr>
        <w:t>2</w:t>
      </w:r>
      <w:r>
        <w:rPr>
          <w:color w:val="auto"/>
          <w:highlight w:val="none"/>
        </w:rPr>
        <w:t>-</w:t>
      </w:r>
      <w:r>
        <w:rPr>
          <w:rFonts w:hint="eastAsia"/>
          <w:color w:val="auto"/>
          <w:highlight w:val="none"/>
          <w:lang w:val="en-US" w:eastAsia="zh-CN"/>
        </w:rPr>
        <w:t>33</w:t>
      </w:r>
      <w:r>
        <w:rPr>
          <w:rFonts w:hAnsi="宋体"/>
          <w:color w:val="auto"/>
          <w:highlight w:val="none"/>
        </w:rPr>
        <w:t>。</w:t>
      </w:r>
    </w:p>
    <w:p>
      <w:pPr>
        <w:pStyle w:val="40"/>
        <w:rPr>
          <w:rFonts w:hint="eastAsia"/>
          <w:color w:val="auto"/>
          <w:highlight w:val="none"/>
        </w:rPr>
      </w:pPr>
      <w:r>
        <w:rPr>
          <w:rFonts w:hint="eastAsia"/>
          <w:color w:val="auto"/>
          <w:highlight w:val="none"/>
        </w:rPr>
        <w:t>表</w:t>
      </w:r>
      <w:r>
        <w:rPr>
          <w:rFonts w:hint="eastAsia"/>
          <w:color w:val="auto"/>
          <w:highlight w:val="none"/>
          <w:lang w:val="en-US" w:eastAsia="zh-CN"/>
        </w:rPr>
        <w:t>4</w:t>
      </w:r>
      <w:r>
        <w:rPr>
          <w:rFonts w:hint="eastAsia"/>
          <w:color w:val="auto"/>
          <w:highlight w:val="none"/>
        </w:rPr>
        <w:t>.</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33</w:t>
      </w:r>
      <w:r>
        <w:rPr>
          <w:rFonts w:hint="eastAsia"/>
          <w:color w:val="auto"/>
          <w:highlight w:val="none"/>
        </w:rPr>
        <w:t xml:space="preserve"> 贮存单元危险物质最大贮存量及临界量</w:t>
      </w:r>
    </w:p>
    <w:tbl>
      <w:tblPr>
        <w:tblStyle w:val="2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715"/>
        <w:gridCol w:w="1434"/>
        <w:gridCol w:w="2611"/>
        <w:gridCol w:w="1503"/>
        <w:gridCol w:w="1503"/>
        <w:gridCol w:w="6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26" w:type="pct"/>
            <w:tcBorders>
              <w:tl2br w:val="nil"/>
              <w:tr2bl w:val="nil"/>
            </w:tcBorders>
            <w:shd w:val="clear" w:color="auto" w:fill="FFFFFF"/>
            <w:vAlign w:val="center"/>
          </w:tcPr>
          <w:p>
            <w:pPr>
              <w:pStyle w:val="22"/>
              <w:spacing w:after="0" w:line="240" w:lineRule="auto"/>
              <w:ind w:firstLine="0" w:firstLineChars="0"/>
              <w:jc w:val="center"/>
              <w:rPr>
                <w:b w:val="0"/>
                <w:bCs/>
                <w:color w:val="auto"/>
                <w:szCs w:val="21"/>
                <w:highlight w:val="none"/>
              </w:rPr>
            </w:pPr>
            <w:r>
              <w:rPr>
                <w:rFonts w:hAnsi="宋体"/>
                <w:b w:val="0"/>
                <w:bCs/>
                <w:color w:val="auto"/>
                <w:szCs w:val="21"/>
                <w:highlight w:val="none"/>
              </w:rPr>
              <w:t>序号</w:t>
            </w:r>
          </w:p>
        </w:tc>
        <w:tc>
          <w:tcPr>
            <w:tcW w:w="851" w:type="pct"/>
            <w:tcBorders>
              <w:tl2br w:val="nil"/>
              <w:tr2bl w:val="nil"/>
            </w:tcBorders>
            <w:shd w:val="clear" w:color="auto" w:fill="FFFFFF"/>
            <w:tcMar>
              <w:left w:w="0" w:type="dxa"/>
              <w:right w:w="0" w:type="dxa"/>
            </w:tcMar>
            <w:vAlign w:val="center"/>
          </w:tcPr>
          <w:p>
            <w:pPr>
              <w:pStyle w:val="22"/>
              <w:spacing w:after="0" w:line="240" w:lineRule="auto"/>
              <w:ind w:firstLine="0" w:firstLineChars="0"/>
              <w:jc w:val="center"/>
              <w:rPr>
                <w:b w:val="0"/>
                <w:bCs/>
                <w:color w:val="auto"/>
                <w:szCs w:val="21"/>
                <w:highlight w:val="none"/>
              </w:rPr>
            </w:pPr>
            <w:r>
              <w:rPr>
                <w:rFonts w:hAnsi="宋体"/>
                <w:b w:val="0"/>
                <w:bCs/>
                <w:color w:val="auto"/>
                <w:szCs w:val="21"/>
                <w:highlight w:val="none"/>
              </w:rPr>
              <w:t>车间名称</w:t>
            </w:r>
          </w:p>
        </w:tc>
        <w:tc>
          <w:tcPr>
            <w:tcW w:w="1546" w:type="pct"/>
            <w:tcBorders>
              <w:tl2br w:val="nil"/>
              <w:tr2bl w:val="nil"/>
            </w:tcBorders>
            <w:shd w:val="clear" w:color="auto" w:fill="FFFFFF"/>
            <w:tcMar>
              <w:left w:w="0" w:type="dxa"/>
              <w:right w:w="0" w:type="dxa"/>
            </w:tcMar>
            <w:vAlign w:val="center"/>
          </w:tcPr>
          <w:p>
            <w:pPr>
              <w:pStyle w:val="22"/>
              <w:spacing w:after="0" w:line="240" w:lineRule="auto"/>
              <w:ind w:firstLine="0" w:firstLineChars="0"/>
              <w:jc w:val="center"/>
              <w:rPr>
                <w:b w:val="0"/>
                <w:bCs/>
                <w:color w:val="auto"/>
                <w:szCs w:val="21"/>
                <w:highlight w:val="none"/>
              </w:rPr>
            </w:pPr>
            <w:r>
              <w:rPr>
                <w:rFonts w:hAnsi="宋体"/>
                <w:b w:val="0"/>
                <w:bCs/>
                <w:color w:val="auto"/>
                <w:szCs w:val="21"/>
                <w:highlight w:val="none"/>
              </w:rPr>
              <w:t>原料名称</w:t>
            </w:r>
          </w:p>
        </w:tc>
        <w:tc>
          <w:tcPr>
            <w:tcW w:w="891" w:type="pct"/>
            <w:tcBorders>
              <w:tl2br w:val="nil"/>
              <w:tr2bl w:val="nil"/>
            </w:tcBorders>
            <w:shd w:val="clear" w:color="auto" w:fill="FFFFFF"/>
            <w:vAlign w:val="center"/>
          </w:tcPr>
          <w:p>
            <w:pPr>
              <w:pStyle w:val="22"/>
              <w:spacing w:after="0" w:line="240" w:lineRule="auto"/>
              <w:ind w:firstLine="0" w:firstLineChars="0"/>
              <w:jc w:val="center"/>
              <w:rPr>
                <w:b w:val="0"/>
                <w:bCs/>
                <w:color w:val="auto"/>
                <w:szCs w:val="21"/>
                <w:highlight w:val="none"/>
              </w:rPr>
            </w:pPr>
            <w:r>
              <w:rPr>
                <w:rFonts w:hAnsi="宋体"/>
                <w:b w:val="0"/>
                <w:bCs/>
                <w:color w:val="auto"/>
                <w:szCs w:val="21"/>
                <w:highlight w:val="none"/>
              </w:rPr>
              <w:t>贮存量（</w:t>
            </w:r>
            <w:r>
              <w:rPr>
                <w:b w:val="0"/>
                <w:bCs/>
                <w:color w:val="auto"/>
                <w:szCs w:val="21"/>
                <w:highlight w:val="none"/>
              </w:rPr>
              <w:t>t</w:t>
            </w:r>
            <w:r>
              <w:rPr>
                <w:rFonts w:hAnsi="宋体"/>
                <w:b w:val="0"/>
                <w:bCs/>
                <w:color w:val="auto"/>
                <w:szCs w:val="21"/>
                <w:highlight w:val="none"/>
              </w:rPr>
              <w:t>）</w:t>
            </w:r>
          </w:p>
        </w:tc>
        <w:tc>
          <w:tcPr>
            <w:tcW w:w="891" w:type="pct"/>
            <w:tcBorders>
              <w:tl2br w:val="nil"/>
              <w:tr2bl w:val="nil"/>
            </w:tcBorders>
            <w:shd w:val="clear" w:color="auto" w:fill="FFFFFF"/>
            <w:vAlign w:val="center"/>
          </w:tcPr>
          <w:p>
            <w:pPr>
              <w:pStyle w:val="22"/>
              <w:spacing w:after="0" w:line="240" w:lineRule="auto"/>
              <w:ind w:firstLine="0" w:firstLineChars="0"/>
              <w:jc w:val="center"/>
              <w:rPr>
                <w:b w:val="0"/>
                <w:bCs/>
                <w:color w:val="auto"/>
                <w:szCs w:val="21"/>
                <w:highlight w:val="none"/>
              </w:rPr>
            </w:pPr>
            <w:r>
              <w:rPr>
                <w:rFonts w:hAnsi="宋体"/>
                <w:b w:val="0"/>
                <w:bCs/>
                <w:color w:val="auto"/>
                <w:szCs w:val="21"/>
                <w:highlight w:val="none"/>
              </w:rPr>
              <w:t>临界量（</w:t>
            </w:r>
            <w:r>
              <w:rPr>
                <w:b w:val="0"/>
                <w:bCs/>
                <w:color w:val="auto"/>
                <w:szCs w:val="21"/>
                <w:highlight w:val="none"/>
              </w:rPr>
              <w:t>t</w:t>
            </w:r>
            <w:r>
              <w:rPr>
                <w:rFonts w:hAnsi="宋体"/>
                <w:b w:val="0"/>
                <w:bCs/>
                <w:color w:val="auto"/>
                <w:szCs w:val="21"/>
                <w:highlight w:val="none"/>
              </w:rPr>
              <w:t>）</w:t>
            </w:r>
          </w:p>
        </w:tc>
        <w:tc>
          <w:tcPr>
            <w:tcW w:w="392" w:type="pct"/>
            <w:tcBorders>
              <w:tl2br w:val="nil"/>
              <w:tr2bl w:val="nil"/>
            </w:tcBorders>
            <w:shd w:val="clear" w:color="auto" w:fill="FFFFFF"/>
            <w:vAlign w:val="center"/>
          </w:tcPr>
          <w:p>
            <w:pPr>
              <w:pStyle w:val="22"/>
              <w:spacing w:after="0" w:line="240" w:lineRule="auto"/>
              <w:ind w:firstLine="0" w:firstLineChars="0"/>
              <w:jc w:val="center"/>
              <w:rPr>
                <w:b w:val="0"/>
                <w:bCs/>
                <w:color w:val="auto"/>
                <w:szCs w:val="21"/>
                <w:highlight w:val="none"/>
              </w:rPr>
            </w:pPr>
            <w:r>
              <w:rPr>
                <w:b w:val="0"/>
                <w:bCs/>
                <w:color w:val="auto"/>
                <w:szCs w:val="21"/>
                <w:highlight w:val="none"/>
              </w:rPr>
              <w:t>q/Q</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tl2br w:val="nil"/>
              <w:tr2bl w:val="nil"/>
            </w:tcBorders>
            <w:shd w:val="clear" w:color="auto" w:fill="FFFFFF"/>
            <w:vAlign w:val="center"/>
          </w:tcPr>
          <w:p>
            <w:pPr>
              <w:pStyle w:val="22"/>
              <w:spacing w:after="0" w:line="240" w:lineRule="auto"/>
              <w:ind w:firstLine="0" w:firstLineChars="0"/>
              <w:jc w:val="center"/>
              <w:rPr>
                <w:color w:val="auto"/>
                <w:szCs w:val="21"/>
                <w:highlight w:val="none"/>
              </w:rPr>
            </w:pPr>
            <w:r>
              <w:rPr>
                <w:color w:val="auto"/>
                <w:szCs w:val="21"/>
                <w:highlight w:val="none"/>
              </w:rPr>
              <w:t>1</w:t>
            </w:r>
          </w:p>
        </w:tc>
        <w:tc>
          <w:tcPr>
            <w:tcW w:w="851" w:type="pct"/>
            <w:tcBorders>
              <w:tl2br w:val="nil"/>
              <w:tr2bl w:val="nil"/>
            </w:tcBorders>
            <w:shd w:val="clear" w:color="auto" w:fill="FFFFFF"/>
            <w:vAlign w:val="center"/>
          </w:tcPr>
          <w:p>
            <w:pPr>
              <w:pStyle w:val="22"/>
              <w:spacing w:after="0" w:line="240" w:lineRule="auto"/>
              <w:ind w:firstLine="0" w:firstLineChars="0"/>
              <w:jc w:val="center"/>
              <w:rPr>
                <w:rFonts w:hint="eastAsia" w:eastAsia="宋体"/>
                <w:color w:val="auto"/>
                <w:szCs w:val="21"/>
                <w:highlight w:val="none"/>
                <w:lang w:eastAsia="zh-CN"/>
              </w:rPr>
            </w:pPr>
            <w:r>
              <w:rPr>
                <w:rFonts w:hint="eastAsia" w:hAnsi="宋体"/>
                <w:color w:val="auto"/>
                <w:szCs w:val="21"/>
                <w:highlight w:val="none"/>
                <w:lang w:eastAsia="zh-CN"/>
              </w:rPr>
              <w:t>黑膜沼气池</w:t>
            </w:r>
          </w:p>
        </w:tc>
        <w:tc>
          <w:tcPr>
            <w:tcW w:w="1546" w:type="pct"/>
            <w:tcBorders>
              <w:tl2br w:val="nil"/>
              <w:tr2bl w:val="nil"/>
            </w:tcBorders>
            <w:shd w:val="clear" w:color="auto" w:fill="FFFFFF"/>
            <w:vAlign w:val="center"/>
          </w:tcPr>
          <w:p>
            <w:pPr>
              <w:spacing w:line="240" w:lineRule="auto"/>
              <w:ind w:firstLine="0" w:firstLineChars="0"/>
              <w:jc w:val="center"/>
              <w:rPr>
                <w:rFonts w:hint="eastAsia" w:eastAsia="宋体"/>
                <w:color w:val="auto"/>
                <w:sz w:val="21"/>
                <w:szCs w:val="21"/>
                <w:highlight w:val="none"/>
                <w:lang w:eastAsia="zh-CN"/>
              </w:rPr>
            </w:pPr>
            <w:r>
              <w:rPr>
                <w:rFonts w:hint="eastAsia" w:hAnsi="宋体"/>
                <w:color w:val="auto"/>
                <w:sz w:val="21"/>
                <w:szCs w:val="21"/>
                <w:highlight w:val="none"/>
                <w:lang w:eastAsia="zh-CN"/>
              </w:rPr>
              <w:t>沼气（甲烷）</w:t>
            </w:r>
          </w:p>
        </w:tc>
        <w:tc>
          <w:tcPr>
            <w:tcW w:w="891" w:type="pct"/>
            <w:tcBorders>
              <w:tl2br w:val="nil"/>
              <w:tr2bl w:val="nil"/>
            </w:tcBorders>
            <w:shd w:val="clear" w:color="auto" w:fill="FFFFFF"/>
            <w:vAlign w:val="center"/>
          </w:tcPr>
          <w:p>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4.72</w:t>
            </w:r>
          </w:p>
        </w:tc>
        <w:tc>
          <w:tcPr>
            <w:tcW w:w="891" w:type="pct"/>
            <w:tcBorders>
              <w:tl2br w:val="nil"/>
              <w:tr2bl w:val="nil"/>
            </w:tcBorders>
            <w:shd w:val="clear" w:color="auto" w:fill="FFFFFF"/>
            <w:vAlign w:val="center"/>
          </w:tcPr>
          <w:p>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c>
          <w:tcPr>
            <w:tcW w:w="392" w:type="pct"/>
            <w:tcBorders>
              <w:tl2br w:val="nil"/>
              <w:tr2bl w:val="nil"/>
            </w:tcBorders>
            <w:shd w:val="clear" w:color="auto" w:fill="FFFFFF"/>
            <w:vAlign w:val="center"/>
          </w:tcPr>
          <w:p>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0.472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tl2br w:val="nil"/>
              <w:tr2bl w:val="nil"/>
            </w:tcBorders>
            <w:shd w:val="clear" w:color="auto" w:fill="FFFFFF"/>
            <w:vAlign w:val="center"/>
          </w:tcPr>
          <w:p>
            <w:pPr>
              <w:pStyle w:val="22"/>
              <w:spacing w:after="0" w:line="240" w:lineRule="auto"/>
              <w:ind w:firstLine="0" w:firstLineChars="0"/>
              <w:jc w:val="center"/>
              <w:rPr>
                <w:rFonts w:hint="default"/>
                <w:color w:val="auto"/>
                <w:szCs w:val="21"/>
                <w:highlight w:val="none"/>
                <w:lang w:val="en-US" w:eastAsia="zh-CN"/>
              </w:rPr>
            </w:pPr>
            <w:r>
              <w:rPr>
                <w:rFonts w:hint="eastAsia"/>
                <w:color w:val="auto"/>
                <w:szCs w:val="21"/>
                <w:highlight w:val="none"/>
                <w:lang w:val="en-US" w:eastAsia="zh-CN"/>
              </w:rPr>
              <w:t>2</w:t>
            </w:r>
          </w:p>
        </w:tc>
        <w:tc>
          <w:tcPr>
            <w:tcW w:w="851" w:type="pct"/>
            <w:tcBorders>
              <w:tl2br w:val="nil"/>
              <w:tr2bl w:val="nil"/>
            </w:tcBorders>
            <w:shd w:val="clear" w:color="auto" w:fill="FFFFFF"/>
            <w:vAlign w:val="center"/>
          </w:tcPr>
          <w:p>
            <w:pPr>
              <w:pStyle w:val="22"/>
              <w:spacing w:after="0" w:line="240" w:lineRule="auto"/>
              <w:ind w:firstLine="0" w:firstLineChars="0"/>
              <w:jc w:val="center"/>
              <w:rPr>
                <w:rFonts w:hint="default" w:hAnsi="宋体"/>
                <w:color w:val="auto"/>
                <w:szCs w:val="21"/>
                <w:highlight w:val="none"/>
                <w:lang w:val="en-US" w:eastAsia="zh-CN"/>
              </w:rPr>
            </w:pPr>
            <w:r>
              <w:rPr>
                <w:rFonts w:hint="eastAsia" w:hAnsi="宋体"/>
                <w:color w:val="auto"/>
                <w:szCs w:val="21"/>
                <w:highlight w:val="none"/>
                <w:lang w:val="en-US" w:eastAsia="zh-CN"/>
              </w:rPr>
              <w:t>污水管道</w:t>
            </w:r>
          </w:p>
        </w:tc>
        <w:tc>
          <w:tcPr>
            <w:tcW w:w="1546" w:type="pct"/>
            <w:tcBorders>
              <w:tl2br w:val="nil"/>
              <w:tr2bl w:val="nil"/>
            </w:tcBorders>
            <w:shd w:val="clear" w:color="auto" w:fill="FFFFFF"/>
            <w:vAlign w:val="center"/>
          </w:tcPr>
          <w:p>
            <w:pPr>
              <w:spacing w:line="240" w:lineRule="auto"/>
              <w:ind w:firstLine="0" w:firstLineChars="0"/>
              <w:jc w:val="center"/>
              <w:rPr>
                <w:rFonts w:hint="eastAsia" w:hAnsi="宋体"/>
                <w:color w:val="auto"/>
                <w:sz w:val="21"/>
                <w:szCs w:val="21"/>
                <w:highlight w:val="none"/>
                <w:lang w:eastAsia="zh-CN"/>
              </w:rPr>
            </w:pPr>
            <w:r>
              <w:rPr>
                <w:rFonts w:hint="eastAsia" w:hAnsi="宋体"/>
                <w:color w:val="auto"/>
                <w:sz w:val="21"/>
                <w:szCs w:val="21"/>
                <w:highlight w:val="none"/>
                <w:lang w:eastAsia="zh-CN"/>
              </w:rPr>
              <w:t>COD浓度大于</w:t>
            </w:r>
          </w:p>
          <w:p>
            <w:pPr>
              <w:spacing w:line="240" w:lineRule="auto"/>
              <w:ind w:firstLine="0" w:firstLineChars="0"/>
              <w:jc w:val="center"/>
              <w:rPr>
                <w:rFonts w:hint="eastAsia" w:hAnsi="宋体"/>
                <w:color w:val="auto"/>
                <w:sz w:val="21"/>
                <w:szCs w:val="21"/>
                <w:highlight w:val="none"/>
                <w:lang w:eastAsia="zh-CN"/>
              </w:rPr>
            </w:pPr>
            <w:r>
              <w:rPr>
                <w:rFonts w:hint="eastAsia" w:hAnsi="宋体"/>
                <w:color w:val="auto"/>
                <w:sz w:val="21"/>
                <w:szCs w:val="21"/>
                <w:highlight w:val="none"/>
                <w:lang w:eastAsia="zh-CN"/>
              </w:rPr>
              <w:t>10000mg/L的有机废液</w:t>
            </w:r>
          </w:p>
        </w:tc>
        <w:tc>
          <w:tcPr>
            <w:tcW w:w="891" w:type="pct"/>
            <w:tcBorders>
              <w:tl2br w:val="nil"/>
              <w:tr2bl w:val="nil"/>
            </w:tcBorders>
            <w:shd w:val="clear" w:color="auto" w:fill="FFFFFF"/>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333.491</w:t>
            </w:r>
          </w:p>
        </w:tc>
        <w:tc>
          <w:tcPr>
            <w:tcW w:w="891" w:type="pct"/>
            <w:tcBorders>
              <w:tl2br w:val="nil"/>
              <w:tr2bl w:val="nil"/>
            </w:tcBorders>
            <w:shd w:val="clear" w:color="auto" w:fill="FFFFFF"/>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10</w:t>
            </w:r>
          </w:p>
        </w:tc>
        <w:tc>
          <w:tcPr>
            <w:tcW w:w="392" w:type="pct"/>
            <w:tcBorders>
              <w:tl2br w:val="nil"/>
              <w:tr2bl w:val="nil"/>
            </w:tcBorders>
            <w:shd w:val="clear" w:color="auto" w:fill="FFFFFF"/>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33.3</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highlight w:val="none"/>
        </w:rPr>
      </w:pPr>
      <w:r>
        <w:rPr>
          <w:color w:val="auto"/>
          <w:highlight w:val="none"/>
        </w:rPr>
        <w:t>由上表可知，</w:t>
      </w:r>
      <w:r>
        <w:rPr>
          <w:rFonts w:hint="eastAsia" w:cs="Times New Roman"/>
          <w:color w:val="auto"/>
          <w:sz w:val="24"/>
          <w:szCs w:val="24"/>
          <w:highlight w:val="none"/>
          <w:lang w:eastAsia="zh-CN"/>
        </w:rPr>
        <w:t>危险物质</w:t>
      </w:r>
      <w:r>
        <w:rPr>
          <w:rFonts w:ascii="Times New Roman" w:hAnsi="Times New Roman" w:eastAsia="宋体" w:cs="Times New Roman"/>
          <w:color w:val="auto"/>
          <w:sz w:val="24"/>
          <w:szCs w:val="24"/>
          <w:highlight w:val="none"/>
        </w:rPr>
        <w:t>存储量和临界量的比值Q=</w:t>
      </w:r>
      <w:r>
        <w:rPr>
          <w:rFonts w:hint="eastAsia" w:cs="Times New Roman"/>
          <w:color w:val="auto"/>
          <w:sz w:val="24"/>
          <w:szCs w:val="24"/>
          <w:highlight w:val="none"/>
          <w:lang w:val="en-US" w:eastAsia="zh-CN"/>
        </w:rPr>
        <w:t>33.772</w:t>
      </w:r>
      <w:r>
        <w:rPr>
          <w:rFonts w:hint="eastAsia" w:ascii="宋体" w:hAnsi="宋体" w:cs="宋体"/>
          <w:color w:val="auto"/>
          <w:sz w:val="24"/>
          <w:szCs w:val="24"/>
          <w:highlight w:val="none"/>
          <w:lang w:eastAsia="zh-CN"/>
        </w:rPr>
        <w:t>，</w:t>
      </w:r>
      <w:r>
        <w:rPr>
          <w:rFonts w:hint="eastAsia"/>
          <w:color w:val="auto"/>
          <w:highlight w:val="none"/>
          <w:lang w:val="en-US" w:eastAsia="zh-CN"/>
        </w:rPr>
        <w:t>10≤Q＜100</w:t>
      </w:r>
      <w:r>
        <w:rPr>
          <w:color w:val="auto"/>
          <w:highlight w:val="none"/>
        </w:rPr>
        <w:t>。</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2</w:t>
      </w:r>
      <w:r>
        <w:rPr>
          <w:rFonts w:hint="eastAsia"/>
          <w:color w:val="auto"/>
          <w:sz w:val="24"/>
          <w:highlight w:val="none"/>
          <w:lang w:eastAsia="zh-CN"/>
        </w:rPr>
        <w:t>）</w:t>
      </w:r>
      <w:r>
        <w:rPr>
          <w:rFonts w:hint="eastAsia"/>
          <w:color w:val="auto"/>
          <w:sz w:val="24"/>
          <w:highlight w:val="none"/>
        </w:rPr>
        <w:t>行业及生产工艺（M）</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cs="宋体"/>
          <w:color w:val="auto"/>
          <w:sz w:val="24"/>
          <w:highlight w:val="none"/>
        </w:rPr>
      </w:pPr>
      <w:r>
        <w:rPr>
          <w:rFonts w:hint="eastAsia"/>
          <w:color w:val="auto"/>
          <w:sz w:val="24"/>
          <w:highlight w:val="none"/>
        </w:rPr>
        <w:t>根据《建设项目环境风险评价技术导则》（HJ169-2018）附录C具有多套工艺单元的项目，需对每套生产工艺分别评分并求和，行业及生产工艺M划分依据见表4</w:t>
      </w:r>
      <w:r>
        <w:rPr>
          <w:rFonts w:hint="eastAsia"/>
          <w:color w:val="auto"/>
          <w:sz w:val="24"/>
          <w:highlight w:val="none"/>
          <w:lang w:val="en-US" w:eastAsia="zh-CN"/>
        </w:rPr>
        <w:t>.2</w:t>
      </w:r>
      <w:r>
        <w:rPr>
          <w:rFonts w:hint="eastAsia"/>
          <w:color w:val="auto"/>
          <w:sz w:val="24"/>
          <w:highlight w:val="none"/>
        </w:rPr>
        <w:t>-3</w:t>
      </w:r>
      <w:r>
        <w:rPr>
          <w:rFonts w:hint="eastAsia"/>
          <w:color w:val="auto"/>
          <w:sz w:val="24"/>
          <w:highlight w:val="none"/>
          <w:lang w:val="en-US" w:eastAsia="zh-CN"/>
        </w:rPr>
        <w:t>4</w:t>
      </w:r>
      <w:r>
        <w:rPr>
          <w:rFonts w:hint="eastAsia"/>
          <w:color w:val="auto"/>
          <w:sz w:val="24"/>
          <w:highlight w:val="none"/>
        </w:rPr>
        <w:t>。</w:t>
      </w:r>
    </w:p>
    <w:p>
      <w:pPr>
        <w:pStyle w:val="40"/>
        <w:rPr>
          <w:rFonts w:hint="eastAsia"/>
          <w:color w:val="auto"/>
          <w:highlight w:val="none"/>
        </w:rPr>
      </w:pPr>
      <w:r>
        <w:rPr>
          <w:rFonts w:hint="eastAsia"/>
          <w:color w:val="auto"/>
          <w:highlight w:val="none"/>
        </w:rPr>
        <w:t>表4</w:t>
      </w:r>
      <w:r>
        <w:rPr>
          <w:rFonts w:hint="eastAsia"/>
          <w:color w:val="auto"/>
          <w:highlight w:val="none"/>
          <w:lang w:val="en-US" w:eastAsia="zh-CN"/>
        </w:rPr>
        <w:t>.2</w:t>
      </w:r>
      <w:r>
        <w:rPr>
          <w:rFonts w:hint="eastAsia"/>
          <w:color w:val="auto"/>
          <w:highlight w:val="none"/>
        </w:rPr>
        <w:t>-3</w:t>
      </w:r>
      <w:r>
        <w:rPr>
          <w:rFonts w:hint="eastAsia"/>
          <w:color w:val="auto"/>
          <w:highlight w:val="none"/>
          <w:lang w:val="en-US" w:eastAsia="zh-CN"/>
        </w:rPr>
        <w:t>4</w:t>
      </w:r>
      <w:r>
        <w:rPr>
          <w:rFonts w:hint="eastAsia"/>
          <w:color w:val="auto"/>
          <w:highlight w:val="none"/>
        </w:rPr>
        <w:t xml:space="preserve"> 行业及生产工艺（M）</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6030"/>
        <w:gridCol w:w="11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73" w:type="pct"/>
            <w:noWrap w:val="0"/>
            <w:vAlign w:val="center"/>
          </w:tcPr>
          <w:p>
            <w:pPr>
              <w:pStyle w:val="22"/>
              <w:spacing w:after="0" w:line="240" w:lineRule="auto"/>
              <w:ind w:firstLine="0" w:firstLineChars="0"/>
              <w:jc w:val="center"/>
              <w:rPr>
                <w:rFonts w:hAnsi="宋体"/>
                <w:b w:val="0"/>
                <w:bCs/>
                <w:color w:val="auto"/>
                <w:szCs w:val="21"/>
                <w:highlight w:val="none"/>
              </w:rPr>
            </w:pPr>
            <w:r>
              <w:rPr>
                <w:rFonts w:hAnsi="宋体"/>
                <w:b w:val="0"/>
                <w:bCs/>
                <w:color w:val="auto"/>
                <w:szCs w:val="21"/>
                <w:highlight w:val="none"/>
              </w:rPr>
              <w:t>行业</w:t>
            </w:r>
          </w:p>
        </w:tc>
        <w:tc>
          <w:tcPr>
            <w:tcW w:w="3565" w:type="pct"/>
            <w:noWrap w:val="0"/>
            <w:vAlign w:val="center"/>
          </w:tcPr>
          <w:p>
            <w:pPr>
              <w:pStyle w:val="22"/>
              <w:spacing w:after="0" w:line="240" w:lineRule="auto"/>
              <w:ind w:firstLine="0" w:firstLineChars="0"/>
              <w:jc w:val="center"/>
              <w:rPr>
                <w:rFonts w:hAnsi="宋体"/>
                <w:b w:val="0"/>
                <w:bCs/>
                <w:color w:val="auto"/>
                <w:szCs w:val="21"/>
                <w:highlight w:val="none"/>
              </w:rPr>
            </w:pPr>
            <w:r>
              <w:rPr>
                <w:rFonts w:hAnsi="宋体"/>
                <w:b w:val="0"/>
                <w:bCs/>
                <w:color w:val="auto"/>
                <w:szCs w:val="21"/>
                <w:highlight w:val="none"/>
              </w:rPr>
              <w:t>评估依据</w:t>
            </w:r>
          </w:p>
        </w:tc>
        <w:tc>
          <w:tcPr>
            <w:tcW w:w="660" w:type="pct"/>
            <w:noWrap w:val="0"/>
            <w:vAlign w:val="center"/>
          </w:tcPr>
          <w:p>
            <w:pPr>
              <w:pStyle w:val="22"/>
              <w:spacing w:after="0" w:line="240" w:lineRule="auto"/>
              <w:ind w:firstLine="0" w:firstLineChars="0"/>
              <w:jc w:val="center"/>
              <w:rPr>
                <w:rFonts w:hAnsi="宋体"/>
                <w:b w:val="0"/>
                <w:bCs/>
                <w:color w:val="auto"/>
                <w:szCs w:val="21"/>
                <w:highlight w:val="none"/>
              </w:rPr>
            </w:pPr>
            <w:r>
              <w:rPr>
                <w:rFonts w:hAnsi="宋体"/>
                <w:b w:val="0"/>
                <w:bCs/>
                <w:color w:val="auto"/>
                <w:szCs w:val="21"/>
                <w:highlight w:val="none"/>
              </w:rPr>
              <w:t>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773" w:type="pct"/>
            <w:vMerge w:val="restart"/>
            <w:noWrap w:val="0"/>
            <w:vAlign w:val="center"/>
          </w:tcPr>
          <w:p>
            <w:pPr>
              <w:pStyle w:val="22"/>
              <w:spacing w:after="0" w:line="240" w:lineRule="auto"/>
              <w:ind w:firstLine="0" w:firstLineChars="0"/>
              <w:jc w:val="center"/>
              <w:rPr>
                <w:rFonts w:hAnsi="宋体"/>
                <w:b w:val="0"/>
                <w:bCs/>
                <w:color w:val="auto"/>
                <w:szCs w:val="21"/>
                <w:highlight w:val="none"/>
              </w:rPr>
            </w:pPr>
            <w:r>
              <w:rPr>
                <w:rFonts w:hAnsi="宋体"/>
                <w:b w:val="0"/>
                <w:bCs/>
                <w:color w:val="auto"/>
                <w:szCs w:val="21"/>
                <w:highlight w:val="none"/>
              </w:rPr>
              <w:t>石化、化工、医药、轻工、化纤、有色冶炼等</w:t>
            </w:r>
          </w:p>
        </w:tc>
        <w:tc>
          <w:tcPr>
            <w:tcW w:w="3565" w:type="pct"/>
            <w:noWrap w:val="0"/>
            <w:vAlign w:val="center"/>
          </w:tcPr>
          <w:p>
            <w:pPr>
              <w:pStyle w:val="22"/>
              <w:spacing w:after="0" w:line="240" w:lineRule="auto"/>
              <w:ind w:firstLine="0" w:firstLineChars="0"/>
              <w:jc w:val="center"/>
              <w:rPr>
                <w:rFonts w:hAnsi="宋体"/>
                <w:b w:val="0"/>
                <w:bCs/>
                <w:color w:val="auto"/>
                <w:szCs w:val="21"/>
                <w:highlight w:val="none"/>
              </w:rPr>
            </w:pPr>
            <w:r>
              <w:rPr>
                <w:rFonts w:hAnsi="宋体"/>
                <w:b w:val="0"/>
                <w:bCs/>
                <w:color w:val="auto"/>
                <w:szCs w:val="21"/>
                <w:highlight w:val="none"/>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660" w:type="pct"/>
            <w:noWrap w:val="0"/>
            <w:vAlign w:val="center"/>
          </w:tcPr>
          <w:p>
            <w:pPr>
              <w:pStyle w:val="22"/>
              <w:spacing w:after="0" w:line="240" w:lineRule="auto"/>
              <w:ind w:firstLine="0" w:firstLineChars="0"/>
              <w:jc w:val="center"/>
              <w:rPr>
                <w:rFonts w:hAnsi="宋体"/>
                <w:b w:val="0"/>
                <w:bCs/>
                <w:color w:val="auto"/>
                <w:szCs w:val="21"/>
                <w:highlight w:val="none"/>
              </w:rPr>
            </w:pPr>
            <w:r>
              <w:rPr>
                <w:rFonts w:hAnsi="宋体"/>
                <w:b w:val="0"/>
                <w:bCs/>
                <w:color w:val="auto"/>
                <w:szCs w:val="21"/>
                <w:highlight w:val="none"/>
              </w:rPr>
              <w:t>10/套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3" w:type="pct"/>
            <w:vMerge w:val="continue"/>
            <w:noWrap w:val="0"/>
            <w:vAlign w:val="center"/>
          </w:tcPr>
          <w:p>
            <w:pPr>
              <w:pStyle w:val="22"/>
              <w:spacing w:after="0" w:line="240" w:lineRule="auto"/>
              <w:ind w:firstLine="0" w:firstLineChars="0"/>
              <w:jc w:val="center"/>
              <w:rPr>
                <w:rFonts w:hAnsi="宋体"/>
                <w:b w:val="0"/>
                <w:bCs/>
                <w:color w:val="auto"/>
                <w:szCs w:val="21"/>
                <w:highlight w:val="none"/>
              </w:rPr>
            </w:pPr>
          </w:p>
        </w:tc>
        <w:tc>
          <w:tcPr>
            <w:tcW w:w="3565" w:type="pct"/>
            <w:noWrap w:val="0"/>
            <w:vAlign w:val="center"/>
          </w:tcPr>
          <w:p>
            <w:pPr>
              <w:pStyle w:val="22"/>
              <w:spacing w:after="0" w:line="240" w:lineRule="auto"/>
              <w:ind w:firstLine="0" w:firstLineChars="0"/>
              <w:jc w:val="center"/>
              <w:rPr>
                <w:rFonts w:hAnsi="宋体"/>
                <w:b w:val="0"/>
                <w:bCs/>
                <w:color w:val="auto"/>
                <w:szCs w:val="21"/>
                <w:highlight w:val="none"/>
              </w:rPr>
            </w:pPr>
            <w:r>
              <w:rPr>
                <w:rFonts w:hAnsi="宋体"/>
                <w:b w:val="0"/>
                <w:bCs/>
                <w:color w:val="auto"/>
                <w:szCs w:val="21"/>
                <w:highlight w:val="none"/>
              </w:rPr>
              <w:t>无机酸制酸工艺、焦化工艺</w:t>
            </w:r>
          </w:p>
        </w:tc>
        <w:tc>
          <w:tcPr>
            <w:tcW w:w="660" w:type="pct"/>
            <w:noWrap w:val="0"/>
            <w:vAlign w:val="center"/>
          </w:tcPr>
          <w:p>
            <w:pPr>
              <w:pStyle w:val="22"/>
              <w:spacing w:after="0" w:line="240" w:lineRule="auto"/>
              <w:ind w:firstLine="0" w:firstLineChars="0"/>
              <w:jc w:val="center"/>
              <w:rPr>
                <w:rFonts w:hAnsi="宋体"/>
                <w:b w:val="0"/>
                <w:bCs/>
                <w:color w:val="auto"/>
                <w:szCs w:val="21"/>
                <w:highlight w:val="none"/>
              </w:rPr>
            </w:pPr>
            <w:r>
              <w:rPr>
                <w:rFonts w:hAnsi="宋体"/>
                <w:b w:val="0"/>
                <w:bCs/>
                <w:color w:val="auto"/>
                <w:szCs w:val="21"/>
                <w:highlight w:val="none"/>
              </w:rPr>
              <w:t>5/套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773" w:type="pct"/>
            <w:vMerge w:val="continue"/>
            <w:noWrap w:val="0"/>
            <w:vAlign w:val="center"/>
          </w:tcPr>
          <w:p>
            <w:pPr>
              <w:pStyle w:val="22"/>
              <w:spacing w:after="0" w:line="240" w:lineRule="auto"/>
              <w:ind w:firstLine="0" w:firstLineChars="0"/>
              <w:jc w:val="center"/>
              <w:rPr>
                <w:rFonts w:hAnsi="宋体"/>
                <w:b w:val="0"/>
                <w:bCs/>
                <w:color w:val="auto"/>
                <w:szCs w:val="21"/>
                <w:highlight w:val="none"/>
              </w:rPr>
            </w:pPr>
          </w:p>
        </w:tc>
        <w:tc>
          <w:tcPr>
            <w:tcW w:w="3565" w:type="pct"/>
            <w:noWrap w:val="0"/>
            <w:vAlign w:val="center"/>
          </w:tcPr>
          <w:p>
            <w:pPr>
              <w:pStyle w:val="22"/>
              <w:spacing w:after="0" w:line="240" w:lineRule="auto"/>
              <w:ind w:firstLine="0" w:firstLineChars="0"/>
              <w:jc w:val="center"/>
              <w:rPr>
                <w:rFonts w:hAnsi="宋体"/>
                <w:b w:val="0"/>
                <w:bCs/>
                <w:color w:val="auto"/>
                <w:szCs w:val="21"/>
                <w:highlight w:val="none"/>
              </w:rPr>
            </w:pPr>
            <w:r>
              <w:rPr>
                <w:rFonts w:hAnsi="宋体"/>
                <w:b w:val="0"/>
                <w:bCs/>
                <w:color w:val="auto"/>
                <w:szCs w:val="21"/>
                <w:highlight w:val="none"/>
              </w:rPr>
              <w:t>其他高温或高压，且涉及危险物质的工艺过程a、危险物质贮存罐区</w:t>
            </w:r>
          </w:p>
        </w:tc>
        <w:tc>
          <w:tcPr>
            <w:tcW w:w="660" w:type="pct"/>
            <w:noWrap w:val="0"/>
            <w:vAlign w:val="center"/>
          </w:tcPr>
          <w:p>
            <w:pPr>
              <w:pStyle w:val="22"/>
              <w:spacing w:after="0" w:line="240" w:lineRule="auto"/>
              <w:ind w:firstLine="0" w:firstLineChars="0"/>
              <w:jc w:val="center"/>
              <w:rPr>
                <w:rFonts w:hAnsi="宋体"/>
                <w:b w:val="0"/>
                <w:bCs/>
                <w:color w:val="auto"/>
                <w:szCs w:val="21"/>
                <w:highlight w:val="none"/>
              </w:rPr>
            </w:pPr>
            <w:r>
              <w:rPr>
                <w:rFonts w:hAnsi="宋体"/>
                <w:b w:val="0"/>
                <w:bCs/>
                <w:color w:val="auto"/>
                <w:szCs w:val="21"/>
                <w:highlight w:val="none"/>
              </w:rPr>
              <w:t>5/套（罐区）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3" w:type="pct"/>
            <w:noWrap w:val="0"/>
            <w:vAlign w:val="center"/>
          </w:tcPr>
          <w:p>
            <w:pPr>
              <w:pStyle w:val="22"/>
              <w:spacing w:after="0" w:line="240" w:lineRule="auto"/>
              <w:ind w:firstLine="0" w:firstLineChars="0"/>
              <w:jc w:val="center"/>
              <w:rPr>
                <w:rFonts w:hAnsi="宋体"/>
                <w:b w:val="0"/>
                <w:bCs/>
                <w:color w:val="auto"/>
                <w:szCs w:val="21"/>
                <w:highlight w:val="none"/>
              </w:rPr>
            </w:pPr>
            <w:r>
              <w:rPr>
                <w:rFonts w:hAnsi="宋体"/>
                <w:b w:val="0"/>
                <w:bCs/>
                <w:color w:val="auto"/>
                <w:szCs w:val="21"/>
                <w:highlight w:val="none"/>
              </w:rPr>
              <w:t>管道、</w:t>
            </w:r>
          </w:p>
          <w:p>
            <w:pPr>
              <w:pStyle w:val="22"/>
              <w:spacing w:after="0" w:line="240" w:lineRule="auto"/>
              <w:ind w:firstLine="0" w:firstLineChars="0"/>
              <w:jc w:val="center"/>
              <w:rPr>
                <w:rFonts w:hAnsi="宋体"/>
                <w:b w:val="0"/>
                <w:bCs/>
                <w:color w:val="auto"/>
                <w:szCs w:val="21"/>
                <w:highlight w:val="none"/>
              </w:rPr>
            </w:pPr>
            <w:r>
              <w:rPr>
                <w:rFonts w:hAnsi="宋体"/>
                <w:b w:val="0"/>
                <w:bCs/>
                <w:color w:val="auto"/>
                <w:szCs w:val="21"/>
                <w:highlight w:val="none"/>
              </w:rPr>
              <w:t>港口</w:t>
            </w:r>
            <w:r>
              <w:rPr>
                <w:rFonts w:hint="eastAsia" w:hAnsi="宋体"/>
                <w:b w:val="0"/>
                <w:bCs/>
                <w:color w:val="auto"/>
                <w:szCs w:val="21"/>
                <w:highlight w:val="none"/>
                <w:lang w:val="en-US" w:eastAsia="zh-CN"/>
              </w:rPr>
              <w:t>/</w:t>
            </w:r>
            <w:r>
              <w:rPr>
                <w:rFonts w:hAnsi="宋体"/>
                <w:b w:val="0"/>
                <w:bCs/>
                <w:color w:val="auto"/>
                <w:szCs w:val="21"/>
                <w:highlight w:val="none"/>
              </w:rPr>
              <w:t>码头</w:t>
            </w:r>
            <w:r>
              <w:rPr>
                <w:rFonts w:hint="eastAsia" w:hAnsi="宋体"/>
                <w:b w:val="0"/>
                <w:bCs/>
                <w:color w:val="auto"/>
                <w:szCs w:val="21"/>
                <w:highlight w:val="none"/>
              </w:rPr>
              <w:t>等</w:t>
            </w:r>
          </w:p>
        </w:tc>
        <w:tc>
          <w:tcPr>
            <w:tcW w:w="3565" w:type="pct"/>
            <w:noWrap w:val="0"/>
            <w:vAlign w:val="center"/>
          </w:tcPr>
          <w:p>
            <w:pPr>
              <w:pStyle w:val="22"/>
              <w:spacing w:after="0" w:line="240" w:lineRule="auto"/>
              <w:ind w:firstLine="0" w:firstLineChars="0"/>
              <w:jc w:val="center"/>
              <w:rPr>
                <w:rFonts w:hAnsi="宋体"/>
                <w:b w:val="0"/>
                <w:bCs/>
                <w:color w:val="auto"/>
                <w:szCs w:val="21"/>
                <w:highlight w:val="none"/>
              </w:rPr>
            </w:pPr>
            <w:r>
              <w:rPr>
                <w:rFonts w:hAnsi="宋体"/>
                <w:b w:val="0"/>
                <w:bCs/>
                <w:color w:val="auto"/>
                <w:szCs w:val="21"/>
                <w:highlight w:val="none"/>
              </w:rPr>
              <w:t>涉及危险物质管道运输项目、港口/码头等</w:t>
            </w:r>
          </w:p>
        </w:tc>
        <w:tc>
          <w:tcPr>
            <w:tcW w:w="660" w:type="pct"/>
            <w:noWrap w:val="0"/>
            <w:vAlign w:val="center"/>
          </w:tcPr>
          <w:p>
            <w:pPr>
              <w:pStyle w:val="22"/>
              <w:spacing w:after="0" w:line="240" w:lineRule="auto"/>
              <w:ind w:firstLine="0" w:firstLineChars="0"/>
              <w:jc w:val="center"/>
              <w:rPr>
                <w:rFonts w:hAnsi="宋体"/>
                <w:b w:val="0"/>
                <w:bCs/>
                <w:color w:val="auto"/>
                <w:szCs w:val="21"/>
                <w:highlight w:val="none"/>
              </w:rPr>
            </w:pPr>
            <w:r>
              <w:rPr>
                <w:rFonts w:hAnsi="宋体"/>
                <w:b w:val="0"/>
                <w:bCs/>
                <w:color w:val="auto"/>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3" w:type="pct"/>
            <w:noWrap w:val="0"/>
            <w:vAlign w:val="center"/>
          </w:tcPr>
          <w:p>
            <w:pPr>
              <w:pStyle w:val="22"/>
              <w:spacing w:after="0" w:line="240" w:lineRule="auto"/>
              <w:ind w:firstLine="0" w:firstLineChars="0"/>
              <w:jc w:val="center"/>
              <w:rPr>
                <w:rFonts w:hAnsi="宋体"/>
                <w:b w:val="0"/>
                <w:bCs/>
                <w:color w:val="auto"/>
                <w:szCs w:val="21"/>
                <w:highlight w:val="none"/>
              </w:rPr>
            </w:pPr>
            <w:r>
              <w:rPr>
                <w:rFonts w:hAnsi="宋体"/>
                <w:b w:val="0"/>
                <w:bCs/>
                <w:color w:val="auto"/>
                <w:szCs w:val="21"/>
                <w:highlight w:val="none"/>
              </w:rPr>
              <w:t>石油天然气</w:t>
            </w:r>
          </w:p>
        </w:tc>
        <w:tc>
          <w:tcPr>
            <w:tcW w:w="3565" w:type="pct"/>
            <w:noWrap w:val="0"/>
            <w:vAlign w:val="center"/>
          </w:tcPr>
          <w:p>
            <w:pPr>
              <w:pStyle w:val="22"/>
              <w:spacing w:after="0" w:line="240" w:lineRule="auto"/>
              <w:ind w:firstLine="0" w:firstLineChars="0"/>
              <w:jc w:val="center"/>
              <w:rPr>
                <w:rFonts w:hAnsi="宋体"/>
                <w:b w:val="0"/>
                <w:bCs/>
                <w:color w:val="auto"/>
                <w:szCs w:val="21"/>
                <w:highlight w:val="none"/>
              </w:rPr>
            </w:pPr>
            <w:r>
              <w:rPr>
                <w:rFonts w:hAnsi="宋体"/>
                <w:b w:val="0"/>
                <w:bCs/>
                <w:color w:val="auto"/>
                <w:szCs w:val="21"/>
                <w:highlight w:val="none"/>
              </w:rPr>
              <w:t>石油、天然气、页岩气开采（含净化），气库（不含加气站的气库），油库（不含加气站的油库）、油气管线b（不含城镇燃气管线）</w:t>
            </w:r>
          </w:p>
        </w:tc>
        <w:tc>
          <w:tcPr>
            <w:tcW w:w="660" w:type="pct"/>
            <w:noWrap w:val="0"/>
            <w:vAlign w:val="center"/>
          </w:tcPr>
          <w:p>
            <w:pPr>
              <w:pStyle w:val="22"/>
              <w:spacing w:after="0" w:line="240" w:lineRule="auto"/>
              <w:ind w:firstLine="0" w:firstLineChars="0"/>
              <w:jc w:val="center"/>
              <w:rPr>
                <w:rFonts w:hAnsi="宋体"/>
                <w:b w:val="0"/>
                <w:bCs/>
                <w:color w:val="auto"/>
                <w:szCs w:val="21"/>
                <w:highlight w:val="none"/>
              </w:rPr>
            </w:pPr>
            <w:r>
              <w:rPr>
                <w:rFonts w:hAnsi="宋体"/>
                <w:b w:val="0"/>
                <w:bCs/>
                <w:color w:val="auto"/>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73" w:type="pct"/>
            <w:shd w:val="clear" w:color="auto" w:fill="auto"/>
            <w:noWrap w:val="0"/>
            <w:vAlign w:val="center"/>
          </w:tcPr>
          <w:p>
            <w:pPr>
              <w:pStyle w:val="22"/>
              <w:spacing w:after="0" w:line="240" w:lineRule="auto"/>
              <w:ind w:firstLine="0" w:firstLineChars="0"/>
              <w:jc w:val="center"/>
              <w:rPr>
                <w:rFonts w:hAnsi="宋体"/>
                <w:b w:val="0"/>
                <w:bCs/>
                <w:color w:val="auto"/>
                <w:szCs w:val="21"/>
                <w:highlight w:val="none"/>
              </w:rPr>
            </w:pPr>
            <w:r>
              <w:rPr>
                <w:rFonts w:hAnsi="宋体"/>
                <w:b w:val="0"/>
                <w:bCs/>
                <w:color w:val="auto"/>
                <w:szCs w:val="21"/>
                <w:highlight w:val="none"/>
              </w:rPr>
              <w:t>其他</w:t>
            </w:r>
          </w:p>
        </w:tc>
        <w:tc>
          <w:tcPr>
            <w:tcW w:w="3565" w:type="pct"/>
            <w:shd w:val="clear" w:color="auto" w:fill="auto"/>
            <w:noWrap w:val="0"/>
            <w:vAlign w:val="center"/>
          </w:tcPr>
          <w:p>
            <w:pPr>
              <w:pStyle w:val="22"/>
              <w:spacing w:after="0" w:line="240" w:lineRule="auto"/>
              <w:ind w:firstLine="0" w:firstLineChars="0"/>
              <w:jc w:val="center"/>
              <w:rPr>
                <w:rFonts w:hAnsi="宋体"/>
                <w:b w:val="0"/>
                <w:bCs/>
                <w:color w:val="auto"/>
                <w:szCs w:val="21"/>
                <w:highlight w:val="none"/>
              </w:rPr>
            </w:pPr>
            <w:r>
              <w:rPr>
                <w:rFonts w:hAnsi="宋体"/>
                <w:b w:val="0"/>
                <w:bCs/>
                <w:color w:val="auto"/>
                <w:szCs w:val="21"/>
                <w:highlight w:val="none"/>
              </w:rPr>
              <w:t>涉及危险物质使用、贮存的项目</w:t>
            </w:r>
          </w:p>
        </w:tc>
        <w:tc>
          <w:tcPr>
            <w:tcW w:w="660" w:type="pct"/>
            <w:shd w:val="clear" w:color="auto" w:fill="C3BD96"/>
            <w:noWrap w:val="0"/>
            <w:vAlign w:val="center"/>
          </w:tcPr>
          <w:p>
            <w:pPr>
              <w:pStyle w:val="22"/>
              <w:spacing w:after="0" w:line="240" w:lineRule="auto"/>
              <w:ind w:firstLine="0" w:firstLineChars="0"/>
              <w:jc w:val="center"/>
              <w:rPr>
                <w:rFonts w:hAnsi="宋体"/>
                <w:b w:val="0"/>
                <w:bCs/>
                <w:color w:val="auto"/>
                <w:szCs w:val="21"/>
                <w:highlight w:val="none"/>
              </w:rPr>
            </w:pPr>
            <w:r>
              <w:rPr>
                <w:rFonts w:hAnsi="宋体"/>
                <w:b w:val="0"/>
                <w:bCs/>
                <w:color w:val="auto"/>
                <w:szCs w:val="21"/>
                <w:highlight w:val="non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5000" w:type="pct"/>
            <w:gridSpan w:val="3"/>
            <w:noWrap w:val="0"/>
            <w:vAlign w:val="center"/>
          </w:tcPr>
          <w:p>
            <w:pPr>
              <w:pStyle w:val="22"/>
              <w:spacing w:after="0" w:line="240" w:lineRule="auto"/>
              <w:ind w:firstLine="0" w:firstLineChars="0"/>
              <w:jc w:val="center"/>
              <w:rPr>
                <w:rFonts w:hAnsi="宋体"/>
                <w:b w:val="0"/>
                <w:bCs/>
                <w:color w:val="auto"/>
                <w:szCs w:val="21"/>
                <w:highlight w:val="none"/>
              </w:rPr>
            </w:pPr>
            <w:r>
              <w:rPr>
                <w:rFonts w:hAnsi="宋体"/>
                <w:b w:val="0"/>
                <w:bCs/>
                <w:color w:val="auto"/>
                <w:szCs w:val="21"/>
                <w:highlight w:val="none"/>
              </w:rPr>
              <w:t>a高温指工艺温度</w:t>
            </w:r>
            <w:r>
              <w:rPr>
                <w:rFonts w:hint="eastAsia" w:hAnsi="宋体"/>
                <w:b w:val="0"/>
                <w:bCs/>
                <w:color w:val="auto"/>
                <w:szCs w:val="21"/>
                <w:highlight w:val="none"/>
              </w:rPr>
              <w:t>≥</w:t>
            </w:r>
            <w:r>
              <w:rPr>
                <w:rFonts w:hAnsi="宋体"/>
                <w:b w:val="0"/>
                <w:bCs/>
                <w:color w:val="auto"/>
                <w:szCs w:val="21"/>
                <w:highlight w:val="none"/>
              </w:rPr>
              <w:t>300</w:t>
            </w:r>
            <w:r>
              <w:rPr>
                <w:rFonts w:hint="eastAsia" w:hAnsi="宋体"/>
                <w:b w:val="0"/>
                <w:bCs/>
                <w:color w:val="auto"/>
                <w:szCs w:val="21"/>
                <w:highlight w:val="none"/>
              </w:rPr>
              <w:t>℃</w:t>
            </w:r>
            <w:r>
              <w:rPr>
                <w:rFonts w:hAnsi="宋体"/>
                <w:b w:val="0"/>
                <w:bCs/>
                <w:color w:val="auto"/>
                <w:szCs w:val="21"/>
                <w:highlight w:val="none"/>
              </w:rPr>
              <w:t>，高压指压力容器的设计压力（P）</w:t>
            </w:r>
            <w:r>
              <w:rPr>
                <w:rFonts w:hint="eastAsia" w:hAnsi="宋体"/>
                <w:b w:val="0"/>
                <w:bCs/>
                <w:color w:val="auto"/>
                <w:szCs w:val="21"/>
                <w:highlight w:val="none"/>
              </w:rPr>
              <w:t>≥</w:t>
            </w:r>
            <w:r>
              <w:rPr>
                <w:rFonts w:hAnsi="宋体"/>
                <w:b w:val="0"/>
                <w:bCs/>
                <w:color w:val="auto"/>
                <w:szCs w:val="21"/>
                <w:highlight w:val="none"/>
              </w:rPr>
              <w:t>10.0Mpa；</w:t>
            </w:r>
          </w:p>
          <w:p>
            <w:pPr>
              <w:pStyle w:val="22"/>
              <w:spacing w:after="0" w:line="240" w:lineRule="auto"/>
              <w:ind w:firstLine="0" w:firstLineChars="0"/>
              <w:jc w:val="center"/>
              <w:rPr>
                <w:rFonts w:hAnsi="宋体"/>
                <w:b w:val="0"/>
                <w:bCs/>
                <w:color w:val="auto"/>
                <w:szCs w:val="21"/>
                <w:highlight w:val="none"/>
              </w:rPr>
            </w:pPr>
            <w:r>
              <w:rPr>
                <w:rFonts w:hAnsi="宋体"/>
                <w:b w:val="0"/>
                <w:bCs/>
                <w:color w:val="auto"/>
                <w:szCs w:val="21"/>
                <w:highlight w:val="none"/>
              </w:rPr>
              <w:t>b长输管道运输项目应按站场、管线分段进行评价</w:t>
            </w:r>
          </w:p>
        </w:tc>
      </w:tr>
    </w:tbl>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其中：（1）M&gt;20；（2）10</w:t>
      </w:r>
      <w:r>
        <w:rPr>
          <w:color w:val="auto"/>
          <w:sz w:val="24"/>
          <w:highlight w:val="none"/>
        </w:rPr>
        <w:t>&lt;</w:t>
      </w:r>
      <w:r>
        <w:rPr>
          <w:rFonts w:hint="eastAsia"/>
          <w:color w:val="auto"/>
          <w:sz w:val="24"/>
          <w:highlight w:val="none"/>
        </w:rPr>
        <w:t>M≤20；（3）5</w:t>
      </w:r>
      <w:r>
        <w:rPr>
          <w:color w:val="auto"/>
          <w:sz w:val="24"/>
          <w:highlight w:val="none"/>
        </w:rPr>
        <w:t>&lt;</w:t>
      </w:r>
      <w:r>
        <w:rPr>
          <w:rFonts w:hint="eastAsia"/>
          <w:color w:val="auto"/>
          <w:sz w:val="24"/>
          <w:highlight w:val="none"/>
        </w:rPr>
        <w:t>M≤10；（4）M=5，分别以M1、M2、M3和M4表示。</w:t>
      </w:r>
    </w:p>
    <w:p>
      <w:pPr>
        <w:pStyle w:val="23"/>
        <w:keepNext w:val="0"/>
        <w:keepLines w:val="0"/>
        <w:pageBreakBefore w:val="0"/>
        <w:widowControl/>
        <w:kinsoku/>
        <w:wordWrap/>
        <w:overflowPunct/>
        <w:topLinePunct w:val="0"/>
        <w:autoSpaceDN/>
        <w:bidi w:val="0"/>
        <w:adjustRightInd/>
        <w:snapToGrid/>
        <w:spacing w:before="0" w:beforeLines="0" w:after="0" w:afterLines="0"/>
        <w:textAlignment w:val="auto"/>
        <w:rPr>
          <w:rFonts w:hint="eastAsia" w:ascii="Times New Roman" w:hAnsi="Times New Roman" w:eastAsia="宋体" w:cstheme="minorBidi"/>
          <w:color w:val="auto"/>
          <w:kern w:val="2"/>
          <w:sz w:val="24"/>
          <w:szCs w:val="24"/>
          <w:highlight w:val="none"/>
          <w:lang w:val="en-US" w:eastAsia="zh-CN" w:bidi="ar-SA"/>
        </w:rPr>
      </w:pPr>
      <w:r>
        <w:rPr>
          <w:rFonts w:hint="eastAsia" w:ascii="Times New Roman" w:hAnsi="Times New Roman" w:eastAsia="宋体" w:cstheme="minorBidi"/>
          <w:color w:val="auto"/>
          <w:kern w:val="2"/>
          <w:sz w:val="24"/>
          <w:szCs w:val="24"/>
          <w:highlight w:val="none"/>
          <w:lang w:val="en-US" w:eastAsia="zh-CN" w:bidi="ar-SA"/>
        </w:rPr>
        <w:t>本项目属于“其他”类，主要涉及的危险物质（甲烷、COD浓度大于10000mg/L的有机废液等）的使用、贮存，故M=5，以M4表示。</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color w:val="auto"/>
          <w:sz w:val="24"/>
          <w:highlight w:val="none"/>
        </w:rPr>
      </w:pPr>
      <w:r>
        <w:rPr>
          <w:rFonts w:hint="eastAsia" w:cstheme="minorBidi"/>
          <w:color w:val="auto"/>
          <w:kern w:val="2"/>
          <w:sz w:val="24"/>
          <w:szCs w:val="24"/>
          <w:highlight w:val="none"/>
          <w:lang w:val="en-US" w:eastAsia="zh-CN" w:bidi="ar-SA"/>
        </w:rPr>
        <w:t>（3）</w:t>
      </w:r>
      <w:r>
        <w:rPr>
          <w:rFonts w:hint="eastAsia"/>
          <w:color w:val="auto"/>
          <w:sz w:val="24"/>
          <w:highlight w:val="none"/>
        </w:rPr>
        <w:t>危险物质及工艺系统危险性（P）分级</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根据危险物质数量与临界量比值（Q）和行业及生产工艺（M），按照下表确定危险物质及工艺系统危险性等级（P），分别以P1、P2、P3、P4表示。</w:t>
      </w:r>
    </w:p>
    <w:p>
      <w:pPr>
        <w:pStyle w:val="40"/>
        <w:rPr>
          <w:rFonts w:hint="eastAsia"/>
          <w:color w:val="auto"/>
          <w:highlight w:val="none"/>
          <w:lang w:val="en-US" w:eastAsia="zh-CN"/>
        </w:rPr>
      </w:pPr>
      <w:r>
        <w:rPr>
          <w:rFonts w:hint="eastAsia"/>
          <w:color w:val="auto"/>
          <w:highlight w:val="none"/>
          <w:lang w:val="en-US" w:eastAsia="zh-CN"/>
        </w:rPr>
        <w:t>表4.2-35 危险物质及工艺系统危险性等级判断（P）</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976"/>
        <w:gridCol w:w="1961"/>
        <w:gridCol w:w="1306"/>
        <w:gridCol w:w="1174"/>
        <w:gridCol w:w="10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9" w:type="pct"/>
            <w:vMerge w:val="restar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危险物质数量与临界量比值（Q）</w:t>
            </w:r>
          </w:p>
        </w:tc>
        <w:tc>
          <w:tcPr>
            <w:tcW w:w="3240" w:type="pct"/>
            <w:gridSpan w:val="4"/>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行业及生产工艺（M）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9" w:type="pct"/>
            <w:vMerge w:val="continue"/>
            <w:noWrap w:val="0"/>
            <w:vAlign w:val="center"/>
          </w:tcPr>
          <w:p>
            <w:pPr>
              <w:widowControl/>
              <w:spacing w:line="240" w:lineRule="auto"/>
              <w:ind w:firstLine="0" w:firstLineChars="0"/>
              <w:jc w:val="left"/>
              <w:rPr>
                <w:rFonts w:hint="default" w:ascii="Times New Roman" w:hAnsi="Times New Roman" w:cs="Times New Roman"/>
                <w:color w:val="auto"/>
                <w:sz w:val="21"/>
                <w:szCs w:val="21"/>
                <w:highlight w:val="none"/>
              </w:rPr>
            </w:pPr>
          </w:p>
        </w:tc>
        <w:tc>
          <w:tcPr>
            <w:tcW w:w="115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M1</w:t>
            </w:r>
          </w:p>
        </w:tc>
        <w:tc>
          <w:tcPr>
            <w:tcW w:w="772"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M2</w:t>
            </w:r>
          </w:p>
        </w:tc>
        <w:tc>
          <w:tcPr>
            <w:tcW w:w="694"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M3</w:t>
            </w:r>
          </w:p>
        </w:tc>
        <w:tc>
          <w:tcPr>
            <w:tcW w:w="614"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Q&gt;100</w:t>
            </w:r>
          </w:p>
        </w:tc>
        <w:tc>
          <w:tcPr>
            <w:tcW w:w="115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P1</w:t>
            </w:r>
          </w:p>
        </w:tc>
        <w:tc>
          <w:tcPr>
            <w:tcW w:w="772"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P1</w:t>
            </w:r>
          </w:p>
        </w:tc>
        <w:tc>
          <w:tcPr>
            <w:tcW w:w="694"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P2</w:t>
            </w:r>
          </w:p>
        </w:tc>
        <w:tc>
          <w:tcPr>
            <w:tcW w:w="614"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9" w:type="pct"/>
            <w:shd w:val="clear" w:color="auto" w:fill="auto"/>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10</w:t>
            </w:r>
            <w:r>
              <w:rPr>
                <w:rFonts w:hint="default" w:ascii="Times New Roman" w:hAnsi="Times New Roman" w:cs="Times New Roman"/>
                <w:color w:val="auto"/>
                <w:sz w:val="21"/>
                <w:szCs w:val="21"/>
                <w:highlight w:val="none"/>
              </w:rPr>
              <w:t>≤</w:t>
            </w:r>
            <w:r>
              <w:rPr>
                <w:rFonts w:hint="default" w:ascii="Times New Roman" w:hAnsi="Times New Roman" w:cs="Times New Roman"/>
                <w:bCs/>
                <w:color w:val="auto"/>
                <w:sz w:val="21"/>
                <w:szCs w:val="21"/>
                <w:highlight w:val="none"/>
              </w:rPr>
              <w:t>Q&lt;100</w:t>
            </w:r>
          </w:p>
        </w:tc>
        <w:tc>
          <w:tcPr>
            <w:tcW w:w="1159" w:type="pct"/>
            <w:shd w:val="clear" w:color="auto" w:fill="auto"/>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P1</w:t>
            </w:r>
          </w:p>
        </w:tc>
        <w:tc>
          <w:tcPr>
            <w:tcW w:w="772" w:type="pct"/>
            <w:shd w:val="clear" w:color="auto" w:fill="auto"/>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P2</w:t>
            </w:r>
          </w:p>
        </w:tc>
        <w:tc>
          <w:tcPr>
            <w:tcW w:w="694" w:type="pct"/>
            <w:shd w:val="clear" w:color="auto" w:fill="auto"/>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P3</w:t>
            </w:r>
          </w:p>
        </w:tc>
        <w:tc>
          <w:tcPr>
            <w:tcW w:w="614" w:type="pct"/>
            <w:shd w:val="clear" w:color="auto" w:fill="C4BC96"/>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1≤Q&lt;10</w:t>
            </w:r>
          </w:p>
        </w:tc>
        <w:tc>
          <w:tcPr>
            <w:tcW w:w="115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P2</w:t>
            </w:r>
          </w:p>
        </w:tc>
        <w:tc>
          <w:tcPr>
            <w:tcW w:w="772"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P3</w:t>
            </w:r>
          </w:p>
        </w:tc>
        <w:tc>
          <w:tcPr>
            <w:tcW w:w="694"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P4</w:t>
            </w:r>
          </w:p>
        </w:tc>
        <w:tc>
          <w:tcPr>
            <w:tcW w:w="614"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P4</w:t>
            </w:r>
          </w:p>
        </w:tc>
      </w:tr>
    </w:tbl>
    <w:p>
      <w:pPr>
        <w:keepNext w:val="0"/>
        <w:keepLines w:val="0"/>
        <w:pageBreakBefore w:val="0"/>
        <w:widowControl w:val="0"/>
        <w:kinsoku/>
        <w:wordWrap/>
        <w:overflowPunct/>
        <w:topLinePunct w:val="0"/>
        <w:autoSpaceDE w:val="0"/>
        <w:autoSpaceDN/>
        <w:bidi w:val="0"/>
        <w:adjustRightInd/>
        <w:snapToGrid/>
        <w:spacing w:line="360" w:lineRule="auto"/>
        <w:ind w:firstLine="480" w:firstLineChars="200"/>
        <w:textAlignment w:val="auto"/>
        <w:rPr>
          <w:rFonts w:hint="eastAsia" w:ascii="Calibri" w:hAnsi="Calibri" w:cs="Times New Roman"/>
          <w:color w:val="auto"/>
          <w:sz w:val="24"/>
          <w:szCs w:val="22"/>
          <w:highlight w:val="none"/>
        </w:rPr>
      </w:pPr>
      <w:r>
        <w:rPr>
          <w:rFonts w:hint="eastAsia" w:ascii="Calibri" w:hAnsi="Calibri" w:cs="Times New Roman"/>
          <w:color w:val="auto"/>
          <w:sz w:val="24"/>
          <w:szCs w:val="22"/>
          <w:highlight w:val="none"/>
        </w:rPr>
        <w:t>综上，本项目危险物质及工艺系统危险性</w:t>
      </w:r>
      <w:r>
        <w:rPr>
          <w:rFonts w:hint="default" w:ascii="Times New Roman" w:hAnsi="Times New Roman" w:cs="Times New Roman"/>
          <w:color w:val="auto"/>
          <w:sz w:val="24"/>
          <w:szCs w:val="22"/>
          <w:highlight w:val="none"/>
        </w:rPr>
        <w:t>（P）分级为 P4。</w:t>
      </w:r>
    </w:p>
    <w:p>
      <w:pPr>
        <w:keepNext w:val="0"/>
        <w:keepLines w:val="0"/>
        <w:pageBreakBefore w:val="0"/>
        <w:widowControl/>
        <w:numPr>
          <w:ilvl w:val="0"/>
          <w:numId w:val="17"/>
        </w:numPr>
        <w:kinsoku/>
        <w:wordWrap/>
        <w:overflowPunct/>
        <w:topLinePunct w:val="0"/>
        <w:autoSpaceDN/>
        <w:bidi w:val="0"/>
        <w:adjustRightInd/>
        <w:snapToGrid/>
        <w:spacing w:line="360" w:lineRule="auto"/>
        <w:ind w:left="0" w:leftChars="0" w:firstLine="480" w:firstLineChars="200"/>
        <w:textAlignment w:val="auto"/>
        <w:rPr>
          <w:rFonts w:hint="eastAsia"/>
          <w:color w:val="auto"/>
          <w:highlight w:val="none"/>
          <w:lang w:val="en-US" w:eastAsia="zh-CN"/>
        </w:rPr>
      </w:pPr>
      <w:r>
        <w:rPr>
          <w:rFonts w:hint="eastAsia"/>
          <w:color w:val="auto"/>
          <w:highlight w:val="none"/>
          <w:lang w:val="en-US" w:eastAsia="zh-CN"/>
        </w:rPr>
        <w:t>环境敏感程度（E）的分级确定</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cs="宋体"/>
          <w:color w:val="auto"/>
          <w:sz w:val="24"/>
          <w:highlight w:val="none"/>
        </w:rPr>
      </w:pPr>
      <w:r>
        <w:rPr>
          <w:rFonts w:hint="eastAsia"/>
          <w:color w:val="auto"/>
          <w:sz w:val="24"/>
          <w:highlight w:val="none"/>
        </w:rPr>
        <w:t>按照《建设项目环境风险评价技术导则》（HJ169-2018）附录D，对建设项目各要素环境敏感程度（E）等级进行判断。</w:t>
      </w:r>
    </w:p>
    <w:p>
      <w:pPr>
        <w:keepNext w:val="0"/>
        <w:keepLines w:val="0"/>
        <w:pageBreakBefore w:val="0"/>
        <w:widowControl/>
        <w:numPr>
          <w:ilvl w:val="0"/>
          <w:numId w:val="18"/>
        </w:numPr>
        <w:kinsoku/>
        <w:wordWrap/>
        <w:overflowPunct/>
        <w:topLinePunct w:val="0"/>
        <w:autoSpaceDE w:val="0"/>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大气环境</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依据环境敏感目标环境敏感性及人口密度划分环境风险受体的敏感性，共分为三种类型，E1为环境高度敏感区，E2为环境中度敏感区，E3为环境低度敏感区，分级原则见表4</w:t>
      </w:r>
      <w:r>
        <w:rPr>
          <w:rFonts w:hint="eastAsia"/>
          <w:color w:val="auto"/>
          <w:sz w:val="24"/>
          <w:highlight w:val="none"/>
          <w:lang w:val="en-US" w:eastAsia="zh-CN"/>
        </w:rPr>
        <w:t>.2</w:t>
      </w:r>
      <w:r>
        <w:rPr>
          <w:rFonts w:hint="eastAsia"/>
          <w:color w:val="auto"/>
          <w:sz w:val="24"/>
          <w:highlight w:val="none"/>
        </w:rPr>
        <w:t>-3</w:t>
      </w:r>
      <w:r>
        <w:rPr>
          <w:rFonts w:hint="eastAsia"/>
          <w:color w:val="auto"/>
          <w:sz w:val="24"/>
          <w:highlight w:val="none"/>
          <w:lang w:val="en-US" w:eastAsia="zh-CN"/>
        </w:rPr>
        <w:t>6</w:t>
      </w:r>
      <w:r>
        <w:rPr>
          <w:rFonts w:hint="eastAsia"/>
          <w:color w:val="auto"/>
          <w:sz w:val="24"/>
          <w:highlight w:val="none"/>
        </w:rPr>
        <w:t>。</w:t>
      </w:r>
    </w:p>
    <w:p>
      <w:pPr>
        <w:pStyle w:val="40"/>
        <w:rPr>
          <w:rFonts w:hint="eastAsia"/>
          <w:color w:val="auto"/>
          <w:highlight w:val="none"/>
          <w:lang w:val="en-US" w:eastAsia="zh-CN"/>
        </w:rPr>
      </w:pPr>
      <w:r>
        <w:rPr>
          <w:rFonts w:hint="eastAsia"/>
          <w:color w:val="auto"/>
          <w:highlight w:val="none"/>
          <w:lang w:val="en-US" w:eastAsia="zh-CN"/>
        </w:rPr>
        <w:t>表4.2-36 大气环境敏感程度分级</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823"/>
        <w:gridCol w:w="66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557"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分级</w:t>
            </w:r>
          </w:p>
        </w:tc>
        <w:tc>
          <w:tcPr>
            <w:tcW w:w="4442"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大气环境敏感性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557"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E1</w:t>
            </w:r>
          </w:p>
        </w:tc>
        <w:tc>
          <w:tcPr>
            <w:tcW w:w="4442"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周边5km范围内居住区、医疗卫生、文化教育、科研、行政办公等机构人口总数大于5万人，或其他需要特殊保护区域；或周边500m范围内人口总数大于1000人；油气、化学品输送管线管段周边200m范围内，每千米管段人口数大于200 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557"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E2</w:t>
            </w:r>
          </w:p>
        </w:tc>
        <w:tc>
          <w:tcPr>
            <w:tcW w:w="4442"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周边5km范围内居住区、医疗卫生、文化教育、科研、行政办公等机构人口总数大于1万人，小于5万人；或周边500m范围内人口总数大于500人，小于1000人；油气、化学品输送管线管段周边200m范围内，每千米管段人口数大于100人，小于200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557"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E3</w:t>
            </w:r>
          </w:p>
        </w:tc>
        <w:tc>
          <w:tcPr>
            <w:tcW w:w="4442"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周边5km范围内居住区、医疗卫生、文化教育、科研、行政办公等机构人口总数小于1万人；或周边500m范围内人口总数小于500人；油气、化学品输送管线管段周边200 m范围内，每千米管段人口数小于100人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557"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b/>
                <w:bCs/>
                <w:color w:val="auto"/>
                <w:sz w:val="21"/>
                <w:szCs w:val="21"/>
                <w:highlight w:val="none"/>
                <w:lang w:eastAsia="zh-CN"/>
              </w:rPr>
            </w:pPr>
            <w:r>
              <w:rPr>
                <w:rFonts w:hint="eastAsia" w:ascii="Times New Roman" w:hAnsi="Times New Roman" w:cs="Times New Roman"/>
                <w:b/>
                <w:bCs/>
                <w:color w:val="auto"/>
                <w:sz w:val="21"/>
                <w:szCs w:val="21"/>
                <w:highlight w:val="none"/>
                <w:lang w:eastAsia="zh-CN"/>
              </w:rPr>
              <w:t>本项目</w:t>
            </w:r>
          </w:p>
        </w:tc>
        <w:tc>
          <w:tcPr>
            <w:tcW w:w="486"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E2</w:t>
            </w:r>
          </w:p>
        </w:tc>
        <w:tc>
          <w:tcPr>
            <w:tcW w:w="3955"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周边5</w:t>
            </w:r>
            <w:r>
              <w:rPr>
                <w:rFonts w:hint="eastAsia" w:cs="Times New Roman"/>
                <w:b/>
                <w:bCs/>
                <w:color w:val="auto"/>
                <w:sz w:val="21"/>
                <w:szCs w:val="21"/>
                <w:highlight w:val="none"/>
                <w:lang w:val="en-US" w:eastAsia="zh-CN"/>
              </w:rPr>
              <w:t>00</w:t>
            </w:r>
            <w:r>
              <w:rPr>
                <w:rFonts w:hint="eastAsia" w:ascii="Times New Roman" w:hAnsi="Times New Roman" w:cs="Times New Roman"/>
                <w:b/>
                <w:bCs/>
                <w:color w:val="auto"/>
                <w:sz w:val="21"/>
                <w:szCs w:val="21"/>
                <w:highlight w:val="none"/>
              </w:rPr>
              <w:t>m范围内人口</w:t>
            </w:r>
            <w:r>
              <w:rPr>
                <w:rFonts w:hint="eastAsia" w:ascii="Times New Roman" w:hAnsi="Times New Roman" w:cs="Times New Roman"/>
                <w:b/>
                <w:bCs/>
                <w:color w:val="auto"/>
                <w:sz w:val="21"/>
                <w:szCs w:val="21"/>
                <w:highlight w:val="none"/>
                <w:lang w:eastAsia="zh-CN"/>
              </w:rPr>
              <w:t>总数人口总数大于500人，小于1000人</w:t>
            </w:r>
          </w:p>
        </w:tc>
      </w:tr>
    </w:tbl>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color w:val="auto"/>
          <w:sz w:val="24"/>
          <w:highlight w:val="none"/>
        </w:rPr>
      </w:pPr>
      <w:r>
        <w:rPr>
          <w:rFonts w:hint="eastAsia"/>
          <w:color w:val="auto"/>
          <w:sz w:val="24"/>
          <w:highlight w:val="none"/>
        </w:rPr>
        <w:t>根据收集资料及现场调查，拟建设项目周边5</w:t>
      </w:r>
      <w:r>
        <w:rPr>
          <w:rFonts w:hint="eastAsia"/>
          <w:color w:val="auto"/>
          <w:sz w:val="24"/>
          <w:highlight w:val="none"/>
          <w:lang w:val="en-US" w:eastAsia="zh-CN"/>
        </w:rPr>
        <w:t>00</w:t>
      </w:r>
      <w:r>
        <w:rPr>
          <w:rFonts w:hint="eastAsia"/>
          <w:color w:val="auto"/>
          <w:sz w:val="24"/>
          <w:highlight w:val="none"/>
        </w:rPr>
        <w:t>m范围内人口总数大于500人小于1000人，经对照大气</w:t>
      </w:r>
      <w:r>
        <w:rPr>
          <w:color w:val="auto"/>
          <w:sz w:val="24"/>
          <w:highlight w:val="none"/>
        </w:rPr>
        <w:t>环境敏感程度分级，本项目属于</w:t>
      </w:r>
      <w:r>
        <w:rPr>
          <w:rFonts w:hint="eastAsia"/>
          <w:color w:val="auto"/>
          <w:sz w:val="24"/>
          <w:highlight w:val="none"/>
        </w:rPr>
        <w:t>大气</w:t>
      </w:r>
      <w:r>
        <w:rPr>
          <w:color w:val="auto"/>
          <w:sz w:val="24"/>
          <w:highlight w:val="none"/>
        </w:rPr>
        <w:t>环境敏感程度分级中的E</w:t>
      </w:r>
      <w:r>
        <w:rPr>
          <w:rFonts w:hint="eastAsia"/>
          <w:color w:val="auto"/>
          <w:sz w:val="24"/>
          <w:highlight w:val="none"/>
        </w:rPr>
        <w:t>2（环境中度敏感区）。</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（2）地表水环境</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依据事故情况下危险物质泄漏到水体的排放点受纳地表水体功能敏感性，与下游环境敏感目标情况，共分为三种类型，E1为环境高度敏感区，E2为环境中度敏感区，E3为环境低度敏感区，分级原则见表4</w:t>
      </w:r>
      <w:r>
        <w:rPr>
          <w:rFonts w:hint="eastAsia"/>
          <w:color w:val="auto"/>
          <w:sz w:val="24"/>
          <w:highlight w:val="none"/>
          <w:lang w:val="en-US" w:eastAsia="zh-CN"/>
        </w:rPr>
        <w:t>.2</w:t>
      </w:r>
      <w:r>
        <w:rPr>
          <w:rFonts w:hint="eastAsia"/>
          <w:color w:val="auto"/>
          <w:sz w:val="24"/>
          <w:highlight w:val="none"/>
        </w:rPr>
        <w:t>-3</w:t>
      </w:r>
      <w:r>
        <w:rPr>
          <w:rFonts w:hint="eastAsia"/>
          <w:color w:val="auto"/>
          <w:sz w:val="24"/>
          <w:highlight w:val="none"/>
          <w:lang w:val="en-US" w:eastAsia="zh-CN"/>
        </w:rPr>
        <w:t>7</w:t>
      </w:r>
      <w:r>
        <w:rPr>
          <w:rFonts w:hint="eastAsia"/>
          <w:color w:val="auto"/>
          <w:sz w:val="24"/>
          <w:highlight w:val="none"/>
        </w:rPr>
        <w:t>。其中地表水功能敏感性分区和环境敏感目标分级分别见表4</w:t>
      </w:r>
      <w:r>
        <w:rPr>
          <w:rFonts w:hint="eastAsia"/>
          <w:color w:val="auto"/>
          <w:sz w:val="24"/>
          <w:highlight w:val="none"/>
          <w:lang w:val="en-US" w:eastAsia="zh-CN"/>
        </w:rPr>
        <w:t>.2</w:t>
      </w:r>
      <w:r>
        <w:rPr>
          <w:rFonts w:hint="eastAsia"/>
          <w:color w:val="auto"/>
          <w:sz w:val="24"/>
          <w:highlight w:val="none"/>
        </w:rPr>
        <w:t>-3</w:t>
      </w:r>
      <w:r>
        <w:rPr>
          <w:rFonts w:hint="eastAsia"/>
          <w:color w:val="auto"/>
          <w:sz w:val="24"/>
          <w:highlight w:val="none"/>
          <w:lang w:val="en-US" w:eastAsia="zh-CN"/>
        </w:rPr>
        <w:t>8</w:t>
      </w:r>
      <w:r>
        <w:rPr>
          <w:rFonts w:hint="eastAsia"/>
          <w:color w:val="auto"/>
          <w:sz w:val="24"/>
          <w:highlight w:val="none"/>
        </w:rPr>
        <w:t>和表4</w:t>
      </w:r>
      <w:r>
        <w:rPr>
          <w:rFonts w:hint="eastAsia"/>
          <w:color w:val="auto"/>
          <w:sz w:val="24"/>
          <w:highlight w:val="none"/>
          <w:lang w:val="en-US" w:eastAsia="zh-CN"/>
        </w:rPr>
        <w:t>.2</w:t>
      </w:r>
      <w:r>
        <w:rPr>
          <w:rFonts w:hint="eastAsia"/>
          <w:color w:val="auto"/>
          <w:sz w:val="24"/>
          <w:highlight w:val="none"/>
        </w:rPr>
        <w:t>-</w:t>
      </w:r>
      <w:r>
        <w:rPr>
          <w:rFonts w:hint="eastAsia"/>
          <w:color w:val="auto"/>
          <w:sz w:val="24"/>
          <w:highlight w:val="none"/>
          <w:lang w:val="en-US" w:eastAsia="zh-CN"/>
        </w:rPr>
        <w:t>39</w:t>
      </w:r>
      <w:r>
        <w:rPr>
          <w:rFonts w:hint="eastAsia"/>
          <w:color w:val="auto"/>
          <w:sz w:val="24"/>
          <w:highlight w:val="none"/>
        </w:rPr>
        <w:t>。</w:t>
      </w:r>
    </w:p>
    <w:p>
      <w:pPr>
        <w:pStyle w:val="40"/>
        <w:rPr>
          <w:rFonts w:hint="eastAsia"/>
          <w:color w:val="auto"/>
          <w:highlight w:val="none"/>
          <w:lang w:val="en-US" w:eastAsia="zh-CN"/>
        </w:rPr>
      </w:pPr>
      <w:r>
        <w:rPr>
          <w:rFonts w:hint="eastAsia"/>
          <w:color w:val="auto"/>
          <w:highlight w:val="none"/>
          <w:lang w:val="en-US" w:eastAsia="zh-CN"/>
        </w:rPr>
        <w:t>表4.2-37 地表水环境敏感程度分级</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13"/>
        <w:gridCol w:w="2113"/>
        <w:gridCol w:w="2115"/>
        <w:gridCol w:w="21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Merge w:val="restar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环境敏感目标</w:t>
            </w:r>
          </w:p>
        </w:tc>
        <w:tc>
          <w:tcPr>
            <w:tcW w:w="3750" w:type="pct"/>
            <w:gridSpan w:val="3"/>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地表水功能敏感性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Merge w:val="continue"/>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F1</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F2</w:t>
            </w:r>
          </w:p>
        </w:tc>
        <w:tc>
          <w:tcPr>
            <w:tcW w:w="1251"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F3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S1</w:t>
            </w:r>
          </w:p>
        </w:tc>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E1</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E1</w:t>
            </w:r>
          </w:p>
        </w:tc>
        <w:tc>
          <w:tcPr>
            <w:tcW w:w="1251"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S2</w:t>
            </w:r>
          </w:p>
        </w:tc>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E1</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E2</w:t>
            </w:r>
          </w:p>
        </w:tc>
        <w:tc>
          <w:tcPr>
            <w:tcW w:w="1251"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S3</w:t>
            </w:r>
          </w:p>
        </w:tc>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E1</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E2</w:t>
            </w:r>
          </w:p>
        </w:tc>
        <w:tc>
          <w:tcPr>
            <w:tcW w:w="1251"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E3</w:t>
            </w:r>
          </w:p>
        </w:tc>
      </w:tr>
    </w:tbl>
    <w:p>
      <w:pPr>
        <w:pStyle w:val="40"/>
        <w:rPr>
          <w:rFonts w:hint="eastAsia"/>
          <w:color w:val="auto"/>
          <w:highlight w:val="none"/>
          <w:lang w:val="en-US" w:eastAsia="zh-CN"/>
        </w:rPr>
      </w:pPr>
      <w:r>
        <w:rPr>
          <w:rFonts w:hint="eastAsia"/>
          <w:color w:val="auto"/>
          <w:highlight w:val="none"/>
          <w:lang w:val="en-US" w:eastAsia="zh-CN"/>
        </w:rPr>
        <w:t>表4.2-38 地表水功能敏感性分区</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1895"/>
        <w:gridCol w:w="51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832"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敏感性</w:t>
            </w:r>
          </w:p>
        </w:tc>
        <w:tc>
          <w:tcPr>
            <w:tcW w:w="4167"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地表水环境敏感特征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832"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敏感F1</w:t>
            </w:r>
          </w:p>
        </w:tc>
        <w:tc>
          <w:tcPr>
            <w:tcW w:w="4167"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排放点进入地表水水域环境功能为</w:t>
            </w:r>
            <w:r>
              <w:rPr>
                <w:rFonts w:hint="eastAsia" w:ascii="Times New Roman" w:hAnsi="Times New Roman" w:cs="Times New Roman"/>
                <w:color w:val="auto"/>
                <w:sz w:val="21"/>
                <w:szCs w:val="21"/>
                <w:highlight w:val="none"/>
              </w:rPr>
              <w:t>Ⅱ</w:t>
            </w:r>
            <w:r>
              <w:rPr>
                <w:rFonts w:hint="default" w:ascii="Times New Roman" w:hAnsi="Times New Roman" w:cs="Times New Roman"/>
                <w:color w:val="auto"/>
                <w:sz w:val="21"/>
                <w:szCs w:val="21"/>
                <w:highlight w:val="none"/>
              </w:rPr>
              <w:t>类及以上，或海水水质分类第一类；</w:t>
            </w:r>
          </w:p>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或以发生事故时，危险物质泄漏到水体的排放点算起，排放进入受纳河流最大流速时，24h流经范围内涉跨国界的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832"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较敏感F2</w:t>
            </w:r>
          </w:p>
        </w:tc>
        <w:tc>
          <w:tcPr>
            <w:tcW w:w="4167"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排放点进入地表水水域环境功能为</w:t>
            </w:r>
            <w:r>
              <w:rPr>
                <w:rFonts w:hint="eastAsia" w:ascii="Times New Roman" w:hAnsi="Times New Roman" w:cs="Times New Roman"/>
                <w:color w:val="auto"/>
                <w:sz w:val="21"/>
                <w:szCs w:val="21"/>
                <w:highlight w:val="none"/>
              </w:rPr>
              <w:t>Ⅲ</w:t>
            </w:r>
            <w:r>
              <w:rPr>
                <w:rFonts w:hint="default" w:ascii="Times New Roman" w:hAnsi="Times New Roman" w:cs="Times New Roman"/>
                <w:color w:val="auto"/>
                <w:sz w:val="21"/>
                <w:szCs w:val="21"/>
                <w:highlight w:val="none"/>
              </w:rPr>
              <w:t>类，或海水水质分类第二类；</w:t>
            </w:r>
          </w:p>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或以发生事故时，危险物质泄漏到水体的排放点算起，排放进入受纳河流最大流速时，24h流经范围内涉跨省界的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832"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低敏感F3</w:t>
            </w:r>
          </w:p>
        </w:tc>
        <w:tc>
          <w:tcPr>
            <w:tcW w:w="4167" w:type="pct"/>
            <w:gridSpan w:val="2"/>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上述地区之外的其他地区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832" w:type="pct"/>
            <w:noWrap w:val="0"/>
            <w:vAlign w:val="center"/>
          </w:tcPr>
          <w:p>
            <w:pPr>
              <w:widowControl w:val="0"/>
              <w:autoSpaceDE w:val="0"/>
              <w:snapToGrid w:val="0"/>
              <w:spacing w:line="240" w:lineRule="auto"/>
              <w:ind w:firstLine="0" w:firstLineChars="0"/>
              <w:jc w:val="center"/>
              <w:rPr>
                <w:rFonts w:hint="eastAsia" w:ascii="Times New Roman" w:hAnsi="Times New Roman" w:eastAsia="宋体" w:cs="Times New Roman"/>
                <w:b/>
                <w:bCs/>
                <w:color w:val="auto"/>
                <w:sz w:val="21"/>
                <w:szCs w:val="21"/>
                <w:highlight w:val="none"/>
                <w:lang w:eastAsia="zh-CN"/>
              </w:rPr>
            </w:pPr>
            <w:r>
              <w:rPr>
                <w:rFonts w:hint="eastAsia" w:cs="Times New Roman"/>
                <w:b/>
                <w:bCs/>
                <w:color w:val="auto"/>
                <w:sz w:val="21"/>
                <w:szCs w:val="21"/>
                <w:highlight w:val="none"/>
                <w:lang w:eastAsia="zh-CN"/>
              </w:rPr>
              <w:t>本项目</w:t>
            </w:r>
          </w:p>
        </w:tc>
        <w:tc>
          <w:tcPr>
            <w:tcW w:w="112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F2</w:t>
            </w:r>
          </w:p>
        </w:tc>
        <w:tc>
          <w:tcPr>
            <w:tcW w:w="3047"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eastAsia" w:cs="Times New Roman"/>
                <w:b/>
                <w:bCs/>
                <w:color w:val="auto"/>
                <w:sz w:val="21"/>
                <w:szCs w:val="21"/>
                <w:highlight w:val="none"/>
                <w:lang w:eastAsia="zh-CN"/>
              </w:rPr>
              <w:t>周边</w:t>
            </w:r>
            <w:r>
              <w:rPr>
                <w:rFonts w:hint="default" w:ascii="Times New Roman" w:hAnsi="Times New Roman" w:cs="Times New Roman"/>
                <w:b/>
                <w:bCs/>
                <w:color w:val="auto"/>
                <w:sz w:val="21"/>
                <w:szCs w:val="21"/>
                <w:highlight w:val="none"/>
              </w:rPr>
              <w:t>地表水水域环境功能为Ⅲ类</w:t>
            </w:r>
          </w:p>
        </w:tc>
      </w:tr>
    </w:tbl>
    <w:p>
      <w:pPr>
        <w:pStyle w:val="40"/>
        <w:rPr>
          <w:rFonts w:hint="eastAsia"/>
          <w:color w:val="auto"/>
          <w:highlight w:val="none"/>
          <w:lang w:val="en-US" w:eastAsia="zh-CN"/>
        </w:rPr>
      </w:pPr>
      <w:r>
        <w:rPr>
          <w:rFonts w:hint="eastAsia"/>
          <w:color w:val="auto"/>
          <w:highlight w:val="none"/>
          <w:lang w:val="en-US" w:eastAsia="zh-CN"/>
        </w:rPr>
        <w:t>表4.2-39 环境敏感目标分级</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75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513"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分级</w:t>
            </w:r>
          </w:p>
        </w:tc>
        <w:tc>
          <w:tcPr>
            <w:tcW w:w="4486"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环境敏感目标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7" w:hRule="atLeast"/>
        </w:trPr>
        <w:tc>
          <w:tcPr>
            <w:tcW w:w="513"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S1</w:t>
            </w:r>
          </w:p>
        </w:tc>
        <w:tc>
          <w:tcPr>
            <w:tcW w:w="4486"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发生事故时，危险物质泄漏到内陆水体的排放点下游（顺水流向）10 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513"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S2</w:t>
            </w:r>
          </w:p>
        </w:tc>
        <w:tc>
          <w:tcPr>
            <w:tcW w:w="4486"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发生事故时，危险物质泄漏到内陆水体的排放点下游（顺水流向）10 km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13"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S3</w:t>
            </w:r>
          </w:p>
        </w:tc>
        <w:tc>
          <w:tcPr>
            <w:tcW w:w="4486"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排放点下游（顺水流向）10 km范围、近岸海域一个潮周期水质点可能达到的最大水平距离的两倍范围内无上述类型1和类型2包括的敏感保护目标</w:t>
            </w:r>
          </w:p>
        </w:tc>
      </w:tr>
    </w:tbl>
    <w:p>
      <w:pPr>
        <w:spacing w:line="500" w:lineRule="exact"/>
        <w:ind w:firstLine="480" w:firstLineChars="200"/>
        <w:rPr>
          <w:color w:val="auto"/>
          <w:sz w:val="24"/>
          <w:highlight w:val="none"/>
        </w:rPr>
      </w:pPr>
      <w:r>
        <w:rPr>
          <w:rFonts w:hint="eastAsia"/>
          <w:color w:val="auto"/>
          <w:sz w:val="24"/>
          <w:highlight w:val="none"/>
        </w:rPr>
        <w:t>①拟建设项目距离最近河流为</w:t>
      </w:r>
      <w:r>
        <w:rPr>
          <w:rFonts w:ascii="Times New Roman" w:hAnsi="Times New Roman"/>
          <w:bCs/>
          <w:color w:val="auto"/>
          <w:sz w:val="24"/>
          <w:highlight w:val="none"/>
        </w:rPr>
        <w:t>项目</w:t>
      </w:r>
      <w:r>
        <w:rPr>
          <w:rFonts w:hint="eastAsia"/>
          <w:color w:val="auto"/>
          <w:sz w:val="24"/>
          <w:szCs w:val="24"/>
          <w:highlight w:val="none"/>
          <w:lang w:eastAsia="zh-CN"/>
        </w:rPr>
        <w:t>南侧330m处的洪河</w:t>
      </w:r>
      <w:r>
        <w:rPr>
          <w:rFonts w:ascii="Times New Roman" w:hAnsi="Times New Roman"/>
          <w:bCs/>
          <w:color w:val="auto"/>
          <w:sz w:val="24"/>
          <w:szCs w:val="24"/>
          <w:highlight w:val="none"/>
        </w:rPr>
        <w:t>，</w:t>
      </w:r>
      <w:r>
        <w:rPr>
          <w:rFonts w:hint="eastAsia"/>
          <w:color w:val="auto"/>
          <w:sz w:val="24"/>
          <w:szCs w:val="24"/>
          <w:highlight w:val="none"/>
          <w:lang w:eastAsia="zh-CN"/>
        </w:rPr>
        <w:t>洪</w:t>
      </w:r>
      <w:r>
        <w:rPr>
          <w:rFonts w:hint="eastAsia" w:ascii="Times New Roman" w:hAnsi="Times New Roman"/>
          <w:color w:val="auto"/>
          <w:sz w:val="24"/>
          <w:szCs w:val="24"/>
          <w:highlight w:val="none"/>
        </w:rPr>
        <w:t>河</w:t>
      </w:r>
      <w:r>
        <w:rPr>
          <w:color w:val="auto"/>
          <w:sz w:val="24"/>
          <w:highlight w:val="none"/>
        </w:rPr>
        <w:t>执行《地表水环境质量标准》</w:t>
      </w:r>
      <w:r>
        <w:rPr>
          <w:rFonts w:hint="eastAsia"/>
          <w:color w:val="auto"/>
          <w:sz w:val="24"/>
          <w:highlight w:val="none"/>
          <w:lang w:eastAsia="zh-CN"/>
        </w:rPr>
        <w:t>（</w:t>
      </w:r>
      <w:r>
        <w:rPr>
          <w:color w:val="auto"/>
          <w:sz w:val="24"/>
          <w:highlight w:val="none"/>
        </w:rPr>
        <w:t>GB3838-2002</w:t>
      </w:r>
      <w:r>
        <w:rPr>
          <w:rFonts w:hint="eastAsia"/>
          <w:color w:val="auto"/>
          <w:sz w:val="24"/>
          <w:highlight w:val="none"/>
          <w:lang w:eastAsia="zh-CN"/>
        </w:rPr>
        <w:t>）</w:t>
      </w:r>
      <w:r>
        <w:rPr>
          <w:rFonts w:ascii="Times New Roman" w:hAnsi="Times New Roman"/>
          <w:color w:val="auto"/>
          <w:sz w:val="24"/>
          <w:szCs w:val="24"/>
          <w:highlight w:val="none"/>
          <w:shd w:val="clear" w:color="auto" w:fill="FFFFFF"/>
        </w:rPr>
        <w:t>Ⅲ</w:t>
      </w:r>
      <w:r>
        <w:rPr>
          <w:color w:val="auto"/>
          <w:sz w:val="24"/>
          <w:highlight w:val="none"/>
        </w:rPr>
        <w:t>类标准，根据地表水</w:t>
      </w:r>
      <w:r>
        <w:rPr>
          <w:rFonts w:hint="eastAsia"/>
          <w:color w:val="auto"/>
          <w:sz w:val="24"/>
          <w:highlight w:val="none"/>
        </w:rPr>
        <w:t>环境</w:t>
      </w:r>
      <w:r>
        <w:rPr>
          <w:color w:val="auto"/>
          <w:sz w:val="24"/>
          <w:highlight w:val="none"/>
        </w:rPr>
        <w:t>敏感</w:t>
      </w:r>
      <w:r>
        <w:rPr>
          <w:rFonts w:hint="eastAsia"/>
          <w:color w:val="auto"/>
          <w:sz w:val="24"/>
          <w:highlight w:val="none"/>
        </w:rPr>
        <w:t>程度分级</w:t>
      </w:r>
      <w:r>
        <w:rPr>
          <w:color w:val="auto"/>
          <w:sz w:val="24"/>
          <w:highlight w:val="none"/>
        </w:rPr>
        <w:t>表，属于</w:t>
      </w:r>
      <w:r>
        <w:rPr>
          <w:rFonts w:hint="eastAsia"/>
          <w:color w:val="auto"/>
          <w:sz w:val="24"/>
          <w:highlight w:val="none"/>
          <w:lang w:eastAsia="zh-CN"/>
        </w:rPr>
        <w:t>较</w:t>
      </w:r>
      <w:r>
        <w:rPr>
          <w:color w:val="auto"/>
          <w:sz w:val="24"/>
          <w:highlight w:val="none"/>
        </w:rPr>
        <w:t>敏感F</w:t>
      </w:r>
      <w:r>
        <w:rPr>
          <w:rFonts w:hint="eastAsia"/>
          <w:color w:val="auto"/>
          <w:sz w:val="24"/>
          <w:highlight w:val="none"/>
        </w:rPr>
        <w:t>2</w:t>
      </w:r>
      <w:r>
        <w:rPr>
          <w:color w:val="auto"/>
          <w:sz w:val="24"/>
          <w:highlight w:val="none"/>
        </w:rPr>
        <w:t>。</w:t>
      </w:r>
    </w:p>
    <w:p>
      <w:pPr>
        <w:autoSpaceDE w:val="0"/>
        <w:adjustRightInd w:val="0"/>
        <w:snapToGrid w:val="0"/>
        <w:spacing w:line="480" w:lineRule="exact"/>
        <w:ind w:firstLine="480" w:firstLineChars="200"/>
        <w:rPr>
          <w:rFonts w:hint="eastAsia"/>
          <w:color w:val="auto"/>
          <w:sz w:val="24"/>
          <w:highlight w:val="none"/>
        </w:rPr>
      </w:pPr>
      <w:r>
        <w:rPr>
          <w:rFonts w:hint="eastAsia"/>
          <w:color w:val="auto"/>
          <w:sz w:val="24"/>
          <w:highlight w:val="none"/>
        </w:rPr>
        <w:t>②本项目若发生危险物质泄露事故排放，危险物质泄漏到</w:t>
      </w:r>
      <w:r>
        <w:rPr>
          <w:rFonts w:hint="eastAsia"/>
          <w:color w:val="auto"/>
          <w:sz w:val="24"/>
          <w:szCs w:val="24"/>
          <w:highlight w:val="none"/>
          <w:lang w:eastAsia="zh-CN"/>
        </w:rPr>
        <w:t>老汝</w:t>
      </w:r>
      <w:r>
        <w:rPr>
          <w:rFonts w:hint="eastAsia" w:ascii="Times New Roman" w:hAnsi="Times New Roman"/>
          <w:color w:val="auto"/>
          <w:sz w:val="24"/>
          <w:szCs w:val="24"/>
          <w:highlight w:val="none"/>
        </w:rPr>
        <w:t>河</w:t>
      </w:r>
      <w:r>
        <w:rPr>
          <w:rFonts w:hint="eastAsia"/>
          <w:color w:val="auto"/>
          <w:sz w:val="24"/>
          <w:highlight w:val="none"/>
        </w:rPr>
        <w:t>的排放点下游10km范围内，不存在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水产养殖区；天然渔场；森林公园；地质公园等水环境敏感目标，故本项目属于环境敏感目标分级表中的S</w:t>
      </w:r>
      <w:r>
        <w:rPr>
          <w:rFonts w:hint="eastAsia"/>
          <w:color w:val="auto"/>
          <w:sz w:val="24"/>
          <w:highlight w:val="none"/>
          <w:lang w:val="en-US" w:eastAsia="zh-CN"/>
        </w:rPr>
        <w:t>3</w:t>
      </w:r>
      <w:r>
        <w:rPr>
          <w:rFonts w:hint="eastAsia"/>
          <w:color w:val="auto"/>
          <w:sz w:val="24"/>
          <w:highlight w:val="none"/>
        </w:rPr>
        <w:t>。</w:t>
      </w:r>
    </w:p>
    <w:p>
      <w:pPr>
        <w:autoSpaceDE w:val="0"/>
        <w:adjustRightInd w:val="0"/>
        <w:snapToGrid w:val="0"/>
        <w:spacing w:line="480" w:lineRule="exact"/>
        <w:ind w:firstLine="480" w:firstLineChars="200"/>
        <w:rPr>
          <w:color w:val="auto"/>
          <w:sz w:val="24"/>
          <w:highlight w:val="none"/>
        </w:rPr>
      </w:pPr>
      <w:r>
        <w:rPr>
          <w:rFonts w:hint="eastAsia"/>
          <w:color w:val="auto"/>
          <w:sz w:val="24"/>
          <w:highlight w:val="none"/>
        </w:rPr>
        <w:t>综上，</w:t>
      </w:r>
      <w:r>
        <w:rPr>
          <w:color w:val="auto"/>
          <w:sz w:val="24"/>
          <w:highlight w:val="none"/>
        </w:rPr>
        <w:t>根据地表水环境敏感程度分级，本项目属于地表水环境敏感程度分级中的E</w:t>
      </w:r>
      <w:r>
        <w:rPr>
          <w:rFonts w:hint="eastAsia"/>
          <w:color w:val="auto"/>
          <w:sz w:val="24"/>
          <w:highlight w:val="none"/>
          <w:lang w:val="en-US" w:eastAsia="zh-CN"/>
        </w:rPr>
        <w:t>2</w:t>
      </w:r>
      <w:r>
        <w:rPr>
          <w:rFonts w:hint="eastAsia"/>
          <w:color w:val="auto"/>
          <w:sz w:val="24"/>
          <w:highlight w:val="none"/>
        </w:rPr>
        <w:t>（环境</w:t>
      </w:r>
      <w:r>
        <w:rPr>
          <w:rFonts w:hint="eastAsia"/>
          <w:color w:val="auto"/>
          <w:sz w:val="24"/>
          <w:highlight w:val="none"/>
          <w:lang w:eastAsia="zh-CN"/>
        </w:rPr>
        <w:t>中</w:t>
      </w:r>
      <w:r>
        <w:rPr>
          <w:rFonts w:hint="eastAsia"/>
          <w:color w:val="auto"/>
          <w:sz w:val="24"/>
          <w:highlight w:val="none"/>
        </w:rPr>
        <w:t>度敏感区）。</w:t>
      </w:r>
    </w:p>
    <w:p>
      <w:pPr>
        <w:autoSpaceDE w:val="0"/>
        <w:adjustRightInd w:val="0"/>
        <w:snapToGrid w:val="0"/>
        <w:spacing w:line="480" w:lineRule="exact"/>
        <w:ind w:firstLine="480" w:firstLineChars="200"/>
        <w:rPr>
          <w:color w:val="auto"/>
          <w:sz w:val="24"/>
          <w:highlight w:val="none"/>
        </w:rPr>
      </w:pPr>
      <w:r>
        <w:rPr>
          <w:rFonts w:hint="eastAsia"/>
          <w:color w:val="auto"/>
          <w:sz w:val="24"/>
          <w:highlight w:val="none"/>
        </w:rPr>
        <w:t>（3）地下水环境</w:t>
      </w:r>
    </w:p>
    <w:p>
      <w:pPr>
        <w:autoSpaceDE w:val="0"/>
        <w:adjustRightInd w:val="0"/>
        <w:snapToGrid w:val="0"/>
        <w:spacing w:line="480" w:lineRule="exact"/>
        <w:ind w:firstLine="480" w:firstLineChars="200"/>
        <w:rPr>
          <w:rFonts w:hint="eastAsia"/>
          <w:color w:val="auto"/>
          <w:sz w:val="24"/>
          <w:highlight w:val="none"/>
        </w:rPr>
      </w:pPr>
      <w:r>
        <w:rPr>
          <w:rFonts w:hint="eastAsia"/>
          <w:color w:val="auto"/>
          <w:sz w:val="24"/>
          <w:highlight w:val="none"/>
        </w:rPr>
        <w:t>依据地下水功能敏感性与包气带防污性能，共分为三种类型，E1为环境高度敏感区，E2为环境中度敏感区，E3为环境低度敏感区，分级原则见表4</w:t>
      </w:r>
      <w:r>
        <w:rPr>
          <w:rFonts w:hint="eastAsia"/>
          <w:color w:val="auto"/>
          <w:sz w:val="24"/>
          <w:highlight w:val="none"/>
          <w:lang w:val="en-US" w:eastAsia="zh-CN"/>
        </w:rPr>
        <w:t>.2</w:t>
      </w:r>
      <w:r>
        <w:rPr>
          <w:rFonts w:hint="eastAsia"/>
          <w:color w:val="auto"/>
          <w:sz w:val="24"/>
          <w:highlight w:val="none"/>
        </w:rPr>
        <w:t>-</w:t>
      </w:r>
      <w:r>
        <w:rPr>
          <w:rFonts w:hint="eastAsia"/>
          <w:color w:val="auto"/>
          <w:sz w:val="24"/>
          <w:highlight w:val="none"/>
          <w:lang w:val="en-US" w:eastAsia="zh-CN"/>
        </w:rPr>
        <w:t>40</w:t>
      </w:r>
      <w:r>
        <w:rPr>
          <w:rFonts w:hint="eastAsia"/>
          <w:color w:val="auto"/>
          <w:sz w:val="24"/>
          <w:highlight w:val="none"/>
        </w:rPr>
        <w:t>。其中地下水功能敏感性分区和包气带防污性能分级分别见表4</w:t>
      </w:r>
      <w:r>
        <w:rPr>
          <w:rFonts w:hint="eastAsia"/>
          <w:color w:val="auto"/>
          <w:sz w:val="24"/>
          <w:highlight w:val="none"/>
          <w:lang w:val="en-US" w:eastAsia="zh-CN"/>
        </w:rPr>
        <w:t>.2</w:t>
      </w:r>
      <w:r>
        <w:rPr>
          <w:rFonts w:hint="eastAsia"/>
          <w:color w:val="auto"/>
          <w:sz w:val="24"/>
          <w:highlight w:val="none"/>
        </w:rPr>
        <w:t>-4</w:t>
      </w:r>
      <w:r>
        <w:rPr>
          <w:rFonts w:hint="eastAsia"/>
          <w:color w:val="auto"/>
          <w:sz w:val="24"/>
          <w:highlight w:val="none"/>
          <w:lang w:val="en-US" w:eastAsia="zh-CN"/>
        </w:rPr>
        <w:t>1</w:t>
      </w:r>
      <w:r>
        <w:rPr>
          <w:rFonts w:hint="eastAsia"/>
          <w:color w:val="auto"/>
          <w:sz w:val="24"/>
          <w:highlight w:val="none"/>
        </w:rPr>
        <w:t>和表4</w:t>
      </w:r>
      <w:r>
        <w:rPr>
          <w:rFonts w:hint="eastAsia"/>
          <w:color w:val="auto"/>
          <w:sz w:val="24"/>
          <w:highlight w:val="none"/>
          <w:lang w:val="en-US" w:eastAsia="zh-CN"/>
        </w:rPr>
        <w:t>.2</w:t>
      </w:r>
      <w:r>
        <w:rPr>
          <w:rFonts w:hint="eastAsia"/>
          <w:color w:val="auto"/>
          <w:sz w:val="24"/>
          <w:highlight w:val="none"/>
        </w:rPr>
        <w:t>-4</w:t>
      </w:r>
      <w:r>
        <w:rPr>
          <w:rFonts w:hint="eastAsia"/>
          <w:color w:val="auto"/>
          <w:sz w:val="24"/>
          <w:highlight w:val="none"/>
          <w:lang w:val="en-US" w:eastAsia="zh-CN"/>
        </w:rPr>
        <w:t>2</w:t>
      </w:r>
      <w:r>
        <w:rPr>
          <w:rFonts w:hint="eastAsia"/>
          <w:color w:val="auto"/>
          <w:sz w:val="24"/>
          <w:highlight w:val="none"/>
        </w:rPr>
        <w:t>。当同一建设项目涉及两个G分区或D分级及以上时，取相对高值。</w:t>
      </w:r>
    </w:p>
    <w:p>
      <w:pPr>
        <w:pStyle w:val="40"/>
        <w:rPr>
          <w:rFonts w:hint="eastAsia"/>
          <w:color w:val="auto"/>
          <w:highlight w:val="none"/>
          <w:lang w:val="en-US" w:eastAsia="zh-CN"/>
        </w:rPr>
      </w:pPr>
      <w:r>
        <w:rPr>
          <w:rFonts w:hint="eastAsia"/>
          <w:color w:val="auto"/>
          <w:highlight w:val="none"/>
          <w:lang w:val="en-US" w:eastAsia="zh-CN"/>
        </w:rPr>
        <w:t>表4.2-40 地下水环境敏感程度分级</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13"/>
        <w:gridCol w:w="2113"/>
        <w:gridCol w:w="2115"/>
        <w:gridCol w:w="21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vMerge w:val="restar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包气带防污性能</w:t>
            </w:r>
          </w:p>
        </w:tc>
        <w:tc>
          <w:tcPr>
            <w:tcW w:w="3750" w:type="pct"/>
            <w:gridSpan w:val="3"/>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地下水功能敏感性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vMerge w:val="continue"/>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G</w:t>
            </w:r>
            <w:r>
              <w:rPr>
                <w:rFonts w:hint="default" w:ascii="Times New Roman" w:hAnsi="Times New Roman" w:cs="Times New Roman"/>
                <w:color w:val="auto"/>
                <w:sz w:val="21"/>
                <w:szCs w:val="21"/>
                <w:highlight w:val="none"/>
              </w:rPr>
              <w:t>1</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G</w:t>
            </w:r>
            <w:r>
              <w:rPr>
                <w:rFonts w:hint="default" w:ascii="Times New Roman" w:hAnsi="Times New Roman" w:cs="Times New Roman"/>
                <w:color w:val="auto"/>
                <w:sz w:val="21"/>
                <w:szCs w:val="21"/>
                <w:highlight w:val="none"/>
              </w:rPr>
              <w:t>2</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G</w:t>
            </w:r>
            <w:r>
              <w:rPr>
                <w:rFonts w:hint="default" w:ascii="Times New Roman" w:hAnsi="Times New Roman" w:cs="Times New Roman"/>
                <w:color w:val="auto"/>
                <w:sz w:val="21"/>
                <w:szCs w:val="21"/>
                <w:highlight w:val="none"/>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D</w:t>
            </w:r>
            <w:r>
              <w:rPr>
                <w:rFonts w:hint="default" w:ascii="Times New Roman" w:hAnsi="Times New Roman" w:cs="Times New Roman"/>
                <w:color w:val="auto"/>
                <w:sz w:val="21"/>
                <w:szCs w:val="21"/>
                <w:highlight w:val="none"/>
              </w:rPr>
              <w:t>1</w:t>
            </w:r>
          </w:p>
        </w:tc>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E1</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E1</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D</w:t>
            </w:r>
            <w:r>
              <w:rPr>
                <w:rFonts w:hint="default" w:ascii="Times New Roman" w:hAnsi="Times New Roman" w:cs="Times New Roman"/>
                <w:color w:val="auto"/>
                <w:sz w:val="21"/>
                <w:szCs w:val="21"/>
                <w:highlight w:val="none"/>
              </w:rPr>
              <w:t>2</w:t>
            </w:r>
          </w:p>
        </w:tc>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E1</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E2</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D</w:t>
            </w:r>
            <w:r>
              <w:rPr>
                <w:rFonts w:hint="default" w:ascii="Times New Roman" w:hAnsi="Times New Roman" w:cs="Times New Roman"/>
                <w:color w:val="auto"/>
                <w:sz w:val="21"/>
                <w:szCs w:val="21"/>
                <w:highlight w:val="none"/>
              </w:rPr>
              <w:t>3</w:t>
            </w:r>
          </w:p>
        </w:tc>
        <w:tc>
          <w:tcPr>
            <w:tcW w:w="1249"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w:t>
            </w:r>
            <w:r>
              <w:rPr>
                <w:rFonts w:hint="eastAsia" w:ascii="Times New Roman" w:hAnsi="Times New Roman" w:cs="Times New Roman"/>
                <w:color w:val="auto"/>
                <w:sz w:val="21"/>
                <w:szCs w:val="21"/>
                <w:highlight w:val="none"/>
              </w:rPr>
              <w:t>2</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E2</w:t>
            </w:r>
          </w:p>
        </w:tc>
        <w:tc>
          <w:tcPr>
            <w:tcW w:w="1250" w:type="pct"/>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E3</w:t>
            </w:r>
          </w:p>
        </w:tc>
      </w:tr>
    </w:tbl>
    <w:p>
      <w:pPr>
        <w:pStyle w:val="40"/>
        <w:rPr>
          <w:rFonts w:hint="eastAsia"/>
          <w:color w:val="auto"/>
          <w:highlight w:val="none"/>
          <w:lang w:val="en-US" w:eastAsia="zh-CN"/>
        </w:rPr>
      </w:pPr>
      <w:r>
        <w:rPr>
          <w:rFonts w:hint="eastAsia"/>
          <w:color w:val="auto"/>
          <w:highlight w:val="none"/>
          <w:lang w:val="en-US" w:eastAsia="zh-CN"/>
        </w:rPr>
        <w:t>表4.2-41 地下水功能敏感性分区</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73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敏感性</w:t>
            </w:r>
          </w:p>
        </w:tc>
        <w:tc>
          <w:tcPr>
            <w:tcW w:w="4317"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地下水环境敏感特征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682"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敏感 G1</w:t>
            </w:r>
          </w:p>
        </w:tc>
        <w:tc>
          <w:tcPr>
            <w:tcW w:w="4317"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较敏感G2</w:t>
            </w:r>
          </w:p>
        </w:tc>
        <w:tc>
          <w:tcPr>
            <w:tcW w:w="4317"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Pr>
                <w:rFonts w:hint="eastAsia" w:ascii="Times New Roman" w:hAnsi="Times New Roman" w:cs="Times New Roman"/>
                <w:color w:val="auto"/>
                <w:sz w:val="21"/>
                <w:szCs w:val="21"/>
                <w:highlight w:val="none"/>
                <w:vertAlign w:val="superscript"/>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82"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不敏感G3</w:t>
            </w:r>
          </w:p>
        </w:tc>
        <w:tc>
          <w:tcPr>
            <w:tcW w:w="4317"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上述地区之外的其他地区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2"/>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a “环境敏感区”是指《建设项目环境影响评价分类管理名录》中所界定的涉及地下水的环境敏感区</w:t>
            </w:r>
          </w:p>
        </w:tc>
      </w:tr>
    </w:tbl>
    <w:p>
      <w:pPr>
        <w:pStyle w:val="40"/>
        <w:rPr>
          <w:rFonts w:hint="eastAsia"/>
          <w:color w:val="auto"/>
          <w:highlight w:val="none"/>
          <w:lang w:val="en-US" w:eastAsia="zh-CN"/>
        </w:rPr>
      </w:pPr>
      <w:r>
        <w:rPr>
          <w:rFonts w:hint="eastAsia"/>
          <w:color w:val="auto"/>
          <w:highlight w:val="none"/>
          <w:lang w:val="en-US" w:eastAsia="zh-CN"/>
        </w:rPr>
        <w:t>表4.2-42 包气带防污性能分级</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71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5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分级</w:t>
            </w:r>
          </w:p>
        </w:tc>
        <w:tc>
          <w:tcPr>
            <w:tcW w:w="4246"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包气带岩土的渗透性能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5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D3</w:t>
            </w:r>
          </w:p>
        </w:tc>
        <w:tc>
          <w:tcPr>
            <w:tcW w:w="4246"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Mb≥1.0m，K≤1.0×10</w:t>
            </w:r>
            <w:r>
              <w:rPr>
                <w:rFonts w:hint="eastAsia" w:ascii="Times New Roman" w:hAnsi="Times New Roman" w:cs="Times New Roman"/>
                <w:color w:val="auto"/>
                <w:sz w:val="21"/>
                <w:szCs w:val="21"/>
                <w:highlight w:val="none"/>
                <w:vertAlign w:val="superscript"/>
              </w:rPr>
              <w:t>-6</w:t>
            </w:r>
            <w:r>
              <w:rPr>
                <w:rFonts w:hint="eastAsia" w:ascii="Times New Roman" w:hAnsi="Times New Roman" w:cs="Times New Roman"/>
                <w:color w:val="auto"/>
                <w:sz w:val="21"/>
                <w:szCs w:val="21"/>
                <w:highlight w:val="none"/>
              </w:rPr>
              <w:t>cm/s，且分布连续、稳定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5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D2</w:t>
            </w:r>
          </w:p>
        </w:tc>
        <w:tc>
          <w:tcPr>
            <w:tcW w:w="4246"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0.5m≤Mb&lt;1.0m，K≤1.0×10</w:t>
            </w:r>
            <w:r>
              <w:rPr>
                <w:rFonts w:hint="eastAsia" w:ascii="Times New Roman" w:hAnsi="Times New Roman" w:cs="Times New Roman"/>
                <w:color w:val="auto"/>
                <w:sz w:val="21"/>
                <w:szCs w:val="21"/>
                <w:highlight w:val="none"/>
                <w:vertAlign w:val="superscript"/>
              </w:rPr>
              <w:t>-6</w:t>
            </w:r>
            <w:r>
              <w:rPr>
                <w:rFonts w:hint="eastAsia" w:ascii="Times New Roman" w:hAnsi="Times New Roman" w:cs="Times New Roman"/>
                <w:color w:val="auto"/>
                <w:sz w:val="21"/>
                <w:szCs w:val="21"/>
                <w:highlight w:val="none"/>
              </w:rPr>
              <w:t xml:space="preserve"> cm/s，且分布连续、稳定</w:t>
            </w:r>
          </w:p>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Mb≥1.0m，1.0×10</w:t>
            </w:r>
            <w:r>
              <w:rPr>
                <w:rFonts w:hint="eastAsia" w:ascii="Times New Roman" w:hAnsi="Times New Roman" w:cs="Times New Roman"/>
                <w:color w:val="auto"/>
                <w:sz w:val="21"/>
                <w:szCs w:val="21"/>
                <w:highlight w:val="none"/>
                <w:vertAlign w:val="superscript"/>
              </w:rPr>
              <w:t xml:space="preserve"> -6</w:t>
            </w:r>
            <w:r>
              <w:rPr>
                <w:rFonts w:hint="eastAsia" w:ascii="Times New Roman" w:hAnsi="Times New Roman" w:cs="Times New Roman"/>
                <w:color w:val="auto"/>
                <w:sz w:val="21"/>
                <w:szCs w:val="21"/>
                <w:highlight w:val="none"/>
              </w:rPr>
              <w:t xml:space="preserve"> cm/s＜K≤1.0×10</w:t>
            </w:r>
            <w:r>
              <w:rPr>
                <w:rFonts w:hint="eastAsia" w:ascii="Times New Roman" w:hAnsi="Times New Roman" w:cs="Times New Roman"/>
                <w:color w:val="auto"/>
                <w:sz w:val="21"/>
                <w:szCs w:val="21"/>
                <w:highlight w:val="none"/>
                <w:vertAlign w:val="superscript"/>
              </w:rPr>
              <w:t>-4</w:t>
            </w:r>
            <w:r>
              <w:rPr>
                <w:rFonts w:hint="eastAsia" w:ascii="Times New Roman" w:hAnsi="Times New Roman" w:cs="Times New Roman"/>
                <w:color w:val="auto"/>
                <w:sz w:val="21"/>
                <w:szCs w:val="21"/>
                <w:highlight w:val="none"/>
              </w:rPr>
              <w:t xml:space="preserve"> cm/s，且分布连续、稳定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5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D1</w:t>
            </w:r>
          </w:p>
        </w:tc>
        <w:tc>
          <w:tcPr>
            <w:tcW w:w="4246"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岩（土）层不满足上述“D2”和“D3”条件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000" w:type="pct"/>
            <w:gridSpan w:val="2"/>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Mb：岩土层单层厚度；K：渗透系数</w:t>
            </w:r>
          </w:p>
        </w:tc>
      </w:tr>
    </w:tbl>
    <w:p>
      <w:pPr>
        <w:autoSpaceDE w:val="0"/>
        <w:adjustRightInd w:val="0"/>
        <w:snapToGrid w:val="0"/>
        <w:spacing w:line="480" w:lineRule="exact"/>
        <w:ind w:firstLine="480" w:firstLineChars="200"/>
        <w:rPr>
          <w:rFonts w:ascii="Times New Roman" w:hAnsi="Times New Roman"/>
          <w:bCs/>
          <w:color w:val="auto"/>
          <w:sz w:val="24"/>
          <w:szCs w:val="24"/>
          <w:highlight w:val="none"/>
        </w:rPr>
      </w:pPr>
      <w:r>
        <w:rPr>
          <w:rFonts w:hint="eastAsia" w:ascii="Times New Roman" w:hAnsi="Times New Roman"/>
          <w:bCs/>
          <w:color w:val="auto"/>
          <w:sz w:val="24"/>
          <w:szCs w:val="24"/>
          <w:highlight w:val="none"/>
        </w:rPr>
        <w:t>地下水环境敏感性评价范围参照地下水</w:t>
      </w:r>
      <w:r>
        <w:rPr>
          <w:rFonts w:ascii="Times New Roman" w:hAnsi="Times New Roman"/>
          <w:bCs/>
          <w:color w:val="auto"/>
          <w:sz w:val="24"/>
          <w:szCs w:val="24"/>
          <w:highlight w:val="none"/>
        </w:rPr>
        <w:t>评价范围：</w:t>
      </w:r>
      <w:r>
        <w:rPr>
          <w:rFonts w:hint="eastAsia" w:ascii="Times New Roman" w:hAnsi="Times New Roman"/>
          <w:bCs/>
          <w:color w:val="auto"/>
          <w:sz w:val="24"/>
          <w:szCs w:val="24"/>
          <w:highlight w:val="none"/>
        </w:rPr>
        <w:t>项目所在区域≤6km</w:t>
      </w:r>
      <w:r>
        <w:rPr>
          <w:rFonts w:hint="eastAsia" w:ascii="Times New Roman" w:hAnsi="Times New Roman"/>
          <w:bCs/>
          <w:color w:val="auto"/>
          <w:sz w:val="24"/>
          <w:szCs w:val="24"/>
          <w:highlight w:val="none"/>
          <w:vertAlign w:val="superscript"/>
        </w:rPr>
        <w:t>2</w:t>
      </w:r>
      <w:r>
        <w:rPr>
          <w:rFonts w:hint="eastAsia" w:ascii="Times New Roman" w:hAnsi="Times New Roman"/>
          <w:bCs/>
          <w:color w:val="auto"/>
          <w:sz w:val="24"/>
          <w:szCs w:val="24"/>
          <w:highlight w:val="none"/>
        </w:rPr>
        <w:t>的范围</w:t>
      </w:r>
      <w:r>
        <w:rPr>
          <w:rFonts w:ascii="Times New Roman" w:hAnsi="Times New Roman"/>
          <w:bCs/>
          <w:color w:val="auto"/>
          <w:sz w:val="24"/>
          <w:szCs w:val="24"/>
          <w:highlight w:val="none"/>
        </w:rPr>
        <w:t>。</w:t>
      </w:r>
    </w:p>
    <w:p>
      <w:pPr>
        <w:autoSpaceDE w:val="0"/>
        <w:adjustRightInd w:val="0"/>
        <w:snapToGrid w:val="0"/>
        <w:spacing w:line="480" w:lineRule="exact"/>
        <w:ind w:firstLine="480" w:firstLineChars="200"/>
        <w:rPr>
          <w:color w:val="auto"/>
          <w:sz w:val="24"/>
          <w:highlight w:val="none"/>
        </w:rPr>
      </w:pPr>
      <w:r>
        <w:rPr>
          <w:rFonts w:hint="eastAsia"/>
          <w:color w:val="auto"/>
          <w:sz w:val="24"/>
          <w:highlight w:val="none"/>
          <w:lang w:val="en-US" w:eastAsia="zh-CN"/>
        </w:rPr>
        <w:t>a、</w:t>
      </w:r>
      <w:r>
        <w:rPr>
          <w:rFonts w:hint="eastAsia"/>
          <w:color w:val="auto"/>
          <w:sz w:val="24"/>
          <w:highlight w:val="none"/>
        </w:rPr>
        <w:t>根据实地调查，本项目厂区</w:t>
      </w:r>
      <w:r>
        <w:rPr>
          <w:rFonts w:ascii="Times New Roman" w:hAnsi="Times New Roman"/>
          <w:bCs/>
          <w:color w:val="auto"/>
          <w:sz w:val="24"/>
          <w:szCs w:val="24"/>
          <w:highlight w:val="none"/>
        </w:rPr>
        <w:t>距离</w:t>
      </w:r>
      <w:r>
        <w:rPr>
          <w:rFonts w:hint="eastAsia"/>
          <w:bCs/>
          <w:color w:val="auto"/>
          <w:sz w:val="24"/>
          <w:szCs w:val="24"/>
          <w:highlight w:val="none"/>
          <w:lang w:eastAsia="zh-CN"/>
        </w:rPr>
        <w:t>庙湾镇</w:t>
      </w:r>
      <w:r>
        <w:rPr>
          <w:rFonts w:ascii="Times New Roman" w:hAnsi="Times New Roman"/>
          <w:bCs/>
          <w:color w:val="auto"/>
          <w:sz w:val="24"/>
          <w:szCs w:val="24"/>
          <w:highlight w:val="none"/>
        </w:rPr>
        <w:t>集中式饮用水水源地一级保护区最近距离约为</w:t>
      </w:r>
      <w:r>
        <w:rPr>
          <w:rFonts w:hint="eastAsia"/>
          <w:bCs/>
          <w:color w:val="auto"/>
          <w:sz w:val="24"/>
          <w:szCs w:val="24"/>
          <w:highlight w:val="none"/>
          <w:lang w:val="en-US" w:eastAsia="zh-CN"/>
        </w:rPr>
        <w:t>2.4</w:t>
      </w:r>
      <w:r>
        <w:rPr>
          <w:rFonts w:hint="eastAsia" w:ascii="Times New Roman" w:hAnsi="Times New Roman"/>
          <w:bCs/>
          <w:color w:val="auto"/>
          <w:sz w:val="24"/>
          <w:szCs w:val="24"/>
          <w:highlight w:val="none"/>
        </w:rPr>
        <w:t>km</w:t>
      </w:r>
      <w:r>
        <w:rPr>
          <w:rFonts w:ascii="Times New Roman" w:hAnsi="Times New Roman"/>
          <w:bCs/>
          <w:color w:val="auto"/>
          <w:sz w:val="24"/>
          <w:szCs w:val="24"/>
          <w:highlight w:val="none"/>
        </w:rPr>
        <w:t>，项目距离最近居民分散饮用水井</w:t>
      </w:r>
      <w:r>
        <w:rPr>
          <w:rFonts w:hint="eastAsia"/>
          <w:bCs/>
          <w:color w:val="auto"/>
          <w:sz w:val="24"/>
          <w:szCs w:val="24"/>
          <w:highlight w:val="none"/>
          <w:lang w:val="en-US" w:eastAsia="zh-CN"/>
        </w:rPr>
        <w:t>420</w:t>
      </w:r>
      <w:r>
        <w:rPr>
          <w:rFonts w:ascii="Times New Roman" w:hAnsi="Times New Roman"/>
          <w:bCs/>
          <w:color w:val="auto"/>
          <w:sz w:val="24"/>
          <w:szCs w:val="24"/>
          <w:highlight w:val="none"/>
        </w:rPr>
        <w:t>m，</w:t>
      </w:r>
      <w:r>
        <w:rPr>
          <w:rFonts w:hint="eastAsia"/>
          <w:color w:val="auto"/>
          <w:sz w:val="24"/>
          <w:highlight w:val="none"/>
        </w:rPr>
        <w:t>分散饮水井未划定水源保护区。项目1km内无饮用水源保护区范围，项目属于未划定准保护区的集中式饮用水水源地保护区以外的补给径流区；本项目周围无国家和地方政府设定的与地下水环境相关的如热水、矿泉水、温泉等其他保护区。因此，本工程属于地下水环境较敏感地区。因此</w:t>
      </w:r>
      <w:r>
        <w:rPr>
          <w:color w:val="auto"/>
          <w:sz w:val="24"/>
          <w:highlight w:val="none"/>
        </w:rPr>
        <w:t>本项目地下水环境敏感性属于</w:t>
      </w:r>
      <w:r>
        <w:rPr>
          <w:rFonts w:hint="eastAsia"/>
          <w:color w:val="auto"/>
          <w:sz w:val="24"/>
          <w:highlight w:val="none"/>
        </w:rPr>
        <w:t>较</w:t>
      </w:r>
      <w:r>
        <w:rPr>
          <w:color w:val="auto"/>
          <w:sz w:val="24"/>
          <w:highlight w:val="none"/>
        </w:rPr>
        <w:t>敏感G</w:t>
      </w:r>
      <w:r>
        <w:rPr>
          <w:rFonts w:hint="eastAsia"/>
          <w:color w:val="auto"/>
          <w:sz w:val="24"/>
          <w:highlight w:val="none"/>
        </w:rPr>
        <w:t>2。</w:t>
      </w:r>
    </w:p>
    <w:p>
      <w:pPr>
        <w:autoSpaceDE w:val="0"/>
        <w:adjustRightInd w:val="0"/>
        <w:snapToGrid w:val="0"/>
        <w:spacing w:line="480" w:lineRule="exact"/>
        <w:ind w:firstLine="480" w:firstLineChars="200"/>
        <w:rPr>
          <w:rFonts w:hint="eastAsia"/>
          <w:color w:val="auto"/>
          <w:sz w:val="24"/>
          <w:highlight w:val="none"/>
        </w:rPr>
      </w:pPr>
      <w:r>
        <w:rPr>
          <w:rFonts w:hint="eastAsia"/>
          <w:color w:val="auto"/>
          <w:sz w:val="24"/>
          <w:highlight w:val="none"/>
          <w:lang w:val="en-US" w:eastAsia="zh-CN"/>
        </w:rPr>
        <w:t>b、</w:t>
      </w:r>
      <w:r>
        <w:rPr>
          <w:rFonts w:hint="eastAsia"/>
          <w:color w:val="auto"/>
          <w:sz w:val="24"/>
          <w:highlight w:val="none"/>
        </w:rPr>
        <w:t>据水文地质勘探成果和工程地质勘察结果可知，拟建项目区包气带主要由地层①</w:t>
      </w:r>
      <w:r>
        <w:rPr>
          <w:color w:val="auto"/>
          <w:sz w:val="24"/>
          <w:highlight w:val="none"/>
        </w:rPr>
        <w:t>粉土</w:t>
      </w:r>
      <w:r>
        <w:rPr>
          <w:rFonts w:hint="eastAsia"/>
          <w:color w:val="auto"/>
          <w:sz w:val="24"/>
          <w:highlight w:val="none"/>
        </w:rPr>
        <w:t>层，</w:t>
      </w:r>
      <w:r>
        <w:rPr>
          <w:color w:val="auto"/>
          <w:sz w:val="24"/>
          <w:highlight w:val="none"/>
        </w:rPr>
        <w:t>厚度3.3～5.1m</w:t>
      </w:r>
      <w:r>
        <w:rPr>
          <w:rFonts w:hint="eastAsia"/>
          <w:color w:val="auto"/>
          <w:sz w:val="24"/>
          <w:highlight w:val="none"/>
        </w:rPr>
        <w:t>②</w:t>
      </w:r>
      <w:r>
        <w:rPr>
          <w:color w:val="auto"/>
          <w:sz w:val="24"/>
          <w:highlight w:val="none"/>
        </w:rPr>
        <w:t>粉质粘土</w:t>
      </w:r>
      <w:r>
        <w:rPr>
          <w:rFonts w:hint="eastAsia"/>
          <w:color w:val="auto"/>
          <w:sz w:val="24"/>
          <w:highlight w:val="none"/>
        </w:rPr>
        <w:t>层，厚度</w:t>
      </w:r>
      <w:r>
        <w:rPr>
          <w:color w:val="auto"/>
          <w:sz w:val="24"/>
          <w:highlight w:val="none"/>
        </w:rPr>
        <w:t>2.1～5.9m</w:t>
      </w:r>
      <w:r>
        <w:rPr>
          <w:rFonts w:hint="eastAsia"/>
          <w:color w:val="auto"/>
          <w:sz w:val="24"/>
          <w:highlight w:val="none"/>
        </w:rPr>
        <w:t>③</w:t>
      </w:r>
      <w:r>
        <w:rPr>
          <w:color w:val="auto"/>
          <w:sz w:val="24"/>
          <w:highlight w:val="none"/>
        </w:rPr>
        <w:t>粉砂</w:t>
      </w:r>
      <w:r>
        <w:rPr>
          <w:rFonts w:hint="eastAsia"/>
          <w:color w:val="auto"/>
          <w:sz w:val="24"/>
          <w:highlight w:val="none"/>
        </w:rPr>
        <w:t>层，</w:t>
      </w:r>
      <w:r>
        <w:rPr>
          <w:color w:val="auto"/>
          <w:sz w:val="24"/>
          <w:highlight w:val="none"/>
        </w:rPr>
        <w:t>层厚大于10m</w:t>
      </w:r>
      <w:r>
        <w:rPr>
          <w:rFonts w:hint="eastAsia"/>
          <w:color w:val="auto"/>
          <w:sz w:val="24"/>
          <w:highlight w:val="none"/>
        </w:rPr>
        <w:t>组成。总厚度15.3~21m。根据渗透系数经验值表，渗透系数为</w:t>
      </w:r>
      <w:r>
        <w:rPr>
          <w:color w:val="auto"/>
          <w:sz w:val="24"/>
          <w:highlight w:val="none"/>
        </w:rPr>
        <w:t>5.79×10</w:t>
      </w:r>
      <w:r>
        <w:rPr>
          <w:color w:val="auto"/>
          <w:sz w:val="24"/>
          <w:highlight w:val="none"/>
          <w:vertAlign w:val="superscript"/>
        </w:rPr>
        <w:t>-4</w:t>
      </w:r>
      <w:r>
        <w:rPr>
          <w:color w:val="auto"/>
          <w:sz w:val="24"/>
          <w:highlight w:val="none"/>
        </w:rPr>
        <w:t>～1.16×10</w:t>
      </w:r>
      <w:r>
        <w:rPr>
          <w:color w:val="auto"/>
          <w:sz w:val="24"/>
          <w:highlight w:val="none"/>
          <w:vertAlign w:val="superscript"/>
        </w:rPr>
        <w:t>-3</w:t>
      </w:r>
      <w:r>
        <w:rPr>
          <w:color w:val="auto"/>
          <w:sz w:val="24"/>
          <w:highlight w:val="none"/>
        </w:rPr>
        <w:t>cm/s</w:t>
      </w:r>
      <w:r>
        <w:rPr>
          <w:rFonts w:hint="eastAsia"/>
          <w:color w:val="auto"/>
          <w:sz w:val="24"/>
          <w:highlight w:val="none"/>
        </w:rPr>
        <w:t>。因此，本项目</w:t>
      </w:r>
      <w:r>
        <w:rPr>
          <w:rFonts w:hint="eastAsia"/>
          <w:bCs/>
          <w:color w:val="auto"/>
          <w:sz w:val="24"/>
          <w:highlight w:val="none"/>
        </w:rPr>
        <w:t>包气带防污性能分级为</w:t>
      </w:r>
      <w:r>
        <w:rPr>
          <w:bCs/>
          <w:color w:val="auto"/>
          <w:sz w:val="24"/>
          <w:highlight w:val="none"/>
        </w:rPr>
        <w:t>D1</w:t>
      </w:r>
      <w:r>
        <w:rPr>
          <w:color w:val="auto"/>
          <w:sz w:val="24"/>
          <w:highlight w:val="none"/>
        </w:rPr>
        <w:t>。</w:t>
      </w:r>
    </w:p>
    <w:p>
      <w:pPr>
        <w:keepNext w:val="0"/>
        <w:keepLines w:val="0"/>
        <w:pageBreakBefore w:val="0"/>
        <w:kinsoku/>
        <w:wordWrap/>
        <w:overflowPunct/>
        <w:topLinePunct w:val="0"/>
        <w:autoSpaceDE w:val="0"/>
        <w:autoSpaceDN/>
        <w:bidi w:val="0"/>
        <w:adjustRightInd/>
        <w:snapToGrid/>
        <w:spacing w:line="360" w:lineRule="auto"/>
        <w:ind w:firstLine="480" w:firstLineChars="200"/>
        <w:textAlignment w:val="auto"/>
        <w:rPr>
          <w:rFonts w:hint="eastAsia"/>
          <w:color w:val="auto"/>
          <w:sz w:val="24"/>
          <w:highlight w:val="none"/>
        </w:rPr>
      </w:pPr>
      <w:r>
        <w:rPr>
          <w:color w:val="auto"/>
          <w:sz w:val="24"/>
          <w:highlight w:val="none"/>
        </w:rPr>
        <w:t xml:space="preserve"> </w:t>
      </w:r>
      <w:r>
        <w:rPr>
          <w:rFonts w:hint="eastAsia"/>
          <w:color w:val="auto"/>
          <w:sz w:val="24"/>
          <w:highlight w:val="none"/>
        </w:rPr>
        <w:t>综上</w:t>
      </w:r>
      <w:r>
        <w:rPr>
          <w:color w:val="auto"/>
          <w:sz w:val="24"/>
          <w:highlight w:val="none"/>
        </w:rPr>
        <w:t>，根据地</w:t>
      </w:r>
      <w:r>
        <w:rPr>
          <w:rFonts w:hint="eastAsia"/>
          <w:color w:val="auto"/>
          <w:sz w:val="24"/>
          <w:highlight w:val="none"/>
        </w:rPr>
        <w:t>下</w:t>
      </w:r>
      <w:r>
        <w:rPr>
          <w:color w:val="auto"/>
          <w:sz w:val="24"/>
          <w:highlight w:val="none"/>
        </w:rPr>
        <w:t>水环境敏感程度分级，本项目属于地</w:t>
      </w:r>
      <w:r>
        <w:rPr>
          <w:rFonts w:hint="eastAsia"/>
          <w:color w:val="auto"/>
          <w:sz w:val="24"/>
          <w:highlight w:val="none"/>
        </w:rPr>
        <w:t>下</w:t>
      </w:r>
      <w:r>
        <w:rPr>
          <w:color w:val="auto"/>
          <w:sz w:val="24"/>
          <w:highlight w:val="none"/>
        </w:rPr>
        <w:t>水环境敏感程度分级中的E</w:t>
      </w:r>
      <w:r>
        <w:rPr>
          <w:rFonts w:hint="eastAsia"/>
          <w:color w:val="auto"/>
          <w:sz w:val="24"/>
          <w:highlight w:val="none"/>
        </w:rPr>
        <w:t>1（环境高度敏感区）。</w:t>
      </w:r>
    </w:p>
    <w:p>
      <w:pPr>
        <w:pStyle w:val="23"/>
        <w:keepNext w:val="0"/>
        <w:keepLines w:val="0"/>
        <w:pageBreakBefore w:val="0"/>
        <w:widowControl/>
        <w:numPr>
          <w:ilvl w:val="0"/>
          <w:numId w:val="17"/>
        </w:numPr>
        <w:kinsoku/>
        <w:wordWrap/>
        <w:overflowPunct/>
        <w:topLinePunct w:val="0"/>
        <w:autoSpaceDE/>
        <w:autoSpaceDN/>
        <w:bidi w:val="0"/>
        <w:adjustRightInd/>
        <w:snapToGrid/>
        <w:spacing w:before="0" w:beforeLines="0" w:after="0" w:afterLines="0" w:line="360" w:lineRule="auto"/>
        <w:ind w:left="0" w:leftChars="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环境风险潜势判断</w:t>
      </w:r>
    </w:p>
    <w:p>
      <w:pPr>
        <w:keepNext w:val="0"/>
        <w:keepLines w:val="0"/>
        <w:pageBreakBefore w:val="0"/>
        <w:widowControl w:val="0"/>
        <w:kinsoku/>
        <w:wordWrap/>
        <w:overflowPunct/>
        <w:topLinePunct w:val="0"/>
        <w:autoSpaceDE w:val="0"/>
        <w:autoSpaceDN/>
        <w:bidi w:val="0"/>
        <w:adjustRightInd/>
        <w:snapToGrid/>
        <w:spacing w:line="360" w:lineRule="auto"/>
        <w:ind w:firstLine="480" w:firstLineChars="200"/>
        <w:textAlignment w:val="auto"/>
        <w:rPr>
          <w:rFonts w:ascii="Times New Roman" w:hAnsi="Times New Roman" w:cs="Times New Roman"/>
          <w:color w:val="auto"/>
          <w:sz w:val="24"/>
          <w:szCs w:val="22"/>
          <w:highlight w:val="none"/>
        </w:rPr>
      </w:pPr>
      <w:r>
        <w:rPr>
          <w:rFonts w:ascii="Times New Roman" w:hAnsi="Times New Roman" w:cs="Times New Roman"/>
          <w:color w:val="auto"/>
          <w:sz w:val="24"/>
          <w:szCs w:val="22"/>
          <w:highlight w:val="none"/>
        </w:rPr>
        <w:t>结合以上分析结果，本项目危险物质及工艺系统危险性（P）分级为 P4，本项目大气环境敏感度为E2，地表水环境敏感度为E</w:t>
      </w:r>
      <w:r>
        <w:rPr>
          <w:rFonts w:hint="eastAsia" w:cs="Times New Roman"/>
          <w:color w:val="auto"/>
          <w:sz w:val="24"/>
          <w:szCs w:val="22"/>
          <w:highlight w:val="none"/>
          <w:lang w:val="en-US" w:eastAsia="zh-CN"/>
        </w:rPr>
        <w:t>2</w:t>
      </w:r>
      <w:r>
        <w:rPr>
          <w:rFonts w:ascii="Times New Roman" w:hAnsi="Times New Roman" w:cs="Times New Roman"/>
          <w:color w:val="auto"/>
          <w:sz w:val="24"/>
          <w:szCs w:val="22"/>
          <w:highlight w:val="none"/>
        </w:rPr>
        <w:t>，地下水环境敏感度为E1；根据表4</w:t>
      </w:r>
      <w:r>
        <w:rPr>
          <w:rFonts w:hint="eastAsia" w:cs="Times New Roman"/>
          <w:color w:val="auto"/>
          <w:sz w:val="24"/>
          <w:szCs w:val="22"/>
          <w:highlight w:val="none"/>
          <w:lang w:val="en-US" w:eastAsia="zh-CN"/>
        </w:rPr>
        <w:t>.2</w:t>
      </w:r>
      <w:r>
        <w:rPr>
          <w:rFonts w:ascii="Times New Roman" w:hAnsi="Times New Roman" w:cs="Times New Roman"/>
          <w:color w:val="auto"/>
          <w:sz w:val="24"/>
          <w:szCs w:val="22"/>
          <w:highlight w:val="none"/>
        </w:rPr>
        <w:t>-43建设项目环境风险潜势划分原则，确定本项目大气环境风险潜势为Ⅱ；地表水环境风险潜势为</w:t>
      </w:r>
      <w:r>
        <w:rPr>
          <w:rFonts w:hint="eastAsia" w:ascii="Times New Roman" w:hAnsi="Times New Roman" w:cs="Times New Roman"/>
          <w:color w:val="auto"/>
          <w:sz w:val="24"/>
          <w:szCs w:val="22"/>
          <w:highlight w:val="none"/>
        </w:rPr>
        <w:t>Ⅱ</w:t>
      </w:r>
      <w:r>
        <w:rPr>
          <w:rFonts w:ascii="Times New Roman" w:hAnsi="Times New Roman" w:cs="Times New Roman"/>
          <w:color w:val="auto"/>
          <w:sz w:val="24"/>
          <w:szCs w:val="22"/>
          <w:highlight w:val="none"/>
        </w:rPr>
        <w:t>；地下水环境风险潜势为III；按照建设项目环境风险潜势综合等级取各要素等级的相对较高值，因此本项目环境风险潜势为III。</w:t>
      </w:r>
    </w:p>
    <w:p>
      <w:pPr>
        <w:pStyle w:val="40"/>
        <w:rPr>
          <w:rFonts w:hint="eastAsia"/>
          <w:color w:val="auto"/>
          <w:highlight w:val="none"/>
          <w:lang w:val="en-US" w:eastAsia="zh-CN"/>
        </w:rPr>
      </w:pPr>
      <w:r>
        <w:rPr>
          <w:rFonts w:hint="eastAsia"/>
          <w:color w:val="auto"/>
          <w:highlight w:val="none"/>
          <w:lang w:val="en-US" w:eastAsia="zh-CN"/>
        </w:rPr>
        <w:t>表4.2-43 建设项目环境风险潜势划分</w:t>
      </w:r>
    </w:p>
    <w:tbl>
      <w:tblPr>
        <w:tblStyle w:val="24"/>
        <w:tblW w:w="0" w:type="auto"/>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118"/>
        <w:gridCol w:w="1666"/>
        <w:gridCol w:w="1528"/>
        <w:gridCol w:w="1804"/>
        <w:gridCol w:w="16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2118" w:type="dxa"/>
            <w:vMerge w:val="restart"/>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lang w:val="en-US" w:eastAsia="en-US"/>
              </w:rPr>
            </w:pPr>
            <w:r>
              <w:rPr>
                <w:rFonts w:hint="default" w:ascii="Times New Roman" w:hAnsi="Times New Roman" w:cs="Times New Roman"/>
                <w:color w:val="auto"/>
                <w:sz w:val="21"/>
                <w:szCs w:val="21"/>
                <w:highlight w:val="none"/>
                <w:lang w:val="en-US" w:eastAsia="en-US"/>
              </w:rPr>
              <w:t>环境敏感程度</w:t>
            </w:r>
          </w:p>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lang w:val="en-US" w:eastAsia="en-US"/>
              </w:rPr>
            </w:pPr>
            <w:r>
              <w:rPr>
                <w:rFonts w:hint="default" w:ascii="Times New Roman" w:hAnsi="Times New Roman" w:cs="Times New Roman"/>
                <w:color w:val="auto"/>
                <w:sz w:val="21"/>
                <w:szCs w:val="21"/>
                <w:highlight w:val="none"/>
                <w:lang w:val="en-US" w:eastAsia="en-US"/>
              </w:rPr>
              <w:t>（E）</w:t>
            </w:r>
          </w:p>
        </w:tc>
        <w:tc>
          <w:tcPr>
            <w:tcW w:w="6622" w:type="dxa"/>
            <w:gridSpan w:val="4"/>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危险物质及工艺系统危害性（P）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2118" w:type="dxa"/>
            <w:vMerge w:val="continue"/>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1666"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lang w:val="en-US" w:eastAsia="en-US"/>
              </w:rPr>
            </w:pPr>
            <w:r>
              <w:rPr>
                <w:rFonts w:hint="default" w:ascii="Times New Roman" w:hAnsi="Times New Roman" w:cs="Times New Roman"/>
                <w:color w:val="auto"/>
                <w:sz w:val="21"/>
                <w:szCs w:val="21"/>
                <w:highlight w:val="none"/>
                <w:lang w:val="en-US" w:eastAsia="en-US"/>
              </w:rPr>
              <w:t>极度危害（P1）</w:t>
            </w:r>
          </w:p>
        </w:tc>
        <w:tc>
          <w:tcPr>
            <w:tcW w:w="1528"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lang w:val="en-US" w:eastAsia="en-US"/>
              </w:rPr>
            </w:pPr>
            <w:r>
              <w:rPr>
                <w:rFonts w:hint="default" w:ascii="Times New Roman" w:hAnsi="Times New Roman" w:cs="Times New Roman"/>
                <w:color w:val="auto"/>
                <w:sz w:val="21"/>
                <w:szCs w:val="21"/>
                <w:highlight w:val="none"/>
                <w:lang w:val="en-US" w:eastAsia="en-US"/>
              </w:rPr>
              <w:t>高度危害（P2）</w:t>
            </w:r>
          </w:p>
        </w:tc>
        <w:tc>
          <w:tcPr>
            <w:tcW w:w="1804"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lang w:val="en-US" w:eastAsia="en-US"/>
              </w:rPr>
            </w:pPr>
            <w:r>
              <w:rPr>
                <w:rFonts w:hint="default" w:ascii="Times New Roman" w:hAnsi="Times New Roman" w:cs="Times New Roman"/>
                <w:color w:val="auto"/>
                <w:sz w:val="21"/>
                <w:szCs w:val="21"/>
                <w:highlight w:val="none"/>
                <w:lang w:val="en-US" w:eastAsia="en-US"/>
              </w:rPr>
              <w:t>中度危害（P3）</w:t>
            </w:r>
          </w:p>
        </w:tc>
        <w:tc>
          <w:tcPr>
            <w:tcW w:w="1624"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lang w:val="en-US" w:eastAsia="en-US"/>
              </w:rPr>
            </w:pPr>
            <w:r>
              <w:rPr>
                <w:rFonts w:hint="default" w:ascii="Times New Roman" w:hAnsi="Times New Roman" w:cs="Times New Roman"/>
                <w:color w:val="auto"/>
                <w:sz w:val="21"/>
                <w:szCs w:val="21"/>
                <w:highlight w:val="none"/>
                <w:lang w:val="en-US" w:eastAsia="en-US"/>
              </w:rPr>
              <w:t>轻度危害（P4）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118"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环境高度敏感区（E1）</w:t>
            </w:r>
          </w:p>
        </w:tc>
        <w:tc>
          <w:tcPr>
            <w:tcW w:w="1666"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lang w:val="en-US" w:eastAsia="en-US"/>
              </w:rPr>
            </w:pPr>
            <w:r>
              <w:rPr>
                <w:rFonts w:hint="default" w:ascii="Times New Roman" w:hAnsi="Times New Roman" w:cs="Times New Roman"/>
                <w:color w:val="auto"/>
                <w:sz w:val="21"/>
                <w:szCs w:val="21"/>
                <w:highlight w:val="none"/>
                <w:lang w:val="en-US" w:eastAsia="en-US"/>
              </w:rPr>
              <w:t>Ⅳ+</w:t>
            </w:r>
          </w:p>
        </w:tc>
        <w:tc>
          <w:tcPr>
            <w:tcW w:w="1528"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lang w:val="en-US" w:eastAsia="en-US"/>
              </w:rPr>
            </w:pPr>
            <w:r>
              <w:rPr>
                <w:rFonts w:hint="default" w:ascii="Times New Roman" w:hAnsi="Times New Roman" w:cs="Times New Roman"/>
                <w:color w:val="auto"/>
                <w:sz w:val="21"/>
                <w:szCs w:val="21"/>
                <w:highlight w:val="none"/>
                <w:lang w:val="en-US" w:eastAsia="en-US"/>
              </w:rPr>
              <w:t>Ⅳ</w:t>
            </w:r>
          </w:p>
        </w:tc>
        <w:tc>
          <w:tcPr>
            <w:tcW w:w="1804"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lang w:val="en-US" w:eastAsia="en-US"/>
              </w:rPr>
            </w:pPr>
            <w:r>
              <w:rPr>
                <w:rFonts w:hint="default" w:ascii="Times New Roman" w:hAnsi="Times New Roman" w:cs="Times New Roman"/>
                <w:color w:val="auto"/>
                <w:sz w:val="21"/>
                <w:szCs w:val="21"/>
                <w:highlight w:val="none"/>
                <w:lang w:val="en-US" w:eastAsia="en-US"/>
              </w:rPr>
              <w:t>Ⅲ</w:t>
            </w:r>
          </w:p>
        </w:tc>
        <w:tc>
          <w:tcPr>
            <w:tcW w:w="1624"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lang w:val="en-US" w:eastAsia="en-US"/>
              </w:rPr>
            </w:pPr>
            <w:r>
              <w:rPr>
                <w:rFonts w:hint="default" w:ascii="Times New Roman" w:hAnsi="Times New Roman" w:cs="Times New Roman"/>
                <w:color w:val="auto"/>
                <w:sz w:val="21"/>
                <w:szCs w:val="21"/>
                <w:highlight w:val="none"/>
                <w:lang w:val="en-US" w:eastAsia="en-US"/>
              </w:rPr>
              <w:t>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118"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环境中度敏感区（E2）</w:t>
            </w:r>
          </w:p>
        </w:tc>
        <w:tc>
          <w:tcPr>
            <w:tcW w:w="1666"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lang w:val="en-US" w:eastAsia="en-US"/>
              </w:rPr>
            </w:pPr>
            <w:r>
              <w:rPr>
                <w:rFonts w:hint="default" w:ascii="Times New Roman" w:hAnsi="Times New Roman" w:cs="Times New Roman"/>
                <w:color w:val="auto"/>
                <w:sz w:val="21"/>
                <w:szCs w:val="21"/>
                <w:highlight w:val="none"/>
                <w:lang w:val="en-US" w:eastAsia="en-US"/>
              </w:rPr>
              <w:t>Ⅳ</w:t>
            </w:r>
          </w:p>
        </w:tc>
        <w:tc>
          <w:tcPr>
            <w:tcW w:w="1528"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lang w:val="en-US" w:eastAsia="en-US"/>
              </w:rPr>
            </w:pPr>
            <w:r>
              <w:rPr>
                <w:rFonts w:hint="default" w:ascii="Times New Roman" w:hAnsi="Times New Roman" w:cs="Times New Roman"/>
                <w:color w:val="auto"/>
                <w:sz w:val="21"/>
                <w:szCs w:val="21"/>
                <w:highlight w:val="none"/>
                <w:lang w:val="en-US" w:eastAsia="en-US"/>
              </w:rPr>
              <w:t>Ⅲ</w:t>
            </w:r>
          </w:p>
        </w:tc>
        <w:tc>
          <w:tcPr>
            <w:tcW w:w="1804"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lang w:val="en-US" w:eastAsia="en-US"/>
              </w:rPr>
            </w:pPr>
            <w:r>
              <w:rPr>
                <w:rFonts w:hint="default" w:ascii="Times New Roman" w:hAnsi="Times New Roman" w:cs="Times New Roman"/>
                <w:color w:val="auto"/>
                <w:sz w:val="21"/>
                <w:szCs w:val="21"/>
                <w:highlight w:val="none"/>
                <w:lang w:val="en-US" w:eastAsia="en-US"/>
              </w:rPr>
              <w:t>Ⅲ</w:t>
            </w:r>
          </w:p>
        </w:tc>
        <w:tc>
          <w:tcPr>
            <w:tcW w:w="1624"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lang w:val="en-US" w:eastAsia="en-US"/>
              </w:rPr>
            </w:pPr>
            <w:r>
              <w:rPr>
                <w:rFonts w:hint="default" w:ascii="Times New Roman" w:hAnsi="Times New Roman" w:cs="Times New Roman"/>
                <w:color w:val="auto"/>
                <w:sz w:val="21"/>
                <w:szCs w:val="21"/>
                <w:highlight w:val="none"/>
                <w:lang w:val="en-US" w:eastAsia="en-US"/>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118"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环境低度敏感区（E3）</w:t>
            </w:r>
          </w:p>
        </w:tc>
        <w:tc>
          <w:tcPr>
            <w:tcW w:w="1666"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lang w:val="en-US" w:eastAsia="en-US"/>
              </w:rPr>
            </w:pPr>
            <w:r>
              <w:rPr>
                <w:rFonts w:hint="default" w:ascii="Times New Roman" w:hAnsi="Times New Roman" w:cs="Times New Roman"/>
                <w:color w:val="auto"/>
                <w:sz w:val="21"/>
                <w:szCs w:val="21"/>
                <w:highlight w:val="none"/>
                <w:lang w:val="en-US" w:eastAsia="en-US"/>
              </w:rPr>
              <w:t>Ⅲ</w:t>
            </w:r>
          </w:p>
        </w:tc>
        <w:tc>
          <w:tcPr>
            <w:tcW w:w="1528"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lang w:val="en-US" w:eastAsia="en-US"/>
              </w:rPr>
            </w:pPr>
            <w:r>
              <w:rPr>
                <w:rFonts w:hint="default" w:ascii="Times New Roman" w:hAnsi="Times New Roman" w:cs="Times New Roman"/>
                <w:color w:val="auto"/>
                <w:sz w:val="21"/>
                <w:szCs w:val="21"/>
                <w:highlight w:val="none"/>
                <w:lang w:val="en-US" w:eastAsia="en-US"/>
              </w:rPr>
              <w:t>Ⅲ</w:t>
            </w:r>
          </w:p>
        </w:tc>
        <w:tc>
          <w:tcPr>
            <w:tcW w:w="1804"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lang w:val="en-US" w:eastAsia="en-US"/>
              </w:rPr>
            </w:pPr>
            <w:r>
              <w:rPr>
                <w:rFonts w:hint="default" w:ascii="Times New Roman" w:hAnsi="Times New Roman" w:cs="Times New Roman"/>
                <w:color w:val="auto"/>
                <w:sz w:val="21"/>
                <w:szCs w:val="21"/>
                <w:highlight w:val="none"/>
                <w:lang w:val="en-US" w:eastAsia="en-US"/>
              </w:rPr>
              <w:t>Ⅱ</w:t>
            </w:r>
          </w:p>
        </w:tc>
        <w:tc>
          <w:tcPr>
            <w:tcW w:w="1624" w:type="dxa"/>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lang w:val="en-US" w:eastAsia="en-US"/>
              </w:rPr>
            </w:pPr>
            <w:r>
              <w:rPr>
                <w:rFonts w:hint="default" w:ascii="Times New Roman" w:hAnsi="Times New Roman" w:cs="Times New Roman"/>
                <w:color w:val="auto"/>
                <w:sz w:val="21"/>
                <w:szCs w:val="21"/>
                <w:highlight w:val="none"/>
                <w:lang w:val="en-US" w:eastAsia="en-US"/>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8740" w:type="dxa"/>
            <w:gridSpan w:val="5"/>
            <w:tcBorders>
              <w:tl2br w:val="nil"/>
              <w:tr2bl w:val="nil"/>
            </w:tcBorders>
            <w:noWrap w:val="0"/>
            <w:vAlign w:val="center"/>
          </w:tcPr>
          <w:p>
            <w:pPr>
              <w:widowControl w:val="0"/>
              <w:autoSpaceDE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注：Ⅳ+为极高环境风险。</w:t>
            </w:r>
          </w:p>
        </w:tc>
      </w:tr>
    </w:tbl>
    <w:p>
      <w:pPr>
        <w:pStyle w:val="6"/>
        <w:ind w:firstLine="482"/>
        <w:rPr>
          <w:rFonts w:hint="eastAsia"/>
          <w:color w:val="auto"/>
          <w:highlight w:val="none"/>
          <w:lang w:val="en-US" w:eastAsia="zh-CN"/>
        </w:rPr>
      </w:pPr>
      <w:r>
        <w:rPr>
          <w:rFonts w:hint="eastAsia"/>
          <w:color w:val="auto"/>
          <w:highlight w:val="none"/>
          <w:lang w:val="en-US" w:eastAsia="zh-CN"/>
        </w:rPr>
        <w:t>4.2.7.3评价等级、评价范围及保护目标</w:t>
      </w:r>
    </w:p>
    <w:p>
      <w:pPr>
        <w:pageBreakBefore w:val="0"/>
        <w:widowControl/>
        <w:kinsoku/>
        <w:wordWrap/>
        <w:overflowPunct/>
        <w:topLinePunct w:val="0"/>
        <w:autoSpaceDE/>
        <w:autoSpaceDN/>
        <w:bidi w:val="0"/>
        <w:adjustRightInd/>
        <w:snapToGrid/>
        <w:spacing w:before="0" w:beforeLines="0" w:line="360" w:lineRule="auto"/>
        <w:ind w:firstLine="482"/>
        <w:textAlignment w:val="auto"/>
        <w:outlineLvl w:val="9"/>
        <w:rPr>
          <w:rFonts w:ascii="Times New Roman" w:hAnsi="Times New Roman" w:eastAsia="宋体" w:cs="Times New Roman"/>
          <w:b w:val="0"/>
          <w:color w:val="auto"/>
          <w:kern w:val="2"/>
          <w:sz w:val="24"/>
          <w:szCs w:val="24"/>
          <w:highlight w:val="none"/>
          <w:lang w:val="en-US" w:eastAsia="zh-CN" w:bidi="ar-SA"/>
        </w:rPr>
      </w:pPr>
      <w:r>
        <w:rPr>
          <w:rFonts w:hint="eastAsia" w:cs="Times New Roman"/>
          <w:b w:val="0"/>
          <w:color w:val="auto"/>
          <w:kern w:val="2"/>
          <w:sz w:val="24"/>
          <w:szCs w:val="24"/>
          <w:highlight w:val="none"/>
          <w:lang w:val="en-US" w:eastAsia="zh-CN" w:bidi="ar-SA"/>
        </w:rPr>
        <w:t>1、</w:t>
      </w:r>
      <w:r>
        <w:rPr>
          <w:rFonts w:hint="eastAsia" w:ascii="Times New Roman" w:hAnsi="Times New Roman" w:eastAsia="宋体" w:cs="Times New Roman"/>
          <w:b w:val="0"/>
          <w:color w:val="auto"/>
          <w:kern w:val="2"/>
          <w:sz w:val="24"/>
          <w:szCs w:val="24"/>
          <w:highlight w:val="none"/>
          <w:lang w:val="en-US" w:eastAsia="zh-CN" w:bidi="ar-SA"/>
        </w:rPr>
        <w:t>评价等级的确定</w:t>
      </w:r>
    </w:p>
    <w:p>
      <w:pPr>
        <w:ind w:firstLine="480"/>
        <w:contextualSpacing/>
        <w:rPr>
          <w:rFonts w:cs="Times New Roman"/>
          <w:color w:val="auto"/>
          <w:highlight w:val="none"/>
        </w:rPr>
      </w:pPr>
      <w:r>
        <w:rPr>
          <w:rFonts w:hint="eastAsia" w:cs="Times New Roman"/>
          <w:color w:val="auto"/>
          <w:highlight w:val="none"/>
        </w:rPr>
        <w:t>根据《建设项目环境风险评价技术导则》（HJ/T169－2018）附录B及附录C，本项目大气环境风险潜势为Ⅱ；地表水环境风险潜势为Ⅱ；地下水环境风险潜势为III。根据《建设项目环境风险评价技术导则》（HJ169-2018）评价工作等级划分表确定本项目大气环境风险评价等级为三级；地表水环境风险评价等级为</w:t>
      </w:r>
      <w:r>
        <w:rPr>
          <w:rFonts w:hint="eastAsia" w:cs="Times New Roman"/>
          <w:color w:val="auto"/>
          <w:highlight w:val="none"/>
          <w:lang w:eastAsia="zh-CN"/>
        </w:rPr>
        <w:t>三</w:t>
      </w:r>
      <w:r>
        <w:rPr>
          <w:rFonts w:hint="eastAsia" w:cs="Times New Roman"/>
          <w:color w:val="auto"/>
          <w:highlight w:val="none"/>
        </w:rPr>
        <w:t>级；地下水环境风险评价等级为二级。本项目环境风险评价等级为二级评价。</w:t>
      </w:r>
    </w:p>
    <w:p>
      <w:pPr>
        <w:pageBreakBefore w:val="0"/>
        <w:widowControl/>
        <w:kinsoku/>
        <w:wordWrap/>
        <w:overflowPunct/>
        <w:topLinePunct w:val="0"/>
        <w:autoSpaceDE/>
        <w:autoSpaceDN/>
        <w:bidi w:val="0"/>
        <w:adjustRightInd/>
        <w:snapToGrid/>
        <w:spacing w:before="0" w:beforeLines="0" w:line="360" w:lineRule="auto"/>
        <w:ind w:firstLine="482"/>
        <w:textAlignment w:val="auto"/>
        <w:outlineLvl w:val="9"/>
        <w:rPr>
          <w:rFonts w:hint="eastAsia" w:ascii="Times New Roman" w:hAnsi="Times New Roman" w:eastAsia="宋体" w:cs="Times New Roman"/>
          <w:b w:val="0"/>
          <w:color w:val="auto"/>
          <w:kern w:val="2"/>
          <w:sz w:val="24"/>
          <w:szCs w:val="24"/>
          <w:highlight w:val="none"/>
          <w:lang w:val="en-US" w:eastAsia="zh-CN" w:bidi="ar-SA"/>
        </w:rPr>
      </w:pPr>
      <w:r>
        <w:rPr>
          <w:rFonts w:hint="eastAsia" w:cs="Times New Roman"/>
          <w:b w:val="0"/>
          <w:color w:val="auto"/>
          <w:kern w:val="2"/>
          <w:sz w:val="24"/>
          <w:szCs w:val="24"/>
          <w:highlight w:val="none"/>
          <w:lang w:val="en-US" w:eastAsia="zh-CN" w:bidi="ar-SA"/>
        </w:rPr>
        <w:t>2、</w:t>
      </w:r>
      <w:r>
        <w:rPr>
          <w:rFonts w:hint="eastAsia" w:ascii="Times New Roman" w:hAnsi="Times New Roman" w:eastAsia="宋体" w:cs="Times New Roman"/>
          <w:b w:val="0"/>
          <w:color w:val="auto"/>
          <w:kern w:val="2"/>
          <w:sz w:val="24"/>
          <w:szCs w:val="24"/>
          <w:highlight w:val="none"/>
          <w:lang w:val="en-US" w:eastAsia="zh-CN" w:bidi="ar-SA"/>
        </w:rPr>
        <w:t>评价范围及保护目标</w:t>
      </w:r>
    </w:p>
    <w:p>
      <w:pPr>
        <w:pStyle w:val="112"/>
        <w:pageBreakBefore w:val="0"/>
        <w:widowControl/>
        <w:kinsoku/>
        <w:wordWrap/>
        <w:overflowPunct/>
        <w:topLinePunct w:val="0"/>
        <w:autoSpaceDE/>
        <w:autoSpaceDN/>
        <w:bidi w:val="0"/>
        <w:adjustRightInd/>
        <w:snapToGrid/>
        <w:spacing w:line="360" w:lineRule="auto"/>
        <w:ind w:firstLine="480"/>
        <w:textAlignment w:val="auto"/>
        <w:outlineLvl w:val="9"/>
        <w:rPr>
          <w:color w:val="auto"/>
          <w:highlight w:val="none"/>
        </w:rPr>
      </w:pPr>
      <w:r>
        <w:rPr>
          <w:rFonts w:hint="eastAsia"/>
          <w:color w:val="auto"/>
          <w:highlight w:val="none"/>
        </w:rPr>
        <w:t>根据《建设项目环境风险评价技术导则》（HJ169-2018）要求</w:t>
      </w:r>
      <w:r>
        <w:rPr>
          <w:rFonts w:hint="eastAsia"/>
          <w:color w:val="auto"/>
          <w:highlight w:val="none"/>
          <w:lang w:eastAsia="zh-CN"/>
        </w:rPr>
        <w:t>，</w:t>
      </w:r>
      <w:r>
        <w:rPr>
          <w:color w:val="auto"/>
          <w:highlight w:val="none"/>
        </w:rPr>
        <w:t>评价对项目周围</w:t>
      </w:r>
      <w:r>
        <w:rPr>
          <w:rFonts w:hint="eastAsia"/>
          <w:color w:val="auto"/>
          <w:highlight w:val="none"/>
          <w:lang w:val="en-US" w:eastAsia="zh-CN"/>
        </w:rPr>
        <w:t>3</w:t>
      </w:r>
      <w:r>
        <w:rPr>
          <w:color w:val="auto"/>
          <w:highlight w:val="none"/>
        </w:rPr>
        <w:t>km内居民等环境敏感目标进行了现场调查，具体情况见下表。</w:t>
      </w:r>
    </w:p>
    <w:p>
      <w:pPr>
        <w:pStyle w:val="40"/>
        <w:rPr>
          <w:rFonts w:hint="eastAsia"/>
          <w:color w:val="auto"/>
          <w:highlight w:val="none"/>
          <w:lang w:val="en-US" w:eastAsia="zh-CN"/>
        </w:rPr>
      </w:pPr>
      <w:r>
        <w:rPr>
          <w:rFonts w:hint="eastAsia"/>
          <w:color w:val="auto"/>
          <w:highlight w:val="none"/>
          <w:lang w:val="en-US" w:eastAsia="zh-CN"/>
        </w:rPr>
        <w:t>4.2-44 厂区周围3km范围内环境保护敏感目标表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198"/>
        <w:gridCol w:w="1177"/>
        <w:gridCol w:w="1088"/>
        <w:gridCol w:w="1401"/>
        <w:gridCol w:w="1282"/>
        <w:gridCol w:w="760"/>
        <w:gridCol w:w="9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Merge w:val="restart"/>
            <w:vAlign w:val="center"/>
          </w:tcPr>
          <w:p>
            <w:pPr>
              <w:pStyle w:val="42"/>
              <w:spacing w:line="240" w:lineRule="auto"/>
              <w:ind w:left="0" w:leftChars="0" w:firstLine="0" w:firstLineChars="0"/>
              <w:jc w:val="center"/>
              <w:rPr>
                <w:color w:val="auto"/>
                <w:kern w:val="2"/>
                <w:highlight w:val="none"/>
              </w:rPr>
            </w:pPr>
            <w:r>
              <w:rPr>
                <w:rFonts w:hint="eastAsia"/>
                <w:color w:val="auto"/>
                <w:kern w:val="2"/>
                <w:highlight w:val="none"/>
              </w:rPr>
              <w:t>名称</w:t>
            </w:r>
          </w:p>
        </w:tc>
        <w:tc>
          <w:tcPr>
            <w:tcW w:w="1403" w:type="pct"/>
            <w:gridSpan w:val="2"/>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坐标</w:t>
            </w:r>
          </w:p>
        </w:tc>
        <w:tc>
          <w:tcPr>
            <w:tcW w:w="643" w:type="pct"/>
            <w:vMerge w:val="restart"/>
            <w:vAlign w:val="center"/>
          </w:tcPr>
          <w:p>
            <w:pPr>
              <w:pStyle w:val="42"/>
              <w:spacing w:line="240" w:lineRule="auto"/>
              <w:ind w:left="0" w:leftChars="0" w:firstLine="0" w:firstLineChars="0"/>
              <w:jc w:val="center"/>
              <w:rPr>
                <w:color w:val="auto"/>
                <w:kern w:val="2"/>
                <w:highlight w:val="none"/>
              </w:rPr>
            </w:pPr>
            <w:r>
              <w:rPr>
                <w:color w:val="auto"/>
                <w:kern w:val="2"/>
                <w:highlight w:val="none"/>
              </w:rPr>
              <w:t>保护</w:t>
            </w:r>
            <w:r>
              <w:rPr>
                <w:rFonts w:hint="eastAsia"/>
                <w:color w:val="auto"/>
                <w:kern w:val="2"/>
                <w:highlight w:val="none"/>
              </w:rPr>
              <w:t>对象</w:t>
            </w:r>
          </w:p>
        </w:tc>
        <w:tc>
          <w:tcPr>
            <w:tcW w:w="828" w:type="pct"/>
            <w:vMerge w:val="restart"/>
            <w:vAlign w:val="center"/>
          </w:tcPr>
          <w:p>
            <w:pPr>
              <w:pStyle w:val="42"/>
              <w:spacing w:line="240" w:lineRule="auto"/>
              <w:ind w:left="0" w:leftChars="0" w:firstLine="0" w:firstLineChars="0"/>
              <w:jc w:val="center"/>
              <w:rPr>
                <w:color w:val="auto"/>
                <w:kern w:val="2"/>
                <w:highlight w:val="none"/>
              </w:rPr>
            </w:pPr>
            <w:r>
              <w:rPr>
                <w:rFonts w:hint="eastAsia"/>
                <w:color w:val="auto"/>
                <w:kern w:val="2"/>
                <w:highlight w:val="none"/>
              </w:rPr>
              <w:t>保护内容</w:t>
            </w:r>
          </w:p>
        </w:tc>
        <w:tc>
          <w:tcPr>
            <w:tcW w:w="757" w:type="pct"/>
            <w:vMerge w:val="restart"/>
            <w:vAlign w:val="center"/>
          </w:tcPr>
          <w:p>
            <w:pPr>
              <w:pStyle w:val="42"/>
              <w:spacing w:line="240" w:lineRule="auto"/>
              <w:ind w:left="0" w:leftChars="0" w:firstLine="0" w:firstLineChars="0"/>
              <w:jc w:val="center"/>
              <w:rPr>
                <w:color w:val="auto"/>
                <w:kern w:val="2"/>
                <w:highlight w:val="none"/>
              </w:rPr>
            </w:pPr>
            <w:r>
              <w:rPr>
                <w:rFonts w:hint="eastAsia"/>
                <w:color w:val="auto"/>
                <w:kern w:val="2"/>
                <w:highlight w:val="none"/>
              </w:rPr>
              <w:t>环境功能区</w:t>
            </w:r>
          </w:p>
        </w:tc>
        <w:tc>
          <w:tcPr>
            <w:tcW w:w="449" w:type="pct"/>
            <w:vMerge w:val="restart"/>
            <w:vAlign w:val="center"/>
          </w:tcPr>
          <w:p>
            <w:pPr>
              <w:pStyle w:val="42"/>
              <w:spacing w:line="240" w:lineRule="auto"/>
              <w:ind w:left="0" w:leftChars="0" w:firstLine="0" w:firstLineChars="0"/>
              <w:jc w:val="center"/>
              <w:rPr>
                <w:color w:val="auto"/>
                <w:kern w:val="2"/>
                <w:highlight w:val="none"/>
              </w:rPr>
            </w:pPr>
            <w:r>
              <w:rPr>
                <w:color w:val="auto"/>
                <w:kern w:val="2"/>
                <w:highlight w:val="none"/>
              </w:rPr>
              <w:t>相对</w:t>
            </w:r>
            <w:r>
              <w:rPr>
                <w:rFonts w:hint="eastAsia"/>
                <w:color w:val="auto"/>
                <w:kern w:val="2"/>
                <w:highlight w:val="none"/>
              </w:rPr>
              <w:t>厂址</w:t>
            </w:r>
            <w:r>
              <w:rPr>
                <w:color w:val="auto"/>
                <w:kern w:val="2"/>
                <w:highlight w:val="none"/>
              </w:rPr>
              <w:t>方位</w:t>
            </w:r>
          </w:p>
        </w:tc>
        <w:tc>
          <w:tcPr>
            <w:tcW w:w="539" w:type="pct"/>
            <w:vMerge w:val="restart"/>
            <w:vAlign w:val="center"/>
          </w:tcPr>
          <w:p>
            <w:pPr>
              <w:pStyle w:val="42"/>
              <w:spacing w:line="240" w:lineRule="auto"/>
              <w:ind w:left="0" w:leftChars="0" w:firstLine="0" w:firstLineChars="0"/>
              <w:jc w:val="center"/>
              <w:rPr>
                <w:color w:val="auto"/>
                <w:kern w:val="2"/>
                <w:highlight w:val="none"/>
              </w:rPr>
            </w:pPr>
            <w:r>
              <w:rPr>
                <w:rFonts w:hint="eastAsia"/>
                <w:color w:val="auto"/>
                <w:kern w:val="2"/>
                <w:highlight w:val="none"/>
              </w:rPr>
              <w:t>相对厂界距离/m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78" w:type="pct"/>
            <w:vMerge w:val="continue"/>
            <w:vAlign w:val="center"/>
          </w:tcPr>
          <w:p>
            <w:pPr>
              <w:pStyle w:val="42"/>
              <w:spacing w:line="240" w:lineRule="auto"/>
              <w:ind w:left="0" w:leftChars="0" w:firstLine="0" w:firstLineChars="0"/>
              <w:jc w:val="center"/>
              <w:rPr>
                <w:color w:val="auto"/>
                <w:highlight w:val="none"/>
              </w:rPr>
            </w:pPr>
          </w:p>
        </w:tc>
        <w:tc>
          <w:tcPr>
            <w:tcW w:w="708" w:type="pct"/>
            <w:vAlign w:val="center"/>
          </w:tcPr>
          <w:p>
            <w:pPr>
              <w:pStyle w:val="42"/>
              <w:spacing w:line="240" w:lineRule="auto"/>
              <w:ind w:left="0" w:leftChars="0" w:firstLine="0" w:firstLineChars="0"/>
              <w:jc w:val="center"/>
              <w:rPr>
                <w:rFonts w:hint="eastAsia" w:eastAsia="宋体"/>
                <w:color w:val="auto"/>
                <w:kern w:val="2"/>
                <w:highlight w:val="none"/>
                <w:lang w:eastAsia="zh-CN"/>
              </w:rPr>
            </w:pPr>
            <w:r>
              <w:rPr>
                <w:rFonts w:hint="eastAsia"/>
                <w:color w:val="auto"/>
                <w:kern w:val="2"/>
                <w:highlight w:val="none"/>
                <w:lang w:eastAsia="zh-CN"/>
              </w:rPr>
              <w:t>经度</w:t>
            </w:r>
          </w:p>
        </w:tc>
        <w:tc>
          <w:tcPr>
            <w:tcW w:w="695" w:type="pct"/>
            <w:vAlign w:val="center"/>
          </w:tcPr>
          <w:p>
            <w:pPr>
              <w:pStyle w:val="42"/>
              <w:spacing w:line="240" w:lineRule="auto"/>
              <w:ind w:left="0" w:leftChars="0" w:firstLine="0" w:firstLineChars="0"/>
              <w:jc w:val="center"/>
              <w:rPr>
                <w:rFonts w:hint="eastAsia" w:eastAsia="宋体"/>
                <w:color w:val="auto"/>
                <w:kern w:val="2"/>
                <w:highlight w:val="none"/>
                <w:lang w:eastAsia="zh-CN"/>
              </w:rPr>
            </w:pPr>
            <w:r>
              <w:rPr>
                <w:rFonts w:hint="eastAsia"/>
                <w:color w:val="auto"/>
                <w:kern w:val="2"/>
                <w:highlight w:val="none"/>
                <w:lang w:eastAsia="zh-CN"/>
              </w:rPr>
              <w:t>纬度</w:t>
            </w:r>
          </w:p>
        </w:tc>
        <w:tc>
          <w:tcPr>
            <w:tcW w:w="643" w:type="pct"/>
            <w:vMerge w:val="continue"/>
            <w:vAlign w:val="center"/>
          </w:tcPr>
          <w:p>
            <w:pPr>
              <w:pStyle w:val="42"/>
              <w:spacing w:line="240" w:lineRule="auto"/>
              <w:ind w:left="0" w:leftChars="0" w:firstLine="0" w:firstLineChars="0"/>
              <w:jc w:val="center"/>
              <w:rPr>
                <w:rFonts w:hint="eastAsia"/>
                <w:color w:val="auto"/>
                <w:kern w:val="2"/>
                <w:highlight w:val="none"/>
              </w:rPr>
            </w:pPr>
          </w:p>
        </w:tc>
        <w:tc>
          <w:tcPr>
            <w:tcW w:w="828" w:type="pct"/>
            <w:vMerge w:val="continue"/>
            <w:vAlign w:val="center"/>
          </w:tcPr>
          <w:p>
            <w:pPr>
              <w:pStyle w:val="42"/>
              <w:spacing w:line="240" w:lineRule="auto"/>
              <w:ind w:left="0" w:leftChars="0" w:firstLine="0" w:firstLineChars="0"/>
              <w:jc w:val="center"/>
              <w:rPr>
                <w:rFonts w:hint="eastAsia"/>
                <w:color w:val="auto"/>
                <w:kern w:val="2"/>
                <w:highlight w:val="none"/>
              </w:rPr>
            </w:pPr>
          </w:p>
        </w:tc>
        <w:tc>
          <w:tcPr>
            <w:tcW w:w="757" w:type="pct"/>
            <w:vMerge w:val="continue"/>
            <w:vAlign w:val="center"/>
          </w:tcPr>
          <w:p>
            <w:pPr>
              <w:pStyle w:val="42"/>
              <w:spacing w:line="240" w:lineRule="auto"/>
              <w:ind w:left="0" w:leftChars="0" w:firstLine="0" w:firstLineChars="0"/>
              <w:jc w:val="center"/>
              <w:rPr>
                <w:rFonts w:hint="eastAsia"/>
                <w:color w:val="auto"/>
                <w:kern w:val="2"/>
                <w:highlight w:val="none"/>
              </w:rPr>
            </w:pPr>
          </w:p>
        </w:tc>
        <w:tc>
          <w:tcPr>
            <w:tcW w:w="449" w:type="pct"/>
            <w:vMerge w:val="continue"/>
            <w:vAlign w:val="center"/>
          </w:tcPr>
          <w:p>
            <w:pPr>
              <w:pStyle w:val="42"/>
              <w:spacing w:line="240" w:lineRule="auto"/>
              <w:ind w:left="0" w:leftChars="0" w:firstLine="0" w:firstLineChars="0"/>
              <w:jc w:val="center"/>
              <w:rPr>
                <w:rFonts w:hint="eastAsia"/>
                <w:color w:val="auto"/>
                <w:kern w:val="2"/>
                <w:highlight w:val="none"/>
              </w:rPr>
            </w:pPr>
          </w:p>
        </w:tc>
        <w:tc>
          <w:tcPr>
            <w:tcW w:w="539" w:type="pct"/>
            <w:vMerge w:val="continue"/>
            <w:vAlign w:val="center"/>
          </w:tcPr>
          <w:p>
            <w:pPr>
              <w:pStyle w:val="42"/>
              <w:spacing w:line="240" w:lineRule="auto"/>
              <w:ind w:left="0" w:leftChars="0" w:firstLine="0" w:firstLineChars="0"/>
              <w:jc w:val="center"/>
              <w:rPr>
                <w:rFonts w:hint="eastAsia"/>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restart"/>
            <w:vAlign w:val="center"/>
          </w:tcPr>
          <w:p>
            <w:pPr>
              <w:pStyle w:val="42"/>
              <w:spacing w:line="240" w:lineRule="auto"/>
              <w:ind w:left="0" w:leftChars="0" w:firstLine="0" w:firstLineChars="0"/>
              <w:jc w:val="center"/>
              <w:rPr>
                <w:color w:val="auto"/>
                <w:kern w:val="2"/>
                <w:highlight w:val="none"/>
              </w:rPr>
            </w:pPr>
            <w:r>
              <w:rPr>
                <w:color w:val="auto"/>
                <w:kern w:val="2"/>
                <w:highlight w:val="none"/>
              </w:rPr>
              <w:t>空气</w:t>
            </w:r>
          </w:p>
          <w:p>
            <w:pPr>
              <w:pStyle w:val="42"/>
              <w:spacing w:line="240" w:lineRule="auto"/>
              <w:ind w:left="0" w:leftChars="0" w:firstLine="0" w:firstLineChars="0"/>
              <w:jc w:val="center"/>
              <w:rPr>
                <w:color w:val="auto"/>
                <w:kern w:val="2"/>
                <w:highlight w:val="none"/>
              </w:rPr>
            </w:pPr>
            <w:r>
              <w:rPr>
                <w:color w:val="auto"/>
                <w:kern w:val="2"/>
                <w:highlight w:val="none"/>
              </w:rPr>
              <w:t>环境</w:t>
            </w:r>
          </w:p>
        </w:tc>
        <w:tc>
          <w:tcPr>
            <w:tcW w:w="708"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114.66199</w:t>
            </w:r>
          </w:p>
        </w:tc>
        <w:tc>
          <w:tcPr>
            <w:tcW w:w="695" w:type="pct"/>
            <w:vAlign w:val="center"/>
          </w:tcPr>
          <w:p>
            <w:pPr>
              <w:pStyle w:val="42"/>
              <w:spacing w:line="240" w:lineRule="auto"/>
              <w:ind w:left="0" w:leftChars="0" w:firstLine="0" w:firstLineChars="0"/>
              <w:jc w:val="center"/>
              <w:rPr>
                <w:rFonts w:hint="eastAsia" w:eastAsia="宋体"/>
                <w:color w:val="auto"/>
                <w:highlight w:val="none"/>
                <w:lang w:eastAsia="zh-CN"/>
              </w:rPr>
            </w:pPr>
            <w:r>
              <w:rPr>
                <w:rFonts w:hint="eastAsia"/>
                <w:color w:val="auto"/>
                <w:highlight w:val="none"/>
              </w:rPr>
              <w:t>33.0900</w:t>
            </w:r>
            <w:r>
              <w:rPr>
                <w:rFonts w:hint="eastAsia"/>
                <w:color w:val="auto"/>
                <w:highlight w:val="none"/>
                <w:lang w:val="en-US" w:eastAsia="zh-CN"/>
              </w:rPr>
              <w:t>1</w:t>
            </w:r>
          </w:p>
        </w:tc>
        <w:tc>
          <w:tcPr>
            <w:tcW w:w="643" w:type="pct"/>
            <w:vAlign w:val="center"/>
          </w:tcPr>
          <w:p>
            <w:pPr>
              <w:pStyle w:val="42"/>
              <w:spacing w:line="240" w:lineRule="auto"/>
              <w:ind w:left="0" w:leftChars="0" w:firstLine="0" w:firstLineChars="0"/>
              <w:jc w:val="center"/>
              <w:rPr>
                <w:rFonts w:hint="eastAsia"/>
                <w:color w:val="auto"/>
                <w:kern w:val="2"/>
                <w:highlight w:val="none"/>
                <w:lang w:eastAsia="zh-CN"/>
              </w:rPr>
            </w:pPr>
            <w:r>
              <w:rPr>
                <w:rFonts w:hint="eastAsia"/>
                <w:color w:val="auto"/>
                <w:kern w:val="2"/>
                <w:highlight w:val="none"/>
                <w:lang w:eastAsia="zh-CN"/>
              </w:rPr>
              <w:t>吴自岐庄</w:t>
            </w:r>
          </w:p>
        </w:tc>
        <w:tc>
          <w:tcPr>
            <w:tcW w:w="828" w:type="pct"/>
            <w:vAlign w:val="center"/>
          </w:tcPr>
          <w:p>
            <w:pPr>
              <w:pStyle w:val="42"/>
              <w:spacing w:line="240" w:lineRule="auto"/>
              <w:ind w:left="0" w:leftChars="0" w:firstLine="0" w:firstLineChars="0"/>
              <w:jc w:val="center"/>
              <w:rPr>
                <w:color w:val="auto"/>
                <w:kern w:val="2"/>
                <w:highlight w:val="none"/>
              </w:rPr>
            </w:pPr>
            <w:r>
              <w:rPr>
                <w:rFonts w:hint="eastAsia"/>
                <w:color w:val="auto"/>
                <w:kern w:val="2"/>
                <w:highlight w:val="none"/>
                <w:lang w:eastAsia="zh-CN"/>
              </w:rPr>
              <w:t>居民，</w:t>
            </w:r>
            <w:r>
              <w:rPr>
                <w:rFonts w:hint="eastAsia"/>
                <w:color w:val="auto"/>
                <w:kern w:val="2"/>
                <w:highlight w:val="none"/>
                <w:lang w:val="en-US" w:eastAsia="zh-CN"/>
              </w:rPr>
              <w:t>146户，</w:t>
            </w:r>
            <w:r>
              <w:rPr>
                <w:rFonts w:hint="eastAsia"/>
                <w:color w:val="auto"/>
                <w:kern w:val="2"/>
                <w:highlight w:val="none"/>
              </w:rPr>
              <w:t>约</w:t>
            </w:r>
            <w:r>
              <w:rPr>
                <w:rFonts w:hint="eastAsia"/>
                <w:color w:val="auto"/>
                <w:kern w:val="2"/>
                <w:highlight w:val="none"/>
                <w:lang w:val="en-US" w:eastAsia="zh-CN"/>
              </w:rPr>
              <w:t>735</w:t>
            </w:r>
            <w:r>
              <w:rPr>
                <w:rFonts w:hint="eastAsia"/>
                <w:color w:val="auto"/>
                <w:kern w:val="2"/>
                <w:highlight w:val="none"/>
              </w:rPr>
              <w:t>人</w:t>
            </w:r>
          </w:p>
        </w:tc>
        <w:tc>
          <w:tcPr>
            <w:tcW w:w="757" w:type="pct"/>
            <w:vMerge w:val="restart"/>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《环境空气质量标准》（GB3095-2012）</w:t>
            </w:r>
          </w:p>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二类功能区</w:t>
            </w:r>
          </w:p>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p>
            <w:pPr>
              <w:pStyle w:val="42"/>
              <w:spacing w:line="240" w:lineRule="auto"/>
              <w:ind w:left="0" w:leftChars="0" w:firstLine="0" w:firstLineChars="0"/>
              <w:jc w:val="center"/>
              <w:rPr>
                <w:rFonts w:hint="eastAsia"/>
                <w:color w:val="auto"/>
                <w:kern w:val="2"/>
                <w:highlight w:val="none"/>
              </w:rPr>
            </w:pPr>
          </w:p>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p>
            <w:pPr>
              <w:pStyle w:val="42"/>
              <w:spacing w:line="240" w:lineRule="auto"/>
              <w:ind w:left="0" w:leftChars="0" w:firstLine="0" w:firstLineChars="0"/>
              <w:jc w:val="center"/>
              <w:rPr>
                <w:color w:val="auto"/>
                <w:kern w:val="2"/>
                <w:highlight w:val="none"/>
              </w:rPr>
            </w:pPr>
          </w:p>
        </w:tc>
        <w:tc>
          <w:tcPr>
            <w:tcW w:w="449" w:type="pct"/>
            <w:vAlign w:val="center"/>
          </w:tcPr>
          <w:p>
            <w:pPr>
              <w:pStyle w:val="42"/>
              <w:spacing w:line="240" w:lineRule="auto"/>
              <w:ind w:left="0" w:leftChars="0" w:firstLine="0" w:firstLineChars="0"/>
              <w:jc w:val="center"/>
              <w:rPr>
                <w:rFonts w:hint="default" w:eastAsia="宋体"/>
                <w:color w:val="auto"/>
                <w:kern w:val="2"/>
                <w:highlight w:val="none"/>
                <w:lang w:val="en-US" w:eastAsia="zh-CN"/>
              </w:rPr>
            </w:pPr>
            <w:r>
              <w:rPr>
                <w:rFonts w:hint="eastAsia"/>
                <w:color w:val="auto"/>
                <w:kern w:val="2"/>
                <w:highlight w:val="none"/>
                <w:lang w:val="en-US" w:eastAsia="zh-CN"/>
              </w:rPr>
              <w:t>NE</w:t>
            </w:r>
          </w:p>
        </w:tc>
        <w:tc>
          <w:tcPr>
            <w:tcW w:w="539" w:type="pct"/>
            <w:vAlign w:val="center"/>
          </w:tcPr>
          <w:p>
            <w:pPr>
              <w:pStyle w:val="42"/>
              <w:spacing w:line="240" w:lineRule="auto"/>
              <w:ind w:left="0" w:leftChars="0" w:firstLine="0" w:firstLineChars="0"/>
              <w:jc w:val="center"/>
              <w:rPr>
                <w:color w:val="auto"/>
                <w:kern w:val="2"/>
                <w:highlight w:val="none"/>
              </w:rPr>
            </w:pPr>
            <w:r>
              <w:rPr>
                <w:rFonts w:hint="eastAsia"/>
                <w:color w:val="auto"/>
                <w:kern w:val="2"/>
                <w:highlight w:val="none"/>
                <w:lang w:val="en-US" w:eastAsia="zh-CN"/>
              </w:rPr>
              <w:t>420</w:t>
            </w:r>
            <w:r>
              <w:rPr>
                <w:rFonts w:hint="eastAsia"/>
                <w:color w:val="auto"/>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114.66626</w:t>
            </w:r>
          </w:p>
        </w:tc>
        <w:tc>
          <w:tcPr>
            <w:tcW w:w="695"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33.08294</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eastAsia="zh-CN"/>
              </w:rPr>
              <w:t>小吴庄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eastAsia="zh-CN"/>
              </w:rPr>
              <w:t>居民，</w:t>
            </w:r>
            <w:r>
              <w:rPr>
                <w:rFonts w:hint="eastAsia"/>
                <w:color w:val="auto"/>
                <w:kern w:val="2"/>
                <w:highlight w:val="none"/>
                <w:lang w:val="en-US" w:eastAsia="zh-CN"/>
              </w:rPr>
              <w:t>118户，</w:t>
            </w:r>
            <w:r>
              <w:rPr>
                <w:rFonts w:hint="eastAsia"/>
                <w:color w:val="auto"/>
                <w:kern w:val="2"/>
                <w:highlight w:val="none"/>
              </w:rPr>
              <w:t>约</w:t>
            </w:r>
            <w:r>
              <w:rPr>
                <w:rFonts w:hint="eastAsia"/>
                <w:color w:val="auto"/>
                <w:kern w:val="2"/>
                <w:highlight w:val="none"/>
                <w:lang w:val="en-US" w:eastAsia="zh-CN"/>
              </w:rPr>
              <w:t>576</w:t>
            </w:r>
            <w:r>
              <w:rPr>
                <w:rFonts w:hint="eastAsia"/>
                <w:color w:val="auto"/>
                <w:kern w:val="2"/>
                <w:highlight w:val="none"/>
              </w:rPr>
              <w:t>人</w:t>
            </w:r>
          </w:p>
        </w:tc>
        <w:tc>
          <w:tcPr>
            <w:tcW w:w="757"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E</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670m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114.67055</w:t>
            </w:r>
          </w:p>
        </w:tc>
        <w:tc>
          <w:tcPr>
            <w:tcW w:w="695"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33.08371</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eastAsia="zh-CN"/>
              </w:rPr>
              <w:t>大吴庄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eastAsia="zh-CN"/>
              </w:rPr>
              <w:t>居民，</w:t>
            </w:r>
            <w:r>
              <w:rPr>
                <w:rFonts w:hint="eastAsia"/>
                <w:color w:val="auto"/>
                <w:kern w:val="2"/>
                <w:highlight w:val="none"/>
                <w:lang w:val="en-US" w:eastAsia="zh-CN"/>
              </w:rPr>
              <w:t>160户，</w:t>
            </w:r>
            <w:r>
              <w:rPr>
                <w:rFonts w:hint="eastAsia"/>
                <w:color w:val="auto"/>
                <w:kern w:val="2"/>
                <w:highlight w:val="none"/>
              </w:rPr>
              <w:t>约</w:t>
            </w:r>
            <w:r>
              <w:rPr>
                <w:rFonts w:hint="eastAsia"/>
                <w:color w:val="auto"/>
                <w:kern w:val="2"/>
                <w:highlight w:val="none"/>
                <w:lang w:val="en-US" w:eastAsia="zh-CN"/>
              </w:rPr>
              <w:t>640</w:t>
            </w:r>
            <w:r>
              <w:rPr>
                <w:rFonts w:hint="eastAsia"/>
                <w:color w:val="auto"/>
                <w:kern w:val="2"/>
                <w:highlight w:val="none"/>
              </w:rPr>
              <w:t>人</w:t>
            </w:r>
          </w:p>
        </w:tc>
        <w:tc>
          <w:tcPr>
            <w:tcW w:w="757"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E</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1063m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114.67023</w:t>
            </w:r>
          </w:p>
        </w:tc>
        <w:tc>
          <w:tcPr>
            <w:tcW w:w="695"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33.08716</w:t>
            </w:r>
          </w:p>
        </w:tc>
        <w:tc>
          <w:tcPr>
            <w:tcW w:w="643" w:type="pct"/>
            <w:vAlign w:val="center"/>
          </w:tcPr>
          <w:p>
            <w:pPr>
              <w:pStyle w:val="42"/>
              <w:spacing w:line="240" w:lineRule="auto"/>
              <w:ind w:left="0" w:leftChars="0" w:firstLine="0" w:firstLineChars="0"/>
              <w:jc w:val="center"/>
              <w:rPr>
                <w:rFonts w:hint="eastAsia"/>
                <w:color w:val="auto"/>
                <w:kern w:val="2"/>
                <w:highlight w:val="none"/>
                <w:lang w:eastAsia="zh-CN"/>
              </w:rPr>
            </w:pPr>
            <w:r>
              <w:rPr>
                <w:rFonts w:hint="eastAsia"/>
                <w:color w:val="auto"/>
                <w:kern w:val="2"/>
                <w:highlight w:val="none"/>
                <w:lang w:eastAsia="zh-CN"/>
              </w:rPr>
              <w:t>赵庄</w:t>
            </w:r>
          </w:p>
        </w:tc>
        <w:tc>
          <w:tcPr>
            <w:tcW w:w="828" w:type="pct"/>
            <w:vAlign w:val="center"/>
          </w:tcPr>
          <w:p>
            <w:pPr>
              <w:pStyle w:val="42"/>
              <w:spacing w:line="240" w:lineRule="auto"/>
              <w:ind w:left="0" w:leftChars="0" w:firstLine="0" w:firstLineChars="0"/>
              <w:jc w:val="center"/>
              <w:rPr>
                <w:rFonts w:hint="eastAsia"/>
                <w:color w:val="auto"/>
                <w:kern w:val="2"/>
                <w:highlight w:val="none"/>
                <w:lang w:eastAsia="zh-CN"/>
              </w:rPr>
            </w:pPr>
            <w:r>
              <w:rPr>
                <w:rFonts w:hint="eastAsia"/>
                <w:color w:val="auto"/>
                <w:kern w:val="2"/>
                <w:highlight w:val="none"/>
                <w:lang w:eastAsia="zh-CN"/>
              </w:rPr>
              <w:t>居民，</w:t>
            </w:r>
            <w:r>
              <w:rPr>
                <w:rFonts w:hint="eastAsia"/>
                <w:color w:val="auto"/>
                <w:kern w:val="2"/>
                <w:highlight w:val="none"/>
                <w:lang w:val="en-US" w:eastAsia="zh-CN"/>
              </w:rPr>
              <w:t>63户，</w:t>
            </w:r>
            <w:r>
              <w:rPr>
                <w:rFonts w:hint="eastAsia"/>
                <w:color w:val="auto"/>
                <w:kern w:val="2"/>
                <w:highlight w:val="none"/>
              </w:rPr>
              <w:t>约</w:t>
            </w:r>
            <w:r>
              <w:rPr>
                <w:rFonts w:hint="eastAsia"/>
                <w:color w:val="auto"/>
                <w:kern w:val="2"/>
                <w:highlight w:val="none"/>
                <w:lang w:val="en-US" w:eastAsia="zh-CN"/>
              </w:rPr>
              <w:t>312</w:t>
            </w:r>
            <w:r>
              <w:rPr>
                <w:rFonts w:hint="eastAsia"/>
                <w:color w:val="auto"/>
                <w:kern w:val="2"/>
                <w:highlight w:val="none"/>
              </w:rPr>
              <w:t>人</w:t>
            </w:r>
          </w:p>
        </w:tc>
        <w:tc>
          <w:tcPr>
            <w:tcW w:w="757" w:type="pct"/>
            <w:vMerge w:val="continue"/>
            <w:vAlign w:val="center"/>
          </w:tcPr>
          <w:p>
            <w:pPr>
              <w:pStyle w:val="42"/>
              <w:spacing w:line="240" w:lineRule="auto"/>
              <w:ind w:left="0" w:leftChars="0" w:firstLine="0" w:firstLineChars="0"/>
              <w:jc w:val="center"/>
              <w:rPr>
                <w:rFonts w:hint="eastAsia"/>
                <w:color w:val="auto"/>
                <w:kern w:val="2"/>
                <w:highlight w:val="none"/>
              </w:rPr>
            </w:pPr>
          </w:p>
        </w:tc>
        <w:tc>
          <w:tcPr>
            <w:tcW w:w="449" w:type="pct"/>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lang w:val="en-US" w:eastAsia="zh-CN"/>
              </w:rPr>
              <w:t>NE</w:t>
            </w:r>
          </w:p>
        </w:tc>
        <w:tc>
          <w:tcPr>
            <w:tcW w:w="539" w:type="pct"/>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lang w:val="en-US" w:eastAsia="zh-CN"/>
              </w:rPr>
              <w:t>1020m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114.67192</w:t>
            </w:r>
          </w:p>
        </w:tc>
        <w:tc>
          <w:tcPr>
            <w:tcW w:w="695"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33.09377</w:t>
            </w:r>
          </w:p>
        </w:tc>
        <w:tc>
          <w:tcPr>
            <w:tcW w:w="643" w:type="pct"/>
            <w:vAlign w:val="center"/>
          </w:tcPr>
          <w:p>
            <w:pPr>
              <w:pStyle w:val="42"/>
              <w:spacing w:line="240" w:lineRule="auto"/>
              <w:ind w:left="0" w:leftChars="0" w:firstLine="0" w:firstLineChars="0"/>
              <w:jc w:val="center"/>
              <w:rPr>
                <w:rFonts w:hint="eastAsia"/>
                <w:color w:val="auto"/>
                <w:kern w:val="2"/>
                <w:highlight w:val="none"/>
                <w:lang w:eastAsia="zh-CN"/>
              </w:rPr>
            </w:pPr>
            <w:r>
              <w:rPr>
                <w:rFonts w:hint="eastAsia"/>
                <w:color w:val="auto"/>
                <w:kern w:val="2"/>
                <w:highlight w:val="none"/>
                <w:lang w:eastAsia="zh-CN"/>
              </w:rPr>
              <w:t>老吴庄</w:t>
            </w:r>
          </w:p>
        </w:tc>
        <w:tc>
          <w:tcPr>
            <w:tcW w:w="828" w:type="pct"/>
            <w:vAlign w:val="center"/>
          </w:tcPr>
          <w:p>
            <w:pPr>
              <w:pStyle w:val="42"/>
              <w:spacing w:line="240" w:lineRule="auto"/>
              <w:ind w:left="0" w:leftChars="0" w:firstLine="0" w:firstLineChars="0"/>
              <w:jc w:val="center"/>
              <w:rPr>
                <w:rFonts w:hint="eastAsia"/>
                <w:color w:val="auto"/>
                <w:kern w:val="2"/>
                <w:highlight w:val="none"/>
                <w:lang w:eastAsia="zh-CN"/>
              </w:rPr>
            </w:pPr>
            <w:r>
              <w:rPr>
                <w:rFonts w:hint="eastAsia"/>
                <w:color w:val="auto"/>
                <w:kern w:val="2"/>
                <w:highlight w:val="none"/>
                <w:lang w:eastAsia="zh-CN"/>
              </w:rPr>
              <w:t>居民，</w:t>
            </w:r>
            <w:r>
              <w:rPr>
                <w:rFonts w:hint="eastAsia"/>
                <w:color w:val="auto"/>
                <w:kern w:val="2"/>
                <w:highlight w:val="none"/>
                <w:lang w:val="en-US" w:eastAsia="zh-CN"/>
              </w:rPr>
              <w:t>77户，</w:t>
            </w:r>
            <w:r>
              <w:rPr>
                <w:rFonts w:hint="eastAsia"/>
                <w:color w:val="auto"/>
                <w:kern w:val="2"/>
                <w:highlight w:val="none"/>
              </w:rPr>
              <w:t>约</w:t>
            </w:r>
            <w:r>
              <w:rPr>
                <w:rFonts w:hint="eastAsia"/>
                <w:color w:val="auto"/>
                <w:kern w:val="2"/>
                <w:highlight w:val="none"/>
                <w:lang w:val="en-US" w:eastAsia="zh-CN"/>
              </w:rPr>
              <w:t>385</w:t>
            </w:r>
            <w:r>
              <w:rPr>
                <w:rFonts w:hint="eastAsia"/>
                <w:color w:val="auto"/>
                <w:kern w:val="2"/>
                <w:highlight w:val="none"/>
              </w:rPr>
              <w:t>人</w:t>
            </w:r>
          </w:p>
        </w:tc>
        <w:tc>
          <w:tcPr>
            <w:tcW w:w="757" w:type="pct"/>
            <w:vMerge w:val="continue"/>
            <w:vAlign w:val="center"/>
          </w:tcPr>
          <w:p>
            <w:pPr>
              <w:pStyle w:val="42"/>
              <w:spacing w:line="240" w:lineRule="auto"/>
              <w:ind w:left="0" w:leftChars="0" w:firstLine="0" w:firstLineChars="0"/>
              <w:jc w:val="center"/>
              <w:rPr>
                <w:rFonts w:hint="eastAsia"/>
                <w:color w:val="auto"/>
                <w:kern w:val="2"/>
                <w:highlight w:val="none"/>
              </w:rPr>
            </w:pPr>
          </w:p>
        </w:tc>
        <w:tc>
          <w:tcPr>
            <w:tcW w:w="449" w:type="pct"/>
            <w:vAlign w:val="center"/>
          </w:tcPr>
          <w:p>
            <w:pPr>
              <w:pStyle w:val="42"/>
              <w:spacing w:line="240" w:lineRule="auto"/>
              <w:ind w:left="0" w:leftChars="0" w:firstLine="0" w:firstLineChars="0"/>
              <w:jc w:val="center"/>
              <w:rPr>
                <w:rFonts w:hint="default"/>
                <w:color w:val="auto"/>
                <w:kern w:val="2"/>
                <w:highlight w:val="none"/>
                <w:lang w:val="en-US"/>
              </w:rPr>
            </w:pPr>
            <w:r>
              <w:rPr>
                <w:rFonts w:hint="eastAsia"/>
                <w:color w:val="auto"/>
                <w:kern w:val="2"/>
                <w:highlight w:val="none"/>
                <w:lang w:val="en-US" w:eastAsia="zh-CN"/>
              </w:rPr>
              <w:t>NE</w:t>
            </w:r>
          </w:p>
        </w:tc>
        <w:tc>
          <w:tcPr>
            <w:tcW w:w="539" w:type="pct"/>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lang w:val="en-US" w:eastAsia="zh-CN"/>
              </w:rPr>
              <w:t>1454m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114.66905</w:t>
            </w:r>
          </w:p>
        </w:tc>
        <w:tc>
          <w:tcPr>
            <w:tcW w:w="695"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33.09643</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钱庄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eastAsia="zh-CN"/>
              </w:rPr>
              <w:t>居民，</w:t>
            </w:r>
            <w:r>
              <w:rPr>
                <w:rFonts w:hint="eastAsia"/>
                <w:color w:val="auto"/>
                <w:kern w:val="2"/>
                <w:highlight w:val="none"/>
                <w:lang w:val="en-US" w:eastAsia="zh-CN"/>
              </w:rPr>
              <w:t>55户，</w:t>
            </w:r>
            <w:r>
              <w:rPr>
                <w:rFonts w:hint="eastAsia"/>
                <w:color w:val="auto"/>
                <w:kern w:val="2"/>
                <w:highlight w:val="none"/>
              </w:rPr>
              <w:t>约</w:t>
            </w:r>
            <w:r>
              <w:rPr>
                <w:rFonts w:hint="eastAsia"/>
                <w:color w:val="auto"/>
                <w:kern w:val="2"/>
                <w:highlight w:val="none"/>
                <w:lang w:val="en-US" w:eastAsia="zh-CN"/>
              </w:rPr>
              <w:t>280</w:t>
            </w:r>
            <w:r>
              <w:rPr>
                <w:rFonts w:hint="eastAsia"/>
                <w:color w:val="auto"/>
                <w:kern w:val="2"/>
                <w:highlight w:val="none"/>
              </w:rPr>
              <w:t>人</w:t>
            </w:r>
          </w:p>
        </w:tc>
        <w:tc>
          <w:tcPr>
            <w:tcW w:w="757" w:type="pct"/>
            <w:vMerge w:val="continue"/>
            <w:vAlign w:val="center"/>
          </w:tcPr>
          <w:p>
            <w:pPr>
              <w:pStyle w:val="42"/>
              <w:spacing w:line="240" w:lineRule="auto"/>
              <w:ind w:left="0" w:leftChars="0" w:firstLine="0" w:firstLineChars="0"/>
              <w:jc w:val="center"/>
              <w:rPr>
                <w:rFonts w:hint="eastAsia"/>
                <w:color w:val="auto"/>
                <w:kern w:val="2"/>
                <w:highlight w:val="none"/>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NE</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1470m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114.64935</w:t>
            </w:r>
          </w:p>
        </w:tc>
        <w:tc>
          <w:tcPr>
            <w:tcW w:w="695"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33.08025</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下王湾</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eastAsia="zh-CN"/>
              </w:rPr>
              <w:t>居民，</w:t>
            </w:r>
            <w:r>
              <w:rPr>
                <w:rFonts w:hint="eastAsia"/>
                <w:color w:val="auto"/>
                <w:kern w:val="2"/>
                <w:highlight w:val="none"/>
                <w:lang w:val="en-US" w:eastAsia="zh-CN"/>
              </w:rPr>
              <w:t>118户，</w:t>
            </w:r>
            <w:r>
              <w:rPr>
                <w:rFonts w:hint="eastAsia"/>
                <w:color w:val="auto"/>
                <w:kern w:val="2"/>
                <w:highlight w:val="none"/>
              </w:rPr>
              <w:t>约</w:t>
            </w:r>
            <w:r>
              <w:rPr>
                <w:rFonts w:hint="eastAsia"/>
                <w:color w:val="auto"/>
                <w:kern w:val="2"/>
                <w:highlight w:val="none"/>
                <w:lang w:val="en-US" w:eastAsia="zh-CN"/>
              </w:rPr>
              <w:t>596</w:t>
            </w:r>
            <w:r>
              <w:rPr>
                <w:rFonts w:hint="eastAsia"/>
                <w:color w:val="auto"/>
                <w:kern w:val="2"/>
                <w:highlight w:val="none"/>
              </w:rPr>
              <w:t>人</w:t>
            </w:r>
          </w:p>
        </w:tc>
        <w:tc>
          <w:tcPr>
            <w:tcW w:w="757"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rPr>
              <w:t>S</w:t>
            </w:r>
            <w:r>
              <w:rPr>
                <w:rFonts w:hint="eastAsia"/>
                <w:color w:val="auto"/>
                <w:kern w:val="2"/>
                <w:highlight w:val="none"/>
                <w:lang w:val="en-US" w:eastAsia="zh-CN"/>
              </w:rPr>
              <w:t>W</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582m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114.66001</w:t>
            </w:r>
          </w:p>
        </w:tc>
        <w:tc>
          <w:tcPr>
            <w:tcW w:w="695"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33.09984</w:t>
            </w:r>
          </w:p>
        </w:tc>
        <w:tc>
          <w:tcPr>
            <w:tcW w:w="643" w:type="pct"/>
            <w:vAlign w:val="center"/>
          </w:tcPr>
          <w:p>
            <w:pPr>
              <w:pStyle w:val="42"/>
              <w:spacing w:line="240" w:lineRule="auto"/>
              <w:ind w:left="0" w:leftChars="0" w:firstLine="0" w:firstLineChars="0"/>
              <w:jc w:val="center"/>
              <w:rPr>
                <w:rFonts w:hint="eastAsia"/>
                <w:color w:val="auto"/>
                <w:kern w:val="2"/>
                <w:highlight w:val="none"/>
                <w:lang w:eastAsia="zh-CN"/>
              </w:rPr>
            </w:pPr>
            <w:r>
              <w:rPr>
                <w:rFonts w:hint="eastAsia"/>
                <w:color w:val="auto"/>
                <w:kern w:val="2"/>
                <w:highlight w:val="none"/>
                <w:lang w:eastAsia="zh-CN"/>
              </w:rPr>
              <w:t>王苏庄</w:t>
            </w:r>
          </w:p>
        </w:tc>
        <w:tc>
          <w:tcPr>
            <w:tcW w:w="828" w:type="pct"/>
            <w:vAlign w:val="center"/>
          </w:tcPr>
          <w:p>
            <w:pPr>
              <w:pStyle w:val="42"/>
              <w:spacing w:line="240" w:lineRule="auto"/>
              <w:ind w:left="0" w:leftChars="0" w:firstLine="0" w:firstLineChars="0"/>
              <w:jc w:val="center"/>
              <w:rPr>
                <w:color w:val="auto"/>
                <w:kern w:val="2"/>
                <w:highlight w:val="none"/>
              </w:rPr>
            </w:pPr>
            <w:r>
              <w:rPr>
                <w:rFonts w:hint="eastAsia"/>
                <w:color w:val="auto"/>
                <w:kern w:val="2"/>
                <w:highlight w:val="none"/>
                <w:lang w:eastAsia="zh-CN"/>
              </w:rPr>
              <w:t>居民，</w:t>
            </w:r>
            <w:r>
              <w:rPr>
                <w:rFonts w:hint="eastAsia"/>
                <w:color w:val="auto"/>
                <w:kern w:val="2"/>
                <w:highlight w:val="none"/>
                <w:lang w:val="en-US" w:eastAsia="zh-CN"/>
              </w:rPr>
              <w:t>138户，</w:t>
            </w:r>
            <w:r>
              <w:rPr>
                <w:rFonts w:hint="eastAsia"/>
                <w:color w:val="auto"/>
                <w:kern w:val="2"/>
                <w:highlight w:val="none"/>
              </w:rPr>
              <w:t>约</w:t>
            </w:r>
            <w:r>
              <w:rPr>
                <w:rFonts w:hint="eastAsia"/>
                <w:color w:val="auto"/>
                <w:kern w:val="2"/>
                <w:highlight w:val="none"/>
                <w:lang w:val="en-US" w:eastAsia="zh-CN"/>
              </w:rPr>
              <w:t>695</w:t>
            </w:r>
            <w:r>
              <w:rPr>
                <w:rFonts w:hint="eastAsia"/>
                <w:color w:val="auto"/>
                <w:kern w:val="2"/>
                <w:highlight w:val="none"/>
              </w:rPr>
              <w:t>人</w:t>
            </w:r>
          </w:p>
        </w:tc>
        <w:tc>
          <w:tcPr>
            <w:tcW w:w="757" w:type="pct"/>
            <w:vMerge w:val="continue"/>
            <w:vAlign w:val="center"/>
          </w:tcPr>
          <w:p>
            <w:pPr>
              <w:pStyle w:val="42"/>
              <w:spacing w:line="240" w:lineRule="auto"/>
              <w:ind w:left="0" w:leftChars="0" w:firstLine="0" w:firstLineChars="0"/>
              <w:jc w:val="center"/>
              <w:rPr>
                <w:color w:val="auto"/>
                <w:kern w:val="2"/>
                <w:highlight w:val="none"/>
              </w:rPr>
            </w:pPr>
          </w:p>
        </w:tc>
        <w:tc>
          <w:tcPr>
            <w:tcW w:w="449" w:type="pct"/>
            <w:vAlign w:val="center"/>
          </w:tcPr>
          <w:p>
            <w:pPr>
              <w:pStyle w:val="42"/>
              <w:spacing w:line="240" w:lineRule="auto"/>
              <w:ind w:left="0" w:leftChars="0" w:firstLine="0" w:firstLineChars="0"/>
              <w:jc w:val="center"/>
              <w:rPr>
                <w:rFonts w:hint="default"/>
                <w:color w:val="auto"/>
                <w:kern w:val="2"/>
                <w:highlight w:val="none"/>
                <w:lang w:val="en-US" w:eastAsia="zh-CN"/>
              </w:rPr>
            </w:pPr>
            <w:r>
              <w:rPr>
                <w:rFonts w:hint="eastAsia"/>
                <w:color w:val="auto"/>
                <w:kern w:val="2"/>
                <w:highlight w:val="none"/>
                <w:lang w:val="en-US" w:eastAsia="zh-CN"/>
              </w:rPr>
              <w:t>N</w:t>
            </w:r>
          </w:p>
        </w:tc>
        <w:tc>
          <w:tcPr>
            <w:tcW w:w="539" w:type="pct"/>
            <w:vAlign w:val="center"/>
          </w:tcPr>
          <w:p>
            <w:pPr>
              <w:pStyle w:val="42"/>
              <w:spacing w:line="240" w:lineRule="auto"/>
              <w:ind w:left="0" w:leftChars="0" w:firstLine="0" w:firstLineChars="0"/>
              <w:jc w:val="center"/>
              <w:rPr>
                <w:color w:val="auto"/>
                <w:kern w:val="2"/>
                <w:highlight w:val="none"/>
              </w:rPr>
            </w:pPr>
            <w:r>
              <w:rPr>
                <w:rFonts w:hint="eastAsia"/>
                <w:color w:val="auto"/>
                <w:kern w:val="2"/>
                <w:highlight w:val="none"/>
                <w:lang w:val="en-US" w:eastAsia="zh-CN"/>
              </w:rPr>
              <w:t>1505</w:t>
            </w:r>
            <w:r>
              <w:rPr>
                <w:rFonts w:hint="eastAsia"/>
                <w:color w:val="auto"/>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114.64394</w:t>
            </w:r>
          </w:p>
        </w:tc>
        <w:tc>
          <w:tcPr>
            <w:tcW w:w="695"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33.09261</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小杨庄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eastAsia="zh-CN"/>
              </w:rPr>
              <w:t>居民，</w:t>
            </w:r>
            <w:r>
              <w:rPr>
                <w:rFonts w:hint="eastAsia"/>
                <w:color w:val="auto"/>
                <w:kern w:val="2"/>
                <w:highlight w:val="none"/>
                <w:lang w:val="en-US" w:eastAsia="zh-CN"/>
              </w:rPr>
              <w:t>24户，</w:t>
            </w:r>
            <w:r>
              <w:rPr>
                <w:rFonts w:hint="eastAsia"/>
                <w:color w:val="auto"/>
                <w:kern w:val="2"/>
                <w:highlight w:val="none"/>
              </w:rPr>
              <w:t>约1</w:t>
            </w:r>
            <w:r>
              <w:rPr>
                <w:rFonts w:hint="eastAsia"/>
                <w:color w:val="auto"/>
                <w:kern w:val="2"/>
                <w:highlight w:val="none"/>
                <w:lang w:val="en-US" w:eastAsia="zh-CN"/>
              </w:rPr>
              <w:t>18</w:t>
            </w:r>
            <w:r>
              <w:rPr>
                <w:rFonts w:hint="eastAsia"/>
                <w:color w:val="auto"/>
                <w:kern w:val="2"/>
                <w:highlight w:val="none"/>
              </w:rPr>
              <w:t>人</w:t>
            </w:r>
          </w:p>
        </w:tc>
        <w:tc>
          <w:tcPr>
            <w:tcW w:w="757" w:type="pct"/>
            <w:vMerge w:val="continue"/>
            <w:vAlign w:val="center"/>
          </w:tcPr>
          <w:p>
            <w:pPr>
              <w:pStyle w:val="42"/>
              <w:spacing w:line="240" w:lineRule="auto"/>
              <w:ind w:left="0" w:leftChars="0" w:firstLine="0" w:firstLineChars="0"/>
              <w:jc w:val="center"/>
              <w:rPr>
                <w:color w:val="auto"/>
                <w:kern w:val="2"/>
                <w:highlight w:val="none"/>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NW</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1187</w:t>
            </w:r>
            <w:r>
              <w:rPr>
                <w:rFonts w:hint="eastAsia"/>
                <w:color w:val="auto"/>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114.64840</w:t>
            </w:r>
          </w:p>
        </w:tc>
        <w:tc>
          <w:tcPr>
            <w:tcW w:w="695"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33.09993</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大杨庄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eastAsia="zh-CN"/>
              </w:rPr>
              <w:t>居民，</w:t>
            </w:r>
            <w:r>
              <w:rPr>
                <w:rFonts w:hint="eastAsia"/>
                <w:color w:val="auto"/>
                <w:kern w:val="2"/>
                <w:highlight w:val="none"/>
                <w:lang w:val="en-US" w:eastAsia="zh-CN"/>
              </w:rPr>
              <w:t>452户，</w:t>
            </w:r>
            <w:r>
              <w:rPr>
                <w:rFonts w:hint="eastAsia"/>
                <w:color w:val="auto"/>
                <w:kern w:val="2"/>
                <w:highlight w:val="none"/>
              </w:rPr>
              <w:t>约</w:t>
            </w:r>
            <w:r>
              <w:rPr>
                <w:rFonts w:hint="eastAsia"/>
                <w:color w:val="auto"/>
                <w:kern w:val="2"/>
                <w:highlight w:val="none"/>
                <w:lang w:val="en-US" w:eastAsia="zh-CN"/>
              </w:rPr>
              <w:t>2308</w:t>
            </w:r>
            <w:r>
              <w:rPr>
                <w:rFonts w:hint="eastAsia"/>
                <w:color w:val="auto"/>
                <w:kern w:val="2"/>
                <w:highlight w:val="none"/>
              </w:rPr>
              <w:t>人</w:t>
            </w:r>
          </w:p>
        </w:tc>
        <w:tc>
          <w:tcPr>
            <w:tcW w:w="757" w:type="pct"/>
            <w:vMerge w:val="continue"/>
            <w:vAlign w:val="center"/>
          </w:tcPr>
          <w:p>
            <w:pPr>
              <w:pStyle w:val="42"/>
              <w:spacing w:line="240" w:lineRule="auto"/>
              <w:ind w:left="0" w:leftChars="0" w:firstLine="0" w:firstLineChars="0"/>
              <w:jc w:val="center"/>
              <w:rPr>
                <w:color w:val="auto"/>
                <w:kern w:val="2"/>
                <w:highlight w:val="none"/>
              </w:rPr>
            </w:pPr>
          </w:p>
        </w:tc>
        <w:tc>
          <w:tcPr>
            <w:tcW w:w="44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NW</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1596</w:t>
            </w:r>
            <w:r>
              <w:rPr>
                <w:rFonts w:hint="eastAsia"/>
                <w:color w:val="auto"/>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114.67398</w:t>
            </w:r>
          </w:p>
        </w:tc>
        <w:tc>
          <w:tcPr>
            <w:tcW w:w="695"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33.07696</w:t>
            </w:r>
          </w:p>
        </w:tc>
        <w:tc>
          <w:tcPr>
            <w:tcW w:w="643" w:type="pct"/>
            <w:vAlign w:val="center"/>
          </w:tcPr>
          <w:p>
            <w:pPr>
              <w:pStyle w:val="42"/>
              <w:spacing w:line="240" w:lineRule="auto"/>
              <w:ind w:left="0" w:leftChars="0" w:firstLine="0" w:firstLineChars="0"/>
              <w:jc w:val="center"/>
              <w:rPr>
                <w:rFonts w:hint="eastAsia"/>
                <w:color w:val="auto"/>
                <w:kern w:val="2"/>
                <w:highlight w:val="none"/>
                <w:lang w:eastAsia="zh-CN"/>
              </w:rPr>
            </w:pPr>
            <w:r>
              <w:rPr>
                <w:rFonts w:hint="eastAsia"/>
                <w:color w:val="auto"/>
                <w:kern w:val="2"/>
                <w:highlight w:val="none"/>
                <w:lang w:eastAsia="zh-CN"/>
              </w:rPr>
              <w:t>西邵庄</w:t>
            </w:r>
          </w:p>
        </w:tc>
        <w:tc>
          <w:tcPr>
            <w:tcW w:w="828" w:type="pct"/>
            <w:vAlign w:val="center"/>
          </w:tcPr>
          <w:p>
            <w:pPr>
              <w:pStyle w:val="42"/>
              <w:spacing w:line="240" w:lineRule="auto"/>
              <w:ind w:left="0" w:leftChars="0" w:firstLine="0" w:firstLineChars="0"/>
              <w:jc w:val="center"/>
              <w:rPr>
                <w:rFonts w:hint="eastAsia"/>
                <w:color w:val="auto"/>
                <w:kern w:val="2"/>
                <w:highlight w:val="none"/>
                <w:lang w:eastAsia="zh-CN"/>
              </w:rPr>
            </w:pPr>
            <w:r>
              <w:rPr>
                <w:rFonts w:hint="eastAsia"/>
                <w:color w:val="auto"/>
                <w:kern w:val="2"/>
                <w:highlight w:val="none"/>
                <w:lang w:eastAsia="zh-CN"/>
              </w:rPr>
              <w:t>居民，</w:t>
            </w:r>
            <w:r>
              <w:rPr>
                <w:rFonts w:hint="eastAsia"/>
                <w:color w:val="auto"/>
                <w:kern w:val="2"/>
                <w:highlight w:val="none"/>
                <w:lang w:val="en-US" w:eastAsia="zh-CN"/>
              </w:rPr>
              <w:t>66户，</w:t>
            </w:r>
            <w:r>
              <w:rPr>
                <w:rFonts w:hint="eastAsia"/>
                <w:color w:val="auto"/>
                <w:kern w:val="2"/>
                <w:highlight w:val="none"/>
              </w:rPr>
              <w:t>约</w:t>
            </w:r>
            <w:r>
              <w:rPr>
                <w:rFonts w:hint="eastAsia"/>
                <w:color w:val="auto"/>
                <w:kern w:val="2"/>
                <w:highlight w:val="none"/>
                <w:lang w:val="en-US" w:eastAsia="zh-CN"/>
              </w:rPr>
              <w:t>336</w:t>
            </w:r>
            <w:r>
              <w:rPr>
                <w:rFonts w:hint="eastAsia"/>
                <w:color w:val="auto"/>
                <w:kern w:val="2"/>
                <w:highlight w:val="none"/>
              </w:rPr>
              <w:t>人</w:t>
            </w:r>
          </w:p>
        </w:tc>
        <w:tc>
          <w:tcPr>
            <w:tcW w:w="757" w:type="pct"/>
            <w:vMerge w:val="continue"/>
            <w:vAlign w:val="center"/>
          </w:tcPr>
          <w:p>
            <w:pPr>
              <w:pStyle w:val="42"/>
              <w:spacing w:line="240" w:lineRule="auto"/>
              <w:ind w:left="0" w:leftChars="0" w:firstLine="0" w:firstLineChars="0"/>
              <w:jc w:val="center"/>
              <w:rPr>
                <w:color w:val="auto"/>
                <w:kern w:val="2"/>
                <w:highlight w:val="none"/>
              </w:rPr>
            </w:pPr>
          </w:p>
        </w:tc>
        <w:tc>
          <w:tcPr>
            <w:tcW w:w="449" w:type="pct"/>
            <w:vAlign w:val="center"/>
          </w:tcPr>
          <w:p>
            <w:pPr>
              <w:pStyle w:val="42"/>
              <w:spacing w:line="240" w:lineRule="auto"/>
              <w:ind w:left="0" w:leftChars="0" w:firstLine="0" w:firstLineChars="0"/>
              <w:jc w:val="center"/>
              <w:rPr>
                <w:rFonts w:hint="default"/>
                <w:color w:val="auto"/>
                <w:kern w:val="2"/>
                <w:highlight w:val="none"/>
                <w:lang w:val="en-US" w:eastAsia="zh-CN"/>
              </w:rPr>
            </w:pPr>
            <w:r>
              <w:rPr>
                <w:rFonts w:hint="eastAsia"/>
                <w:color w:val="auto"/>
                <w:kern w:val="2"/>
                <w:highlight w:val="none"/>
                <w:lang w:val="en-US" w:eastAsia="zh-CN"/>
              </w:rPr>
              <w:t>SE</w:t>
            </w:r>
          </w:p>
        </w:tc>
        <w:tc>
          <w:tcPr>
            <w:tcW w:w="539" w:type="pct"/>
            <w:vAlign w:val="center"/>
          </w:tcPr>
          <w:p>
            <w:pPr>
              <w:pStyle w:val="42"/>
              <w:spacing w:line="240" w:lineRule="auto"/>
              <w:ind w:left="0" w:leftChars="0" w:firstLine="0" w:firstLineChars="0"/>
              <w:jc w:val="center"/>
              <w:rPr>
                <w:rFonts w:hint="eastAsia"/>
                <w:color w:val="auto"/>
                <w:kern w:val="2"/>
                <w:highlight w:val="none"/>
                <w:lang w:val="en-US" w:eastAsia="zh-CN"/>
              </w:rPr>
            </w:pPr>
            <w:r>
              <w:rPr>
                <w:rFonts w:hint="eastAsia"/>
                <w:color w:val="auto"/>
                <w:kern w:val="2"/>
                <w:highlight w:val="none"/>
                <w:lang w:val="en-US" w:eastAsia="zh-CN"/>
              </w:rPr>
              <w:t>1474</w:t>
            </w:r>
            <w:r>
              <w:rPr>
                <w:rFonts w:hint="eastAsia"/>
                <w:color w:val="auto"/>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114.6644</w:t>
            </w:r>
          </w:p>
        </w:tc>
        <w:tc>
          <w:tcPr>
            <w:tcW w:w="695"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33.10219</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杨坡楼</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eastAsia="zh-CN"/>
              </w:rPr>
              <w:t>居民，</w:t>
            </w:r>
            <w:r>
              <w:rPr>
                <w:rFonts w:hint="eastAsia"/>
                <w:color w:val="auto"/>
                <w:kern w:val="2"/>
                <w:highlight w:val="none"/>
                <w:lang w:val="en-US" w:eastAsia="zh-CN"/>
              </w:rPr>
              <w:t>92户，</w:t>
            </w:r>
            <w:r>
              <w:rPr>
                <w:rFonts w:hint="eastAsia"/>
                <w:color w:val="auto"/>
                <w:kern w:val="2"/>
                <w:highlight w:val="none"/>
              </w:rPr>
              <w:t>约</w:t>
            </w:r>
            <w:r>
              <w:rPr>
                <w:rFonts w:hint="eastAsia"/>
                <w:color w:val="auto"/>
                <w:kern w:val="2"/>
                <w:highlight w:val="none"/>
                <w:lang w:val="en-US" w:eastAsia="zh-CN"/>
              </w:rPr>
              <w:t>462</w:t>
            </w:r>
            <w:r>
              <w:rPr>
                <w:rFonts w:hint="eastAsia"/>
                <w:color w:val="auto"/>
                <w:kern w:val="2"/>
                <w:highlight w:val="none"/>
              </w:rPr>
              <w:t>人</w:t>
            </w:r>
          </w:p>
        </w:tc>
        <w:tc>
          <w:tcPr>
            <w:tcW w:w="757" w:type="pct"/>
            <w:vMerge w:val="continue"/>
            <w:vAlign w:val="center"/>
          </w:tcPr>
          <w:p>
            <w:pPr>
              <w:pStyle w:val="42"/>
              <w:spacing w:line="240" w:lineRule="auto"/>
              <w:ind w:left="0" w:leftChars="0" w:firstLine="0" w:firstLineChars="0"/>
              <w:jc w:val="center"/>
              <w:rPr>
                <w:color w:val="auto"/>
                <w:kern w:val="2"/>
                <w:highlight w:val="none"/>
              </w:rPr>
            </w:pPr>
          </w:p>
        </w:tc>
        <w:tc>
          <w:tcPr>
            <w:tcW w:w="44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NE</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1850m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114.67128</w:t>
            </w:r>
          </w:p>
        </w:tc>
        <w:tc>
          <w:tcPr>
            <w:tcW w:w="695"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33.10228</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徐庄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eastAsia="zh-CN"/>
              </w:rPr>
              <w:t>居民，</w:t>
            </w:r>
            <w:r>
              <w:rPr>
                <w:rFonts w:hint="eastAsia"/>
                <w:color w:val="auto"/>
                <w:kern w:val="2"/>
                <w:highlight w:val="none"/>
                <w:lang w:val="en-US" w:eastAsia="zh-CN"/>
              </w:rPr>
              <w:t>95户，</w:t>
            </w:r>
            <w:r>
              <w:rPr>
                <w:rFonts w:hint="eastAsia"/>
                <w:color w:val="auto"/>
                <w:kern w:val="2"/>
                <w:highlight w:val="none"/>
              </w:rPr>
              <w:t>约</w:t>
            </w:r>
            <w:r>
              <w:rPr>
                <w:rFonts w:hint="eastAsia"/>
                <w:color w:val="auto"/>
                <w:kern w:val="2"/>
                <w:highlight w:val="none"/>
                <w:lang w:val="en-US" w:eastAsia="zh-CN"/>
              </w:rPr>
              <w:t>475</w:t>
            </w:r>
            <w:r>
              <w:rPr>
                <w:rFonts w:hint="eastAsia"/>
                <w:color w:val="auto"/>
                <w:kern w:val="2"/>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NE</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2134m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114.67840</w:t>
            </w:r>
          </w:p>
        </w:tc>
        <w:tc>
          <w:tcPr>
            <w:tcW w:w="695"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33.09730</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韩庄</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eastAsia="zh-CN"/>
              </w:rPr>
              <w:t>居民，</w:t>
            </w:r>
            <w:r>
              <w:rPr>
                <w:rFonts w:hint="eastAsia"/>
                <w:color w:val="auto"/>
                <w:kern w:val="2"/>
                <w:highlight w:val="none"/>
                <w:lang w:val="en-US" w:eastAsia="zh-CN"/>
              </w:rPr>
              <w:t>456户，</w:t>
            </w:r>
            <w:r>
              <w:rPr>
                <w:rFonts w:hint="eastAsia"/>
                <w:color w:val="auto"/>
                <w:kern w:val="2"/>
                <w:highlight w:val="none"/>
              </w:rPr>
              <w:t>约</w:t>
            </w:r>
            <w:r>
              <w:rPr>
                <w:rFonts w:hint="eastAsia"/>
                <w:color w:val="auto"/>
                <w:kern w:val="2"/>
                <w:highlight w:val="none"/>
                <w:lang w:val="en-US" w:eastAsia="zh-CN"/>
              </w:rPr>
              <w:t>2280</w:t>
            </w:r>
            <w:r>
              <w:rPr>
                <w:rFonts w:hint="eastAsia"/>
                <w:color w:val="auto"/>
                <w:kern w:val="2"/>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NE</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2155m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114.67802</w:t>
            </w:r>
          </w:p>
        </w:tc>
        <w:tc>
          <w:tcPr>
            <w:tcW w:w="695"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33.07485</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河西村</w:t>
            </w:r>
          </w:p>
        </w:tc>
        <w:tc>
          <w:tcPr>
            <w:tcW w:w="828"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eastAsia="zh-CN"/>
              </w:rPr>
              <w:t>居民，</w:t>
            </w:r>
            <w:r>
              <w:rPr>
                <w:rFonts w:hint="eastAsia"/>
                <w:color w:val="auto"/>
                <w:kern w:val="2"/>
                <w:highlight w:val="none"/>
                <w:lang w:val="en-US" w:eastAsia="zh-CN"/>
              </w:rPr>
              <w:t>142户，</w:t>
            </w:r>
            <w:r>
              <w:rPr>
                <w:rFonts w:hint="eastAsia"/>
                <w:color w:val="auto"/>
                <w:kern w:val="2"/>
                <w:highlight w:val="none"/>
              </w:rPr>
              <w:t>约</w:t>
            </w:r>
            <w:r>
              <w:rPr>
                <w:rFonts w:hint="eastAsia"/>
                <w:color w:val="auto"/>
                <w:kern w:val="2"/>
                <w:highlight w:val="none"/>
                <w:lang w:val="en-US" w:eastAsia="zh-CN"/>
              </w:rPr>
              <w:t>725</w:t>
            </w:r>
            <w:r>
              <w:rPr>
                <w:rFonts w:hint="eastAsia"/>
                <w:color w:val="auto"/>
                <w:kern w:val="2"/>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SE</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1900m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114.67797</w:t>
            </w:r>
          </w:p>
        </w:tc>
        <w:tc>
          <w:tcPr>
            <w:tcW w:w="695"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33.07030</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庙湾镇第一初级中学</w:t>
            </w:r>
          </w:p>
        </w:tc>
        <w:tc>
          <w:tcPr>
            <w:tcW w:w="82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lang w:eastAsia="zh-CN"/>
              </w:rPr>
              <w:t>学校</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SE</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2152m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114.68171</w:t>
            </w:r>
          </w:p>
        </w:tc>
        <w:tc>
          <w:tcPr>
            <w:tcW w:w="695"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33.07884</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庙湾村</w:t>
            </w:r>
          </w:p>
        </w:tc>
        <w:tc>
          <w:tcPr>
            <w:tcW w:w="82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lang w:eastAsia="zh-CN"/>
              </w:rPr>
              <w:t>居民，</w:t>
            </w:r>
            <w:r>
              <w:rPr>
                <w:rFonts w:hint="eastAsia"/>
                <w:color w:val="auto"/>
                <w:highlight w:val="none"/>
                <w:lang w:val="en-US" w:eastAsia="zh-CN"/>
              </w:rPr>
              <w:t>150户，</w:t>
            </w:r>
            <w:r>
              <w:rPr>
                <w:rFonts w:hint="eastAsia"/>
                <w:color w:val="auto"/>
                <w:highlight w:val="none"/>
              </w:rPr>
              <w:t>约</w:t>
            </w:r>
            <w:r>
              <w:rPr>
                <w:rFonts w:hint="eastAsia"/>
                <w:color w:val="auto"/>
                <w:highlight w:val="none"/>
                <w:lang w:val="en-US" w:eastAsia="zh-CN"/>
              </w:rPr>
              <w:t>800</w:t>
            </w:r>
            <w:r>
              <w:rPr>
                <w:rFonts w:hint="eastAsia"/>
                <w:color w:val="auto"/>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SE</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2143m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114.68312</w:t>
            </w:r>
          </w:p>
        </w:tc>
        <w:tc>
          <w:tcPr>
            <w:tcW w:w="695"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33.07515</w:t>
            </w:r>
          </w:p>
        </w:tc>
        <w:tc>
          <w:tcPr>
            <w:tcW w:w="643" w:type="pct"/>
            <w:vAlign w:val="center"/>
          </w:tcPr>
          <w:p>
            <w:pPr>
              <w:pStyle w:val="42"/>
              <w:spacing w:line="240" w:lineRule="auto"/>
              <w:ind w:left="0" w:leftChars="0" w:firstLine="0" w:firstLineChars="0"/>
              <w:jc w:val="center"/>
              <w:rPr>
                <w:rFonts w:hint="eastAsia"/>
                <w:color w:val="auto"/>
                <w:kern w:val="2"/>
                <w:highlight w:val="none"/>
                <w:lang w:eastAsia="zh-CN"/>
              </w:rPr>
            </w:pPr>
            <w:r>
              <w:rPr>
                <w:rFonts w:hint="eastAsia"/>
                <w:color w:val="auto"/>
                <w:kern w:val="2"/>
                <w:highlight w:val="none"/>
                <w:lang w:eastAsia="zh-CN"/>
              </w:rPr>
              <w:t>庙湾镇</w:t>
            </w:r>
          </w:p>
        </w:tc>
        <w:tc>
          <w:tcPr>
            <w:tcW w:w="828" w:type="pct"/>
            <w:vAlign w:val="center"/>
          </w:tcPr>
          <w:p>
            <w:pPr>
              <w:pStyle w:val="42"/>
              <w:spacing w:line="240" w:lineRule="auto"/>
              <w:ind w:left="0" w:leftChars="0" w:firstLine="0" w:firstLineChars="0"/>
              <w:jc w:val="center"/>
              <w:rPr>
                <w:rFonts w:hint="eastAsia"/>
                <w:color w:val="auto"/>
                <w:highlight w:val="none"/>
                <w:lang w:eastAsia="zh-CN"/>
              </w:rPr>
            </w:pPr>
            <w:r>
              <w:rPr>
                <w:rFonts w:hint="eastAsia"/>
                <w:color w:val="auto"/>
                <w:highlight w:val="none"/>
                <w:lang w:eastAsia="zh-CN"/>
              </w:rPr>
              <w:t>居民，</w:t>
            </w:r>
            <w:r>
              <w:rPr>
                <w:rFonts w:hint="eastAsia"/>
                <w:color w:val="auto"/>
                <w:highlight w:val="none"/>
                <w:lang w:val="en-US" w:eastAsia="zh-CN"/>
              </w:rPr>
              <w:t>516户，</w:t>
            </w:r>
            <w:r>
              <w:rPr>
                <w:rFonts w:hint="eastAsia"/>
                <w:color w:val="auto"/>
                <w:highlight w:val="none"/>
              </w:rPr>
              <w:t>约</w:t>
            </w:r>
            <w:r>
              <w:rPr>
                <w:rFonts w:hint="eastAsia"/>
                <w:color w:val="auto"/>
                <w:highlight w:val="none"/>
                <w:lang w:val="en-US" w:eastAsia="zh-CN"/>
              </w:rPr>
              <w:t>2590</w:t>
            </w:r>
            <w:r>
              <w:rPr>
                <w:rFonts w:hint="eastAsia"/>
                <w:color w:val="auto"/>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eastAsia="宋体"/>
                <w:color w:val="auto"/>
                <w:kern w:val="2"/>
                <w:highlight w:val="none"/>
                <w:lang w:val="en-US" w:eastAsia="zh-CN"/>
              </w:rPr>
            </w:pPr>
            <w:r>
              <w:rPr>
                <w:rFonts w:hint="eastAsia"/>
                <w:color w:val="auto"/>
                <w:kern w:val="2"/>
                <w:highlight w:val="none"/>
                <w:lang w:val="en-US" w:eastAsia="zh-CN"/>
              </w:rPr>
              <w:t>SE</w:t>
            </w:r>
          </w:p>
        </w:tc>
        <w:tc>
          <w:tcPr>
            <w:tcW w:w="539" w:type="pct"/>
            <w:vAlign w:val="center"/>
          </w:tcPr>
          <w:p>
            <w:pPr>
              <w:pStyle w:val="42"/>
              <w:spacing w:line="240" w:lineRule="auto"/>
              <w:ind w:left="0" w:leftChars="0" w:firstLine="0" w:firstLineChars="0"/>
              <w:jc w:val="center"/>
              <w:rPr>
                <w:rFonts w:hint="eastAsia"/>
                <w:color w:val="auto"/>
                <w:kern w:val="2"/>
                <w:highlight w:val="none"/>
                <w:lang w:val="en-US" w:eastAsia="zh-CN"/>
              </w:rPr>
            </w:pPr>
            <w:r>
              <w:rPr>
                <w:rFonts w:hint="eastAsia"/>
                <w:color w:val="auto"/>
                <w:kern w:val="2"/>
                <w:highlight w:val="none"/>
                <w:lang w:val="en-US" w:eastAsia="zh-CN"/>
              </w:rPr>
              <w:t>2346</w:t>
            </w:r>
            <w:r>
              <w:rPr>
                <w:rFonts w:hint="eastAsia"/>
                <w:color w:val="auto"/>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114.65986</w:t>
            </w:r>
          </w:p>
        </w:tc>
        <w:tc>
          <w:tcPr>
            <w:tcW w:w="695"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33.06219</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王楼村</w:t>
            </w:r>
          </w:p>
        </w:tc>
        <w:tc>
          <w:tcPr>
            <w:tcW w:w="82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lang w:eastAsia="zh-CN"/>
              </w:rPr>
              <w:t>居民，</w:t>
            </w:r>
            <w:r>
              <w:rPr>
                <w:rFonts w:hint="eastAsia"/>
                <w:color w:val="auto"/>
                <w:highlight w:val="none"/>
                <w:lang w:val="en-US" w:eastAsia="zh-CN"/>
              </w:rPr>
              <w:t>300户，</w:t>
            </w:r>
            <w:r>
              <w:rPr>
                <w:rFonts w:hint="eastAsia"/>
                <w:color w:val="auto"/>
                <w:highlight w:val="none"/>
              </w:rPr>
              <w:t>约</w:t>
            </w:r>
            <w:r>
              <w:rPr>
                <w:rFonts w:hint="eastAsia"/>
                <w:color w:val="auto"/>
                <w:highlight w:val="none"/>
                <w:lang w:val="en-US" w:eastAsia="zh-CN"/>
              </w:rPr>
              <w:t>1500</w:t>
            </w:r>
            <w:r>
              <w:rPr>
                <w:rFonts w:hint="eastAsia"/>
                <w:color w:val="auto"/>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SW</w:t>
            </w:r>
          </w:p>
        </w:tc>
        <w:tc>
          <w:tcPr>
            <w:tcW w:w="53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1960</w:t>
            </w:r>
            <w:r>
              <w:rPr>
                <w:rFonts w:hint="eastAsia"/>
                <w:color w:val="auto"/>
                <w:kern w:val="2"/>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114.64540</w:t>
            </w:r>
          </w:p>
        </w:tc>
        <w:tc>
          <w:tcPr>
            <w:tcW w:w="695"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33.07893</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西田万庄</w:t>
            </w:r>
          </w:p>
        </w:tc>
        <w:tc>
          <w:tcPr>
            <w:tcW w:w="828" w:type="pct"/>
            <w:vAlign w:val="center"/>
          </w:tcPr>
          <w:p>
            <w:pPr>
              <w:pStyle w:val="42"/>
              <w:spacing w:line="240" w:lineRule="auto"/>
              <w:ind w:left="0" w:leftChars="0" w:firstLine="0" w:firstLineChars="0"/>
              <w:jc w:val="center"/>
              <w:rPr>
                <w:rFonts w:hint="eastAsia"/>
                <w:color w:val="auto"/>
                <w:highlight w:val="none"/>
                <w:lang w:eastAsia="zh-CN"/>
              </w:rPr>
            </w:pPr>
            <w:r>
              <w:rPr>
                <w:rFonts w:hint="eastAsia"/>
                <w:color w:val="auto"/>
                <w:highlight w:val="none"/>
                <w:lang w:eastAsia="zh-CN"/>
              </w:rPr>
              <w:t>居民，</w:t>
            </w:r>
            <w:r>
              <w:rPr>
                <w:rFonts w:hint="eastAsia"/>
                <w:color w:val="auto"/>
                <w:highlight w:val="none"/>
                <w:lang w:val="en-US" w:eastAsia="zh-CN"/>
              </w:rPr>
              <w:t>66户，</w:t>
            </w:r>
            <w:r>
              <w:rPr>
                <w:rFonts w:hint="eastAsia"/>
                <w:color w:val="auto"/>
                <w:highlight w:val="none"/>
              </w:rPr>
              <w:t>约</w:t>
            </w:r>
            <w:r>
              <w:rPr>
                <w:rFonts w:hint="eastAsia"/>
                <w:color w:val="auto"/>
                <w:highlight w:val="none"/>
                <w:lang w:val="en-US" w:eastAsia="zh-CN"/>
              </w:rPr>
              <w:t>332</w:t>
            </w:r>
            <w:r>
              <w:rPr>
                <w:rFonts w:hint="eastAsia"/>
                <w:color w:val="auto"/>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color w:val="auto"/>
                <w:kern w:val="2"/>
                <w:highlight w:val="none"/>
                <w:lang w:val="en-US" w:eastAsia="zh-CN"/>
              </w:rPr>
            </w:pPr>
            <w:r>
              <w:rPr>
                <w:rFonts w:hint="eastAsia"/>
                <w:color w:val="auto"/>
                <w:kern w:val="2"/>
                <w:highlight w:val="none"/>
                <w:lang w:val="en-US" w:eastAsia="zh-CN"/>
              </w:rPr>
              <w:t>SW</w:t>
            </w:r>
          </w:p>
        </w:tc>
        <w:tc>
          <w:tcPr>
            <w:tcW w:w="539" w:type="pct"/>
            <w:vAlign w:val="center"/>
          </w:tcPr>
          <w:p>
            <w:pPr>
              <w:pStyle w:val="42"/>
              <w:spacing w:line="240" w:lineRule="auto"/>
              <w:ind w:left="0" w:leftChars="0" w:firstLine="0" w:firstLineChars="0"/>
              <w:jc w:val="center"/>
              <w:rPr>
                <w:rFonts w:hint="default"/>
                <w:color w:val="auto"/>
                <w:kern w:val="2"/>
                <w:highlight w:val="none"/>
                <w:lang w:val="en-US" w:eastAsia="zh-CN"/>
              </w:rPr>
            </w:pPr>
            <w:r>
              <w:rPr>
                <w:rFonts w:hint="eastAsia"/>
                <w:color w:val="auto"/>
                <w:kern w:val="2"/>
                <w:highlight w:val="none"/>
                <w:lang w:val="en-US" w:eastAsia="zh-CN"/>
              </w:rPr>
              <w:t>990m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114.63815</w:t>
            </w:r>
          </w:p>
        </w:tc>
        <w:tc>
          <w:tcPr>
            <w:tcW w:w="695"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33.07820</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大宋村</w:t>
            </w:r>
          </w:p>
        </w:tc>
        <w:tc>
          <w:tcPr>
            <w:tcW w:w="828" w:type="pct"/>
            <w:vAlign w:val="center"/>
          </w:tcPr>
          <w:p>
            <w:pPr>
              <w:pStyle w:val="42"/>
              <w:spacing w:line="240" w:lineRule="auto"/>
              <w:ind w:left="0" w:leftChars="0" w:firstLine="0" w:firstLineChars="0"/>
              <w:jc w:val="center"/>
              <w:rPr>
                <w:rFonts w:hint="eastAsia"/>
                <w:color w:val="auto"/>
                <w:highlight w:val="none"/>
                <w:lang w:eastAsia="zh-CN"/>
              </w:rPr>
            </w:pPr>
            <w:r>
              <w:rPr>
                <w:rFonts w:hint="eastAsia"/>
                <w:color w:val="auto"/>
                <w:highlight w:val="none"/>
                <w:lang w:eastAsia="zh-CN"/>
              </w:rPr>
              <w:t>居民，</w:t>
            </w:r>
            <w:r>
              <w:rPr>
                <w:rFonts w:hint="eastAsia"/>
                <w:color w:val="auto"/>
                <w:highlight w:val="none"/>
                <w:lang w:val="en-US" w:eastAsia="zh-CN"/>
              </w:rPr>
              <w:t>60户，</w:t>
            </w:r>
            <w:r>
              <w:rPr>
                <w:rFonts w:hint="eastAsia"/>
                <w:color w:val="auto"/>
                <w:highlight w:val="none"/>
              </w:rPr>
              <w:t>约</w:t>
            </w:r>
            <w:r>
              <w:rPr>
                <w:rFonts w:hint="eastAsia"/>
                <w:color w:val="auto"/>
                <w:highlight w:val="none"/>
                <w:lang w:val="en-US" w:eastAsia="zh-CN"/>
              </w:rPr>
              <w:t>360</w:t>
            </w:r>
            <w:r>
              <w:rPr>
                <w:rFonts w:hint="eastAsia"/>
                <w:color w:val="auto"/>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color w:val="auto"/>
                <w:kern w:val="2"/>
                <w:highlight w:val="none"/>
                <w:lang w:val="en-US" w:eastAsia="zh-CN"/>
              </w:rPr>
            </w:pPr>
            <w:r>
              <w:rPr>
                <w:rFonts w:hint="eastAsia"/>
                <w:color w:val="auto"/>
                <w:kern w:val="2"/>
                <w:highlight w:val="none"/>
                <w:lang w:val="en-US" w:eastAsia="zh-CN"/>
              </w:rPr>
              <w:t>SW</w:t>
            </w:r>
          </w:p>
        </w:tc>
        <w:tc>
          <w:tcPr>
            <w:tcW w:w="539" w:type="pct"/>
            <w:vAlign w:val="center"/>
          </w:tcPr>
          <w:p>
            <w:pPr>
              <w:pStyle w:val="42"/>
              <w:spacing w:line="240" w:lineRule="auto"/>
              <w:ind w:left="0" w:leftChars="0" w:firstLine="0" w:firstLineChars="0"/>
              <w:jc w:val="center"/>
              <w:rPr>
                <w:rFonts w:hint="default"/>
                <w:color w:val="auto"/>
                <w:kern w:val="2"/>
                <w:highlight w:val="none"/>
                <w:lang w:val="en-US" w:eastAsia="zh-CN"/>
              </w:rPr>
            </w:pPr>
            <w:r>
              <w:rPr>
                <w:rFonts w:hint="eastAsia"/>
                <w:color w:val="auto"/>
                <w:kern w:val="2"/>
                <w:highlight w:val="none"/>
                <w:lang w:val="en-US" w:eastAsia="zh-CN"/>
              </w:rPr>
              <w:t>1656m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114.63398</w:t>
            </w:r>
          </w:p>
        </w:tc>
        <w:tc>
          <w:tcPr>
            <w:tcW w:w="695"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33.09520</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大孙村</w:t>
            </w:r>
          </w:p>
        </w:tc>
        <w:tc>
          <w:tcPr>
            <w:tcW w:w="828" w:type="pct"/>
            <w:vAlign w:val="center"/>
          </w:tcPr>
          <w:p>
            <w:pPr>
              <w:pStyle w:val="42"/>
              <w:spacing w:line="240" w:lineRule="auto"/>
              <w:ind w:left="0" w:leftChars="0" w:firstLine="0" w:firstLineChars="0"/>
              <w:jc w:val="center"/>
              <w:rPr>
                <w:rFonts w:hint="eastAsia"/>
                <w:color w:val="auto"/>
                <w:highlight w:val="none"/>
                <w:lang w:eastAsia="zh-CN"/>
              </w:rPr>
            </w:pPr>
            <w:r>
              <w:rPr>
                <w:rFonts w:hint="eastAsia"/>
                <w:color w:val="auto"/>
                <w:highlight w:val="none"/>
                <w:lang w:eastAsia="zh-CN"/>
              </w:rPr>
              <w:t>居民，</w:t>
            </w:r>
            <w:r>
              <w:rPr>
                <w:rFonts w:hint="eastAsia"/>
                <w:color w:val="auto"/>
                <w:highlight w:val="none"/>
                <w:lang w:val="en-US" w:eastAsia="zh-CN"/>
              </w:rPr>
              <w:t>70户，</w:t>
            </w:r>
            <w:r>
              <w:rPr>
                <w:rFonts w:hint="eastAsia"/>
                <w:color w:val="auto"/>
                <w:highlight w:val="none"/>
              </w:rPr>
              <w:t>约</w:t>
            </w:r>
            <w:r>
              <w:rPr>
                <w:rFonts w:hint="eastAsia"/>
                <w:color w:val="auto"/>
                <w:highlight w:val="none"/>
                <w:lang w:val="en-US" w:eastAsia="zh-CN"/>
              </w:rPr>
              <w:t>450</w:t>
            </w:r>
            <w:r>
              <w:rPr>
                <w:rFonts w:hint="eastAsia"/>
                <w:color w:val="auto"/>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color w:val="auto"/>
                <w:kern w:val="2"/>
                <w:highlight w:val="none"/>
                <w:lang w:val="en-US" w:eastAsia="zh-CN"/>
              </w:rPr>
            </w:pPr>
            <w:r>
              <w:rPr>
                <w:rFonts w:hint="eastAsia"/>
                <w:color w:val="auto"/>
                <w:kern w:val="2"/>
                <w:highlight w:val="none"/>
                <w:lang w:val="en-US" w:eastAsia="zh-CN"/>
              </w:rPr>
              <w:t>NW</w:t>
            </w:r>
          </w:p>
        </w:tc>
        <w:tc>
          <w:tcPr>
            <w:tcW w:w="539" w:type="pct"/>
            <w:vAlign w:val="center"/>
          </w:tcPr>
          <w:p>
            <w:pPr>
              <w:pStyle w:val="42"/>
              <w:spacing w:line="240" w:lineRule="auto"/>
              <w:ind w:left="0" w:leftChars="0" w:firstLine="0" w:firstLineChars="0"/>
              <w:jc w:val="center"/>
              <w:rPr>
                <w:rFonts w:hint="eastAsia"/>
                <w:color w:val="auto"/>
                <w:kern w:val="2"/>
                <w:highlight w:val="none"/>
                <w:lang w:val="en-US" w:eastAsia="zh-CN"/>
              </w:rPr>
            </w:pPr>
            <w:r>
              <w:rPr>
                <w:rFonts w:hint="eastAsia"/>
                <w:color w:val="auto"/>
                <w:kern w:val="2"/>
                <w:highlight w:val="none"/>
                <w:lang w:val="en-US" w:eastAsia="zh-CN"/>
              </w:rPr>
              <w:t>2135m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114.63866</w:t>
            </w:r>
          </w:p>
        </w:tc>
        <w:tc>
          <w:tcPr>
            <w:tcW w:w="695"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33.09438</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孙彭庄</w:t>
            </w:r>
          </w:p>
        </w:tc>
        <w:tc>
          <w:tcPr>
            <w:tcW w:w="828" w:type="pct"/>
            <w:vAlign w:val="center"/>
          </w:tcPr>
          <w:p>
            <w:pPr>
              <w:pStyle w:val="42"/>
              <w:spacing w:line="240" w:lineRule="auto"/>
              <w:ind w:left="0" w:leftChars="0" w:firstLine="0" w:firstLineChars="0"/>
              <w:jc w:val="center"/>
              <w:rPr>
                <w:rFonts w:hint="eastAsia"/>
                <w:color w:val="auto"/>
                <w:highlight w:val="none"/>
                <w:lang w:eastAsia="zh-CN"/>
              </w:rPr>
            </w:pPr>
            <w:r>
              <w:rPr>
                <w:rFonts w:hint="eastAsia"/>
                <w:color w:val="auto"/>
                <w:highlight w:val="none"/>
                <w:lang w:eastAsia="zh-CN"/>
              </w:rPr>
              <w:t>居民，</w:t>
            </w:r>
            <w:r>
              <w:rPr>
                <w:rFonts w:hint="eastAsia"/>
                <w:color w:val="auto"/>
                <w:highlight w:val="none"/>
                <w:lang w:val="en-US" w:eastAsia="zh-CN"/>
              </w:rPr>
              <w:t>82户，</w:t>
            </w:r>
            <w:r>
              <w:rPr>
                <w:rFonts w:hint="eastAsia"/>
                <w:color w:val="auto"/>
                <w:highlight w:val="none"/>
              </w:rPr>
              <w:t>约</w:t>
            </w:r>
            <w:r>
              <w:rPr>
                <w:rFonts w:hint="eastAsia"/>
                <w:color w:val="auto"/>
                <w:highlight w:val="none"/>
                <w:lang w:val="en-US" w:eastAsia="zh-CN"/>
              </w:rPr>
              <w:t>416</w:t>
            </w:r>
            <w:r>
              <w:rPr>
                <w:rFonts w:hint="eastAsia"/>
                <w:color w:val="auto"/>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color w:val="auto"/>
                <w:kern w:val="2"/>
                <w:highlight w:val="none"/>
                <w:lang w:val="en-US" w:eastAsia="zh-CN"/>
              </w:rPr>
            </w:pPr>
            <w:r>
              <w:rPr>
                <w:rFonts w:hint="eastAsia"/>
                <w:color w:val="auto"/>
                <w:kern w:val="2"/>
                <w:highlight w:val="none"/>
                <w:lang w:val="en-US" w:eastAsia="zh-CN"/>
              </w:rPr>
              <w:t>NW</w:t>
            </w:r>
          </w:p>
        </w:tc>
        <w:tc>
          <w:tcPr>
            <w:tcW w:w="539" w:type="pct"/>
            <w:vAlign w:val="center"/>
          </w:tcPr>
          <w:p>
            <w:pPr>
              <w:pStyle w:val="42"/>
              <w:spacing w:line="240" w:lineRule="auto"/>
              <w:ind w:left="0" w:leftChars="0" w:firstLine="0" w:firstLineChars="0"/>
              <w:jc w:val="center"/>
              <w:rPr>
                <w:rFonts w:hint="eastAsia"/>
                <w:color w:val="auto"/>
                <w:kern w:val="2"/>
                <w:highlight w:val="none"/>
                <w:lang w:val="en-US" w:eastAsia="zh-CN"/>
              </w:rPr>
            </w:pPr>
            <w:r>
              <w:rPr>
                <w:rFonts w:hint="eastAsia"/>
                <w:color w:val="auto"/>
                <w:kern w:val="2"/>
                <w:highlight w:val="none"/>
                <w:lang w:val="en-US" w:eastAsia="zh-CN"/>
              </w:rPr>
              <w:t>1696m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114.63268</w:t>
            </w:r>
          </w:p>
        </w:tc>
        <w:tc>
          <w:tcPr>
            <w:tcW w:w="695"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33.07951</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小彭庄</w:t>
            </w:r>
          </w:p>
        </w:tc>
        <w:tc>
          <w:tcPr>
            <w:tcW w:w="828" w:type="pct"/>
            <w:vAlign w:val="center"/>
          </w:tcPr>
          <w:p>
            <w:pPr>
              <w:pStyle w:val="42"/>
              <w:spacing w:line="240" w:lineRule="auto"/>
              <w:ind w:left="0" w:leftChars="0" w:firstLine="0" w:firstLineChars="0"/>
              <w:jc w:val="center"/>
              <w:rPr>
                <w:rFonts w:hint="eastAsia"/>
                <w:color w:val="auto"/>
                <w:highlight w:val="none"/>
                <w:lang w:eastAsia="zh-CN"/>
              </w:rPr>
            </w:pPr>
            <w:r>
              <w:rPr>
                <w:rFonts w:hint="eastAsia"/>
                <w:color w:val="auto"/>
                <w:highlight w:val="none"/>
                <w:lang w:eastAsia="zh-CN"/>
              </w:rPr>
              <w:t>居民，</w:t>
            </w:r>
            <w:r>
              <w:rPr>
                <w:rFonts w:hint="eastAsia"/>
                <w:color w:val="auto"/>
                <w:highlight w:val="none"/>
                <w:lang w:val="en-US" w:eastAsia="zh-CN"/>
              </w:rPr>
              <w:t>30户，</w:t>
            </w:r>
            <w:r>
              <w:rPr>
                <w:rFonts w:hint="eastAsia"/>
                <w:color w:val="auto"/>
                <w:highlight w:val="none"/>
              </w:rPr>
              <w:t>约</w:t>
            </w:r>
            <w:r>
              <w:rPr>
                <w:rFonts w:hint="eastAsia"/>
                <w:color w:val="auto"/>
                <w:highlight w:val="none"/>
                <w:lang w:val="en-US" w:eastAsia="zh-CN"/>
              </w:rPr>
              <w:t>150</w:t>
            </w:r>
            <w:r>
              <w:rPr>
                <w:rFonts w:hint="eastAsia"/>
                <w:color w:val="auto"/>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color w:val="auto"/>
                <w:kern w:val="2"/>
                <w:highlight w:val="none"/>
                <w:lang w:val="en-US" w:eastAsia="zh-CN"/>
              </w:rPr>
            </w:pPr>
            <w:r>
              <w:rPr>
                <w:rFonts w:hint="eastAsia"/>
                <w:color w:val="auto"/>
                <w:kern w:val="2"/>
                <w:highlight w:val="none"/>
                <w:lang w:val="en-US" w:eastAsia="zh-CN"/>
              </w:rPr>
              <w:t>SW</w:t>
            </w:r>
          </w:p>
        </w:tc>
        <w:tc>
          <w:tcPr>
            <w:tcW w:w="539" w:type="pct"/>
            <w:vAlign w:val="center"/>
          </w:tcPr>
          <w:p>
            <w:pPr>
              <w:pStyle w:val="42"/>
              <w:spacing w:line="240" w:lineRule="auto"/>
              <w:ind w:left="0" w:leftChars="0" w:firstLine="0" w:firstLineChars="0"/>
              <w:jc w:val="center"/>
              <w:rPr>
                <w:rFonts w:hint="eastAsia"/>
                <w:color w:val="auto"/>
                <w:kern w:val="2"/>
                <w:highlight w:val="none"/>
                <w:lang w:val="en-US" w:eastAsia="zh-CN"/>
              </w:rPr>
            </w:pPr>
            <w:r>
              <w:rPr>
                <w:rFonts w:hint="eastAsia"/>
                <w:color w:val="auto"/>
                <w:kern w:val="2"/>
                <w:highlight w:val="none"/>
                <w:lang w:val="en-US" w:eastAsia="zh-CN"/>
              </w:rPr>
              <w:t>2141m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114.64185</w:t>
            </w:r>
          </w:p>
        </w:tc>
        <w:tc>
          <w:tcPr>
            <w:tcW w:w="695"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33.06615</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小尹庄</w:t>
            </w:r>
          </w:p>
        </w:tc>
        <w:tc>
          <w:tcPr>
            <w:tcW w:w="828" w:type="pct"/>
            <w:vAlign w:val="center"/>
          </w:tcPr>
          <w:p>
            <w:pPr>
              <w:pStyle w:val="42"/>
              <w:spacing w:line="240" w:lineRule="auto"/>
              <w:ind w:left="0" w:leftChars="0" w:firstLine="0" w:firstLineChars="0"/>
              <w:jc w:val="center"/>
              <w:rPr>
                <w:rFonts w:hint="eastAsia"/>
                <w:color w:val="auto"/>
                <w:highlight w:val="none"/>
                <w:lang w:eastAsia="zh-CN"/>
              </w:rPr>
            </w:pPr>
            <w:r>
              <w:rPr>
                <w:rFonts w:hint="eastAsia"/>
                <w:color w:val="auto"/>
                <w:highlight w:val="none"/>
                <w:lang w:eastAsia="zh-CN"/>
              </w:rPr>
              <w:t>居民，</w:t>
            </w:r>
            <w:r>
              <w:rPr>
                <w:rFonts w:hint="eastAsia"/>
                <w:color w:val="auto"/>
                <w:highlight w:val="none"/>
                <w:lang w:val="en-US" w:eastAsia="zh-CN"/>
              </w:rPr>
              <w:t>217户，</w:t>
            </w:r>
            <w:r>
              <w:rPr>
                <w:rFonts w:hint="eastAsia"/>
                <w:color w:val="auto"/>
                <w:highlight w:val="none"/>
              </w:rPr>
              <w:t>约</w:t>
            </w:r>
            <w:r>
              <w:rPr>
                <w:rFonts w:hint="eastAsia"/>
                <w:color w:val="auto"/>
                <w:highlight w:val="none"/>
                <w:lang w:val="en-US" w:eastAsia="zh-CN"/>
              </w:rPr>
              <w:t>1076</w:t>
            </w:r>
            <w:r>
              <w:rPr>
                <w:rFonts w:hint="eastAsia"/>
                <w:color w:val="auto"/>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color w:val="auto"/>
                <w:kern w:val="2"/>
                <w:highlight w:val="none"/>
                <w:lang w:val="en-US" w:eastAsia="zh-CN"/>
              </w:rPr>
            </w:pPr>
            <w:r>
              <w:rPr>
                <w:rFonts w:hint="eastAsia"/>
                <w:color w:val="auto"/>
                <w:kern w:val="2"/>
                <w:highlight w:val="none"/>
                <w:lang w:val="en-US" w:eastAsia="zh-CN"/>
              </w:rPr>
              <w:t>SW</w:t>
            </w:r>
          </w:p>
        </w:tc>
        <w:tc>
          <w:tcPr>
            <w:tcW w:w="539" w:type="pct"/>
            <w:vAlign w:val="center"/>
          </w:tcPr>
          <w:p>
            <w:pPr>
              <w:pStyle w:val="42"/>
              <w:spacing w:line="240" w:lineRule="auto"/>
              <w:ind w:left="0" w:leftChars="0" w:firstLine="0" w:firstLineChars="0"/>
              <w:jc w:val="center"/>
              <w:rPr>
                <w:rFonts w:hint="eastAsia"/>
                <w:color w:val="auto"/>
                <w:kern w:val="2"/>
                <w:highlight w:val="none"/>
                <w:lang w:val="en-US" w:eastAsia="zh-CN"/>
              </w:rPr>
            </w:pPr>
            <w:r>
              <w:rPr>
                <w:rFonts w:hint="eastAsia"/>
                <w:color w:val="auto"/>
                <w:kern w:val="2"/>
                <w:highlight w:val="none"/>
                <w:lang w:val="en-US" w:eastAsia="zh-CN"/>
              </w:rPr>
              <w:t>2115m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114.64820</w:t>
            </w:r>
          </w:p>
        </w:tc>
        <w:tc>
          <w:tcPr>
            <w:tcW w:w="695"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33.06495</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王楼村</w:t>
            </w:r>
          </w:p>
        </w:tc>
        <w:tc>
          <w:tcPr>
            <w:tcW w:w="828" w:type="pct"/>
            <w:vAlign w:val="center"/>
          </w:tcPr>
          <w:p>
            <w:pPr>
              <w:pStyle w:val="42"/>
              <w:spacing w:line="240" w:lineRule="auto"/>
              <w:ind w:left="0" w:leftChars="0" w:firstLine="0" w:firstLineChars="0"/>
              <w:jc w:val="center"/>
              <w:rPr>
                <w:rFonts w:hint="eastAsia"/>
                <w:color w:val="auto"/>
                <w:highlight w:val="none"/>
                <w:lang w:eastAsia="zh-CN"/>
              </w:rPr>
            </w:pPr>
            <w:r>
              <w:rPr>
                <w:rFonts w:hint="eastAsia"/>
                <w:color w:val="auto"/>
                <w:highlight w:val="none"/>
                <w:lang w:eastAsia="zh-CN"/>
              </w:rPr>
              <w:t>居民，</w:t>
            </w:r>
            <w:r>
              <w:rPr>
                <w:rFonts w:hint="eastAsia"/>
                <w:color w:val="auto"/>
                <w:highlight w:val="none"/>
                <w:lang w:val="en-US" w:eastAsia="zh-CN"/>
              </w:rPr>
              <w:t>156户，</w:t>
            </w:r>
            <w:r>
              <w:rPr>
                <w:rFonts w:hint="eastAsia"/>
                <w:color w:val="auto"/>
                <w:highlight w:val="none"/>
              </w:rPr>
              <w:t>约</w:t>
            </w:r>
            <w:r>
              <w:rPr>
                <w:rFonts w:hint="eastAsia"/>
                <w:color w:val="auto"/>
                <w:highlight w:val="none"/>
                <w:lang w:val="en-US" w:eastAsia="zh-CN"/>
              </w:rPr>
              <w:t>782</w:t>
            </w:r>
            <w:r>
              <w:rPr>
                <w:rFonts w:hint="eastAsia"/>
                <w:color w:val="auto"/>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color w:val="auto"/>
                <w:kern w:val="2"/>
                <w:highlight w:val="none"/>
                <w:lang w:val="en-US" w:eastAsia="zh-CN"/>
              </w:rPr>
            </w:pPr>
            <w:r>
              <w:rPr>
                <w:rFonts w:hint="eastAsia"/>
                <w:color w:val="auto"/>
                <w:kern w:val="2"/>
                <w:highlight w:val="none"/>
                <w:lang w:val="en-US" w:eastAsia="zh-CN"/>
              </w:rPr>
              <w:t>SW</w:t>
            </w:r>
          </w:p>
        </w:tc>
        <w:tc>
          <w:tcPr>
            <w:tcW w:w="539" w:type="pct"/>
            <w:vAlign w:val="center"/>
          </w:tcPr>
          <w:p>
            <w:pPr>
              <w:pStyle w:val="42"/>
              <w:spacing w:line="240" w:lineRule="auto"/>
              <w:ind w:left="0" w:leftChars="0" w:firstLine="0" w:firstLineChars="0"/>
              <w:jc w:val="center"/>
              <w:rPr>
                <w:rFonts w:hint="eastAsia"/>
                <w:color w:val="auto"/>
                <w:kern w:val="2"/>
                <w:highlight w:val="none"/>
                <w:lang w:val="en-US" w:eastAsia="zh-CN"/>
              </w:rPr>
            </w:pPr>
            <w:r>
              <w:rPr>
                <w:rFonts w:hint="eastAsia"/>
                <w:color w:val="auto"/>
                <w:kern w:val="2"/>
                <w:highlight w:val="none"/>
                <w:lang w:val="en-US" w:eastAsia="zh-CN"/>
              </w:rPr>
              <w:t>1930m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459"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114.65524</w:t>
            </w:r>
          </w:p>
        </w:tc>
        <w:tc>
          <w:tcPr>
            <w:tcW w:w="695"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33.06512</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小霍庄</w:t>
            </w:r>
          </w:p>
        </w:tc>
        <w:tc>
          <w:tcPr>
            <w:tcW w:w="828" w:type="pct"/>
            <w:vAlign w:val="center"/>
          </w:tcPr>
          <w:p>
            <w:pPr>
              <w:pStyle w:val="42"/>
              <w:spacing w:line="240" w:lineRule="auto"/>
              <w:ind w:left="0" w:leftChars="0" w:firstLine="0" w:firstLineChars="0"/>
              <w:jc w:val="center"/>
              <w:rPr>
                <w:rFonts w:hint="eastAsia"/>
                <w:color w:val="auto"/>
                <w:highlight w:val="none"/>
                <w:lang w:eastAsia="zh-CN"/>
              </w:rPr>
            </w:pPr>
            <w:r>
              <w:rPr>
                <w:rFonts w:hint="eastAsia"/>
                <w:color w:val="auto"/>
                <w:highlight w:val="none"/>
                <w:lang w:eastAsia="zh-CN"/>
              </w:rPr>
              <w:t>居民，</w:t>
            </w:r>
            <w:r>
              <w:rPr>
                <w:rFonts w:hint="eastAsia"/>
                <w:color w:val="auto"/>
                <w:highlight w:val="none"/>
                <w:lang w:val="en-US" w:eastAsia="zh-CN"/>
              </w:rPr>
              <w:t>84户，</w:t>
            </w:r>
            <w:r>
              <w:rPr>
                <w:rFonts w:hint="eastAsia"/>
                <w:color w:val="auto"/>
                <w:highlight w:val="none"/>
              </w:rPr>
              <w:t>约</w:t>
            </w:r>
            <w:r>
              <w:rPr>
                <w:rFonts w:hint="eastAsia"/>
                <w:color w:val="auto"/>
                <w:highlight w:val="none"/>
                <w:lang w:val="en-US" w:eastAsia="zh-CN"/>
              </w:rPr>
              <w:t>426</w:t>
            </w:r>
            <w:r>
              <w:rPr>
                <w:rFonts w:hint="eastAsia"/>
                <w:color w:val="auto"/>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color w:val="auto"/>
                <w:kern w:val="2"/>
                <w:highlight w:val="none"/>
                <w:lang w:val="en-US" w:eastAsia="zh-CN"/>
              </w:rPr>
            </w:pPr>
            <w:r>
              <w:rPr>
                <w:rFonts w:hint="eastAsia"/>
                <w:color w:val="auto"/>
                <w:kern w:val="2"/>
                <w:highlight w:val="none"/>
                <w:lang w:val="en-US" w:eastAsia="zh-CN"/>
              </w:rPr>
              <w:t>S</w:t>
            </w:r>
          </w:p>
        </w:tc>
        <w:tc>
          <w:tcPr>
            <w:tcW w:w="539" w:type="pct"/>
            <w:vAlign w:val="center"/>
          </w:tcPr>
          <w:p>
            <w:pPr>
              <w:pStyle w:val="42"/>
              <w:spacing w:line="240" w:lineRule="auto"/>
              <w:ind w:left="0" w:leftChars="0" w:firstLine="0" w:firstLineChars="0"/>
              <w:jc w:val="center"/>
              <w:rPr>
                <w:rFonts w:hint="eastAsia"/>
                <w:color w:val="auto"/>
                <w:kern w:val="2"/>
                <w:highlight w:val="none"/>
                <w:lang w:val="en-US" w:eastAsia="zh-CN"/>
              </w:rPr>
            </w:pPr>
            <w:r>
              <w:rPr>
                <w:rFonts w:hint="eastAsia"/>
                <w:color w:val="auto"/>
                <w:kern w:val="2"/>
                <w:highlight w:val="none"/>
                <w:lang w:val="en-US" w:eastAsia="zh-CN"/>
              </w:rPr>
              <w:t>1816m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114.66262</w:t>
            </w:r>
          </w:p>
        </w:tc>
        <w:tc>
          <w:tcPr>
            <w:tcW w:w="695"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33.06471</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叶庄</w:t>
            </w:r>
          </w:p>
        </w:tc>
        <w:tc>
          <w:tcPr>
            <w:tcW w:w="828" w:type="pct"/>
            <w:vAlign w:val="center"/>
          </w:tcPr>
          <w:p>
            <w:pPr>
              <w:pStyle w:val="42"/>
              <w:spacing w:line="240" w:lineRule="auto"/>
              <w:ind w:left="0" w:leftChars="0" w:firstLine="0" w:firstLineChars="0"/>
              <w:jc w:val="center"/>
              <w:rPr>
                <w:rFonts w:hint="eastAsia"/>
                <w:color w:val="auto"/>
                <w:highlight w:val="none"/>
                <w:lang w:eastAsia="zh-CN"/>
              </w:rPr>
            </w:pPr>
            <w:r>
              <w:rPr>
                <w:rFonts w:hint="eastAsia"/>
                <w:color w:val="auto"/>
                <w:highlight w:val="none"/>
                <w:lang w:eastAsia="zh-CN"/>
              </w:rPr>
              <w:t>居民，</w:t>
            </w:r>
            <w:r>
              <w:rPr>
                <w:rFonts w:hint="eastAsia"/>
                <w:color w:val="auto"/>
                <w:highlight w:val="none"/>
                <w:lang w:val="en-US" w:eastAsia="zh-CN"/>
              </w:rPr>
              <w:t>135户，</w:t>
            </w:r>
            <w:r>
              <w:rPr>
                <w:rFonts w:hint="eastAsia"/>
                <w:color w:val="auto"/>
                <w:highlight w:val="none"/>
              </w:rPr>
              <w:t>约</w:t>
            </w:r>
            <w:r>
              <w:rPr>
                <w:rFonts w:hint="eastAsia"/>
                <w:color w:val="auto"/>
                <w:highlight w:val="none"/>
                <w:lang w:val="en-US" w:eastAsia="zh-CN"/>
              </w:rPr>
              <w:t>668</w:t>
            </w:r>
            <w:r>
              <w:rPr>
                <w:rFonts w:hint="eastAsia"/>
                <w:color w:val="auto"/>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color w:val="auto"/>
                <w:kern w:val="2"/>
                <w:highlight w:val="none"/>
                <w:lang w:val="en-US" w:eastAsia="zh-CN"/>
              </w:rPr>
            </w:pPr>
            <w:r>
              <w:rPr>
                <w:rFonts w:hint="eastAsia"/>
                <w:color w:val="auto"/>
                <w:kern w:val="2"/>
                <w:highlight w:val="none"/>
                <w:lang w:val="en-US" w:eastAsia="zh-CN"/>
              </w:rPr>
              <w:t>SE</w:t>
            </w:r>
          </w:p>
        </w:tc>
        <w:tc>
          <w:tcPr>
            <w:tcW w:w="539" w:type="pct"/>
            <w:vAlign w:val="center"/>
          </w:tcPr>
          <w:p>
            <w:pPr>
              <w:pStyle w:val="42"/>
              <w:spacing w:line="240" w:lineRule="auto"/>
              <w:ind w:left="0" w:leftChars="0" w:firstLine="0" w:firstLineChars="0"/>
              <w:jc w:val="center"/>
              <w:rPr>
                <w:rFonts w:hint="eastAsia"/>
                <w:color w:val="auto"/>
                <w:kern w:val="2"/>
                <w:highlight w:val="none"/>
                <w:lang w:val="en-US" w:eastAsia="zh-CN"/>
              </w:rPr>
            </w:pPr>
            <w:r>
              <w:rPr>
                <w:rFonts w:hint="eastAsia"/>
                <w:color w:val="auto"/>
                <w:kern w:val="2"/>
                <w:highlight w:val="none"/>
                <w:lang w:val="en-US" w:eastAsia="zh-CN"/>
              </w:rPr>
              <w:t>1873m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114.64732</w:t>
            </w:r>
          </w:p>
        </w:tc>
        <w:tc>
          <w:tcPr>
            <w:tcW w:w="695" w:type="pct"/>
            <w:vAlign w:val="center"/>
          </w:tcPr>
          <w:p>
            <w:pPr>
              <w:pStyle w:val="42"/>
              <w:spacing w:line="240" w:lineRule="auto"/>
              <w:ind w:left="0" w:leftChars="0" w:firstLine="0" w:firstLineChars="0"/>
              <w:jc w:val="center"/>
              <w:rPr>
                <w:rFonts w:hint="eastAsia"/>
                <w:color w:val="auto"/>
                <w:highlight w:val="none"/>
              </w:rPr>
            </w:pPr>
            <w:r>
              <w:rPr>
                <w:rFonts w:hint="eastAsia"/>
                <w:color w:val="auto"/>
                <w:highlight w:val="none"/>
              </w:rPr>
              <w:t>33.10457</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倪庄</w:t>
            </w:r>
          </w:p>
        </w:tc>
        <w:tc>
          <w:tcPr>
            <w:tcW w:w="828" w:type="pct"/>
            <w:vAlign w:val="center"/>
          </w:tcPr>
          <w:p>
            <w:pPr>
              <w:pStyle w:val="42"/>
              <w:spacing w:line="240" w:lineRule="auto"/>
              <w:ind w:left="0" w:leftChars="0" w:firstLine="0" w:firstLineChars="0"/>
              <w:jc w:val="center"/>
              <w:rPr>
                <w:rFonts w:hint="eastAsia"/>
                <w:color w:val="auto"/>
                <w:highlight w:val="none"/>
                <w:lang w:eastAsia="zh-CN"/>
              </w:rPr>
            </w:pPr>
            <w:r>
              <w:rPr>
                <w:rFonts w:hint="eastAsia"/>
                <w:color w:val="auto"/>
                <w:highlight w:val="none"/>
                <w:lang w:eastAsia="zh-CN"/>
              </w:rPr>
              <w:t>居民，</w:t>
            </w:r>
            <w:r>
              <w:rPr>
                <w:rFonts w:hint="eastAsia"/>
                <w:color w:val="auto"/>
                <w:highlight w:val="none"/>
                <w:lang w:val="en-US" w:eastAsia="zh-CN"/>
              </w:rPr>
              <w:t>132户，</w:t>
            </w:r>
            <w:r>
              <w:rPr>
                <w:rFonts w:hint="eastAsia"/>
                <w:color w:val="auto"/>
                <w:highlight w:val="none"/>
              </w:rPr>
              <w:t>约</w:t>
            </w:r>
            <w:r>
              <w:rPr>
                <w:rFonts w:hint="eastAsia"/>
                <w:color w:val="auto"/>
                <w:highlight w:val="none"/>
                <w:lang w:val="en-US" w:eastAsia="zh-CN"/>
              </w:rPr>
              <w:t>675</w:t>
            </w:r>
            <w:r>
              <w:rPr>
                <w:rFonts w:hint="eastAsia"/>
                <w:color w:val="auto"/>
                <w:highlight w:val="none"/>
              </w:rPr>
              <w:t>人</w:t>
            </w:r>
          </w:p>
        </w:tc>
        <w:tc>
          <w:tcPr>
            <w:tcW w:w="757" w:type="pct"/>
            <w:vMerge w:val="continue"/>
            <w:vAlign w:val="center"/>
          </w:tcPr>
          <w:p>
            <w:pPr>
              <w:pStyle w:val="42"/>
              <w:spacing w:line="240" w:lineRule="auto"/>
              <w:ind w:left="0" w:leftChars="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default"/>
                <w:color w:val="auto"/>
                <w:kern w:val="2"/>
                <w:highlight w:val="none"/>
                <w:lang w:val="en-US" w:eastAsia="zh-CN"/>
              </w:rPr>
            </w:pPr>
            <w:r>
              <w:rPr>
                <w:rFonts w:hint="eastAsia"/>
                <w:color w:val="auto"/>
                <w:kern w:val="2"/>
                <w:highlight w:val="none"/>
                <w:lang w:val="en-US" w:eastAsia="zh-CN"/>
              </w:rPr>
              <w:t>NW</w:t>
            </w:r>
          </w:p>
        </w:tc>
        <w:tc>
          <w:tcPr>
            <w:tcW w:w="539" w:type="pct"/>
            <w:vAlign w:val="center"/>
          </w:tcPr>
          <w:p>
            <w:pPr>
              <w:pStyle w:val="42"/>
              <w:spacing w:line="240" w:lineRule="auto"/>
              <w:ind w:left="0" w:leftChars="0" w:firstLine="0" w:firstLineChars="0"/>
              <w:jc w:val="center"/>
              <w:rPr>
                <w:rFonts w:hint="eastAsia"/>
                <w:color w:val="auto"/>
                <w:kern w:val="2"/>
                <w:highlight w:val="none"/>
                <w:lang w:val="en-US" w:eastAsia="zh-CN"/>
              </w:rPr>
            </w:pPr>
            <w:r>
              <w:rPr>
                <w:rFonts w:hint="eastAsia"/>
                <w:color w:val="auto"/>
                <w:kern w:val="2"/>
                <w:highlight w:val="none"/>
                <w:lang w:val="en-US" w:eastAsia="zh-CN"/>
              </w:rPr>
              <w:t>2140m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378" w:type="pct"/>
            <w:vMerge w:val="continue"/>
            <w:vAlign w:val="center"/>
          </w:tcPr>
          <w:p>
            <w:pPr>
              <w:pStyle w:val="42"/>
              <w:spacing w:line="240" w:lineRule="auto"/>
              <w:ind w:left="0" w:leftChars="0" w:firstLine="0" w:firstLineChars="0"/>
              <w:jc w:val="center"/>
              <w:rPr>
                <w:color w:val="auto"/>
                <w:kern w:val="2"/>
                <w:highlight w:val="none"/>
              </w:rPr>
            </w:pPr>
          </w:p>
        </w:tc>
        <w:tc>
          <w:tcPr>
            <w:tcW w:w="70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114.65453</w:t>
            </w:r>
          </w:p>
        </w:tc>
        <w:tc>
          <w:tcPr>
            <w:tcW w:w="695"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rPr>
              <w:t>33.10260</w:t>
            </w:r>
          </w:p>
        </w:tc>
        <w:tc>
          <w:tcPr>
            <w:tcW w:w="643"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小胡庄</w:t>
            </w:r>
          </w:p>
        </w:tc>
        <w:tc>
          <w:tcPr>
            <w:tcW w:w="828" w:type="pct"/>
            <w:vAlign w:val="center"/>
          </w:tcPr>
          <w:p>
            <w:pPr>
              <w:pStyle w:val="42"/>
              <w:spacing w:line="240" w:lineRule="auto"/>
              <w:ind w:left="0" w:leftChars="0" w:firstLine="0" w:firstLineChars="0"/>
              <w:jc w:val="center"/>
              <w:rPr>
                <w:rFonts w:hint="eastAsia"/>
                <w:color w:val="auto"/>
                <w:highlight w:val="none"/>
                <w:lang w:val="en-US" w:eastAsia="zh-CN"/>
              </w:rPr>
            </w:pPr>
            <w:r>
              <w:rPr>
                <w:rFonts w:hint="eastAsia"/>
                <w:color w:val="auto"/>
                <w:highlight w:val="none"/>
                <w:lang w:eastAsia="zh-CN"/>
              </w:rPr>
              <w:t>居民，</w:t>
            </w:r>
            <w:r>
              <w:rPr>
                <w:rFonts w:hint="eastAsia"/>
                <w:color w:val="auto"/>
                <w:highlight w:val="none"/>
                <w:lang w:val="en-US" w:eastAsia="zh-CN"/>
              </w:rPr>
              <w:t>65户，</w:t>
            </w:r>
            <w:r>
              <w:rPr>
                <w:rFonts w:hint="eastAsia"/>
                <w:color w:val="auto"/>
                <w:highlight w:val="none"/>
              </w:rPr>
              <w:t>约</w:t>
            </w:r>
            <w:r>
              <w:rPr>
                <w:rFonts w:hint="eastAsia"/>
                <w:color w:val="auto"/>
                <w:highlight w:val="none"/>
                <w:lang w:val="en-US" w:eastAsia="zh-CN"/>
              </w:rPr>
              <w:t>335</w:t>
            </w:r>
            <w:r>
              <w:rPr>
                <w:rFonts w:hint="eastAsia"/>
                <w:color w:val="auto"/>
                <w:highlight w:val="none"/>
              </w:rPr>
              <w:t>人</w:t>
            </w:r>
          </w:p>
        </w:tc>
        <w:tc>
          <w:tcPr>
            <w:tcW w:w="757" w:type="pct"/>
            <w:vMerge w:val="continue"/>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449" w:type="pct"/>
            <w:vAlign w:val="center"/>
          </w:tcPr>
          <w:p>
            <w:pPr>
              <w:pStyle w:val="42"/>
              <w:spacing w:line="240" w:lineRule="auto"/>
              <w:ind w:left="0" w:leftChars="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NE</w:t>
            </w:r>
          </w:p>
        </w:tc>
        <w:tc>
          <w:tcPr>
            <w:tcW w:w="539" w:type="pct"/>
            <w:vAlign w:val="center"/>
          </w:tcPr>
          <w:p>
            <w:pPr>
              <w:pStyle w:val="42"/>
              <w:spacing w:line="240" w:lineRule="auto"/>
              <w:ind w:left="0" w:leftChars="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olor w:val="auto"/>
                <w:kern w:val="2"/>
                <w:highlight w:val="none"/>
                <w:lang w:val="en-US" w:eastAsia="zh-CN"/>
              </w:rPr>
              <w:t>1500m</w:t>
            </w:r>
          </w:p>
        </w:tc>
      </w:tr>
    </w:tbl>
    <w:p>
      <w:pPr>
        <w:pStyle w:val="6"/>
        <w:ind w:firstLine="482"/>
        <w:rPr>
          <w:rFonts w:hint="eastAsia"/>
          <w:color w:val="auto"/>
          <w:highlight w:val="none"/>
          <w:lang w:val="en-US" w:eastAsia="zh-CN"/>
        </w:rPr>
      </w:pPr>
      <w:r>
        <w:rPr>
          <w:rFonts w:hint="eastAsia"/>
          <w:color w:val="auto"/>
          <w:highlight w:val="none"/>
          <w:lang w:val="en-US" w:eastAsia="zh-CN"/>
        </w:rPr>
        <w:t>4.2.7.4风险事故情形设定</w:t>
      </w:r>
    </w:p>
    <w:p>
      <w:pPr>
        <w:keepNext w:val="0"/>
        <w:keepLines w:val="0"/>
        <w:pageBreakBefore w:val="0"/>
        <w:widowControl w:val="0"/>
        <w:kinsoku/>
        <w:wordWrap/>
        <w:overflowPunct/>
        <w:topLinePunct w:val="0"/>
        <w:autoSpaceDE w:val="0"/>
        <w:autoSpaceDN/>
        <w:bidi w:val="0"/>
        <w:adjustRightInd/>
        <w:snapToGrid/>
        <w:spacing w:line="360" w:lineRule="auto"/>
        <w:ind w:firstLine="480" w:firstLineChars="200"/>
        <w:textAlignment w:val="auto"/>
        <w:rPr>
          <w:rFonts w:hint="eastAsia" w:ascii="Calibri" w:hAnsi="Calibri" w:cs="Times New Roman"/>
          <w:color w:val="auto"/>
          <w:sz w:val="24"/>
          <w:szCs w:val="22"/>
          <w:highlight w:val="none"/>
        </w:rPr>
      </w:pPr>
      <w:r>
        <w:rPr>
          <w:rFonts w:hint="eastAsia" w:ascii="Calibri" w:hAnsi="Calibri" w:cs="Times New Roman"/>
          <w:color w:val="auto"/>
          <w:sz w:val="24"/>
          <w:szCs w:val="22"/>
          <w:highlight w:val="none"/>
        </w:rPr>
        <w:t>（1）事故类型分析</w:t>
      </w:r>
    </w:p>
    <w:p>
      <w:pPr>
        <w:keepNext w:val="0"/>
        <w:keepLines w:val="0"/>
        <w:pageBreakBefore w:val="0"/>
        <w:widowControl w:val="0"/>
        <w:kinsoku/>
        <w:wordWrap/>
        <w:overflowPunct/>
        <w:topLinePunct w:val="0"/>
        <w:autoSpaceDE w:val="0"/>
        <w:autoSpaceDN/>
        <w:bidi w:val="0"/>
        <w:adjustRightInd/>
        <w:snapToGrid/>
        <w:spacing w:line="360" w:lineRule="auto"/>
        <w:ind w:firstLine="480" w:firstLineChars="200"/>
        <w:textAlignment w:val="auto"/>
        <w:rPr>
          <w:rFonts w:ascii="Calibri" w:hAnsi="Calibri" w:cs="Times New Roman"/>
          <w:color w:val="auto"/>
          <w:sz w:val="24"/>
          <w:szCs w:val="22"/>
          <w:highlight w:val="none"/>
        </w:rPr>
      </w:pPr>
      <w:r>
        <w:rPr>
          <w:rFonts w:hint="eastAsia" w:ascii="Calibri" w:hAnsi="Calibri" w:cs="Times New Roman"/>
          <w:color w:val="auto"/>
          <w:sz w:val="24"/>
          <w:szCs w:val="22"/>
          <w:highlight w:val="none"/>
        </w:rPr>
        <w:t>不同事故其引发因素、伤害机制、危害时间及空间尺度上有很大区别，并相互作用和影响。沼气事故案例统计详见</w:t>
      </w:r>
      <w:r>
        <w:rPr>
          <w:rFonts w:hint="default" w:ascii="Times New Roman" w:hAnsi="Times New Roman" w:cs="Times New Roman"/>
          <w:color w:val="auto"/>
          <w:sz w:val="24"/>
          <w:szCs w:val="22"/>
          <w:highlight w:val="none"/>
        </w:rPr>
        <w:t>表4</w:t>
      </w:r>
      <w:r>
        <w:rPr>
          <w:rFonts w:hint="default" w:ascii="Times New Roman" w:hAnsi="Times New Roman" w:cs="Times New Roman"/>
          <w:color w:val="auto"/>
          <w:sz w:val="24"/>
          <w:szCs w:val="22"/>
          <w:highlight w:val="none"/>
          <w:lang w:val="en-US" w:eastAsia="zh-CN"/>
        </w:rPr>
        <w:t>.2</w:t>
      </w:r>
      <w:r>
        <w:rPr>
          <w:rFonts w:hint="default" w:ascii="Times New Roman" w:hAnsi="Times New Roman" w:cs="Times New Roman"/>
          <w:color w:val="auto"/>
          <w:sz w:val="24"/>
          <w:szCs w:val="22"/>
          <w:highlight w:val="none"/>
        </w:rPr>
        <w:t>-</w:t>
      </w:r>
      <w:r>
        <w:rPr>
          <w:rFonts w:hint="default" w:ascii="Times New Roman" w:hAnsi="Times New Roman" w:cs="Times New Roman"/>
          <w:color w:val="auto"/>
          <w:sz w:val="24"/>
          <w:szCs w:val="22"/>
          <w:highlight w:val="none"/>
          <w:lang w:val="en-US" w:eastAsia="zh-CN"/>
        </w:rPr>
        <w:t>4</w:t>
      </w:r>
      <w:r>
        <w:rPr>
          <w:rFonts w:hint="eastAsia" w:ascii="Times New Roman" w:hAnsi="Times New Roman" w:cs="Times New Roman"/>
          <w:color w:val="auto"/>
          <w:sz w:val="24"/>
          <w:szCs w:val="22"/>
          <w:highlight w:val="none"/>
          <w:lang w:val="en-US" w:eastAsia="zh-CN"/>
        </w:rPr>
        <w:t>5</w:t>
      </w:r>
      <w:r>
        <w:rPr>
          <w:rFonts w:hint="default" w:ascii="Times New Roman" w:hAnsi="Times New Roman" w:cs="Times New Roman"/>
          <w:color w:val="auto"/>
          <w:sz w:val="24"/>
          <w:szCs w:val="22"/>
          <w:highlight w:val="none"/>
        </w:rPr>
        <w:t>。</w:t>
      </w:r>
    </w:p>
    <w:p>
      <w:pPr>
        <w:pStyle w:val="40"/>
        <w:rPr>
          <w:rFonts w:hint="eastAsia"/>
          <w:color w:val="auto"/>
          <w:highlight w:val="none"/>
          <w:lang w:val="en-US" w:eastAsia="zh-CN"/>
        </w:rPr>
      </w:pPr>
      <w:r>
        <w:rPr>
          <w:rFonts w:hint="eastAsia"/>
          <w:color w:val="auto"/>
          <w:highlight w:val="none"/>
          <w:lang w:val="en-US" w:eastAsia="zh-CN"/>
        </w:rPr>
        <w:t>表4.2-45 沼气典型事故案例</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43"/>
        <w:gridCol w:w="1024"/>
        <w:gridCol w:w="4589"/>
        <w:gridCol w:w="21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6" w:hRule="atLeast"/>
        </w:trPr>
        <w:tc>
          <w:tcPr>
            <w:tcW w:w="328"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en-US"/>
              </w:rPr>
            </w:pPr>
            <w:r>
              <w:rPr>
                <w:rFonts w:hint="eastAsia" w:ascii="Times New Roman" w:hAnsi="Times New Roman" w:cs="Times New Roman"/>
                <w:color w:val="auto"/>
                <w:sz w:val="21"/>
                <w:szCs w:val="21"/>
                <w:highlight w:val="none"/>
                <w:lang w:val="en-US" w:eastAsia="en-US"/>
              </w:rPr>
              <w:t>序号</w:t>
            </w:r>
          </w:p>
        </w:tc>
        <w:tc>
          <w:tcPr>
            <w:tcW w:w="61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en-US"/>
              </w:rPr>
            </w:pPr>
            <w:r>
              <w:rPr>
                <w:rFonts w:hint="eastAsia" w:ascii="Times New Roman" w:hAnsi="Times New Roman" w:cs="Times New Roman"/>
                <w:color w:val="auto"/>
                <w:sz w:val="21"/>
                <w:szCs w:val="21"/>
                <w:highlight w:val="none"/>
                <w:lang w:val="en-US" w:eastAsia="en-US"/>
              </w:rPr>
              <w:t>时间</w:t>
            </w:r>
          </w:p>
        </w:tc>
        <w:tc>
          <w:tcPr>
            <w:tcW w:w="277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en-US"/>
              </w:rPr>
            </w:pPr>
            <w:r>
              <w:rPr>
                <w:rFonts w:hint="eastAsia" w:ascii="Times New Roman" w:hAnsi="Times New Roman" w:cs="Times New Roman"/>
                <w:color w:val="auto"/>
                <w:sz w:val="21"/>
                <w:szCs w:val="21"/>
                <w:highlight w:val="none"/>
                <w:lang w:val="en-US" w:eastAsia="en-US"/>
              </w:rPr>
              <w:t>事故经过</w:t>
            </w:r>
          </w:p>
        </w:tc>
        <w:tc>
          <w:tcPr>
            <w:tcW w:w="127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en-US"/>
              </w:rPr>
            </w:pPr>
            <w:r>
              <w:rPr>
                <w:rFonts w:hint="eastAsia" w:ascii="Times New Roman" w:hAnsi="Times New Roman" w:cs="Times New Roman"/>
                <w:color w:val="auto"/>
                <w:sz w:val="21"/>
                <w:szCs w:val="21"/>
                <w:highlight w:val="none"/>
                <w:lang w:val="en-US" w:eastAsia="en-US"/>
              </w:rPr>
              <w:t>事故原因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40" w:hRule="atLeast"/>
        </w:trPr>
        <w:tc>
          <w:tcPr>
            <w:tcW w:w="328"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en-US"/>
              </w:rPr>
            </w:pPr>
            <w:r>
              <w:rPr>
                <w:rFonts w:hint="eastAsia" w:ascii="Times New Roman" w:hAnsi="Times New Roman" w:cs="Times New Roman"/>
                <w:color w:val="auto"/>
                <w:sz w:val="21"/>
                <w:szCs w:val="21"/>
                <w:highlight w:val="none"/>
                <w:lang w:val="en-US" w:eastAsia="en-US"/>
              </w:rPr>
              <w:t>1</w:t>
            </w:r>
          </w:p>
        </w:tc>
        <w:tc>
          <w:tcPr>
            <w:tcW w:w="61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en-US"/>
              </w:rPr>
            </w:pPr>
            <w:r>
              <w:rPr>
                <w:rFonts w:hint="eastAsia" w:ascii="Times New Roman" w:hAnsi="Times New Roman" w:cs="Times New Roman"/>
                <w:color w:val="auto"/>
                <w:sz w:val="21"/>
                <w:szCs w:val="21"/>
                <w:highlight w:val="none"/>
                <w:lang w:val="en-US" w:eastAsia="en-US"/>
              </w:rPr>
              <w:t>2004.6.26</w:t>
            </w:r>
          </w:p>
        </w:tc>
        <w:tc>
          <w:tcPr>
            <w:tcW w:w="277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en-US"/>
              </w:rPr>
            </w:pPr>
            <w:r>
              <w:rPr>
                <w:rFonts w:hint="eastAsia" w:ascii="Times New Roman" w:hAnsi="Times New Roman" w:cs="Times New Roman"/>
                <w:color w:val="auto"/>
                <w:sz w:val="21"/>
                <w:szCs w:val="21"/>
                <w:highlight w:val="none"/>
                <w:lang w:val="en-US" w:eastAsia="en-US"/>
              </w:rPr>
              <w:t>甘肃高崖金城水泥有限公司自营工程队 3 位民工在清理高崖生活福利区化粪池和下水主管道时，不幸</w:t>
            </w:r>
          </w:p>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en-US"/>
              </w:rPr>
            </w:pPr>
            <w:r>
              <w:rPr>
                <w:rFonts w:hint="eastAsia" w:ascii="Times New Roman" w:hAnsi="Times New Roman" w:cs="Times New Roman"/>
                <w:color w:val="auto"/>
                <w:sz w:val="21"/>
                <w:szCs w:val="21"/>
                <w:highlight w:val="none"/>
                <w:lang w:val="en-US" w:eastAsia="en-US"/>
              </w:rPr>
              <w:t>因沼气中毒身亡</w:t>
            </w:r>
          </w:p>
        </w:tc>
        <w:tc>
          <w:tcPr>
            <w:tcW w:w="127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en-US"/>
              </w:rPr>
            </w:pPr>
            <w:r>
              <w:rPr>
                <w:rFonts w:hint="eastAsia" w:ascii="Times New Roman" w:hAnsi="Times New Roman" w:cs="Times New Roman"/>
                <w:color w:val="auto"/>
                <w:sz w:val="21"/>
                <w:szCs w:val="21"/>
                <w:highlight w:val="none"/>
                <w:lang w:val="en-US" w:eastAsia="en-US"/>
              </w:rPr>
              <w:t>沼气具有隐蔽性和工作人员缺乏防范意识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49" w:hRule="atLeast"/>
        </w:trPr>
        <w:tc>
          <w:tcPr>
            <w:tcW w:w="328"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en-US"/>
              </w:rPr>
            </w:pPr>
            <w:r>
              <w:rPr>
                <w:rFonts w:hint="eastAsia" w:ascii="Times New Roman" w:hAnsi="Times New Roman" w:cs="Times New Roman"/>
                <w:color w:val="auto"/>
                <w:sz w:val="21"/>
                <w:szCs w:val="21"/>
                <w:highlight w:val="none"/>
                <w:lang w:val="en-US" w:eastAsia="en-US"/>
              </w:rPr>
              <w:t>2</w:t>
            </w:r>
          </w:p>
        </w:tc>
        <w:tc>
          <w:tcPr>
            <w:tcW w:w="61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en-US"/>
              </w:rPr>
            </w:pPr>
            <w:r>
              <w:rPr>
                <w:rFonts w:hint="eastAsia" w:ascii="Times New Roman" w:hAnsi="Times New Roman" w:cs="Times New Roman"/>
                <w:color w:val="auto"/>
                <w:sz w:val="21"/>
                <w:szCs w:val="21"/>
                <w:highlight w:val="none"/>
                <w:lang w:val="en-US" w:eastAsia="en-US"/>
              </w:rPr>
              <w:t>2006.5.7</w:t>
            </w:r>
          </w:p>
        </w:tc>
        <w:tc>
          <w:tcPr>
            <w:tcW w:w="277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en-US"/>
              </w:rPr>
            </w:pPr>
            <w:r>
              <w:rPr>
                <w:rFonts w:hint="eastAsia" w:ascii="Times New Roman" w:hAnsi="Times New Roman" w:cs="Times New Roman"/>
                <w:color w:val="auto"/>
                <w:sz w:val="21"/>
                <w:szCs w:val="21"/>
                <w:highlight w:val="none"/>
                <w:lang w:val="en-US" w:eastAsia="en-US"/>
              </w:rPr>
              <w:t>且末县供排水公司11名工作人员在检修且末县客运站至且末县玉石商贸城排水管沟时，1名职工下井作业长时间无回应，供排水公司随即组织井上 6名职工陆续下井营救，营救过程中，因井下沼气浓度过高，造成6人死亡，1人受伤</w:t>
            </w:r>
          </w:p>
        </w:tc>
        <w:tc>
          <w:tcPr>
            <w:tcW w:w="127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en-US"/>
              </w:rPr>
            </w:pPr>
            <w:r>
              <w:rPr>
                <w:rFonts w:hint="eastAsia" w:ascii="Times New Roman" w:hAnsi="Times New Roman" w:cs="Times New Roman"/>
                <w:color w:val="auto"/>
                <w:sz w:val="21"/>
                <w:szCs w:val="21"/>
                <w:highlight w:val="none"/>
                <w:lang w:val="en-US" w:eastAsia="en-US"/>
              </w:rPr>
              <w:t>沼气具有隐蔽性和工作人员缺乏防范意识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32" w:hRule="atLeast"/>
        </w:trPr>
        <w:tc>
          <w:tcPr>
            <w:tcW w:w="328"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en-US"/>
              </w:rPr>
            </w:pPr>
            <w:r>
              <w:rPr>
                <w:rFonts w:hint="eastAsia" w:ascii="Times New Roman" w:hAnsi="Times New Roman" w:cs="Times New Roman"/>
                <w:color w:val="auto"/>
                <w:sz w:val="21"/>
                <w:szCs w:val="21"/>
                <w:highlight w:val="none"/>
                <w:lang w:val="en-US" w:eastAsia="en-US"/>
              </w:rPr>
              <w:t>3</w:t>
            </w:r>
          </w:p>
        </w:tc>
        <w:tc>
          <w:tcPr>
            <w:tcW w:w="61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en-US"/>
              </w:rPr>
            </w:pPr>
            <w:r>
              <w:rPr>
                <w:rFonts w:hint="eastAsia" w:ascii="Times New Roman" w:hAnsi="Times New Roman" w:cs="Times New Roman"/>
                <w:color w:val="auto"/>
                <w:sz w:val="21"/>
                <w:szCs w:val="21"/>
                <w:highlight w:val="none"/>
                <w:lang w:val="en-US" w:eastAsia="en-US"/>
              </w:rPr>
              <w:t>2009.6.24</w:t>
            </w:r>
          </w:p>
        </w:tc>
        <w:tc>
          <w:tcPr>
            <w:tcW w:w="277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en-US"/>
              </w:rPr>
            </w:pPr>
            <w:r>
              <w:rPr>
                <w:rFonts w:hint="eastAsia" w:ascii="Times New Roman" w:hAnsi="Times New Roman" w:cs="Times New Roman"/>
                <w:color w:val="auto"/>
                <w:sz w:val="21"/>
                <w:szCs w:val="21"/>
                <w:highlight w:val="none"/>
                <w:lang w:val="en-US" w:eastAsia="en-US"/>
              </w:rPr>
              <w:t>银川市西夏区海珑药业公司2名工人在没有 任何防护措施的情况下到污水井进行疏通作业，导致沼气中毒，随后被距离事故现场10m处的3名厂保安发现，教人心切的3名也在没有任何保护措施的情况下 员缺乏防范意识井救人，结果也中毒晕倒在井底。最终导致3人死亡，1人重伤，1人轻伤</w:t>
            </w:r>
          </w:p>
        </w:tc>
        <w:tc>
          <w:tcPr>
            <w:tcW w:w="127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en-US"/>
              </w:rPr>
            </w:pPr>
            <w:r>
              <w:rPr>
                <w:rFonts w:hint="eastAsia" w:ascii="Times New Roman" w:hAnsi="Times New Roman" w:cs="Times New Roman"/>
                <w:color w:val="auto"/>
                <w:sz w:val="21"/>
                <w:szCs w:val="21"/>
                <w:highlight w:val="none"/>
                <w:lang w:val="en-US" w:eastAsia="en-US"/>
              </w:rPr>
              <w:t>沼气具有隐蔽性和工作人员缺乏防范意识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45" w:hRule="atLeast"/>
        </w:trPr>
        <w:tc>
          <w:tcPr>
            <w:tcW w:w="328"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en-US"/>
              </w:rPr>
            </w:pPr>
            <w:r>
              <w:rPr>
                <w:rFonts w:hint="eastAsia" w:ascii="Times New Roman" w:hAnsi="Times New Roman" w:cs="Times New Roman"/>
                <w:color w:val="auto"/>
                <w:sz w:val="21"/>
                <w:szCs w:val="21"/>
                <w:highlight w:val="none"/>
                <w:lang w:val="en-US" w:eastAsia="en-US"/>
              </w:rPr>
              <w:t>4</w:t>
            </w:r>
          </w:p>
        </w:tc>
        <w:tc>
          <w:tcPr>
            <w:tcW w:w="61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en-US"/>
              </w:rPr>
            </w:pPr>
            <w:r>
              <w:rPr>
                <w:rFonts w:hint="eastAsia" w:ascii="Times New Roman" w:hAnsi="Times New Roman" w:cs="Times New Roman"/>
                <w:color w:val="auto"/>
                <w:sz w:val="21"/>
                <w:szCs w:val="21"/>
                <w:highlight w:val="none"/>
                <w:lang w:val="en-US" w:eastAsia="en-US"/>
              </w:rPr>
              <w:t>2011.8.31</w:t>
            </w:r>
          </w:p>
        </w:tc>
        <w:tc>
          <w:tcPr>
            <w:tcW w:w="277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en-US"/>
              </w:rPr>
            </w:pPr>
            <w:r>
              <w:rPr>
                <w:rFonts w:hint="eastAsia" w:ascii="Times New Roman" w:hAnsi="Times New Roman" w:cs="Times New Roman"/>
                <w:color w:val="auto"/>
                <w:sz w:val="21"/>
                <w:szCs w:val="21"/>
                <w:highlight w:val="none"/>
                <w:lang w:val="en-US" w:eastAsia="en-US"/>
              </w:rPr>
              <w:t>北京通州区沸县镇北提寺村东一养殖基地发生沼</w:t>
            </w:r>
          </w:p>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en-US"/>
              </w:rPr>
            </w:pPr>
            <w:r>
              <w:rPr>
                <w:rFonts w:hint="eastAsia" w:ascii="Times New Roman" w:hAnsi="Times New Roman" w:cs="Times New Roman"/>
                <w:color w:val="auto"/>
                <w:sz w:val="21"/>
                <w:szCs w:val="21"/>
                <w:highlight w:val="none"/>
                <w:lang w:val="en-US" w:eastAsia="en-US"/>
              </w:rPr>
              <w:t>气中毒事故，5名中毒人员医治无效死</w:t>
            </w:r>
          </w:p>
        </w:tc>
        <w:tc>
          <w:tcPr>
            <w:tcW w:w="127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en-US"/>
              </w:rPr>
            </w:pPr>
            <w:r>
              <w:rPr>
                <w:rFonts w:hint="eastAsia" w:ascii="Times New Roman" w:hAnsi="Times New Roman" w:cs="Times New Roman"/>
                <w:color w:val="auto"/>
                <w:sz w:val="21"/>
                <w:szCs w:val="21"/>
                <w:highlight w:val="none"/>
                <w:lang w:val="en-US" w:eastAsia="en-US"/>
              </w:rPr>
              <w:t>沼气具有隐蔽性和工作人员缺乏防范意识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81" w:hRule="atLeast"/>
        </w:trPr>
        <w:tc>
          <w:tcPr>
            <w:tcW w:w="328"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en-US"/>
              </w:rPr>
            </w:pPr>
            <w:r>
              <w:rPr>
                <w:rFonts w:hint="eastAsia" w:ascii="Times New Roman" w:hAnsi="Times New Roman" w:cs="Times New Roman"/>
                <w:color w:val="auto"/>
                <w:sz w:val="21"/>
                <w:szCs w:val="21"/>
                <w:highlight w:val="none"/>
                <w:lang w:val="en-US" w:eastAsia="en-US"/>
              </w:rPr>
              <w:t>5</w:t>
            </w:r>
          </w:p>
        </w:tc>
        <w:tc>
          <w:tcPr>
            <w:tcW w:w="61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en-US"/>
              </w:rPr>
            </w:pPr>
            <w:r>
              <w:rPr>
                <w:rFonts w:hint="eastAsia" w:ascii="Times New Roman" w:hAnsi="Times New Roman" w:cs="Times New Roman"/>
                <w:color w:val="auto"/>
                <w:sz w:val="21"/>
                <w:szCs w:val="21"/>
                <w:highlight w:val="none"/>
                <w:lang w:val="en-US" w:eastAsia="en-US"/>
              </w:rPr>
              <w:t>2014.7.29</w:t>
            </w:r>
          </w:p>
        </w:tc>
        <w:tc>
          <w:tcPr>
            <w:tcW w:w="2773"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en-US"/>
              </w:rPr>
            </w:pPr>
            <w:r>
              <w:rPr>
                <w:rFonts w:hint="eastAsia" w:ascii="Times New Roman" w:hAnsi="Times New Roman" w:cs="Times New Roman"/>
                <w:color w:val="auto"/>
                <w:sz w:val="21"/>
                <w:szCs w:val="21"/>
                <w:highlight w:val="none"/>
                <w:lang w:val="en-US" w:eastAsia="en-US"/>
              </w:rPr>
              <w:t>厦门一名男子下污水井清理污泥时，因沼气中毒晕倒，三名同伴接连下井救人，只有一人因戴着防毒面具成功逃离，最终三人死亡，一人受伤送医</w:t>
            </w:r>
          </w:p>
        </w:tc>
        <w:tc>
          <w:tcPr>
            <w:tcW w:w="1279" w:type="pct"/>
            <w:noWrap w:val="0"/>
            <w:vAlign w:val="center"/>
          </w:tcPr>
          <w:p>
            <w:pPr>
              <w:widowControl w:val="0"/>
              <w:autoSpaceDE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en-US"/>
              </w:rPr>
            </w:pPr>
            <w:r>
              <w:rPr>
                <w:rFonts w:hint="eastAsia" w:ascii="Times New Roman" w:hAnsi="Times New Roman" w:cs="Times New Roman"/>
                <w:color w:val="auto"/>
                <w:sz w:val="21"/>
                <w:szCs w:val="21"/>
                <w:highlight w:val="none"/>
                <w:lang w:val="en-US" w:eastAsia="en-US"/>
              </w:rPr>
              <w:t>沼气具有隐蔽性和工作人员缺乏防范意识</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Calibri" w:hAnsi="Calibri" w:cs="Times New Roman"/>
          <w:color w:val="auto"/>
          <w:sz w:val="24"/>
          <w:szCs w:val="22"/>
          <w:highlight w:val="none"/>
        </w:rPr>
      </w:pPr>
      <w:r>
        <w:rPr>
          <w:rFonts w:ascii="Calibri" w:hAnsi="Calibri" w:cs="Times New Roman"/>
          <w:color w:val="auto"/>
          <w:sz w:val="24"/>
          <w:szCs w:val="22"/>
          <w:highlight w:val="none"/>
        </w:rPr>
        <w:t>由上表可以看出，沼气发生的事故多为中毒事件，主要原因是由于人们对沼气缺乏足够的认识和重视，作业时没有采取相应的防范措施，违反操作规程造成事故的发生。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Calibri" w:hAnsi="Calibri" w:cs="Times New Roman"/>
          <w:b/>
          <w:bCs/>
          <w:color w:val="auto"/>
          <w:sz w:val="24"/>
          <w:szCs w:val="22"/>
          <w:highlight w:val="none"/>
        </w:rPr>
      </w:pPr>
      <w:r>
        <w:rPr>
          <w:rFonts w:hint="eastAsia" w:ascii="Calibri" w:hAnsi="Calibri" w:cs="Times New Roman"/>
          <w:color w:val="auto"/>
          <w:sz w:val="24"/>
          <w:szCs w:val="22"/>
          <w:highlight w:val="none"/>
        </w:rPr>
        <w:t>储罐及管道事故统计</w:t>
      </w:r>
      <w:r>
        <w:rPr>
          <w:rFonts w:hint="default" w:ascii="Times New Roman" w:hAnsi="Times New Roman" w:cs="Times New Roman"/>
          <w:color w:val="auto"/>
          <w:sz w:val="24"/>
          <w:szCs w:val="22"/>
          <w:highlight w:val="none"/>
        </w:rPr>
        <w:t>分析见表4</w:t>
      </w:r>
      <w:r>
        <w:rPr>
          <w:rFonts w:hint="default" w:ascii="Times New Roman" w:hAnsi="Times New Roman" w:cs="Times New Roman"/>
          <w:color w:val="auto"/>
          <w:sz w:val="24"/>
          <w:szCs w:val="22"/>
          <w:highlight w:val="none"/>
          <w:lang w:val="en-US" w:eastAsia="zh-CN"/>
        </w:rPr>
        <w:t>.2</w:t>
      </w:r>
      <w:r>
        <w:rPr>
          <w:rFonts w:hint="default" w:ascii="Times New Roman" w:hAnsi="Times New Roman" w:cs="Times New Roman"/>
          <w:color w:val="auto"/>
          <w:sz w:val="24"/>
          <w:szCs w:val="22"/>
          <w:highlight w:val="none"/>
        </w:rPr>
        <w:t>-</w:t>
      </w:r>
      <w:r>
        <w:rPr>
          <w:rFonts w:hint="default" w:ascii="Times New Roman" w:hAnsi="Times New Roman" w:cs="Times New Roman"/>
          <w:color w:val="auto"/>
          <w:sz w:val="24"/>
          <w:szCs w:val="22"/>
          <w:highlight w:val="none"/>
          <w:lang w:val="en-US" w:eastAsia="zh-CN"/>
        </w:rPr>
        <w:t>4</w:t>
      </w:r>
      <w:r>
        <w:rPr>
          <w:rFonts w:hint="eastAsia" w:ascii="Times New Roman" w:hAnsi="Times New Roman" w:cs="Times New Roman"/>
          <w:color w:val="auto"/>
          <w:sz w:val="24"/>
          <w:szCs w:val="22"/>
          <w:highlight w:val="none"/>
          <w:lang w:val="en-US" w:eastAsia="zh-CN"/>
        </w:rPr>
        <w:t>6</w:t>
      </w:r>
      <w:r>
        <w:rPr>
          <w:rFonts w:hint="default" w:ascii="Times New Roman" w:hAnsi="Times New Roman" w:cs="Times New Roman"/>
          <w:color w:val="auto"/>
          <w:sz w:val="24"/>
          <w:szCs w:val="22"/>
          <w:highlight w:val="none"/>
        </w:rPr>
        <w:t>。</w:t>
      </w:r>
    </w:p>
    <w:p>
      <w:pPr>
        <w:pStyle w:val="40"/>
        <w:rPr>
          <w:rFonts w:hint="eastAsia"/>
          <w:color w:val="auto"/>
          <w:highlight w:val="none"/>
          <w:lang w:val="en-US" w:eastAsia="zh-CN"/>
        </w:rPr>
      </w:pPr>
      <w:r>
        <w:rPr>
          <w:rFonts w:hint="eastAsia"/>
          <w:color w:val="auto"/>
          <w:highlight w:val="none"/>
          <w:lang w:val="en-US" w:eastAsia="zh-CN"/>
        </w:rPr>
        <w:t>表 4.2-46 储罐管道事故统计分析一览表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77"/>
        <w:gridCol w:w="1371"/>
        <w:gridCol w:w="2110"/>
        <w:gridCol w:w="1306"/>
        <w:gridCol w:w="24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651"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设备类型</w:t>
            </w:r>
          </w:p>
        </w:tc>
        <w:tc>
          <w:tcPr>
            <w:tcW w:w="828"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事故类型</w:t>
            </w:r>
          </w:p>
        </w:tc>
        <w:tc>
          <w:tcPr>
            <w:tcW w:w="1275"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重大事故次数</w:t>
            </w:r>
          </w:p>
        </w:tc>
        <w:tc>
          <w:tcPr>
            <w:tcW w:w="789"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统计范围</w:t>
            </w:r>
          </w:p>
        </w:tc>
        <w:tc>
          <w:tcPr>
            <w:tcW w:w="1454"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主要事故原因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651"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储罐</w:t>
            </w:r>
          </w:p>
        </w:tc>
        <w:tc>
          <w:tcPr>
            <w:tcW w:w="828"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泄漏、爆炸</w:t>
            </w:r>
          </w:p>
        </w:tc>
        <w:tc>
          <w:tcPr>
            <w:tcW w:w="1275"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152</w:t>
            </w:r>
          </w:p>
        </w:tc>
        <w:tc>
          <w:tcPr>
            <w:tcW w:w="789"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1949-1982</w:t>
            </w:r>
          </w:p>
        </w:tc>
        <w:tc>
          <w:tcPr>
            <w:tcW w:w="1454"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违章作业、操作失误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651"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管道</w:t>
            </w:r>
          </w:p>
        </w:tc>
        <w:tc>
          <w:tcPr>
            <w:tcW w:w="828"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泄漏、爆炸</w:t>
            </w:r>
          </w:p>
        </w:tc>
        <w:tc>
          <w:tcPr>
            <w:tcW w:w="1275"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33</w:t>
            </w:r>
          </w:p>
        </w:tc>
        <w:tc>
          <w:tcPr>
            <w:tcW w:w="789"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1949-1982</w:t>
            </w:r>
          </w:p>
        </w:tc>
        <w:tc>
          <w:tcPr>
            <w:tcW w:w="1454"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材料缺陷、腐蚀</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根据 1949-1982年我国化工生产事故统计，出事故概率较大的为储罐泄漏，管道事故次之。</w:t>
      </w:r>
    </w:p>
    <w:p>
      <w:pPr>
        <w:keepNext w:val="0"/>
        <w:keepLines w:val="0"/>
        <w:pageBreakBefore w:val="0"/>
        <w:kinsoku/>
        <w:wordWrap/>
        <w:overflowPunct/>
        <w:topLinePunct w:val="0"/>
        <w:autoSpaceDE/>
        <w:autoSpaceDN/>
        <w:bidi w:val="0"/>
        <w:adjustRightInd/>
        <w:snapToGrid/>
        <w:spacing w:line="360" w:lineRule="auto"/>
        <w:ind w:firstLine="480"/>
        <w:textAlignment w:val="auto"/>
        <w:rPr>
          <w:color w:val="auto"/>
          <w:highlight w:val="none"/>
        </w:rPr>
      </w:pPr>
      <w:r>
        <w:rPr>
          <w:rFonts w:hint="eastAsia"/>
          <w:color w:val="auto"/>
          <w:highlight w:val="none"/>
        </w:rPr>
        <w:t>（2）本项目最大可信事故</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最大可信事故是指在所有预测概率不为零的事散中，对环境(或健康)危害最严重的重大事故。项目污水管道位于厂区内部，同外界有</w:t>
      </w:r>
      <w:r>
        <w:rPr>
          <w:rFonts w:hint="eastAsia"/>
          <w:color w:val="auto"/>
          <w:sz w:val="24"/>
          <w:highlight w:val="none"/>
          <w:lang w:eastAsia="zh-CN"/>
        </w:rPr>
        <w:t>厂</w:t>
      </w:r>
      <w:r>
        <w:rPr>
          <w:rFonts w:hint="eastAsia"/>
          <w:color w:val="auto"/>
          <w:sz w:val="24"/>
          <w:highlight w:val="none"/>
        </w:rPr>
        <w:t>墙间隔，泄漏进入河流的可能性较小。同时项目粪污水每天通过污水管道输送至沼气池，沼气池防渗措施完好的情况下泄漏污染地下水的可能</w:t>
      </w:r>
      <w:r>
        <w:rPr>
          <w:rFonts w:hint="eastAsia"/>
          <w:color w:val="auto"/>
          <w:sz w:val="24"/>
          <w:highlight w:val="none"/>
          <w:lang w:eastAsia="zh-CN"/>
        </w:rPr>
        <w:t>性</w:t>
      </w:r>
      <w:r>
        <w:rPr>
          <w:rFonts w:hint="eastAsia"/>
          <w:color w:val="auto"/>
          <w:sz w:val="24"/>
          <w:highlight w:val="none"/>
        </w:rPr>
        <w:t>也较小。综合确定本项目最大可信事故设定为沼气池沼气泄漏及</w:t>
      </w:r>
      <w:r>
        <w:rPr>
          <w:rFonts w:hint="eastAsia"/>
          <w:color w:val="auto"/>
          <w:sz w:val="24"/>
          <w:highlight w:val="none"/>
          <w:lang w:eastAsia="zh-CN"/>
        </w:rPr>
        <w:t>污水管道</w:t>
      </w:r>
      <w:r>
        <w:rPr>
          <w:rFonts w:hint="eastAsia"/>
          <w:color w:val="auto"/>
          <w:sz w:val="24"/>
          <w:highlight w:val="none"/>
        </w:rPr>
        <w:t>泄漏，引发环境事件。最大可信环境风险事故设定见表4</w:t>
      </w:r>
      <w:r>
        <w:rPr>
          <w:rFonts w:hint="eastAsia"/>
          <w:color w:val="auto"/>
          <w:sz w:val="24"/>
          <w:highlight w:val="none"/>
          <w:lang w:val="en-US" w:eastAsia="zh-CN"/>
        </w:rPr>
        <w:t>.2</w:t>
      </w:r>
      <w:r>
        <w:rPr>
          <w:rFonts w:hint="eastAsia"/>
          <w:color w:val="auto"/>
          <w:sz w:val="24"/>
          <w:highlight w:val="none"/>
        </w:rPr>
        <w:t>-</w:t>
      </w:r>
      <w:r>
        <w:rPr>
          <w:rFonts w:hint="eastAsia"/>
          <w:color w:val="auto"/>
          <w:sz w:val="24"/>
          <w:highlight w:val="none"/>
          <w:lang w:val="en-US" w:eastAsia="zh-CN"/>
        </w:rPr>
        <w:t>47</w:t>
      </w:r>
      <w:r>
        <w:rPr>
          <w:rFonts w:hint="eastAsia"/>
          <w:color w:val="auto"/>
          <w:sz w:val="24"/>
          <w:highlight w:val="none"/>
        </w:rPr>
        <w:t>。</w:t>
      </w:r>
    </w:p>
    <w:p>
      <w:pPr>
        <w:pStyle w:val="40"/>
        <w:rPr>
          <w:rFonts w:hint="eastAsia"/>
          <w:color w:val="auto"/>
          <w:highlight w:val="none"/>
          <w:lang w:val="en-US" w:eastAsia="zh-CN"/>
        </w:rPr>
      </w:pPr>
      <w:r>
        <w:rPr>
          <w:rFonts w:hint="eastAsia"/>
          <w:color w:val="auto"/>
          <w:highlight w:val="none"/>
          <w:lang w:val="en-US" w:eastAsia="zh-CN"/>
        </w:rPr>
        <w:t>表4.2-47 项目最大可信事故设定表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673"/>
        <w:gridCol w:w="1212"/>
        <w:gridCol w:w="1339"/>
        <w:gridCol w:w="1475"/>
        <w:gridCol w:w="35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407"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序号</w:t>
            </w:r>
          </w:p>
        </w:tc>
        <w:tc>
          <w:tcPr>
            <w:tcW w:w="732"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装置单元</w:t>
            </w:r>
          </w:p>
        </w:tc>
        <w:tc>
          <w:tcPr>
            <w:tcW w:w="809"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设备</w:t>
            </w:r>
          </w:p>
        </w:tc>
        <w:tc>
          <w:tcPr>
            <w:tcW w:w="891"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风险因子</w:t>
            </w:r>
          </w:p>
        </w:tc>
        <w:tc>
          <w:tcPr>
            <w:tcW w:w="2158"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最大可信事故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1" w:hRule="atLeast"/>
        </w:trPr>
        <w:tc>
          <w:tcPr>
            <w:tcW w:w="407"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1</w:t>
            </w:r>
          </w:p>
        </w:tc>
        <w:tc>
          <w:tcPr>
            <w:tcW w:w="732"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污水处理设施</w:t>
            </w:r>
          </w:p>
        </w:tc>
        <w:tc>
          <w:tcPr>
            <w:tcW w:w="809"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沼气池</w:t>
            </w:r>
          </w:p>
        </w:tc>
        <w:tc>
          <w:tcPr>
            <w:tcW w:w="891"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甲烷</w:t>
            </w:r>
          </w:p>
        </w:tc>
        <w:tc>
          <w:tcPr>
            <w:tcW w:w="2158" w:type="pct"/>
            <w:noWrap w:val="0"/>
            <w:vAlign w:val="center"/>
          </w:tcPr>
          <w:p>
            <w:pPr>
              <w:widowControl w:val="0"/>
              <w:autoSpaceDE w:val="0"/>
              <w:autoSpaceDN w:val="0"/>
              <w:adjustRightInd w:val="0"/>
              <w:snapToGrid w:val="0"/>
              <w:spacing w:line="280" w:lineRule="exact"/>
              <w:ind w:firstLine="0" w:firstLineChars="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阀门或者输送管道破裂、气体泄漏，造成环境空气污染，引发中毒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91" w:hRule="atLeast"/>
        </w:trPr>
        <w:tc>
          <w:tcPr>
            <w:tcW w:w="407" w:type="pct"/>
            <w:noWrap w:val="0"/>
            <w:vAlign w:val="center"/>
          </w:tcPr>
          <w:p>
            <w:pPr>
              <w:widowControl w:val="0"/>
              <w:autoSpaceDE w:val="0"/>
              <w:autoSpaceDN w:val="0"/>
              <w:adjustRightInd w:val="0"/>
              <w:snapToGrid w:val="0"/>
              <w:spacing w:line="280" w:lineRule="exact"/>
              <w:ind w:firstLine="0" w:firstLineChars="0"/>
              <w:jc w:val="center"/>
              <w:rPr>
                <w:rFonts w:hint="eastAsia"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2</w:t>
            </w:r>
          </w:p>
        </w:tc>
        <w:tc>
          <w:tcPr>
            <w:tcW w:w="732" w:type="pct"/>
            <w:noWrap w:val="0"/>
            <w:vAlign w:val="center"/>
          </w:tcPr>
          <w:p>
            <w:pPr>
              <w:widowControl w:val="0"/>
              <w:autoSpaceDE w:val="0"/>
              <w:autoSpaceDN w:val="0"/>
              <w:adjustRightInd w:val="0"/>
              <w:snapToGrid w:val="0"/>
              <w:spacing w:line="280" w:lineRule="exact"/>
              <w:ind w:firstLine="0" w:firstLineChars="0"/>
              <w:jc w:val="center"/>
              <w:rPr>
                <w:rFonts w:hint="eastAsia"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污水处理设施</w:t>
            </w:r>
          </w:p>
        </w:tc>
        <w:tc>
          <w:tcPr>
            <w:tcW w:w="809" w:type="pct"/>
            <w:noWrap w:val="0"/>
            <w:vAlign w:val="center"/>
          </w:tcPr>
          <w:p>
            <w:pPr>
              <w:widowControl w:val="0"/>
              <w:autoSpaceDE w:val="0"/>
              <w:autoSpaceDN w:val="0"/>
              <w:adjustRightInd w:val="0"/>
              <w:snapToGrid w:val="0"/>
              <w:spacing w:line="280" w:lineRule="exact"/>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eastAsia="zh-CN"/>
              </w:rPr>
              <w:t>污水管道</w:t>
            </w:r>
          </w:p>
        </w:tc>
        <w:tc>
          <w:tcPr>
            <w:tcW w:w="891" w:type="pct"/>
            <w:noWrap w:val="0"/>
            <w:vAlign w:val="center"/>
          </w:tcPr>
          <w:p>
            <w:pPr>
              <w:widowControl w:val="0"/>
              <w:autoSpaceDE w:val="0"/>
              <w:autoSpaceDN w:val="0"/>
              <w:adjustRightInd w:val="0"/>
              <w:snapToGrid w:val="0"/>
              <w:spacing w:line="280" w:lineRule="exact"/>
              <w:ind w:firstLine="0" w:firstLineChars="0"/>
              <w:jc w:val="center"/>
              <w:rPr>
                <w:rFonts w:hint="eastAsia"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高浓度废水</w:t>
            </w:r>
          </w:p>
        </w:tc>
        <w:tc>
          <w:tcPr>
            <w:tcW w:w="2158" w:type="pct"/>
            <w:noWrap w:val="0"/>
            <w:vAlign w:val="center"/>
          </w:tcPr>
          <w:p>
            <w:pPr>
              <w:widowControl w:val="0"/>
              <w:autoSpaceDE w:val="0"/>
              <w:autoSpaceDN w:val="0"/>
              <w:adjustRightInd w:val="0"/>
              <w:snapToGrid w:val="0"/>
              <w:spacing w:line="280" w:lineRule="exact"/>
              <w:ind w:firstLine="0" w:firstLineChars="0"/>
              <w:jc w:val="center"/>
              <w:rPr>
                <w:rFonts w:hint="eastAsia"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输送管道破损产生泄漏，造成地表水、地下水和土壤污染</w:t>
            </w:r>
          </w:p>
        </w:tc>
      </w:tr>
    </w:tbl>
    <w:p>
      <w:pPr>
        <w:adjustRightInd w:val="0"/>
        <w:snapToGrid w:val="0"/>
        <w:spacing w:line="480" w:lineRule="exact"/>
        <w:ind w:firstLine="480" w:firstLineChars="200"/>
        <w:rPr>
          <w:rFonts w:hint="eastAsia"/>
          <w:color w:val="auto"/>
          <w:sz w:val="24"/>
          <w:highlight w:val="none"/>
        </w:rPr>
      </w:pPr>
      <w:r>
        <w:rPr>
          <w:rFonts w:hint="eastAsia"/>
          <w:color w:val="auto"/>
          <w:sz w:val="24"/>
          <w:highlight w:val="none"/>
        </w:rPr>
        <w:t>根据《建设项目环境风险评价导则》（HJ169-2018）附录E。危险源定量风险评价的泄漏概率详见表4</w:t>
      </w:r>
      <w:r>
        <w:rPr>
          <w:rFonts w:hint="eastAsia"/>
          <w:color w:val="auto"/>
          <w:sz w:val="24"/>
          <w:highlight w:val="none"/>
          <w:lang w:val="en-US" w:eastAsia="zh-CN"/>
        </w:rPr>
        <w:t>.2</w:t>
      </w:r>
      <w:r>
        <w:rPr>
          <w:rFonts w:hint="eastAsia"/>
          <w:color w:val="auto"/>
          <w:sz w:val="24"/>
          <w:highlight w:val="none"/>
        </w:rPr>
        <w:t>-</w:t>
      </w:r>
      <w:r>
        <w:rPr>
          <w:rFonts w:hint="eastAsia"/>
          <w:color w:val="auto"/>
          <w:sz w:val="24"/>
          <w:highlight w:val="none"/>
          <w:lang w:val="en-US" w:eastAsia="zh-CN"/>
        </w:rPr>
        <w:t>48</w:t>
      </w:r>
      <w:r>
        <w:rPr>
          <w:rFonts w:hint="eastAsia"/>
          <w:color w:val="auto"/>
          <w:sz w:val="24"/>
          <w:highlight w:val="none"/>
        </w:rPr>
        <w:t>。</w:t>
      </w:r>
    </w:p>
    <w:p>
      <w:pPr>
        <w:pStyle w:val="40"/>
        <w:rPr>
          <w:rFonts w:hint="eastAsia"/>
          <w:color w:val="auto"/>
          <w:highlight w:val="none"/>
          <w:lang w:val="en-US" w:eastAsia="zh-CN"/>
        </w:rPr>
      </w:pPr>
      <w:r>
        <w:rPr>
          <w:rFonts w:hint="eastAsia"/>
          <w:color w:val="auto"/>
          <w:highlight w:val="none"/>
          <w:lang w:val="en-US" w:eastAsia="zh-CN"/>
        </w:rPr>
        <w:t>表4.2-48 泄漏频率表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821"/>
        <w:gridCol w:w="3085"/>
        <w:gridCol w:w="23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jc w:val="center"/>
        </w:trPr>
        <w:tc>
          <w:tcPr>
            <w:tcW w:w="1705" w:type="pct"/>
            <w:noWrap w:val="0"/>
            <w:vAlign w:val="center"/>
          </w:tcPr>
          <w:p>
            <w:pPr>
              <w:autoSpaceDE w:val="0"/>
              <w:autoSpaceDN w:val="0"/>
              <w:adjustRightInd w:val="0"/>
              <w:snapToGrid w:val="0"/>
              <w:spacing w:line="280" w:lineRule="exact"/>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部件类型</w:t>
            </w:r>
          </w:p>
        </w:tc>
        <w:tc>
          <w:tcPr>
            <w:tcW w:w="1864" w:type="pct"/>
            <w:noWrap w:val="0"/>
            <w:vAlign w:val="center"/>
          </w:tcPr>
          <w:p>
            <w:pPr>
              <w:autoSpaceDE w:val="0"/>
              <w:autoSpaceDN w:val="0"/>
              <w:adjustRightInd w:val="0"/>
              <w:snapToGrid w:val="0"/>
              <w:spacing w:line="280" w:lineRule="exact"/>
              <w:jc w:val="center"/>
              <w:rPr>
                <w:rFonts w:ascii="Times New Roman" w:hAnsi="Times New Roman"/>
                <w:b/>
                <w:color w:val="auto"/>
                <w:kern w:val="0"/>
                <w:sz w:val="21"/>
                <w:szCs w:val="21"/>
                <w:highlight w:val="none"/>
              </w:rPr>
            </w:pPr>
            <w:r>
              <w:rPr>
                <w:rFonts w:ascii="Times New Roman" w:hAnsi="Times New Roman"/>
                <w:color w:val="auto"/>
                <w:kern w:val="0"/>
                <w:sz w:val="21"/>
                <w:szCs w:val="21"/>
                <w:highlight w:val="none"/>
              </w:rPr>
              <w:t>泄漏模式</w:t>
            </w:r>
          </w:p>
        </w:tc>
        <w:tc>
          <w:tcPr>
            <w:tcW w:w="1429" w:type="pct"/>
            <w:noWrap w:val="0"/>
            <w:vAlign w:val="center"/>
          </w:tcPr>
          <w:p>
            <w:pPr>
              <w:autoSpaceDE w:val="0"/>
              <w:autoSpaceDN w:val="0"/>
              <w:adjustRightInd w:val="0"/>
              <w:snapToGrid w:val="0"/>
              <w:spacing w:line="280" w:lineRule="exact"/>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泄漏频率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705" w:type="pct"/>
            <w:vMerge w:val="restart"/>
            <w:noWrap w:val="0"/>
            <w:vAlign w:val="center"/>
          </w:tcPr>
          <w:p>
            <w:pPr>
              <w:autoSpaceDE w:val="0"/>
              <w:autoSpaceDN w:val="0"/>
              <w:adjustRightInd w:val="0"/>
              <w:snapToGrid w:val="0"/>
              <w:spacing w:line="280" w:lineRule="exact"/>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反应器/工艺储罐/气体储罐/塔器</w:t>
            </w:r>
          </w:p>
        </w:tc>
        <w:tc>
          <w:tcPr>
            <w:tcW w:w="1864" w:type="pct"/>
            <w:noWrap w:val="0"/>
            <w:vAlign w:val="center"/>
          </w:tcPr>
          <w:p>
            <w:pPr>
              <w:autoSpaceDE w:val="0"/>
              <w:autoSpaceDN w:val="0"/>
              <w:adjustRightInd w:val="0"/>
              <w:snapToGrid w:val="0"/>
              <w:spacing w:line="280" w:lineRule="exact"/>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泄漏孔径为10mm孔径</w:t>
            </w:r>
          </w:p>
        </w:tc>
        <w:tc>
          <w:tcPr>
            <w:tcW w:w="1429" w:type="pct"/>
            <w:noWrap w:val="0"/>
            <w:vAlign w:val="center"/>
          </w:tcPr>
          <w:p>
            <w:pPr>
              <w:autoSpaceDE w:val="0"/>
              <w:autoSpaceDN w:val="0"/>
              <w:adjustRightInd w:val="0"/>
              <w:snapToGrid w:val="0"/>
              <w:spacing w:line="280" w:lineRule="exact"/>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1×10</w:t>
            </w:r>
            <w:r>
              <w:rPr>
                <w:rFonts w:ascii="Times New Roman" w:hAnsi="Times New Roman"/>
                <w:color w:val="auto"/>
                <w:kern w:val="0"/>
                <w:sz w:val="21"/>
                <w:szCs w:val="21"/>
                <w:highlight w:val="none"/>
                <w:vertAlign w:val="superscript"/>
              </w:rPr>
              <w:t>-4</w:t>
            </w:r>
            <w:r>
              <w:rPr>
                <w:rFonts w:ascii="Times New Roman" w:hAnsi="Times New Roman"/>
                <w:color w:val="auto"/>
                <w:kern w:val="0"/>
                <w:sz w:val="21"/>
                <w:szCs w:val="21"/>
                <w:highlight w:val="none"/>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705" w:type="pct"/>
            <w:vMerge w:val="continue"/>
            <w:noWrap w:val="0"/>
            <w:vAlign w:val="center"/>
          </w:tcPr>
          <w:p>
            <w:pPr>
              <w:autoSpaceDE w:val="0"/>
              <w:autoSpaceDN w:val="0"/>
              <w:adjustRightInd w:val="0"/>
              <w:snapToGrid w:val="0"/>
              <w:spacing w:line="280" w:lineRule="exact"/>
              <w:jc w:val="center"/>
              <w:rPr>
                <w:rFonts w:ascii="Times New Roman" w:hAnsi="Times New Roman"/>
                <w:color w:val="auto"/>
                <w:kern w:val="0"/>
                <w:sz w:val="21"/>
                <w:szCs w:val="21"/>
                <w:highlight w:val="none"/>
              </w:rPr>
            </w:pPr>
          </w:p>
        </w:tc>
        <w:tc>
          <w:tcPr>
            <w:tcW w:w="1864" w:type="pct"/>
            <w:noWrap w:val="0"/>
            <w:vAlign w:val="center"/>
          </w:tcPr>
          <w:p>
            <w:pPr>
              <w:autoSpaceDE w:val="0"/>
              <w:autoSpaceDN w:val="0"/>
              <w:adjustRightInd w:val="0"/>
              <w:snapToGrid w:val="0"/>
              <w:spacing w:line="280" w:lineRule="exact"/>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10min内储罐泄漏完</w:t>
            </w:r>
          </w:p>
        </w:tc>
        <w:tc>
          <w:tcPr>
            <w:tcW w:w="1429" w:type="pct"/>
            <w:noWrap w:val="0"/>
            <w:vAlign w:val="center"/>
          </w:tcPr>
          <w:p>
            <w:pPr>
              <w:autoSpaceDE w:val="0"/>
              <w:autoSpaceDN w:val="0"/>
              <w:adjustRightInd w:val="0"/>
              <w:snapToGrid w:val="0"/>
              <w:spacing w:line="280" w:lineRule="exact"/>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5×10</w:t>
            </w:r>
            <w:r>
              <w:rPr>
                <w:rFonts w:ascii="Times New Roman" w:hAnsi="Times New Roman"/>
                <w:color w:val="auto"/>
                <w:kern w:val="0"/>
                <w:sz w:val="21"/>
                <w:szCs w:val="21"/>
                <w:highlight w:val="none"/>
                <w:vertAlign w:val="superscript"/>
              </w:rPr>
              <w:t>-6</w:t>
            </w:r>
            <w:r>
              <w:rPr>
                <w:rFonts w:ascii="Times New Roman" w:hAnsi="Times New Roman"/>
                <w:color w:val="auto"/>
                <w:kern w:val="0"/>
                <w:sz w:val="21"/>
                <w:szCs w:val="21"/>
                <w:highlight w:val="none"/>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705" w:type="pct"/>
            <w:vMerge w:val="continue"/>
            <w:noWrap w:val="0"/>
            <w:vAlign w:val="center"/>
          </w:tcPr>
          <w:p>
            <w:pPr>
              <w:autoSpaceDE w:val="0"/>
              <w:autoSpaceDN w:val="0"/>
              <w:adjustRightInd w:val="0"/>
              <w:snapToGrid w:val="0"/>
              <w:spacing w:line="280" w:lineRule="exact"/>
              <w:jc w:val="center"/>
              <w:rPr>
                <w:rFonts w:ascii="Times New Roman" w:hAnsi="Times New Roman"/>
                <w:color w:val="auto"/>
                <w:kern w:val="0"/>
                <w:sz w:val="21"/>
                <w:szCs w:val="21"/>
                <w:highlight w:val="none"/>
              </w:rPr>
            </w:pPr>
          </w:p>
        </w:tc>
        <w:tc>
          <w:tcPr>
            <w:tcW w:w="1864" w:type="pct"/>
            <w:noWrap w:val="0"/>
            <w:vAlign w:val="center"/>
          </w:tcPr>
          <w:p>
            <w:pPr>
              <w:autoSpaceDE w:val="0"/>
              <w:autoSpaceDN w:val="0"/>
              <w:adjustRightInd w:val="0"/>
              <w:snapToGrid w:val="0"/>
              <w:spacing w:line="280" w:lineRule="exact"/>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储罐全破裂</w:t>
            </w:r>
          </w:p>
        </w:tc>
        <w:tc>
          <w:tcPr>
            <w:tcW w:w="1429" w:type="pct"/>
            <w:noWrap w:val="0"/>
            <w:vAlign w:val="center"/>
          </w:tcPr>
          <w:p>
            <w:pPr>
              <w:autoSpaceDE w:val="0"/>
              <w:autoSpaceDN w:val="0"/>
              <w:adjustRightInd w:val="0"/>
              <w:snapToGrid w:val="0"/>
              <w:spacing w:line="280" w:lineRule="exact"/>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5×10</w:t>
            </w:r>
            <w:r>
              <w:rPr>
                <w:rFonts w:ascii="Times New Roman" w:hAnsi="Times New Roman"/>
                <w:color w:val="auto"/>
                <w:kern w:val="0"/>
                <w:sz w:val="21"/>
                <w:szCs w:val="21"/>
                <w:highlight w:val="none"/>
                <w:vertAlign w:val="superscript"/>
              </w:rPr>
              <w:t>-6</w:t>
            </w:r>
            <w:r>
              <w:rPr>
                <w:rFonts w:ascii="Times New Roman" w:hAnsi="Times New Roman"/>
                <w:color w:val="auto"/>
                <w:kern w:val="0"/>
                <w:sz w:val="21"/>
                <w:szCs w:val="21"/>
                <w:highlight w:val="none"/>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1705" w:type="pct"/>
            <w:noWrap w:val="0"/>
            <w:vAlign w:val="center"/>
          </w:tcPr>
          <w:p>
            <w:pPr>
              <w:autoSpaceDE w:val="0"/>
              <w:autoSpaceDN w:val="0"/>
              <w:adjustRightInd w:val="0"/>
              <w:snapToGrid w:val="0"/>
              <w:spacing w:line="280" w:lineRule="exact"/>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内径≦75mm的管道</w:t>
            </w:r>
          </w:p>
        </w:tc>
        <w:tc>
          <w:tcPr>
            <w:tcW w:w="1864" w:type="pct"/>
            <w:noWrap w:val="0"/>
            <w:vAlign w:val="center"/>
          </w:tcPr>
          <w:p>
            <w:pPr>
              <w:autoSpaceDE w:val="0"/>
              <w:autoSpaceDN w:val="0"/>
              <w:adjustRightInd w:val="0"/>
              <w:snapToGrid w:val="0"/>
              <w:spacing w:line="280" w:lineRule="exact"/>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泄漏孔径为10%孔径全管径泄漏</w:t>
            </w:r>
          </w:p>
        </w:tc>
        <w:tc>
          <w:tcPr>
            <w:tcW w:w="1429" w:type="pct"/>
            <w:noWrap w:val="0"/>
            <w:vAlign w:val="center"/>
          </w:tcPr>
          <w:p>
            <w:pPr>
              <w:autoSpaceDE w:val="0"/>
              <w:autoSpaceDN w:val="0"/>
              <w:adjustRightInd w:val="0"/>
              <w:snapToGrid w:val="0"/>
              <w:spacing w:line="28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5×10</w:t>
            </w:r>
            <w:r>
              <w:rPr>
                <w:rFonts w:ascii="Times New Roman" w:hAnsi="Times New Roman"/>
                <w:color w:val="auto"/>
                <w:sz w:val="21"/>
                <w:szCs w:val="21"/>
                <w:highlight w:val="none"/>
                <w:vertAlign w:val="superscript"/>
              </w:rPr>
              <w:t>-6</w:t>
            </w:r>
            <w:r>
              <w:rPr>
                <w:rFonts w:ascii="Times New Roman" w:hAnsi="Times New Roman"/>
                <w:color w:val="auto"/>
                <w:sz w:val="21"/>
                <w:szCs w:val="21"/>
                <w:highlight w:val="none"/>
              </w:rPr>
              <w:t>/（m·a）</w:t>
            </w:r>
          </w:p>
          <w:p>
            <w:pPr>
              <w:pStyle w:val="2"/>
              <w:jc w:val="center"/>
              <w:rPr>
                <w:color w:val="auto"/>
                <w:highlight w:val="none"/>
              </w:rPr>
            </w:pPr>
            <w:r>
              <w:rPr>
                <w:color w:val="auto"/>
                <w:kern w:val="0"/>
                <w:sz w:val="21"/>
                <w:szCs w:val="21"/>
                <w:highlight w:val="none"/>
              </w:rPr>
              <w:t>1×10</w:t>
            </w:r>
            <w:r>
              <w:rPr>
                <w:color w:val="auto"/>
                <w:kern w:val="0"/>
                <w:sz w:val="21"/>
                <w:szCs w:val="21"/>
                <w:highlight w:val="none"/>
                <w:vertAlign w:val="superscript"/>
              </w:rPr>
              <w:t>-6</w:t>
            </w:r>
            <w:r>
              <w:rPr>
                <w:color w:val="auto"/>
                <w:kern w:val="0"/>
                <w:sz w:val="21"/>
                <w:szCs w:val="21"/>
                <w:highlight w:val="none"/>
              </w:rPr>
              <w:t>/（m·a）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705" w:type="pct"/>
            <w:noWrap w:val="0"/>
            <w:vAlign w:val="center"/>
          </w:tcPr>
          <w:p>
            <w:pPr>
              <w:autoSpaceDE w:val="0"/>
              <w:autoSpaceDN w:val="0"/>
              <w:adjustRightInd w:val="0"/>
              <w:snapToGrid w:val="0"/>
              <w:spacing w:line="280" w:lineRule="exact"/>
              <w:jc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75mm&lt;</w:t>
            </w:r>
            <w:r>
              <w:rPr>
                <w:rFonts w:ascii="Times New Roman" w:hAnsi="Times New Roman"/>
                <w:color w:val="auto"/>
                <w:kern w:val="0"/>
                <w:sz w:val="21"/>
                <w:szCs w:val="21"/>
                <w:highlight w:val="none"/>
              </w:rPr>
              <w:t>内径≦</w:t>
            </w:r>
            <w:r>
              <w:rPr>
                <w:rFonts w:hint="eastAsia" w:ascii="Times New Roman" w:hAnsi="Times New Roman"/>
                <w:color w:val="auto"/>
                <w:kern w:val="0"/>
                <w:sz w:val="21"/>
                <w:szCs w:val="21"/>
                <w:highlight w:val="none"/>
              </w:rPr>
              <w:t>150</w:t>
            </w:r>
            <w:r>
              <w:rPr>
                <w:rFonts w:ascii="Times New Roman" w:hAnsi="Times New Roman"/>
                <w:color w:val="auto"/>
                <w:kern w:val="0"/>
                <w:sz w:val="21"/>
                <w:szCs w:val="21"/>
                <w:highlight w:val="none"/>
              </w:rPr>
              <w:t>mm的管道</w:t>
            </w:r>
          </w:p>
        </w:tc>
        <w:tc>
          <w:tcPr>
            <w:tcW w:w="1864" w:type="pct"/>
            <w:noWrap w:val="0"/>
            <w:vAlign w:val="center"/>
          </w:tcPr>
          <w:p>
            <w:pPr>
              <w:autoSpaceDE w:val="0"/>
              <w:autoSpaceDN w:val="0"/>
              <w:adjustRightInd w:val="0"/>
              <w:snapToGrid w:val="0"/>
              <w:spacing w:line="280" w:lineRule="exact"/>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泄漏孔径为10%孔径全管径泄漏</w:t>
            </w:r>
          </w:p>
        </w:tc>
        <w:tc>
          <w:tcPr>
            <w:tcW w:w="1429" w:type="pct"/>
            <w:noWrap w:val="0"/>
            <w:vAlign w:val="center"/>
          </w:tcPr>
          <w:p>
            <w:pPr>
              <w:autoSpaceDE w:val="0"/>
              <w:autoSpaceDN w:val="0"/>
              <w:adjustRightInd w:val="0"/>
              <w:snapToGrid w:val="0"/>
              <w:spacing w:line="280" w:lineRule="exact"/>
              <w:ind w:left="0" w:leftChars="0"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w:t>
            </w:r>
            <w:r>
              <w:rPr>
                <w:rFonts w:ascii="Times New Roman" w:hAnsi="Times New Roman"/>
                <w:color w:val="auto"/>
                <w:sz w:val="21"/>
                <w:szCs w:val="21"/>
                <w:highlight w:val="none"/>
              </w:rPr>
              <w:t>×10</w:t>
            </w:r>
            <w:r>
              <w:rPr>
                <w:rFonts w:ascii="Times New Roman" w:hAnsi="Times New Roman"/>
                <w:color w:val="auto"/>
                <w:sz w:val="21"/>
                <w:szCs w:val="21"/>
                <w:highlight w:val="none"/>
                <w:vertAlign w:val="superscript"/>
              </w:rPr>
              <w:t>-6</w:t>
            </w:r>
            <w:r>
              <w:rPr>
                <w:rFonts w:ascii="Times New Roman" w:hAnsi="Times New Roman"/>
                <w:color w:val="auto"/>
                <w:sz w:val="21"/>
                <w:szCs w:val="21"/>
                <w:highlight w:val="none"/>
              </w:rPr>
              <w:t>/（m·a）</w:t>
            </w:r>
          </w:p>
          <w:p>
            <w:pPr>
              <w:pStyle w:val="2"/>
              <w:ind w:left="0" w:leftChars="0" w:firstLine="0" w:firstLineChars="0"/>
              <w:jc w:val="center"/>
              <w:rPr>
                <w:color w:val="auto"/>
                <w:highlight w:val="none"/>
              </w:rPr>
            </w:pPr>
            <w:r>
              <w:rPr>
                <w:rFonts w:hint="eastAsia"/>
                <w:color w:val="auto"/>
                <w:kern w:val="0"/>
                <w:sz w:val="21"/>
                <w:szCs w:val="21"/>
                <w:highlight w:val="none"/>
              </w:rPr>
              <w:t>3</w:t>
            </w:r>
            <w:r>
              <w:rPr>
                <w:color w:val="auto"/>
                <w:kern w:val="0"/>
                <w:sz w:val="21"/>
                <w:szCs w:val="21"/>
                <w:highlight w:val="none"/>
              </w:rPr>
              <w:t>×10</w:t>
            </w:r>
            <w:r>
              <w:rPr>
                <w:color w:val="auto"/>
                <w:kern w:val="0"/>
                <w:sz w:val="21"/>
                <w:szCs w:val="21"/>
                <w:highlight w:val="none"/>
                <w:vertAlign w:val="superscript"/>
              </w:rPr>
              <w:t>-</w:t>
            </w:r>
            <w:r>
              <w:rPr>
                <w:rFonts w:hint="eastAsia"/>
                <w:color w:val="auto"/>
                <w:kern w:val="0"/>
                <w:sz w:val="21"/>
                <w:szCs w:val="21"/>
                <w:highlight w:val="none"/>
                <w:vertAlign w:val="superscript"/>
              </w:rPr>
              <w:t>7</w:t>
            </w:r>
            <w:r>
              <w:rPr>
                <w:color w:val="auto"/>
                <w:kern w:val="0"/>
                <w:sz w:val="21"/>
                <w:szCs w:val="21"/>
                <w:highlight w:val="none"/>
              </w:rPr>
              <w:t>/（m·a）</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olor w:val="auto"/>
          <w:sz w:val="24"/>
          <w:highlight w:val="none"/>
        </w:rPr>
      </w:pPr>
      <w:r>
        <w:rPr>
          <w:rFonts w:hint="eastAsia"/>
          <w:color w:val="auto"/>
          <w:sz w:val="24"/>
          <w:highlight w:val="none"/>
        </w:rPr>
        <w:t>由上表可知本项目沼气池泄漏最大风险概率为1×10</w:t>
      </w:r>
      <w:r>
        <w:rPr>
          <w:rFonts w:hint="eastAsia"/>
          <w:color w:val="auto"/>
          <w:sz w:val="24"/>
          <w:highlight w:val="none"/>
          <w:vertAlign w:val="superscript"/>
        </w:rPr>
        <w:t>-4</w:t>
      </w:r>
      <w:r>
        <w:rPr>
          <w:rFonts w:hint="eastAsia"/>
          <w:color w:val="auto"/>
          <w:sz w:val="24"/>
          <w:highlight w:val="none"/>
        </w:rPr>
        <w:t>/a，输送管道泄漏最大风险概率为5×10</w:t>
      </w:r>
      <w:r>
        <w:rPr>
          <w:rFonts w:hint="eastAsia"/>
          <w:color w:val="auto"/>
          <w:sz w:val="24"/>
          <w:highlight w:val="none"/>
          <w:vertAlign w:val="superscript"/>
        </w:rPr>
        <w:t>-5</w:t>
      </w:r>
      <w:r>
        <w:rPr>
          <w:rFonts w:hint="eastAsia"/>
          <w:color w:val="auto"/>
          <w:sz w:val="24"/>
          <w:highlight w:val="none"/>
        </w:rPr>
        <w:t>/a。</w:t>
      </w:r>
    </w:p>
    <w:p>
      <w:pPr>
        <w:pStyle w:val="6"/>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hint="eastAsia"/>
          <w:color w:val="auto"/>
          <w:highlight w:val="none"/>
          <w:lang w:val="en-US" w:eastAsia="zh-CN"/>
        </w:rPr>
      </w:pPr>
      <w:r>
        <w:rPr>
          <w:rFonts w:hint="eastAsia"/>
          <w:color w:val="auto"/>
          <w:highlight w:val="none"/>
          <w:lang w:val="en-US" w:eastAsia="zh-CN"/>
        </w:rPr>
        <w:t>4.2.7.5源项分析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1、沼气泄漏</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本项目可能会因管道、阀门破损致使沼气泄漏，使气体从破损处向外泄露。</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color w:val="auto"/>
          <w:highlight w:val="none"/>
        </w:rPr>
        <w:drawing>
          <wp:anchor distT="0" distB="0" distL="114300" distR="114300" simplePos="0" relativeHeight="254261248" behindDoc="1" locked="0" layoutInCell="1" allowOverlap="1">
            <wp:simplePos x="0" y="0"/>
            <wp:positionH relativeFrom="column">
              <wp:posOffset>1687195</wp:posOffset>
            </wp:positionH>
            <wp:positionV relativeFrom="paragraph">
              <wp:posOffset>837565</wp:posOffset>
            </wp:positionV>
            <wp:extent cx="2628900" cy="561975"/>
            <wp:effectExtent l="0" t="0" r="0" b="9525"/>
            <wp:wrapNone/>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49"/>
                    <a:stretch>
                      <a:fillRect/>
                    </a:stretch>
                  </pic:blipFill>
                  <pic:spPr>
                    <a:xfrm>
                      <a:off x="0" y="0"/>
                      <a:ext cx="2628900" cy="561975"/>
                    </a:xfrm>
                    <a:prstGeom prst="rect">
                      <a:avLst/>
                    </a:prstGeom>
                    <a:noFill/>
                    <a:ln>
                      <a:noFill/>
                    </a:ln>
                  </pic:spPr>
                </pic:pic>
              </a:graphicData>
            </a:graphic>
          </wp:anchor>
        </w:drawing>
      </w:r>
      <w:r>
        <w:rPr>
          <w:rFonts w:hint="eastAsia"/>
          <w:color w:val="auto"/>
          <w:sz w:val="24"/>
          <w:highlight w:val="none"/>
        </w:rPr>
        <w:t>本项目气体泄漏量采用《建设项目环境风险评价技术导则》（HJ/T169-2018）附录 F事故源强计算方法，气体泄漏量计算公式如下（沼气按其主要成分甲烷进行计算）：</w:t>
      </w:r>
    </w:p>
    <w:p>
      <w:pPr>
        <w:widowControl/>
        <w:adjustRightInd w:val="0"/>
        <w:snapToGrid w:val="0"/>
        <w:spacing w:line="480" w:lineRule="exact"/>
        <w:ind w:firstLine="480" w:firstLineChars="200"/>
        <w:jc w:val="left"/>
        <w:rPr>
          <w:rFonts w:hint="eastAsia"/>
          <w:color w:val="auto"/>
          <w:sz w:val="24"/>
          <w:highlight w:val="none"/>
        </w:rPr>
      </w:pPr>
    </w:p>
    <w:p>
      <w:pPr>
        <w:widowControl/>
        <w:adjustRightInd w:val="0"/>
        <w:snapToGrid w:val="0"/>
        <w:spacing w:line="480" w:lineRule="exact"/>
        <w:ind w:firstLine="480" w:firstLineChars="200"/>
        <w:jc w:val="left"/>
        <w:rPr>
          <w:rFonts w:hint="eastAsia"/>
          <w:color w:val="auto"/>
          <w:sz w:val="24"/>
          <w:highlight w:val="none"/>
        </w:rPr>
      </w:pPr>
    </w:p>
    <w:p>
      <w:pPr>
        <w:autoSpaceDE w:val="0"/>
        <w:adjustRightInd w:val="0"/>
        <w:snapToGrid w:val="0"/>
        <w:spacing w:line="500" w:lineRule="exact"/>
        <w:rPr>
          <w:rFonts w:hint="eastAsia"/>
          <w:color w:val="auto"/>
          <w:sz w:val="24"/>
          <w:highlight w:val="none"/>
        </w:rPr>
      </w:pPr>
      <w:r>
        <w:rPr>
          <w:rFonts w:hint="eastAsia"/>
          <w:color w:val="auto"/>
          <w:sz w:val="24"/>
          <w:highlight w:val="none"/>
        </w:rPr>
        <w:t>式中，Q</w:t>
      </w:r>
      <w:r>
        <w:rPr>
          <w:rFonts w:hint="eastAsia"/>
          <w:color w:val="auto"/>
          <w:sz w:val="24"/>
          <w:highlight w:val="none"/>
          <w:vertAlign w:val="subscript"/>
        </w:rPr>
        <w:t>C</w:t>
      </w:r>
      <w:r>
        <w:rPr>
          <w:rFonts w:hint="eastAsia"/>
          <w:color w:val="auto"/>
          <w:sz w:val="24"/>
          <w:highlight w:val="none"/>
        </w:rPr>
        <w:t xml:space="preserve">—气体泄漏速度，kg/s；   </w:t>
      </w:r>
    </w:p>
    <w:p>
      <w:pPr>
        <w:autoSpaceDE w:val="0"/>
        <w:adjustRightInd w:val="0"/>
        <w:snapToGrid w:val="0"/>
        <w:spacing w:line="500" w:lineRule="exact"/>
        <w:rPr>
          <w:rFonts w:hint="eastAsia"/>
          <w:color w:val="auto"/>
          <w:sz w:val="24"/>
          <w:highlight w:val="none"/>
        </w:rPr>
      </w:pPr>
      <w:r>
        <w:rPr>
          <w:rFonts w:hint="eastAsia"/>
          <w:color w:val="auto"/>
          <w:sz w:val="24"/>
          <w:highlight w:val="none"/>
        </w:rPr>
        <w:t>P—容器压力，Pa；本项目沼气储气压力为</w:t>
      </w:r>
      <w:r>
        <w:rPr>
          <w:color w:val="auto"/>
          <w:sz w:val="24"/>
          <w:highlight w:val="none"/>
        </w:rPr>
        <w:t>1.028×10</w:t>
      </w:r>
      <w:r>
        <w:rPr>
          <w:color w:val="auto"/>
          <w:sz w:val="24"/>
          <w:highlight w:val="none"/>
          <w:vertAlign w:val="superscript"/>
        </w:rPr>
        <w:t>5</w:t>
      </w:r>
      <w:r>
        <w:rPr>
          <w:rFonts w:hint="eastAsia"/>
          <w:color w:val="auto"/>
          <w:sz w:val="24"/>
          <w:highlight w:val="none"/>
        </w:rPr>
        <w:t>Pa；</w:t>
      </w:r>
    </w:p>
    <w:p>
      <w:pPr>
        <w:autoSpaceDE w:val="0"/>
        <w:adjustRightInd w:val="0"/>
        <w:snapToGrid w:val="0"/>
        <w:spacing w:line="500" w:lineRule="exact"/>
        <w:rPr>
          <w:rFonts w:hint="eastAsia"/>
          <w:color w:val="auto"/>
          <w:sz w:val="24"/>
          <w:highlight w:val="none"/>
        </w:rPr>
      </w:pPr>
      <w:r>
        <w:rPr>
          <w:rFonts w:hint="eastAsia"/>
          <w:color w:val="auto"/>
          <w:sz w:val="24"/>
          <w:highlight w:val="none"/>
        </w:rPr>
        <w:t>C</w:t>
      </w:r>
      <w:r>
        <w:rPr>
          <w:rFonts w:hint="eastAsia"/>
          <w:color w:val="auto"/>
          <w:sz w:val="24"/>
          <w:highlight w:val="none"/>
          <w:vertAlign w:val="subscript"/>
        </w:rPr>
        <w:t>d</w:t>
      </w:r>
      <w:r>
        <w:rPr>
          <w:rFonts w:hint="eastAsia"/>
          <w:color w:val="auto"/>
          <w:sz w:val="24"/>
          <w:highlight w:val="none"/>
        </w:rPr>
        <w:t xml:space="preserve">—气体泄漏系数；当裂口性状为圆形时取1.00，本次设定裂口性状为圆形；    </w:t>
      </w:r>
    </w:p>
    <w:p>
      <w:pPr>
        <w:autoSpaceDE w:val="0"/>
        <w:adjustRightInd w:val="0"/>
        <w:snapToGrid w:val="0"/>
        <w:spacing w:line="500" w:lineRule="exact"/>
        <w:rPr>
          <w:rFonts w:hint="eastAsia"/>
          <w:color w:val="auto"/>
          <w:sz w:val="24"/>
          <w:highlight w:val="none"/>
        </w:rPr>
      </w:pPr>
      <w:r>
        <w:rPr>
          <w:rFonts w:hint="eastAsia"/>
          <w:color w:val="auto"/>
          <w:sz w:val="24"/>
          <w:highlight w:val="none"/>
        </w:rPr>
        <w:t>A—裂口面积，m</w:t>
      </w:r>
      <w:r>
        <w:rPr>
          <w:rFonts w:hint="eastAsia"/>
          <w:color w:val="auto"/>
          <w:sz w:val="24"/>
          <w:highlight w:val="none"/>
          <w:vertAlign w:val="superscript"/>
        </w:rPr>
        <w:t>2</w:t>
      </w:r>
      <w:r>
        <w:rPr>
          <w:rFonts w:hint="eastAsia"/>
          <w:color w:val="auto"/>
          <w:sz w:val="24"/>
          <w:highlight w:val="none"/>
        </w:rPr>
        <w:t>；经计算，本项目为</w:t>
      </w:r>
      <w:r>
        <w:rPr>
          <w:color w:val="auto"/>
          <w:sz w:val="24"/>
          <w:highlight w:val="none"/>
        </w:rPr>
        <w:t>3.14×10</w:t>
      </w:r>
      <w:r>
        <w:rPr>
          <w:color w:val="auto"/>
          <w:sz w:val="24"/>
          <w:highlight w:val="none"/>
          <w:vertAlign w:val="superscript"/>
        </w:rPr>
        <w:t>-4</w:t>
      </w:r>
      <w:r>
        <w:rPr>
          <w:rFonts w:hint="eastAsia"/>
          <w:color w:val="auto"/>
          <w:sz w:val="24"/>
          <w:highlight w:val="none"/>
        </w:rPr>
        <w:t>m</w:t>
      </w:r>
      <w:r>
        <w:rPr>
          <w:rFonts w:hint="eastAsia"/>
          <w:color w:val="auto"/>
          <w:sz w:val="24"/>
          <w:highlight w:val="none"/>
          <w:vertAlign w:val="superscript"/>
        </w:rPr>
        <w:t>2</w:t>
      </w:r>
      <w:r>
        <w:rPr>
          <w:rFonts w:hint="eastAsia"/>
          <w:color w:val="auto"/>
          <w:sz w:val="24"/>
          <w:highlight w:val="none"/>
        </w:rPr>
        <w:t>；</w:t>
      </w:r>
    </w:p>
    <w:p>
      <w:pPr>
        <w:autoSpaceDE w:val="0"/>
        <w:adjustRightInd w:val="0"/>
        <w:snapToGrid w:val="0"/>
        <w:spacing w:line="500" w:lineRule="exact"/>
        <w:rPr>
          <w:rFonts w:hint="eastAsia"/>
          <w:color w:val="auto"/>
          <w:sz w:val="24"/>
          <w:highlight w:val="none"/>
        </w:rPr>
      </w:pPr>
      <w:r>
        <w:rPr>
          <w:rFonts w:hint="eastAsia"/>
          <w:color w:val="auto"/>
          <w:sz w:val="24"/>
          <w:highlight w:val="none"/>
        </w:rPr>
        <w:t xml:space="preserve">M—分子量；甲烷为16.04g/mol；     </w:t>
      </w:r>
    </w:p>
    <w:p>
      <w:pPr>
        <w:autoSpaceDE w:val="0"/>
        <w:adjustRightInd w:val="0"/>
        <w:snapToGrid w:val="0"/>
        <w:spacing w:line="500" w:lineRule="exact"/>
        <w:rPr>
          <w:rFonts w:hint="eastAsia"/>
          <w:color w:val="auto"/>
          <w:sz w:val="24"/>
          <w:highlight w:val="none"/>
        </w:rPr>
      </w:pPr>
      <w:r>
        <w:rPr>
          <w:rFonts w:hint="eastAsia"/>
          <w:color w:val="auto"/>
          <w:sz w:val="24"/>
          <w:highlight w:val="none"/>
        </w:rPr>
        <w:t>R—气体常数，8.315J/(mol·K)；</w:t>
      </w:r>
    </w:p>
    <w:p>
      <w:pPr>
        <w:autoSpaceDE w:val="0"/>
        <w:adjustRightInd w:val="0"/>
        <w:snapToGrid w:val="0"/>
        <w:spacing w:line="500" w:lineRule="exact"/>
        <w:rPr>
          <w:rFonts w:hint="eastAsia"/>
          <w:color w:val="auto"/>
          <w:sz w:val="24"/>
          <w:highlight w:val="none"/>
        </w:rPr>
      </w:pPr>
      <w:r>
        <w:rPr>
          <w:rFonts w:hint="eastAsia"/>
          <w:color w:val="auto"/>
          <w:sz w:val="24"/>
          <w:highlight w:val="none"/>
        </w:rPr>
        <w:t>T</w:t>
      </w:r>
      <w:r>
        <w:rPr>
          <w:rFonts w:hint="eastAsia"/>
          <w:color w:val="auto"/>
          <w:sz w:val="24"/>
          <w:highlight w:val="none"/>
          <w:vertAlign w:val="subscript"/>
        </w:rPr>
        <w:t xml:space="preserve"> G</w:t>
      </w:r>
      <w:r>
        <w:rPr>
          <w:rFonts w:hint="eastAsia"/>
          <w:color w:val="auto"/>
          <w:sz w:val="24"/>
          <w:highlight w:val="none"/>
        </w:rPr>
        <w:t>—气体温度，K，本项目为</w:t>
      </w:r>
      <w:r>
        <w:rPr>
          <w:color w:val="auto"/>
          <w:sz w:val="24"/>
          <w:highlight w:val="none"/>
        </w:rPr>
        <w:t>（273+25）K</w:t>
      </w:r>
      <w:r>
        <w:rPr>
          <w:rFonts w:hint="eastAsia"/>
          <w:color w:val="auto"/>
          <w:sz w:val="24"/>
          <w:highlight w:val="none"/>
        </w:rPr>
        <w:t xml:space="preserve">；     </w:t>
      </w:r>
    </w:p>
    <w:p>
      <w:pPr>
        <w:autoSpaceDE w:val="0"/>
        <w:adjustRightInd w:val="0"/>
        <w:snapToGrid w:val="0"/>
        <w:spacing w:line="500" w:lineRule="exact"/>
        <w:rPr>
          <w:rFonts w:hint="eastAsia"/>
          <w:color w:val="auto"/>
          <w:sz w:val="24"/>
          <w:highlight w:val="none"/>
        </w:rPr>
      </w:pPr>
      <w:r>
        <w:rPr>
          <w:rFonts w:hint="eastAsia"/>
          <w:color w:val="auto"/>
          <w:sz w:val="24"/>
          <w:highlight w:val="none"/>
        </w:rPr>
        <w:t>Y—流出系数，甲烷为0.757；</w:t>
      </w:r>
    </w:p>
    <w:p>
      <w:pPr>
        <w:autoSpaceDE w:val="0"/>
        <w:adjustRightInd w:val="0"/>
        <w:snapToGrid w:val="0"/>
        <w:spacing w:line="500" w:lineRule="exact"/>
        <w:rPr>
          <w:rFonts w:hint="eastAsia"/>
          <w:color w:val="auto"/>
          <w:sz w:val="24"/>
          <w:highlight w:val="none"/>
        </w:rPr>
      </w:pPr>
      <w:r>
        <w:rPr>
          <w:rFonts w:hint="eastAsia"/>
          <w:color w:val="auto"/>
          <w:sz w:val="24"/>
          <w:highlight w:val="none"/>
        </w:rPr>
        <w:t>K—气体的绝热指数（热容比），即定压热容CP与定容热容CV之比，甲烷为1.305。</w:t>
      </w:r>
    </w:p>
    <w:p>
      <w:pPr>
        <w:autoSpaceDE w:val="0"/>
        <w:adjustRightInd w:val="0"/>
        <w:snapToGrid w:val="0"/>
        <w:spacing w:line="500" w:lineRule="exact"/>
        <w:ind w:firstLine="480" w:firstLineChars="200"/>
        <w:rPr>
          <w:rFonts w:hint="eastAsia"/>
          <w:color w:val="auto"/>
          <w:sz w:val="24"/>
          <w:highlight w:val="none"/>
        </w:rPr>
      </w:pPr>
      <w:r>
        <w:rPr>
          <w:rFonts w:hint="eastAsia"/>
          <w:color w:val="auto"/>
          <w:sz w:val="24"/>
          <w:highlight w:val="none"/>
        </w:rPr>
        <w:t>拟建项目泄漏状况有项目事故防范设计措施以及建设方应急处理能力而定，通常情况下，气体发生泄漏后，通过堵漏处理，项目未设置紧急隔离系统，故泄漏事件设定为30min。气体泄漏主要在输送过程中由于阀门破裂而发生，阀门裂口按2cm计。经类比及估算得出本项目气体泄漏量，详见表4</w:t>
      </w:r>
      <w:r>
        <w:rPr>
          <w:rFonts w:hint="eastAsia"/>
          <w:color w:val="auto"/>
          <w:sz w:val="24"/>
          <w:highlight w:val="none"/>
          <w:lang w:val="en-US" w:eastAsia="zh-CN"/>
        </w:rPr>
        <w:t>.2</w:t>
      </w:r>
      <w:r>
        <w:rPr>
          <w:rFonts w:hint="eastAsia"/>
          <w:color w:val="auto"/>
          <w:sz w:val="24"/>
          <w:highlight w:val="none"/>
        </w:rPr>
        <w:t>-</w:t>
      </w:r>
      <w:r>
        <w:rPr>
          <w:rFonts w:hint="eastAsia"/>
          <w:color w:val="auto"/>
          <w:sz w:val="24"/>
          <w:highlight w:val="none"/>
          <w:lang w:val="en-US" w:eastAsia="zh-CN"/>
        </w:rPr>
        <w:t>49</w:t>
      </w:r>
      <w:r>
        <w:rPr>
          <w:rFonts w:hint="eastAsia"/>
          <w:color w:val="auto"/>
          <w:sz w:val="24"/>
          <w:highlight w:val="none"/>
        </w:rPr>
        <w:t>。</w:t>
      </w:r>
    </w:p>
    <w:p>
      <w:pPr>
        <w:pStyle w:val="40"/>
        <w:rPr>
          <w:rFonts w:hint="eastAsia"/>
          <w:color w:val="auto"/>
          <w:highlight w:val="none"/>
          <w:lang w:val="en-US" w:eastAsia="zh-CN"/>
        </w:rPr>
      </w:pPr>
      <w:r>
        <w:rPr>
          <w:rFonts w:hint="eastAsia"/>
          <w:color w:val="auto"/>
          <w:highlight w:val="none"/>
          <w:lang w:val="en-US" w:eastAsia="zh-CN"/>
        </w:rPr>
        <w:t>表4.2-49 项目沼气泄漏量</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26"/>
        <w:gridCol w:w="2834"/>
        <w:gridCol w:w="31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9" w:type="pct"/>
            <w:gridSpan w:val="2"/>
            <w:noWrap w:val="0"/>
            <w:vAlign w:val="center"/>
          </w:tcPr>
          <w:p>
            <w:pPr>
              <w:widowControl/>
              <w:jc w:val="center"/>
              <w:rPr>
                <w:color w:val="auto"/>
                <w:kern w:val="0"/>
                <w:sz w:val="21"/>
                <w:szCs w:val="21"/>
                <w:highlight w:val="none"/>
              </w:rPr>
            </w:pPr>
            <w:r>
              <w:rPr>
                <w:color w:val="auto"/>
                <w:kern w:val="0"/>
                <w:sz w:val="21"/>
                <w:szCs w:val="21"/>
                <w:highlight w:val="none"/>
              </w:rPr>
              <w:t>阀门裂口直径（cm）</w:t>
            </w:r>
          </w:p>
        </w:tc>
        <w:tc>
          <w:tcPr>
            <w:tcW w:w="1890" w:type="pct"/>
            <w:noWrap w:val="0"/>
            <w:vAlign w:val="center"/>
          </w:tcPr>
          <w:p>
            <w:pPr>
              <w:widowControl/>
              <w:jc w:val="center"/>
              <w:rPr>
                <w:color w:val="auto"/>
                <w:kern w:val="0"/>
                <w:sz w:val="21"/>
                <w:szCs w:val="21"/>
                <w:highlight w:val="none"/>
              </w:rPr>
            </w:pPr>
            <w:r>
              <w:rPr>
                <w:color w:val="auto"/>
                <w:kern w:val="0"/>
                <w:sz w:val="21"/>
                <w:szCs w:val="21"/>
                <w:highlight w:val="none"/>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9" w:type="pct"/>
            <w:gridSpan w:val="2"/>
            <w:noWrap w:val="0"/>
            <w:vAlign w:val="center"/>
          </w:tcPr>
          <w:p>
            <w:pPr>
              <w:widowControl/>
              <w:jc w:val="center"/>
              <w:rPr>
                <w:color w:val="auto"/>
                <w:kern w:val="0"/>
                <w:sz w:val="21"/>
                <w:szCs w:val="21"/>
                <w:highlight w:val="none"/>
              </w:rPr>
            </w:pPr>
            <w:r>
              <w:rPr>
                <w:color w:val="auto"/>
                <w:kern w:val="0"/>
                <w:sz w:val="21"/>
                <w:szCs w:val="21"/>
                <w:highlight w:val="none"/>
              </w:rPr>
              <w:t>泄漏时间（min）</w:t>
            </w:r>
          </w:p>
        </w:tc>
        <w:tc>
          <w:tcPr>
            <w:tcW w:w="1890" w:type="pct"/>
            <w:noWrap w:val="0"/>
            <w:vAlign w:val="center"/>
          </w:tcPr>
          <w:p>
            <w:pPr>
              <w:widowControl/>
              <w:jc w:val="center"/>
              <w:rPr>
                <w:color w:val="auto"/>
                <w:kern w:val="0"/>
                <w:sz w:val="21"/>
                <w:szCs w:val="21"/>
                <w:highlight w:val="none"/>
              </w:rPr>
            </w:pPr>
            <w:r>
              <w:rPr>
                <w:rFonts w:hint="eastAsia"/>
                <w:color w:val="auto"/>
                <w:kern w:val="0"/>
                <w:sz w:val="21"/>
                <w:szCs w:val="21"/>
                <w:highlight w:val="none"/>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34" w:type="pct"/>
            <w:noWrap w:val="0"/>
            <w:vAlign w:val="center"/>
          </w:tcPr>
          <w:p>
            <w:pPr>
              <w:widowControl/>
              <w:jc w:val="center"/>
              <w:rPr>
                <w:color w:val="auto"/>
                <w:kern w:val="0"/>
                <w:sz w:val="21"/>
                <w:szCs w:val="21"/>
                <w:highlight w:val="none"/>
              </w:rPr>
            </w:pPr>
            <w:r>
              <w:rPr>
                <w:color w:val="auto"/>
                <w:kern w:val="0"/>
                <w:sz w:val="21"/>
                <w:szCs w:val="21"/>
                <w:highlight w:val="none"/>
              </w:rPr>
              <w:t>泄漏速率（kg/s）</w:t>
            </w:r>
          </w:p>
        </w:tc>
        <w:tc>
          <w:tcPr>
            <w:tcW w:w="1675" w:type="pct"/>
            <w:noWrap w:val="0"/>
            <w:vAlign w:val="center"/>
          </w:tcPr>
          <w:p>
            <w:pPr>
              <w:widowControl/>
              <w:jc w:val="center"/>
              <w:rPr>
                <w:color w:val="auto"/>
                <w:kern w:val="0"/>
                <w:sz w:val="21"/>
                <w:szCs w:val="21"/>
                <w:highlight w:val="none"/>
              </w:rPr>
            </w:pPr>
            <w:r>
              <w:rPr>
                <w:color w:val="auto"/>
                <w:kern w:val="0"/>
                <w:sz w:val="21"/>
                <w:szCs w:val="21"/>
                <w:highlight w:val="none"/>
              </w:rPr>
              <w:t>沼气（以甲烷计）</w:t>
            </w:r>
          </w:p>
        </w:tc>
        <w:tc>
          <w:tcPr>
            <w:tcW w:w="1890" w:type="pct"/>
            <w:noWrap w:val="0"/>
            <w:vAlign w:val="center"/>
          </w:tcPr>
          <w:p>
            <w:pPr>
              <w:widowControl/>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1.31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34" w:type="pct"/>
            <w:noWrap w:val="0"/>
            <w:vAlign w:val="center"/>
          </w:tcPr>
          <w:p>
            <w:pPr>
              <w:widowControl/>
              <w:jc w:val="center"/>
              <w:rPr>
                <w:color w:val="auto"/>
                <w:kern w:val="0"/>
                <w:sz w:val="21"/>
                <w:szCs w:val="21"/>
                <w:highlight w:val="none"/>
              </w:rPr>
            </w:pPr>
            <w:r>
              <w:rPr>
                <w:rFonts w:hint="eastAsia"/>
                <w:color w:val="auto"/>
                <w:kern w:val="0"/>
                <w:sz w:val="21"/>
                <w:szCs w:val="21"/>
                <w:highlight w:val="none"/>
              </w:rPr>
              <w:t>3</w:t>
            </w:r>
            <w:r>
              <w:rPr>
                <w:color w:val="auto"/>
                <w:kern w:val="0"/>
                <w:sz w:val="21"/>
                <w:szCs w:val="21"/>
                <w:highlight w:val="none"/>
              </w:rPr>
              <w:t>0分钟泄漏量（kg）</w:t>
            </w:r>
          </w:p>
        </w:tc>
        <w:tc>
          <w:tcPr>
            <w:tcW w:w="1675" w:type="pct"/>
            <w:noWrap w:val="0"/>
            <w:vAlign w:val="center"/>
          </w:tcPr>
          <w:p>
            <w:pPr>
              <w:widowControl/>
              <w:jc w:val="center"/>
              <w:rPr>
                <w:color w:val="auto"/>
                <w:kern w:val="0"/>
                <w:sz w:val="21"/>
                <w:szCs w:val="21"/>
                <w:highlight w:val="none"/>
              </w:rPr>
            </w:pPr>
            <w:r>
              <w:rPr>
                <w:color w:val="auto"/>
                <w:kern w:val="0"/>
                <w:sz w:val="21"/>
                <w:szCs w:val="21"/>
                <w:highlight w:val="none"/>
              </w:rPr>
              <w:t>沼气（以甲烷计）</w:t>
            </w:r>
          </w:p>
        </w:tc>
        <w:tc>
          <w:tcPr>
            <w:tcW w:w="1890" w:type="pct"/>
            <w:noWrap w:val="0"/>
            <w:vAlign w:val="center"/>
          </w:tcPr>
          <w:p>
            <w:pPr>
              <w:widowControl/>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2358</w:t>
            </w:r>
          </w:p>
        </w:tc>
      </w:tr>
    </w:tbl>
    <w:p>
      <w:pPr>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、废水泄漏情况估算</w:t>
      </w:r>
    </w:p>
    <w:p>
      <w:pPr>
        <w:rPr>
          <w:rFonts w:hint="eastAsia"/>
          <w:color w:val="auto"/>
          <w:highlight w:val="none"/>
          <w:lang w:val="en-US" w:eastAsia="zh-CN"/>
        </w:rPr>
      </w:pPr>
      <w:r>
        <w:rPr>
          <w:rFonts w:hint="default"/>
          <w:color w:val="auto"/>
          <w:highlight w:val="none"/>
          <w:lang w:val="en-US" w:eastAsia="zh-CN"/>
        </w:rPr>
        <w:t>项目可能因输送管道破损等导致高浓度废水泄漏。本项目液体泄漏量采用《建设项目环境风险评价技术导则》（HJ/T169-2018）附录F事故源强计算方法，液体泄漏量计算公式如下</w:t>
      </w:r>
      <w:r>
        <w:rPr>
          <w:rFonts w:hint="eastAsia"/>
          <w:color w:val="auto"/>
          <w:highlight w:val="none"/>
          <w:lang w:val="en-US" w:eastAsia="zh-CN"/>
        </w:rPr>
        <w:t>：</w:t>
      </w:r>
    </w:p>
    <w:p>
      <w:pPr>
        <w:outlineLvl w:val="9"/>
        <w:rPr>
          <w:rFonts w:hint="default"/>
          <w:color w:val="auto"/>
          <w:highlight w:val="none"/>
          <w:lang w:val="en-US" w:eastAsia="zh-CN"/>
        </w:rPr>
      </w:pPr>
      <w:r>
        <w:rPr>
          <w:color w:val="auto"/>
          <w:highlight w:val="none"/>
        </w:rPr>
        <w:drawing>
          <wp:inline distT="0" distB="0" distL="114300" distR="114300">
            <wp:extent cx="3114675" cy="666750"/>
            <wp:effectExtent l="0" t="0" r="9525" b="0"/>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50"/>
                    <a:stretch>
                      <a:fillRect/>
                    </a:stretch>
                  </pic:blipFill>
                  <pic:spPr>
                    <a:xfrm>
                      <a:off x="0" y="0"/>
                      <a:ext cx="3114675" cy="666750"/>
                    </a:xfrm>
                    <a:prstGeom prst="rect">
                      <a:avLst/>
                    </a:prstGeom>
                    <a:noFill/>
                    <a:ln>
                      <a:noFill/>
                    </a:ln>
                  </pic:spPr>
                </pic:pic>
              </a:graphicData>
            </a:graphic>
          </wp:inline>
        </w:drawing>
      </w:r>
    </w:p>
    <w:p>
      <w:pPr>
        <w:rPr>
          <w:rFonts w:hint="default"/>
          <w:color w:val="auto"/>
          <w:highlight w:val="none"/>
          <w:lang w:val="en-US" w:eastAsia="zh-CN"/>
        </w:rPr>
      </w:pPr>
      <w:r>
        <w:rPr>
          <w:rFonts w:hint="default"/>
          <w:color w:val="auto"/>
          <w:highlight w:val="none"/>
          <w:lang w:val="en-US" w:eastAsia="zh-CN"/>
        </w:rPr>
        <w:t>式中：QL——液体泄漏速率，kg/s；</w:t>
      </w:r>
    </w:p>
    <w:p>
      <w:pPr>
        <w:rPr>
          <w:rFonts w:hint="default"/>
          <w:color w:val="auto"/>
          <w:highlight w:val="none"/>
          <w:lang w:val="en-US" w:eastAsia="zh-CN"/>
        </w:rPr>
      </w:pPr>
      <w:r>
        <w:rPr>
          <w:rFonts w:hint="default"/>
          <w:color w:val="auto"/>
          <w:highlight w:val="none"/>
          <w:lang w:val="en-US" w:eastAsia="zh-CN"/>
        </w:rPr>
        <w:t>P——容器内介质压力，Pa；</w:t>
      </w:r>
    </w:p>
    <w:p>
      <w:pPr>
        <w:rPr>
          <w:rFonts w:hint="default"/>
          <w:color w:val="auto"/>
          <w:highlight w:val="none"/>
          <w:lang w:val="en-US" w:eastAsia="zh-CN"/>
        </w:rPr>
      </w:pPr>
      <w:r>
        <w:rPr>
          <w:rFonts w:hint="default"/>
          <w:color w:val="auto"/>
          <w:highlight w:val="none"/>
          <w:lang w:val="en-US" w:eastAsia="zh-CN"/>
        </w:rPr>
        <w:t>P0——环境压力，Pa；</w:t>
      </w:r>
    </w:p>
    <w:p>
      <w:pPr>
        <w:rPr>
          <w:rFonts w:hint="default"/>
          <w:color w:val="auto"/>
          <w:highlight w:val="none"/>
          <w:lang w:val="en-US" w:eastAsia="zh-CN"/>
        </w:rPr>
      </w:pPr>
      <w:r>
        <w:rPr>
          <w:rFonts w:hint="default"/>
          <w:color w:val="auto"/>
          <w:highlight w:val="none"/>
          <w:lang w:val="en-US" w:eastAsia="zh-CN"/>
        </w:rPr>
        <w:t>ρ——泄漏液体密度，kg/m</w:t>
      </w:r>
      <w:r>
        <w:rPr>
          <w:rFonts w:hint="default"/>
          <w:color w:val="auto"/>
          <w:highlight w:val="none"/>
          <w:vertAlign w:val="superscript"/>
          <w:lang w:val="en-US" w:eastAsia="zh-CN"/>
        </w:rPr>
        <w:t>3</w:t>
      </w:r>
      <w:r>
        <w:rPr>
          <w:rFonts w:hint="default"/>
          <w:color w:val="auto"/>
          <w:highlight w:val="none"/>
          <w:lang w:val="en-US" w:eastAsia="zh-CN"/>
        </w:rPr>
        <w:t>；</w:t>
      </w:r>
    </w:p>
    <w:p>
      <w:pPr>
        <w:rPr>
          <w:rFonts w:hint="default"/>
          <w:color w:val="auto"/>
          <w:highlight w:val="none"/>
          <w:lang w:val="en-US" w:eastAsia="zh-CN"/>
        </w:rPr>
      </w:pPr>
      <w:r>
        <w:rPr>
          <w:rFonts w:hint="default"/>
          <w:color w:val="auto"/>
          <w:highlight w:val="none"/>
          <w:lang w:val="en-US" w:eastAsia="zh-CN"/>
        </w:rPr>
        <w:t>g ——重力加速度，9.81m/s</w:t>
      </w:r>
      <w:r>
        <w:rPr>
          <w:rFonts w:hint="default"/>
          <w:color w:val="auto"/>
          <w:highlight w:val="none"/>
          <w:vertAlign w:val="superscript"/>
          <w:lang w:val="en-US" w:eastAsia="zh-CN"/>
        </w:rPr>
        <w:t>2</w:t>
      </w:r>
      <w:r>
        <w:rPr>
          <w:rFonts w:hint="default"/>
          <w:color w:val="auto"/>
          <w:highlight w:val="none"/>
          <w:lang w:val="en-US" w:eastAsia="zh-CN"/>
        </w:rPr>
        <w:t>；</w:t>
      </w:r>
    </w:p>
    <w:p>
      <w:pPr>
        <w:rPr>
          <w:rFonts w:hint="default"/>
          <w:color w:val="auto"/>
          <w:highlight w:val="none"/>
          <w:lang w:val="en-US" w:eastAsia="zh-CN"/>
        </w:rPr>
      </w:pPr>
      <w:r>
        <w:rPr>
          <w:rFonts w:hint="default"/>
          <w:color w:val="auto"/>
          <w:highlight w:val="none"/>
          <w:lang w:val="en-US" w:eastAsia="zh-CN"/>
        </w:rPr>
        <w:t>h——裂口之上液位高度，m；</w:t>
      </w:r>
    </w:p>
    <w:p>
      <w:pPr>
        <w:rPr>
          <w:rFonts w:hint="default"/>
          <w:color w:val="auto"/>
          <w:highlight w:val="none"/>
          <w:lang w:val="en-US" w:eastAsia="zh-CN"/>
        </w:rPr>
      </w:pPr>
      <w:r>
        <w:rPr>
          <w:rFonts w:hint="default"/>
          <w:color w:val="auto"/>
          <w:highlight w:val="none"/>
          <w:lang w:val="en-US" w:eastAsia="zh-CN"/>
        </w:rPr>
        <w:t>Cd——液体泄漏系数，按表F.1选取；</w:t>
      </w:r>
    </w:p>
    <w:p>
      <w:pPr>
        <w:rPr>
          <w:rFonts w:hint="default"/>
          <w:color w:val="auto"/>
          <w:highlight w:val="none"/>
          <w:lang w:val="en-US" w:eastAsia="zh-CN"/>
        </w:rPr>
      </w:pPr>
      <w:r>
        <w:rPr>
          <w:rFonts w:hint="default"/>
          <w:color w:val="auto"/>
          <w:highlight w:val="none"/>
          <w:lang w:val="en-US" w:eastAsia="zh-CN"/>
        </w:rPr>
        <w:t>A——裂口面积，m</w:t>
      </w:r>
      <w:r>
        <w:rPr>
          <w:rFonts w:hint="default"/>
          <w:color w:val="auto"/>
          <w:highlight w:val="none"/>
          <w:vertAlign w:val="superscript"/>
          <w:lang w:val="en-US" w:eastAsia="zh-CN"/>
        </w:rPr>
        <w:t>2</w:t>
      </w:r>
      <w:r>
        <w:rPr>
          <w:rFonts w:hint="default"/>
          <w:color w:val="auto"/>
          <w:highlight w:val="none"/>
          <w:lang w:val="en-US" w:eastAsia="zh-CN"/>
        </w:rPr>
        <w:t>。</w:t>
      </w:r>
    </w:p>
    <w:p>
      <w:pPr>
        <w:pStyle w:val="40"/>
        <w:rPr>
          <w:rFonts w:hint="eastAsia"/>
          <w:color w:val="auto"/>
          <w:highlight w:val="none"/>
          <w:lang w:val="en-US" w:eastAsia="zh-CN"/>
        </w:rPr>
      </w:pPr>
      <w:r>
        <w:rPr>
          <w:rFonts w:hint="eastAsia"/>
          <w:color w:val="auto"/>
          <w:highlight w:val="none"/>
          <w:lang w:val="en-US" w:eastAsia="zh-CN"/>
        </w:rPr>
        <w:t>表4.2-50 液体泄漏系数（Cd）</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30"/>
        <w:gridCol w:w="1359"/>
        <w:gridCol w:w="1369"/>
        <w:gridCol w:w="3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96" w:type="pct"/>
            <w:vMerge w:val="restart"/>
            <w:noWrap w:val="0"/>
            <w:vAlign w:val="center"/>
          </w:tcPr>
          <w:p>
            <w:pPr>
              <w:autoSpaceDE w:val="0"/>
              <w:autoSpaceDN w:val="0"/>
              <w:adjustRightInd w:val="0"/>
              <w:snapToGrid w:val="0"/>
              <w:spacing w:line="280" w:lineRule="exact"/>
              <w:jc w:val="center"/>
              <w:rPr>
                <w:rFonts w:hint="default" w:ascii="Times New Roman" w:hAnsi="Times New Roman"/>
                <w:color w:val="auto"/>
                <w:kern w:val="0"/>
                <w:sz w:val="21"/>
                <w:szCs w:val="21"/>
                <w:highlight w:val="none"/>
                <w:lang w:val="en-US" w:eastAsia="zh-CN"/>
              </w:rPr>
            </w:pPr>
            <w:r>
              <w:rPr>
                <w:rFonts w:hint="eastAsia" w:ascii="Times New Roman" w:hAnsi="Times New Roman"/>
                <w:color w:val="auto"/>
                <w:kern w:val="0"/>
                <w:sz w:val="21"/>
                <w:szCs w:val="21"/>
                <w:highlight w:val="none"/>
                <w:lang w:eastAsia="zh-CN"/>
              </w:rPr>
              <w:t>雷诺数</w:t>
            </w:r>
            <w:r>
              <w:rPr>
                <w:rFonts w:hint="eastAsia" w:ascii="Times New Roman" w:hAnsi="Times New Roman"/>
                <w:color w:val="auto"/>
                <w:kern w:val="0"/>
                <w:sz w:val="21"/>
                <w:szCs w:val="21"/>
                <w:highlight w:val="none"/>
                <w:lang w:val="en-US" w:eastAsia="zh-CN"/>
              </w:rPr>
              <w:t>Re</w:t>
            </w:r>
          </w:p>
        </w:tc>
        <w:tc>
          <w:tcPr>
            <w:tcW w:w="3503" w:type="pct"/>
            <w:gridSpan w:val="3"/>
            <w:noWrap w:val="0"/>
            <w:vAlign w:val="center"/>
          </w:tcPr>
          <w:p>
            <w:pPr>
              <w:autoSpaceDE w:val="0"/>
              <w:autoSpaceDN w:val="0"/>
              <w:adjustRightInd w:val="0"/>
              <w:snapToGrid w:val="0"/>
              <w:spacing w:line="280" w:lineRule="exact"/>
              <w:jc w:val="center"/>
              <w:rPr>
                <w:rFonts w:hint="eastAsia" w:ascii="Times New Roman" w:hAnsi="Times New Roman"/>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裂口形状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96" w:type="pct"/>
            <w:vMerge w:val="continue"/>
            <w:noWrap w:val="0"/>
            <w:vAlign w:val="center"/>
          </w:tcPr>
          <w:p>
            <w:pPr>
              <w:autoSpaceDE w:val="0"/>
              <w:autoSpaceDN w:val="0"/>
              <w:adjustRightInd w:val="0"/>
              <w:snapToGrid w:val="0"/>
              <w:spacing w:line="280" w:lineRule="exact"/>
              <w:jc w:val="center"/>
              <w:rPr>
                <w:rFonts w:hint="eastAsia" w:ascii="Times New Roman" w:hAnsi="Times New Roman"/>
                <w:color w:val="auto"/>
                <w:kern w:val="0"/>
                <w:sz w:val="21"/>
                <w:szCs w:val="21"/>
                <w:highlight w:val="none"/>
                <w:lang w:eastAsia="zh-CN"/>
              </w:rPr>
            </w:pPr>
          </w:p>
        </w:tc>
        <w:tc>
          <w:tcPr>
            <w:tcW w:w="803" w:type="pct"/>
            <w:noWrap w:val="0"/>
            <w:vAlign w:val="center"/>
          </w:tcPr>
          <w:p>
            <w:pPr>
              <w:autoSpaceDE w:val="0"/>
              <w:autoSpaceDN w:val="0"/>
              <w:adjustRightInd w:val="0"/>
              <w:snapToGrid w:val="0"/>
              <w:spacing w:line="280" w:lineRule="exact"/>
              <w:ind w:left="0" w:leftChars="0" w:firstLine="0" w:firstLineChars="0"/>
              <w:jc w:val="center"/>
              <w:rPr>
                <w:rFonts w:hint="eastAsia" w:ascii="Times New Roman" w:hAnsi="Times New Roman"/>
                <w:color w:val="auto"/>
                <w:kern w:val="0"/>
                <w:sz w:val="21"/>
                <w:szCs w:val="21"/>
                <w:highlight w:val="none"/>
                <w:lang w:val="en-US" w:eastAsia="zh-CN"/>
              </w:rPr>
            </w:pPr>
            <w:r>
              <w:rPr>
                <w:rFonts w:hint="eastAsia" w:ascii="Times New Roman" w:hAnsi="Times New Roman"/>
                <w:color w:val="auto"/>
                <w:kern w:val="0"/>
                <w:sz w:val="21"/>
                <w:szCs w:val="21"/>
                <w:highlight w:val="none"/>
                <w:lang w:eastAsia="zh-CN"/>
              </w:rPr>
              <w:t>圆形（多边形）</w:t>
            </w:r>
          </w:p>
        </w:tc>
        <w:tc>
          <w:tcPr>
            <w:tcW w:w="809" w:type="pct"/>
            <w:noWrap w:val="0"/>
            <w:vAlign w:val="center"/>
          </w:tcPr>
          <w:p>
            <w:pPr>
              <w:autoSpaceDE w:val="0"/>
              <w:autoSpaceDN w:val="0"/>
              <w:adjustRightInd w:val="0"/>
              <w:snapToGrid w:val="0"/>
              <w:spacing w:line="280" w:lineRule="exact"/>
              <w:jc w:val="center"/>
              <w:rPr>
                <w:rFonts w:hint="eastAsia" w:ascii="Times New Roman" w:hAnsi="Times New Roman"/>
                <w:color w:val="auto"/>
                <w:kern w:val="0"/>
                <w:sz w:val="21"/>
                <w:szCs w:val="21"/>
                <w:highlight w:val="none"/>
                <w:lang w:val="en-US" w:eastAsia="zh-CN"/>
              </w:rPr>
            </w:pPr>
            <w:r>
              <w:rPr>
                <w:rFonts w:hint="eastAsia" w:ascii="Times New Roman" w:hAnsi="Times New Roman"/>
                <w:color w:val="auto"/>
                <w:kern w:val="0"/>
                <w:sz w:val="21"/>
                <w:szCs w:val="21"/>
                <w:highlight w:val="none"/>
                <w:lang w:eastAsia="zh-CN"/>
              </w:rPr>
              <w:t>三角形</w:t>
            </w:r>
          </w:p>
        </w:tc>
        <w:tc>
          <w:tcPr>
            <w:tcW w:w="1890" w:type="pct"/>
            <w:noWrap w:val="0"/>
            <w:vAlign w:val="center"/>
          </w:tcPr>
          <w:p>
            <w:pPr>
              <w:autoSpaceDE w:val="0"/>
              <w:autoSpaceDN w:val="0"/>
              <w:adjustRightInd w:val="0"/>
              <w:snapToGrid w:val="0"/>
              <w:spacing w:line="280" w:lineRule="exact"/>
              <w:jc w:val="center"/>
              <w:rPr>
                <w:rFonts w:hint="eastAsia" w:ascii="Times New Roman" w:hAnsi="Times New Roman"/>
                <w:color w:val="auto"/>
                <w:kern w:val="0"/>
                <w:sz w:val="21"/>
                <w:szCs w:val="21"/>
                <w:highlight w:val="none"/>
                <w:lang w:val="en-US" w:eastAsia="zh-CN"/>
              </w:rPr>
            </w:pPr>
            <w:r>
              <w:rPr>
                <w:rFonts w:hint="eastAsia" w:ascii="Times New Roman" w:hAnsi="Times New Roman"/>
                <w:color w:val="auto"/>
                <w:kern w:val="0"/>
                <w:sz w:val="21"/>
                <w:szCs w:val="21"/>
                <w:highlight w:val="none"/>
                <w:lang w:eastAsia="zh-CN"/>
              </w:rPr>
              <w:t>长方形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96" w:type="pct"/>
            <w:noWrap w:val="0"/>
            <w:vAlign w:val="center"/>
          </w:tcPr>
          <w:p>
            <w:pPr>
              <w:autoSpaceDE w:val="0"/>
              <w:autoSpaceDN w:val="0"/>
              <w:adjustRightInd w:val="0"/>
              <w:snapToGrid w:val="0"/>
              <w:spacing w:line="280" w:lineRule="exact"/>
              <w:jc w:val="center"/>
              <w:rPr>
                <w:rFonts w:hint="default" w:ascii="Times New Roman" w:hAnsi="Times New Roman"/>
                <w:color w:val="auto"/>
                <w:kern w:val="0"/>
                <w:sz w:val="21"/>
                <w:szCs w:val="21"/>
                <w:highlight w:val="none"/>
                <w:lang w:val="en-US" w:eastAsia="zh-CN"/>
              </w:rPr>
            </w:pPr>
            <w:r>
              <w:rPr>
                <w:rFonts w:hint="eastAsia" w:ascii="Times New Roman" w:hAnsi="Times New Roman"/>
                <w:color w:val="auto"/>
                <w:kern w:val="0"/>
                <w:sz w:val="21"/>
                <w:szCs w:val="21"/>
                <w:highlight w:val="none"/>
              </w:rPr>
              <w:t>＞</w:t>
            </w:r>
            <w:r>
              <w:rPr>
                <w:rFonts w:hint="eastAsia" w:ascii="Times New Roman" w:hAnsi="Times New Roman"/>
                <w:color w:val="auto"/>
                <w:kern w:val="0"/>
                <w:sz w:val="21"/>
                <w:szCs w:val="21"/>
                <w:highlight w:val="none"/>
                <w:lang w:val="en-US" w:eastAsia="zh-CN"/>
              </w:rPr>
              <w:t>100</w:t>
            </w:r>
          </w:p>
        </w:tc>
        <w:tc>
          <w:tcPr>
            <w:tcW w:w="803" w:type="pct"/>
            <w:noWrap w:val="0"/>
            <w:vAlign w:val="center"/>
          </w:tcPr>
          <w:p>
            <w:pPr>
              <w:autoSpaceDE w:val="0"/>
              <w:autoSpaceDN w:val="0"/>
              <w:adjustRightInd w:val="0"/>
              <w:snapToGrid w:val="0"/>
              <w:spacing w:line="280" w:lineRule="exact"/>
              <w:jc w:val="center"/>
              <w:rPr>
                <w:rFonts w:hint="default" w:ascii="Times New Roman" w:hAnsi="Times New Roman"/>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0.65</w:t>
            </w:r>
          </w:p>
        </w:tc>
        <w:tc>
          <w:tcPr>
            <w:tcW w:w="809" w:type="pct"/>
            <w:noWrap w:val="0"/>
            <w:vAlign w:val="center"/>
          </w:tcPr>
          <w:p>
            <w:pPr>
              <w:autoSpaceDE w:val="0"/>
              <w:autoSpaceDN w:val="0"/>
              <w:adjustRightInd w:val="0"/>
              <w:snapToGrid w:val="0"/>
              <w:spacing w:line="280" w:lineRule="exact"/>
              <w:jc w:val="center"/>
              <w:rPr>
                <w:rFonts w:hint="default" w:ascii="Times New Roman" w:hAnsi="Times New Roman"/>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0.60</w:t>
            </w:r>
          </w:p>
        </w:tc>
        <w:tc>
          <w:tcPr>
            <w:tcW w:w="1890" w:type="pct"/>
            <w:noWrap w:val="0"/>
            <w:vAlign w:val="center"/>
          </w:tcPr>
          <w:p>
            <w:pPr>
              <w:autoSpaceDE w:val="0"/>
              <w:autoSpaceDN w:val="0"/>
              <w:adjustRightInd w:val="0"/>
              <w:snapToGrid w:val="0"/>
              <w:spacing w:line="280" w:lineRule="exact"/>
              <w:jc w:val="center"/>
              <w:rPr>
                <w:rFonts w:hint="default" w:ascii="Times New Roman" w:hAnsi="Times New Roman"/>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96" w:type="pct"/>
            <w:noWrap w:val="0"/>
            <w:vAlign w:val="center"/>
          </w:tcPr>
          <w:p>
            <w:pPr>
              <w:autoSpaceDE w:val="0"/>
              <w:autoSpaceDN w:val="0"/>
              <w:adjustRightInd w:val="0"/>
              <w:snapToGrid w:val="0"/>
              <w:spacing w:line="280" w:lineRule="exact"/>
              <w:jc w:val="center"/>
              <w:rPr>
                <w:rFonts w:hint="default" w:ascii="Times New Roman" w:hAnsi="Times New Roman"/>
                <w:color w:val="auto"/>
                <w:kern w:val="0"/>
                <w:sz w:val="21"/>
                <w:szCs w:val="21"/>
                <w:highlight w:val="none"/>
                <w:lang w:val="en-US" w:eastAsia="zh-CN"/>
              </w:rPr>
            </w:pPr>
            <w:r>
              <w:rPr>
                <w:rFonts w:hint="eastAsia" w:ascii="Times New Roman" w:hAnsi="Times New Roman"/>
                <w:color w:val="auto"/>
                <w:kern w:val="0"/>
                <w:sz w:val="21"/>
                <w:szCs w:val="21"/>
                <w:highlight w:val="none"/>
              </w:rPr>
              <w:t>≦</w:t>
            </w:r>
            <w:r>
              <w:rPr>
                <w:rFonts w:hint="eastAsia" w:ascii="Times New Roman" w:hAnsi="Times New Roman"/>
                <w:color w:val="auto"/>
                <w:kern w:val="0"/>
                <w:sz w:val="21"/>
                <w:szCs w:val="21"/>
                <w:highlight w:val="none"/>
                <w:lang w:val="en-US" w:eastAsia="zh-CN"/>
              </w:rPr>
              <w:t>100</w:t>
            </w:r>
          </w:p>
        </w:tc>
        <w:tc>
          <w:tcPr>
            <w:tcW w:w="803" w:type="pct"/>
            <w:noWrap w:val="0"/>
            <w:vAlign w:val="center"/>
          </w:tcPr>
          <w:p>
            <w:pPr>
              <w:autoSpaceDE w:val="0"/>
              <w:autoSpaceDN w:val="0"/>
              <w:adjustRightInd w:val="0"/>
              <w:snapToGrid w:val="0"/>
              <w:spacing w:line="280" w:lineRule="exact"/>
              <w:jc w:val="center"/>
              <w:rPr>
                <w:rFonts w:hint="default" w:ascii="Times New Roman" w:hAnsi="Times New Roman"/>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0.50</w:t>
            </w:r>
          </w:p>
        </w:tc>
        <w:tc>
          <w:tcPr>
            <w:tcW w:w="809" w:type="pct"/>
            <w:noWrap w:val="0"/>
            <w:vAlign w:val="center"/>
          </w:tcPr>
          <w:p>
            <w:pPr>
              <w:autoSpaceDE w:val="0"/>
              <w:autoSpaceDN w:val="0"/>
              <w:adjustRightInd w:val="0"/>
              <w:snapToGrid w:val="0"/>
              <w:spacing w:line="280" w:lineRule="exact"/>
              <w:jc w:val="center"/>
              <w:rPr>
                <w:rFonts w:hint="default" w:ascii="Times New Roman" w:hAnsi="Times New Roman"/>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0.45</w:t>
            </w:r>
          </w:p>
        </w:tc>
        <w:tc>
          <w:tcPr>
            <w:tcW w:w="1890" w:type="pct"/>
            <w:noWrap w:val="0"/>
            <w:vAlign w:val="center"/>
          </w:tcPr>
          <w:p>
            <w:pPr>
              <w:autoSpaceDE w:val="0"/>
              <w:autoSpaceDN w:val="0"/>
              <w:adjustRightInd w:val="0"/>
              <w:snapToGrid w:val="0"/>
              <w:spacing w:line="280" w:lineRule="exact"/>
              <w:jc w:val="center"/>
              <w:rPr>
                <w:rFonts w:hint="default" w:ascii="Times New Roman" w:hAnsi="Times New Roman"/>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0.40</w:t>
            </w:r>
          </w:p>
        </w:tc>
      </w:tr>
    </w:tbl>
    <w:p>
      <w:pPr>
        <w:pStyle w:val="40"/>
        <w:rPr>
          <w:rFonts w:hint="eastAsia"/>
          <w:color w:val="auto"/>
          <w:highlight w:val="none"/>
          <w:lang w:val="en-US" w:eastAsia="zh-CN"/>
        </w:rPr>
      </w:pPr>
      <w:r>
        <w:rPr>
          <w:rFonts w:hint="eastAsia"/>
          <w:color w:val="auto"/>
          <w:highlight w:val="none"/>
          <w:lang w:val="en-US" w:eastAsia="zh-CN"/>
        </w:rPr>
        <w:t>表4.2-51 项目废水泄漏量估算</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260"/>
        <w:gridCol w:w="31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9" w:type="pct"/>
            <w:noWrap w:val="0"/>
            <w:vAlign w:val="center"/>
          </w:tcPr>
          <w:p>
            <w:pPr>
              <w:widowControl/>
              <w:jc w:val="center"/>
              <w:rPr>
                <w:color w:val="auto"/>
                <w:kern w:val="0"/>
                <w:sz w:val="21"/>
                <w:szCs w:val="21"/>
                <w:highlight w:val="none"/>
              </w:rPr>
            </w:pPr>
            <w:r>
              <w:rPr>
                <w:color w:val="auto"/>
                <w:kern w:val="0"/>
                <w:sz w:val="21"/>
                <w:szCs w:val="21"/>
                <w:highlight w:val="none"/>
              </w:rPr>
              <w:t>阀门裂口直径（cm）</w:t>
            </w:r>
          </w:p>
        </w:tc>
        <w:tc>
          <w:tcPr>
            <w:tcW w:w="1890" w:type="pct"/>
            <w:noWrap w:val="0"/>
            <w:vAlign w:val="center"/>
          </w:tcPr>
          <w:p>
            <w:pPr>
              <w:widowControl/>
              <w:jc w:val="center"/>
              <w:rPr>
                <w:color w:val="auto"/>
                <w:kern w:val="0"/>
                <w:sz w:val="21"/>
                <w:szCs w:val="21"/>
                <w:highlight w:val="none"/>
              </w:rPr>
            </w:pPr>
            <w:r>
              <w:rPr>
                <w:rFonts w:hint="eastAsia"/>
                <w:color w:val="auto"/>
                <w:kern w:val="0"/>
                <w:sz w:val="21"/>
                <w:szCs w:val="21"/>
                <w:highlight w:val="none"/>
              </w:rPr>
              <w:t>3.75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9" w:type="pct"/>
            <w:noWrap w:val="0"/>
            <w:vAlign w:val="center"/>
          </w:tcPr>
          <w:p>
            <w:pPr>
              <w:widowControl/>
              <w:jc w:val="center"/>
              <w:rPr>
                <w:rFonts w:hint="eastAsia"/>
                <w:color w:val="auto"/>
                <w:kern w:val="0"/>
                <w:sz w:val="21"/>
                <w:szCs w:val="21"/>
                <w:highlight w:val="none"/>
              </w:rPr>
            </w:pPr>
            <w:r>
              <w:rPr>
                <w:rFonts w:hint="eastAsia"/>
                <w:color w:val="auto"/>
                <w:kern w:val="0"/>
                <w:sz w:val="21"/>
                <w:szCs w:val="21"/>
                <w:highlight w:val="none"/>
              </w:rPr>
              <w:t>裂口形状</w:t>
            </w:r>
          </w:p>
        </w:tc>
        <w:tc>
          <w:tcPr>
            <w:tcW w:w="1890" w:type="pct"/>
            <w:noWrap w:val="0"/>
            <w:vAlign w:val="center"/>
          </w:tcPr>
          <w:p>
            <w:pPr>
              <w:widowControl/>
              <w:jc w:val="center"/>
              <w:rPr>
                <w:rFonts w:hint="eastAsia"/>
                <w:color w:val="auto"/>
                <w:kern w:val="0"/>
                <w:sz w:val="21"/>
                <w:szCs w:val="21"/>
                <w:highlight w:val="none"/>
              </w:rPr>
            </w:pPr>
            <w:r>
              <w:rPr>
                <w:rFonts w:hint="eastAsia"/>
                <w:color w:val="auto"/>
                <w:kern w:val="0"/>
                <w:sz w:val="21"/>
                <w:szCs w:val="21"/>
                <w:highlight w:val="none"/>
              </w:rPr>
              <w:t>三角形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9" w:type="pct"/>
            <w:noWrap w:val="0"/>
            <w:vAlign w:val="center"/>
          </w:tcPr>
          <w:p>
            <w:pPr>
              <w:widowControl/>
              <w:jc w:val="center"/>
              <w:rPr>
                <w:color w:val="auto"/>
                <w:kern w:val="0"/>
                <w:sz w:val="21"/>
                <w:szCs w:val="21"/>
                <w:highlight w:val="none"/>
              </w:rPr>
            </w:pPr>
            <w:r>
              <w:rPr>
                <w:rFonts w:hint="eastAsia"/>
                <w:color w:val="auto"/>
                <w:kern w:val="0"/>
                <w:sz w:val="21"/>
                <w:szCs w:val="21"/>
                <w:highlight w:val="none"/>
              </w:rPr>
              <w:t>液体泄漏系数C</w:t>
            </w:r>
            <w:r>
              <w:rPr>
                <w:rFonts w:hint="eastAsia"/>
                <w:color w:val="auto"/>
                <w:kern w:val="0"/>
                <w:sz w:val="21"/>
                <w:szCs w:val="21"/>
                <w:highlight w:val="none"/>
                <w:vertAlign w:val="subscript"/>
              </w:rPr>
              <w:t>d</w:t>
            </w:r>
          </w:p>
        </w:tc>
        <w:tc>
          <w:tcPr>
            <w:tcW w:w="1890" w:type="pct"/>
            <w:noWrap w:val="0"/>
            <w:vAlign w:val="center"/>
          </w:tcPr>
          <w:p>
            <w:pPr>
              <w:widowControl/>
              <w:jc w:val="center"/>
              <w:rPr>
                <w:color w:val="auto"/>
                <w:kern w:val="0"/>
                <w:sz w:val="21"/>
                <w:szCs w:val="21"/>
                <w:highlight w:val="none"/>
              </w:rPr>
            </w:pPr>
            <w:r>
              <w:rPr>
                <w:rFonts w:hint="eastAsia"/>
                <w:color w:val="auto"/>
                <w:kern w:val="0"/>
                <w:sz w:val="21"/>
                <w:szCs w:val="21"/>
                <w:highlight w:val="none"/>
              </w:rPr>
              <w:t>0.60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9" w:type="pct"/>
            <w:noWrap w:val="0"/>
            <w:vAlign w:val="center"/>
          </w:tcPr>
          <w:p>
            <w:pPr>
              <w:widowControl/>
              <w:jc w:val="center"/>
              <w:rPr>
                <w:rFonts w:hint="eastAsia"/>
                <w:color w:val="auto"/>
                <w:kern w:val="0"/>
                <w:sz w:val="21"/>
                <w:szCs w:val="21"/>
                <w:highlight w:val="none"/>
              </w:rPr>
            </w:pPr>
            <w:r>
              <w:rPr>
                <w:rFonts w:hint="eastAsia"/>
                <w:color w:val="auto"/>
                <w:kern w:val="0"/>
                <w:sz w:val="21"/>
                <w:szCs w:val="21"/>
                <w:highlight w:val="none"/>
              </w:rPr>
              <w:t>裂口之上液位高度m</w:t>
            </w:r>
          </w:p>
        </w:tc>
        <w:tc>
          <w:tcPr>
            <w:tcW w:w="1890" w:type="pct"/>
            <w:noWrap w:val="0"/>
            <w:vAlign w:val="center"/>
          </w:tcPr>
          <w:p>
            <w:pPr>
              <w:widowControl/>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9" w:type="pct"/>
            <w:noWrap w:val="0"/>
            <w:vAlign w:val="center"/>
          </w:tcPr>
          <w:p>
            <w:pPr>
              <w:widowControl/>
              <w:jc w:val="center"/>
              <w:rPr>
                <w:rFonts w:hint="eastAsia"/>
                <w:color w:val="auto"/>
                <w:kern w:val="0"/>
                <w:sz w:val="21"/>
                <w:szCs w:val="21"/>
                <w:highlight w:val="none"/>
              </w:rPr>
            </w:pPr>
            <w:r>
              <w:rPr>
                <w:rFonts w:hint="eastAsia"/>
                <w:color w:val="auto"/>
                <w:kern w:val="0"/>
                <w:sz w:val="21"/>
                <w:szCs w:val="21"/>
                <w:highlight w:val="none"/>
              </w:rPr>
              <w:t>废水</w:t>
            </w:r>
            <w:r>
              <w:rPr>
                <w:color w:val="auto"/>
                <w:kern w:val="0"/>
                <w:sz w:val="21"/>
                <w:szCs w:val="21"/>
                <w:highlight w:val="none"/>
              </w:rPr>
              <w:t>泄漏速率（kg/s）</w:t>
            </w:r>
          </w:p>
        </w:tc>
        <w:tc>
          <w:tcPr>
            <w:tcW w:w="1890" w:type="pct"/>
            <w:noWrap w:val="0"/>
            <w:vAlign w:val="center"/>
          </w:tcPr>
          <w:p>
            <w:pPr>
              <w:widowControl/>
              <w:jc w:val="center"/>
              <w:rPr>
                <w:color w:val="auto"/>
                <w:kern w:val="0"/>
                <w:sz w:val="21"/>
                <w:szCs w:val="21"/>
                <w:highlight w:val="none"/>
              </w:rPr>
            </w:pPr>
            <w:r>
              <w:rPr>
                <w:rFonts w:hint="eastAsia"/>
                <w:color w:val="auto"/>
                <w:kern w:val="0"/>
                <w:sz w:val="21"/>
                <w:szCs w:val="21"/>
                <w:highlight w:val="none"/>
              </w:rPr>
              <w:t>0.48</w:t>
            </w:r>
          </w:p>
        </w:tc>
      </w:tr>
    </w:tbl>
    <w:p>
      <w:pPr>
        <w:pStyle w:val="6"/>
        <w:ind w:firstLine="482"/>
        <w:rPr>
          <w:rFonts w:hint="eastAsia"/>
          <w:color w:val="auto"/>
          <w:highlight w:val="none"/>
          <w:lang w:val="en-US" w:eastAsia="zh-CN"/>
        </w:rPr>
      </w:pPr>
      <w:r>
        <w:rPr>
          <w:rFonts w:hint="eastAsia"/>
          <w:color w:val="auto"/>
          <w:highlight w:val="none"/>
          <w:lang w:val="en-US" w:eastAsia="zh-CN"/>
        </w:rPr>
        <w:t>4.2.7.6风险评价</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（1）气体泄漏事故影响后果</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沼气主要成分为甲烷，发生泄漏，使局部区域空气中甲烷浓度升高，被区域内人员过量吸入会引起中毒事件，如遇明火，会发生火灾和爆炸事故。项目周边</w:t>
      </w:r>
      <w:r>
        <w:rPr>
          <w:rFonts w:hint="eastAsia"/>
          <w:color w:val="auto"/>
          <w:sz w:val="24"/>
          <w:highlight w:val="none"/>
          <w:lang w:val="en-US" w:eastAsia="zh-CN"/>
        </w:rPr>
        <w:t>3</w:t>
      </w:r>
      <w:r>
        <w:rPr>
          <w:rFonts w:hint="eastAsia"/>
          <w:color w:val="auto"/>
          <w:sz w:val="24"/>
          <w:highlight w:val="none"/>
        </w:rPr>
        <w:t>00m范围内无村庄故项目气体如发生泄漏，最可能影响的人群为养殖场内的工人。</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（2）爆炸事故影响后果</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沼气主要成分为甲烷。如发生泄漏，甲烷爆炸燃烧产生的物质为CO</w:t>
      </w:r>
      <w:r>
        <w:rPr>
          <w:rFonts w:hint="eastAsia"/>
          <w:color w:val="auto"/>
          <w:sz w:val="24"/>
          <w:highlight w:val="none"/>
          <w:vertAlign w:val="subscript"/>
        </w:rPr>
        <w:t>2</w:t>
      </w:r>
      <w:r>
        <w:rPr>
          <w:rFonts w:hint="eastAsia"/>
          <w:color w:val="auto"/>
          <w:sz w:val="24"/>
          <w:highlight w:val="none"/>
        </w:rPr>
        <w:t>和H</w:t>
      </w:r>
      <w:r>
        <w:rPr>
          <w:rFonts w:hint="eastAsia"/>
          <w:color w:val="auto"/>
          <w:sz w:val="24"/>
          <w:highlight w:val="none"/>
          <w:vertAlign w:val="subscript"/>
        </w:rPr>
        <w:t>2</w:t>
      </w:r>
      <w:r>
        <w:rPr>
          <w:rFonts w:hint="eastAsia"/>
          <w:color w:val="auto"/>
          <w:sz w:val="24"/>
          <w:highlight w:val="none"/>
        </w:rPr>
        <w:t>O。如果发生沼气及天然气爆炸燃烧会造成爆炸周边局部地区空气中CO</w:t>
      </w:r>
      <w:r>
        <w:rPr>
          <w:rFonts w:hint="eastAsia"/>
          <w:color w:val="auto"/>
          <w:sz w:val="24"/>
          <w:highlight w:val="none"/>
          <w:vertAlign w:val="subscript"/>
        </w:rPr>
        <w:t>2</w:t>
      </w:r>
      <w:r>
        <w:rPr>
          <w:rFonts w:hint="eastAsia"/>
          <w:color w:val="auto"/>
          <w:sz w:val="24"/>
          <w:highlight w:val="none"/>
        </w:rPr>
        <w:t>浓度过高，如过量吸入</w:t>
      </w:r>
      <w:r>
        <w:rPr>
          <w:rFonts w:hint="eastAsia"/>
          <w:color w:val="auto"/>
          <w:sz w:val="24"/>
          <w:highlight w:val="none"/>
          <w:lang w:val="en-US" w:eastAsia="zh-CN"/>
        </w:rPr>
        <w:t>CO、</w:t>
      </w:r>
      <w:r>
        <w:rPr>
          <w:rFonts w:hint="eastAsia"/>
          <w:color w:val="auto"/>
          <w:sz w:val="24"/>
          <w:highlight w:val="none"/>
        </w:rPr>
        <w:t>CO</w:t>
      </w:r>
      <w:r>
        <w:rPr>
          <w:rFonts w:hint="eastAsia"/>
          <w:color w:val="auto"/>
          <w:sz w:val="24"/>
          <w:highlight w:val="none"/>
          <w:vertAlign w:val="subscript"/>
        </w:rPr>
        <w:t>2</w:t>
      </w:r>
      <w:r>
        <w:rPr>
          <w:rFonts w:hint="eastAsia"/>
          <w:color w:val="auto"/>
          <w:sz w:val="24"/>
          <w:highlight w:val="none"/>
        </w:rPr>
        <w:t>会造成人员窒息。项目周边</w:t>
      </w:r>
      <w:r>
        <w:rPr>
          <w:rFonts w:hint="eastAsia"/>
          <w:color w:val="auto"/>
          <w:sz w:val="24"/>
          <w:highlight w:val="none"/>
          <w:lang w:val="en-US" w:eastAsia="zh-CN"/>
        </w:rPr>
        <w:t>3</w:t>
      </w:r>
      <w:r>
        <w:rPr>
          <w:rFonts w:hint="eastAsia"/>
          <w:color w:val="auto"/>
          <w:sz w:val="24"/>
          <w:highlight w:val="none"/>
        </w:rPr>
        <w:t>00m范围内无村庄，故项目储罐如发生爆炸，最可能影响的人群为养殖场内的工人。</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（3）废水泄漏事故影响后果</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如果发生高浓度有机废水泄漏，废水可能通过地表沟渠进入地表水体，引起河流污染；可能通过渗透进入地下水层，会引起场区及下游地下水污染、土壤污染。</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cs="Calibri"/>
          <w:color w:val="auto"/>
          <w:sz w:val="24"/>
          <w:highlight w:val="none"/>
        </w:rPr>
      </w:pPr>
      <w:r>
        <w:rPr>
          <w:rFonts w:cs="Calibri"/>
          <w:color w:val="auto"/>
          <w:sz w:val="24"/>
          <w:highlight w:val="none"/>
        </w:rPr>
        <w:t>①</w:t>
      </w:r>
      <w:r>
        <w:rPr>
          <w:rFonts w:hint="eastAsia" w:cs="Calibri"/>
          <w:color w:val="auto"/>
          <w:sz w:val="24"/>
          <w:highlight w:val="none"/>
        </w:rPr>
        <w:t>废水泄漏对地表水影响后果</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cs="Calibri"/>
          <w:color w:val="auto"/>
          <w:sz w:val="24"/>
          <w:highlight w:val="none"/>
        </w:rPr>
      </w:pPr>
      <w:r>
        <w:rPr>
          <w:rFonts w:hint="eastAsia" w:cs="Calibri"/>
          <w:color w:val="auto"/>
          <w:sz w:val="24"/>
          <w:highlight w:val="none"/>
        </w:rPr>
        <w:t>养殖废水的</w:t>
      </w:r>
      <w:r>
        <w:rPr>
          <w:rFonts w:hint="eastAsia" w:cs="Calibri"/>
          <w:color w:val="auto"/>
          <w:sz w:val="24"/>
          <w:highlight w:val="none"/>
          <w:lang w:eastAsia="zh-CN"/>
        </w:rPr>
        <w:t>污水管道</w:t>
      </w:r>
      <w:r>
        <w:rPr>
          <w:rFonts w:hint="eastAsia" w:cs="Calibri"/>
          <w:color w:val="auto"/>
          <w:sz w:val="24"/>
          <w:highlight w:val="none"/>
        </w:rPr>
        <w:t>可能会出现破损导致高浓度养殖废水泄漏，通过雨水管网和沟渠进入周边河流</w:t>
      </w:r>
      <w:r>
        <w:rPr>
          <w:rFonts w:hint="eastAsia" w:cs="Calibri"/>
          <w:color w:val="auto"/>
          <w:sz w:val="24"/>
          <w:highlight w:val="none"/>
          <w:lang w:eastAsia="zh-CN"/>
        </w:rPr>
        <w:t>老汝河</w:t>
      </w:r>
      <w:r>
        <w:rPr>
          <w:rFonts w:hint="eastAsia" w:cs="Calibri"/>
          <w:color w:val="auto"/>
          <w:sz w:val="24"/>
          <w:highlight w:val="none"/>
        </w:rPr>
        <w:t>，对</w:t>
      </w:r>
      <w:r>
        <w:rPr>
          <w:rFonts w:hint="eastAsia" w:cs="Calibri"/>
          <w:color w:val="auto"/>
          <w:sz w:val="24"/>
          <w:highlight w:val="none"/>
          <w:lang w:eastAsia="zh-CN"/>
        </w:rPr>
        <w:t>洪河</w:t>
      </w:r>
      <w:r>
        <w:rPr>
          <w:rFonts w:hint="eastAsia" w:cs="Calibri"/>
          <w:color w:val="auto"/>
          <w:sz w:val="24"/>
          <w:highlight w:val="none"/>
        </w:rPr>
        <w:t>水质造成污染。因此建设单位应加强对沼气池、污水管道的防控和管理，在日常运行过程中出现渗漏等事故工况下，应立即全量转移高浓度废水进入沼气池，并保证沼气池正常运行，将收集的废水送入沼气池，将废水泄漏的影响范围控制在厂区内。</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color w:val="auto"/>
          <w:sz w:val="24"/>
          <w:highlight w:val="none"/>
        </w:rPr>
      </w:pPr>
      <w:r>
        <w:rPr>
          <w:rFonts w:cs="Calibri"/>
          <w:color w:val="auto"/>
          <w:sz w:val="24"/>
          <w:highlight w:val="none"/>
        </w:rPr>
        <w:t>②</w:t>
      </w:r>
      <w:r>
        <w:rPr>
          <w:rFonts w:hint="eastAsia" w:cs="Calibri"/>
          <w:color w:val="auto"/>
          <w:sz w:val="24"/>
          <w:highlight w:val="none"/>
        </w:rPr>
        <w:t>泄漏</w:t>
      </w:r>
      <w:r>
        <w:rPr>
          <w:rFonts w:hint="eastAsia"/>
          <w:color w:val="auto"/>
          <w:sz w:val="24"/>
          <w:highlight w:val="none"/>
        </w:rPr>
        <w:t>事故对土壤的影响后果</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养殖废水泄漏时会给土壤和农作物的生长造成不良的影响，如引起作物徒长、返青、倒伏，使产量大大降低，推迟成熟期，影响后续作物的生产等。养殖废水中的大量有机物质在土壤中不断累积，虽然可为土壤中栖居的小动物、昆虫、真菌、细菌等提供营养物质和适宜的环境，但也可导致一些病原菌大量孳生引起病虫害的发生；此外，大量有机物的积累也会使土壤呈强还原性，而强还原性的条件不仅影响作物的根系生长，而且易使土壤中原本处于惰性状态的有害元素得到还原而释放；大量无机盐在土壤中的积聚则会引起作物的盐害。</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color w:val="auto"/>
          <w:sz w:val="24"/>
          <w:highlight w:val="none"/>
        </w:rPr>
      </w:pPr>
      <w:r>
        <w:rPr>
          <w:rFonts w:cs="Calibri"/>
          <w:color w:val="auto"/>
          <w:sz w:val="24"/>
          <w:highlight w:val="none"/>
        </w:rPr>
        <w:t>③</w:t>
      </w:r>
      <w:r>
        <w:rPr>
          <w:rFonts w:hint="eastAsia" w:cs="Calibri"/>
          <w:color w:val="auto"/>
          <w:sz w:val="24"/>
          <w:highlight w:val="none"/>
        </w:rPr>
        <w:t>泄漏</w:t>
      </w:r>
      <w:r>
        <w:rPr>
          <w:rFonts w:hint="eastAsia"/>
          <w:color w:val="auto"/>
          <w:sz w:val="24"/>
          <w:highlight w:val="none"/>
        </w:rPr>
        <w:t>事故对地下水的影响后果</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本项目产生的废水主要为养殖废水，不含重金属污染物，主要污染物为COD、氨氮，地下水污染及迁移是一个极其缓慢的过程。</w:t>
      </w:r>
    </w:p>
    <w:p>
      <w:pPr>
        <w:keepNext w:val="0"/>
        <w:keepLines w:val="0"/>
        <w:pageBreakBefore w:val="0"/>
        <w:widowControl/>
        <w:kinsoku/>
        <w:wordWrap/>
        <w:overflowPunct/>
        <w:topLinePunct w:val="0"/>
        <w:autoSpaceDN/>
        <w:bidi w:val="0"/>
        <w:adjustRightInd/>
        <w:snapToGrid/>
        <w:spacing w:line="360" w:lineRule="auto"/>
        <w:ind w:firstLine="480" w:firstLineChars="200"/>
        <w:textAlignment w:val="auto"/>
        <w:rPr>
          <w:rFonts w:hint="eastAsia" w:ascii="Times New Roman" w:hAnsi="Times New Roman" w:eastAsia="宋体"/>
          <w:color w:val="auto"/>
          <w:sz w:val="24"/>
          <w:szCs w:val="24"/>
          <w:highlight w:val="none"/>
          <w:lang w:eastAsia="zh-CN"/>
        </w:rPr>
      </w:pPr>
      <w:r>
        <w:rPr>
          <w:rFonts w:ascii="Times New Roman" w:hAnsi="Times New Roman"/>
          <w:color w:val="auto"/>
          <w:sz w:val="24"/>
          <w:szCs w:val="24"/>
          <w:highlight w:val="none"/>
        </w:rPr>
        <w:t>本次</w:t>
      </w:r>
      <w:r>
        <w:rPr>
          <w:rFonts w:hint="eastAsia" w:ascii="Times New Roman" w:hAnsi="Times New Roman"/>
          <w:color w:val="auto"/>
          <w:sz w:val="24"/>
          <w:szCs w:val="24"/>
          <w:highlight w:val="none"/>
        </w:rPr>
        <w:t>地下水风险评价参考地下水影响分析内容，</w:t>
      </w:r>
      <w:r>
        <w:rPr>
          <w:rFonts w:ascii="Times New Roman" w:hAnsi="Times New Roman"/>
          <w:color w:val="auto"/>
          <w:sz w:val="24"/>
          <w:szCs w:val="24"/>
          <w:highlight w:val="none"/>
        </w:rPr>
        <w:t>评价考虑养殖废水未经处理直接</w:t>
      </w:r>
      <w:r>
        <w:rPr>
          <w:rFonts w:hint="eastAsia"/>
          <w:color w:val="auto"/>
          <w:sz w:val="24"/>
          <w:szCs w:val="24"/>
          <w:highlight w:val="none"/>
          <w:lang w:eastAsia="zh-CN"/>
        </w:rPr>
        <w:t>经污水管道</w:t>
      </w:r>
      <w:r>
        <w:rPr>
          <w:rFonts w:ascii="Times New Roman" w:hAnsi="Times New Roman"/>
          <w:color w:val="auto"/>
          <w:sz w:val="24"/>
          <w:szCs w:val="24"/>
          <w:highlight w:val="none"/>
        </w:rPr>
        <w:t>渗入地下水，</w:t>
      </w:r>
      <w:r>
        <w:rPr>
          <w:rFonts w:hint="eastAsia" w:ascii="Times New Roman" w:hAnsi="Times New Roman"/>
          <w:color w:val="auto"/>
          <w:sz w:val="24"/>
          <w:szCs w:val="24"/>
          <w:highlight w:val="none"/>
        </w:rPr>
        <w:t>养殖废水</w:t>
      </w:r>
      <w:r>
        <w:rPr>
          <w:rFonts w:ascii="Times New Roman" w:hAnsi="Times New Roman"/>
          <w:color w:val="auto"/>
          <w:sz w:val="24"/>
          <w:szCs w:val="24"/>
          <w:highlight w:val="none"/>
        </w:rPr>
        <w:t>浓度为（COD</w:t>
      </w:r>
      <w:r>
        <w:rPr>
          <w:rFonts w:hint="eastAsia" w:ascii="Times New Roman" w:hAnsi="Times New Roman"/>
          <w:color w:val="auto"/>
          <w:sz w:val="24"/>
          <w:szCs w:val="24"/>
          <w:highlight w:val="none"/>
        </w:rPr>
        <w:t>14431.67</w:t>
      </w:r>
      <w:r>
        <w:rPr>
          <w:rFonts w:ascii="Times New Roman" w:hAnsi="Times New Roman"/>
          <w:color w:val="auto"/>
          <w:sz w:val="24"/>
          <w:szCs w:val="24"/>
          <w:highlight w:val="none"/>
        </w:rPr>
        <w:t>mg/L、NH</w:t>
      </w:r>
      <w:r>
        <w:rPr>
          <w:rFonts w:ascii="Times New Roman" w:hAnsi="Times New Roman"/>
          <w:color w:val="auto"/>
          <w:sz w:val="24"/>
          <w:szCs w:val="24"/>
          <w:highlight w:val="none"/>
          <w:vertAlign w:val="subscript"/>
        </w:rPr>
        <w:t>3</w:t>
      </w:r>
      <w:r>
        <w:rPr>
          <w:rFonts w:ascii="Times New Roman" w:hAnsi="Times New Roman"/>
          <w:color w:val="auto"/>
          <w:sz w:val="24"/>
          <w:szCs w:val="24"/>
          <w:highlight w:val="none"/>
        </w:rPr>
        <w:t>-N</w:t>
      </w:r>
      <w:r>
        <w:rPr>
          <w:rFonts w:hint="eastAsia"/>
          <w:color w:val="auto"/>
          <w:sz w:val="24"/>
          <w:szCs w:val="24"/>
          <w:highlight w:val="none"/>
          <w:lang w:val="en-US" w:eastAsia="zh-CN"/>
        </w:rPr>
        <w:t xml:space="preserve"> 962.44</w:t>
      </w:r>
      <w:r>
        <w:rPr>
          <w:rFonts w:ascii="Times New Roman" w:hAnsi="Times New Roman"/>
          <w:color w:val="auto"/>
          <w:sz w:val="24"/>
          <w:szCs w:val="24"/>
          <w:highlight w:val="none"/>
        </w:rPr>
        <w:t>mg/L）</w:t>
      </w:r>
      <w:r>
        <w:rPr>
          <w:rFonts w:hint="eastAsia"/>
          <w:color w:val="auto"/>
          <w:sz w:val="24"/>
          <w:szCs w:val="24"/>
          <w:highlight w:val="none"/>
          <w:lang w:eastAsia="zh-CN"/>
        </w:rPr>
        <w:t>。</w:t>
      </w:r>
    </w:p>
    <w:p>
      <w:pPr>
        <w:pStyle w:val="6"/>
        <w:ind w:firstLine="482"/>
        <w:rPr>
          <w:rFonts w:hint="eastAsia"/>
          <w:color w:val="auto"/>
          <w:highlight w:val="none"/>
          <w:lang w:val="en-US" w:eastAsia="zh-CN"/>
        </w:rPr>
      </w:pPr>
      <w:r>
        <w:rPr>
          <w:rFonts w:hint="eastAsia"/>
          <w:color w:val="auto"/>
          <w:highlight w:val="none"/>
          <w:lang w:val="en-US" w:eastAsia="zh-CN"/>
        </w:rPr>
        <w:t>4.2.7.7风险防范措施</w:t>
      </w:r>
    </w:p>
    <w:p>
      <w:pPr>
        <w:ind w:firstLine="480"/>
        <w:rPr>
          <w:color w:val="auto"/>
          <w:highlight w:val="none"/>
        </w:rPr>
      </w:pPr>
      <w:r>
        <w:rPr>
          <w:rFonts w:hint="eastAsia"/>
          <w:color w:val="auto"/>
          <w:highlight w:val="none"/>
        </w:rPr>
        <w:t>我国在安全生产上一贯坚持“预防为主、安全第一”的方针，工作重点应放在预防上。落实有效的风险防范将会减少事故发生的机率，将事故可能造成的危害减小到最低程度，减轻突发性事故对大气、水环境和生态环境的影响。要从日常管理上实行严格的环境安全管理，同时准备周密的事故应急对策，以便在万一发生的事故时快速应对，有序撤离人员和投入应急监测和救援。</w:t>
      </w:r>
    </w:p>
    <w:p>
      <w:pPr>
        <w:keepNext w:val="0"/>
        <w:keepLines w:val="0"/>
        <w:pageBreakBefore w:val="0"/>
        <w:widowControl/>
        <w:kinsoku/>
        <w:wordWrap/>
        <w:overflowPunct/>
        <w:topLinePunct w:val="0"/>
        <w:autoSpaceDN/>
        <w:bidi w:val="0"/>
        <w:adjustRightInd/>
        <w:snapToGrid/>
        <w:spacing w:before="0"/>
        <w:ind w:firstLine="482"/>
        <w:textAlignment w:val="auto"/>
        <w:outlineLvl w:val="9"/>
        <w:rPr>
          <w:rFonts w:hint="eastAsia" w:ascii="Times New Roman" w:hAnsi="Times New Roman" w:eastAsia="宋体" w:cstheme="minorBidi"/>
          <w:b w:val="0"/>
          <w:color w:val="auto"/>
          <w:kern w:val="2"/>
          <w:sz w:val="24"/>
          <w:szCs w:val="24"/>
          <w:highlight w:val="none"/>
          <w:lang w:val="zh-CN" w:eastAsia="zh-CN" w:bidi="ar-SA"/>
        </w:rPr>
      </w:pPr>
      <w:bookmarkStart w:id="40" w:name="_Toc399314520"/>
      <w:bookmarkStart w:id="41" w:name="_Toc392268502"/>
      <w:bookmarkStart w:id="42" w:name="_Toc391994054"/>
      <w:r>
        <w:rPr>
          <w:rFonts w:hint="eastAsia" w:ascii="Times New Roman" w:hAnsi="Times New Roman" w:eastAsia="宋体" w:cstheme="minorBidi"/>
          <w:b w:val="0"/>
          <w:color w:val="auto"/>
          <w:kern w:val="2"/>
          <w:sz w:val="24"/>
          <w:szCs w:val="24"/>
          <w:highlight w:val="none"/>
          <w:lang w:val="en-US" w:eastAsia="zh-CN" w:bidi="ar-SA"/>
        </w:rPr>
        <w:t>1、</w:t>
      </w:r>
      <w:bookmarkEnd w:id="40"/>
      <w:bookmarkEnd w:id="41"/>
      <w:bookmarkEnd w:id="42"/>
      <w:r>
        <w:rPr>
          <w:rFonts w:hint="eastAsia" w:ascii="Times New Roman" w:hAnsi="Times New Roman" w:eastAsia="宋体" w:cstheme="minorBidi"/>
          <w:b w:val="0"/>
          <w:color w:val="auto"/>
          <w:kern w:val="2"/>
          <w:sz w:val="24"/>
          <w:szCs w:val="24"/>
          <w:highlight w:val="none"/>
          <w:lang w:val="en-US" w:eastAsia="zh-CN" w:bidi="ar-SA"/>
        </w:rPr>
        <w:t>沼气泄漏预防</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ascii="Times New Roman" w:hAnsi="Times New Roman" w:eastAsia="宋体" w:cstheme="minorBidi"/>
          <w:b w:val="0"/>
          <w:color w:val="auto"/>
          <w:kern w:val="2"/>
          <w:sz w:val="24"/>
          <w:szCs w:val="24"/>
          <w:highlight w:val="none"/>
          <w:lang w:val="en-US" w:eastAsia="zh-CN" w:bidi="ar-SA"/>
        </w:rPr>
      </w:pPr>
      <w:r>
        <w:rPr>
          <w:rFonts w:hint="eastAsia" w:ascii="Times New Roman" w:hAnsi="Times New Roman" w:eastAsia="宋体" w:cstheme="minorBidi"/>
          <w:b w:val="0"/>
          <w:color w:val="auto"/>
          <w:kern w:val="2"/>
          <w:sz w:val="24"/>
          <w:szCs w:val="24"/>
          <w:highlight w:val="none"/>
          <w:lang w:val="en-US" w:eastAsia="zh-CN" w:bidi="ar-SA"/>
        </w:rPr>
        <w:t>（1）黑膜沼气池、管线进行适当的整体试验、外观检查或非破坏性的测厚检查、射线探伤，检查记录应存档备查。定期对黑膜沼气池外部检查，及时发现破损和漏处。</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2）黑膜沼气池施工阶段确保四周粘严，同时黑膜沼气池四周设置防护网。经常检查管道，若地下管道应采用防腐蚀材料，并在埋设的地面作标记，以防开挖时破坏管道，地上管道应防止汽车碰撞，并控制管道支撑的磨损。定期系统试压、定期检漏。管道施工应按规范要求进行。</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（3）定期对设备进行安全检测，检测内容、时间、人员应有记录保存，安全检测应根据设备的安全性、危险性设定检测频次。</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（4）严控火源</w:t>
      </w:r>
    </w:p>
    <w:p>
      <w:pPr>
        <w:keepNext w:val="0"/>
        <w:keepLines w:val="0"/>
        <w:pageBreakBefore w:val="0"/>
        <w:widowControl/>
        <w:kinsoku/>
        <w:wordWrap/>
        <w:overflowPunct/>
        <w:topLinePunct w:val="0"/>
        <w:autoSpaceDE w:val="0"/>
        <w:autoSpaceDN/>
        <w:bidi w:val="0"/>
        <w:adjustRightInd/>
        <w:snapToGrid/>
        <w:spacing w:line="360" w:lineRule="auto"/>
        <w:ind w:left="0" w:leftChars="0" w:firstLine="480" w:firstLineChars="200"/>
        <w:textAlignment w:val="auto"/>
        <w:outlineLvl w:val="9"/>
        <w:rPr>
          <w:rFonts w:hint="eastAsia"/>
          <w:color w:val="auto"/>
          <w:sz w:val="24"/>
          <w:highlight w:val="none"/>
        </w:rPr>
      </w:pPr>
      <w:r>
        <w:rPr>
          <w:rFonts w:hint="eastAsia"/>
          <w:color w:val="auto"/>
          <w:sz w:val="24"/>
          <w:highlight w:val="none"/>
        </w:rPr>
        <w:t>a、严禁火源进入治污区，对明火严格控制，在黑膜沼气池附近20m内不准有明火；</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b、对设备维修检查，需进行维修焊接，应经安全部门确认、准许，并有记录在案；另外，在危险区作业是不能使用能产生撞击火花的金属物体，应用铜工具，如用钢工具，表面应涂黄油；</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c、在黑膜沼气池上设置永久性接地装置；</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d、在装置区内的所有设备，电气装置都应满足防爆防火的要求。</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（6）人员的管理</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outlineLvl w:val="9"/>
        <w:rPr>
          <w:rFonts w:hint="eastAsia"/>
          <w:color w:val="auto"/>
          <w:sz w:val="24"/>
          <w:highlight w:val="none"/>
        </w:rPr>
      </w:pPr>
      <w:r>
        <w:rPr>
          <w:rFonts w:hint="eastAsia"/>
          <w:color w:val="auto"/>
          <w:sz w:val="24"/>
          <w:highlight w:val="none"/>
        </w:rPr>
        <w:t>a、加强沼气安全知识的宣传，加强对有关人员的培训教育和考核；</w:t>
      </w:r>
    </w:p>
    <w:p>
      <w:pPr>
        <w:keepNext w:val="0"/>
        <w:keepLines w:val="0"/>
        <w:pageBreakBefore w:val="0"/>
        <w:widowControl/>
        <w:kinsoku/>
        <w:wordWrap/>
        <w:overflowPunct/>
        <w:topLinePunct w:val="0"/>
        <w:autoSpaceDN/>
        <w:bidi w:val="0"/>
        <w:adjustRightInd/>
        <w:snapToGrid/>
        <w:spacing w:before="0" w:beforeLines="0"/>
        <w:ind w:firstLine="482"/>
        <w:textAlignment w:val="auto"/>
        <w:outlineLvl w:val="9"/>
        <w:rPr>
          <w:rFonts w:hint="eastAsia" w:cs="Times New Roman"/>
          <w:color w:val="auto"/>
          <w:highlight w:val="none"/>
          <w:lang w:val="zh-CN"/>
        </w:rPr>
      </w:pPr>
      <w:r>
        <w:rPr>
          <w:rFonts w:hint="eastAsia" w:cs="Times New Roman"/>
          <w:color w:val="auto"/>
          <w:highlight w:val="none"/>
          <w:lang w:val="zh-CN"/>
        </w:rPr>
        <w:t>b、严格规章制度和安全操作规程，强化安全监督检查和管理；</w:t>
      </w:r>
    </w:p>
    <w:p>
      <w:pPr>
        <w:keepNext w:val="0"/>
        <w:keepLines w:val="0"/>
        <w:pageBreakBefore w:val="0"/>
        <w:widowControl/>
        <w:kinsoku/>
        <w:wordWrap/>
        <w:overflowPunct/>
        <w:topLinePunct w:val="0"/>
        <w:autoSpaceDN/>
        <w:bidi w:val="0"/>
        <w:adjustRightInd/>
        <w:snapToGrid/>
        <w:spacing w:before="0" w:beforeLines="0"/>
        <w:ind w:firstLine="482"/>
        <w:textAlignment w:val="auto"/>
        <w:outlineLvl w:val="9"/>
        <w:rPr>
          <w:rFonts w:hint="eastAsia" w:cs="Times New Roman"/>
          <w:color w:val="auto"/>
          <w:highlight w:val="none"/>
          <w:lang w:val="zh-CN"/>
        </w:rPr>
      </w:pPr>
      <w:r>
        <w:rPr>
          <w:rFonts w:hint="eastAsia" w:cs="Times New Roman"/>
          <w:color w:val="auto"/>
          <w:highlight w:val="none"/>
          <w:lang w:val="zh-CN"/>
        </w:rPr>
        <w:t>c、沼气工程外设专职人员进行监理和维护，严禁其他人员进入。</w:t>
      </w:r>
    </w:p>
    <w:p>
      <w:pPr>
        <w:keepNext w:val="0"/>
        <w:keepLines w:val="0"/>
        <w:pageBreakBefore w:val="0"/>
        <w:widowControl/>
        <w:kinsoku/>
        <w:wordWrap/>
        <w:overflowPunct/>
        <w:topLinePunct w:val="0"/>
        <w:autoSpaceDN/>
        <w:bidi w:val="0"/>
        <w:adjustRightInd/>
        <w:snapToGrid/>
        <w:spacing w:before="0" w:beforeLines="0"/>
        <w:ind w:firstLine="482"/>
        <w:textAlignment w:val="auto"/>
        <w:outlineLvl w:val="9"/>
        <w:rPr>
          <w:rFonts w:cs="Times New Roman"/>
          <w:color w:val="auto"/>
          <w:highlight w:val="none"/>
          <w:lang w:val="zh-CN"/>
        </w:rPr>
      </w:pPr>
      <w:r>
        <w:rPr>
          <w:rFonts w:hint="eastAsia" w:cs="Times New Roman"/>
          <w:color w:val="auto"/>
          <w:highlight w:val="none"/>
          <w:lang w:val="en-US" w:eastAsia="zh-CN"/>
        </w:rPr>
        <w:t>2、</w:t>
      </w:r>
      <w:r>
        <w:rPr>
          <w:rFonts w:hint="eastAsia" w:cs="Times New Roman"/>
          <w:color w:val="auto"/>
          <w:highlight w:val="none"/>
          <w:lang w:val="zh-CN"/>
        </w:rPr>
        <w:t>火灾和爆炸的预防</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color w:val="auto"/>
          <w:highlight w:val="none"/>
        </w:rPr>
      </w:pPr>
      <w:r>
        <w:rPr>
          <w:rFonts w:hint="eastAsia" w:hAnsi="宋体"/>
          <w:color w:val="auto"/>
          <w:highlight w:val="none"/>
        </w:rPr>
        <w:t>①沼气在生产过程要密闭化、自动化，严防跑冒滴漏。</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color w:val="auto"/>
          <w:highlight w:val="none"/>
        </w:rPr>
      </w:pPr>
      <w:r>
        <w:rPr>
          <w:rFonts w:hint="eastAsia" w:hAnsi="宋体"/>
          <w:color w:val="auto"/>
          <w:highlight w:val="none"/>
        </w:rPr>
        <w:t>②设备的安全管理</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color w:val="auto"/>
          <w:highlight w:val="none"/>
        </w:rPr>
      </w:pPr>
      <w:r>
        <w:rPr>
          <w:rFonts w:hint="eastAsia" w:hAnsi="宋体"/>
          <w:color w:val="auto"/>
          <w:highlight w:val="none"/>
        </w:rPr>
        <w:t>定期对设备进行安全检测，检测内容、时间、人员应有记录保存，安全检测应根据设备的安全性、危险性设定检测频次。</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color w:val="auto"/>
          <w:highlight w:val="none"/>
        </w:rPr>
      </w:pPr>
      <w:r>
        <w:rPr>
          <w:rFonts w:hint="eastAsia" w:hAnsi="宋体"/>
          <w:color w:val="auto"/>
          <w:highlight w:val="none"/>
        </w:rPr>
        <w:t>③火源管理</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color w:val="auto"/>
          <w:highlight w:val="none"/>
        </w:rPr>
      </w:pPr>
      <w:r>
        <w:rPr>
          <w:rFonts w:hint="eastAsia" w:hAnsi="宋体"/>
          <w:color w:val="auto"/>
          <w:highlight w:val="none"/>
        </w:rPr>
        <w:t>a、严禁火源进入治污区，对明火严格控制，在</w:t>
      </w:r>
      <w:r>
        <w:rPr>
          <w:rFonts w:hint="eastAsia" w:hAnsi="宋体"/>
          <w:color w:val="auto"/>
          <w:highlight w:val="none"/>
          <w:lang w:eastAsia="zh-CN"/>
        </w:rPr>
        <w:t>黑膜</w:t>
      </w:r>
      <w:r>
        <w:rPr>
          <w:rFonts w:hint="eastAsia" w:hAnsi="宋体"/>
          <w:color w:val="auto"/>
          <w:highlight w:val="none"/>
        </w:rPr>
        <w:t>沼气池附近20m内不准有明火；</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color w:val="auto"/>
          <w:highlight w:val="none"/>
        </w:rPr>
      </w:pPr>
      <w:r>
        <w:rPr>
          <w:rFonts w:hint="eastAsia" w:hAnsi="宋体"/>
          <w:color w:val="auto"/>
          <w:highlight w:val="none"/>
        </w:rPr>
        <w:t>b、对设备维修检查，需进行维修焊接，应经安全部门确认、准许，并有记录在案；另外，在危险区作业是不能使用能产生撞击火花的金属物体，应用铜工具，如用钢工具，表面应涂黄油；</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color w:val="auto"/>
          <w:highlight w:val="none"/>
        </w:rPr>
      </w:pPr>
      <w:r>
        <w:rPr>
          <w:rFonts w:hint="eastAsia" w:hAnsi="宋体"/>
          <w:color w:val="auto"/>
          <w:highlight w:val="none"/>
        </w:rPr>
        <w:t>c、在</w:t>
      </w:r>
      <w:r>
        <w:rPr>
          <w:rFonts w:hint="eastAsia" w:hAnsi="宋体"/>
          <w:color w:val="auto"/>
          <w:highlight w:val="none"/>
          <w:lang w:eastAsia="zh-CN"/>
        </w:rPr>
        <w:t>黑膜</w:t>
      </w:r>
      <w:r>
        <w:rPr>
          <w:rFonts w:hint="eastAsia" w:hAnsi="宋体"/>
          <w:color w:val="auto"/>
          <w:highlight w:val="none"/>
        </w:rPr>
        <w:t>沼气池上设置永久性接地装置；</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color w:val="auto"/>
          <w:highlight w:val="none"/>
        </w:rPr>
      </w:pPr>
      <w:r>
        <w:rPr>
          <w:rFonts w:hint="eastAsia" w:hAnsi="宋体"/>
          <w:color w:val="auto"/>
          <w:highlight w:val="none"/>
        </w:rPr>
        <w:t>d、在装置区内的所有设备，电气装置都应满足防爆防火的要求。</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color w:val="auto"/>
          <w:highlight w:val="none"/>
        </w:rPr>
      </w:pPr>
      <w:r>
        <w:rPr>
          <w:rFonts w:hint="eastAsia" w:hAnsi="宋体"/>
          <w:color w:val="auto"/>
          <w:highlight w:val="none"/>
        </w:rPr>
        <w:t>④人员的管理</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color w:val="auto"/>
          <w:highlight w:val="none"/>
        </w:rPr>
      </w:pPr>
      <w:r>
        <w:rPr>
          <w:rFonts w:hint="eastAsia" w:hAnsi="宋体"/>
          <w:color w:val="auto"/>
          <w:highlight w:val="none"/>
        </w:rPr>
        <w:t>a、加强沼气安全知识的宣传，加强对有关人员的培训教育和考核；</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hAnsi="宋体"/>
          <w:color w:val="auto"/>
          <w:highlight w:val="none"/>
        </w:rPr>
      </w:pPr>
      <w:r>
        <w:rPr>
          <w:rFonts w:hint="eastAsia" w:hAnsi="宋体"/>
          <w:color w:val="auto"/>
          <w:highlight w:val="none"/>
        </w:rPr>
        <w:t>b、严格规章制度和安全操作规程，强化安全监督检查和管理；</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Ansi="宋体"/>
          <w:color w:val="auto"/>
          <w:highlight w:val="none"/>
        </w:rPr>
      </w:pPr>
      <w:r>
        <w:rPr>
          <w:rFonts w:hint="eastAsia" w:hAnsi="宋体"/>
          <w:color w:val="auto"/>
          <w:highlight w:val="none"/>
        </w:rPr>
        <w:t>c、沼气工程外设专职人员进行监理和维护，严禁其他人员进入。</w:t>
      </w:r>
    </w:p>
    <w:p>
      <w:pPr>
        <w:pageBreakBefore w:val="0"/>
        <w:widowControl/>
        <w:kinsoku/>
        <w:wordWrap/>
        <w:overflowPunct/>
        <w:topLinePunct w:val="0"/>
        <w:autoSpaceDN/>
        <w:bidi w:val="0"/>
        <w:adjustRightInd/>
        <w:snapToGrid/>
        <w:spacing w:before="0" w:beforeLines="0"/>
        <w:ind w:firstLine="482"/>
        <w:textAlignment w:val="auto"/>
        <w:outlineLvl w:val="9"/>
        <w:rPr>
          <w:rFonts w:cs="Times New Roman"/>
          <w:color w:val="auto"/>
          <w:highlight w:val="none"/>
          <w:lang w:val="zh-CN"/>
        </w:rPr>
      </w:pPr>
      <w:r>
        <w:rPr>
          <w:rFonts w:hint="eastAsia" w:cs="Times New Roman"/>
          <w:color w:val="auto"/>
          <w:highlight w:val="none"/>
          <w:lang w:val="en-US" w:eastAsia="zh-CN"/>
        </w:rPr>
        <w:t>3、</w:t>
      </w:r>
      <w:r>
        <w:rPr>
          <w:rFonts w:hint="eastAsia" w:cs="Times New Roman"/>
          <w:color w:val="auto"/>
          <w:highlight w:val="none"/>
          <w:lang w:val="zh-CN"/>
        </w:rPr>
        <w:t>动物疫情风险防范措施</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color w:val="auto"/>
          <w:highlight w:val="none"/>
        </w:rPr>
      </w:pPr>
      <w:r>
        <w:rPr>
          <w:rFonts w:hint="eastAsia"/>
          <w:color w:val="auto"/>
          <w:highlight w:val="none"/>
        </w:rPr>
        <w:t>饲养管理的动物卫生要求：</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color w:val="auto"/>
          <w:highlight w:val="none"/>
        </w:rPr>
      </w:pPr>
      <w:r>
        <w:rPr>
          <w:rFonts w:hint="eastAsia"/>
          <w:color w:val="auto"/>
          <w:highlight w:val="none"/>
        </w:rPr>
        <w:t xml:space="preserve">①制定卫生防疫管理制度，配备专职兽医技术人员和化验人员，并与当地畜牧相关部门及动物疫病预防控制机构合作，根据《中华人民共和国动物防疫法》及其配套法规的要求，由动物防疫监督机构定期对项目进行疫病监测，并由项目自有的兽医技术人员在日常对猪群进行健康检查，发现疑似病畜立即隔离观察，并采取有效防范措施； </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color w:val="auto"/>
          <w:highlight w:val="none"/>
        </w:rPr>
      </w:pPr>
      <w:r>
        <w:rPr>
          <w:rFonts w:hint="eastAsia"/>
          <w:color w:val="auto"/>
          <w:highlight w:val="none"/>
        </w:rPr>
        <w:t>②饲养区内猪只所需的饲料必须达到饲料卫生标准，所用的饲料、添加剂、兽药、疫苗需选择高效、安全、低毒、无污染的合格产品，不允许添加、使用国家规定禁用的饲料添加剂、兽药制剂、疫苗等，确保人畜、生态环境和动物产品的安全；</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color w:val="auto"/>
          <w:highlight w:val="none"/>
        </w:rPr>
      </w:pPr>
      <w:r>
        <w:rPr>
          <w:rFonts w:hint="eastAsia"/>
          <w:color w:val="auto"/>
          <w:highlight w:val="none"/>
        </w:rPr>
        <w:t>③根据《中华人民共和国动物防疫法》及其配套法规的要求，结合当地实际情况，选择合适的疫苗、免疫程序和免疫方法定期给猪只注射疫苗，兽用药品剂疫苗应统一购进和使用；</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color w:val="auto"/>
          <w:highlight w:val="none"/>
        </w:rPr>
      </w:pPr>
      <w:r>
        <w:rPr>
          <w:rFonts w:hint="eastAsia"/>
          <w:color w:val="auto"/>
          <w:highlight w:val="none"/>
        </w:rPr>
        <w:t>④养殖区内做好环境卫生和猪舍卫生的清洁工作，及时清扫粪便，其无害化处理应符合《畜禽养殖业污染排放标准》（GB18596-2001)；</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color w:val="auto"/>
          <w:highlight w:val="none"/>
        </w:rPr>
      </w:pPr>
      <w:r>
        <w:rPr>
          <w:rFonts w:hint="eastAsia"/>
          <w:color w:val="auto"/>
          <w:highlight w:val="none"/>
        </w:rPr>
        <w:t>⑤养殖区做好防鸟、杀虫、灭鼠工作，根据当地寄生虫、细菌性疾病的发生和危害情况，选择高效、低毒、无残留的药物，定期对养殖区进行驱虫和治疗，防止害虫孽生传播动物疫病。</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color w:val="auto"/>
          <w:highlight w:val="none"/>
        </w:rPr>
      </w:pPr>
      <w:r>
        <w:rPr>
          <w:rFonts w:hint="eastAsia"/>
          <w:color w:val="auto"/>
          <w:highlight w:val="none"/>
        </w:rPr>
        <w:t>项目区防疫制度：</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color w:val="auto"/>
          <w:highlight w:val="none"/>
        </w:rPr>
      </w:pPr>
      <w:r>
        <w:rPr>
          <w:rFonts w:hint="eastAsia"/>
          <w:color w:val="auto"/>
          <w:highlight w:val="none"/>
        </w:rPr>
        <w:t>①根据国家要求制定适合本项目的卫生防疫制度及应急响应预案；</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color w:val="auto"/>
          <w:highlight w:val="none"/>
        </w:rPr>
      </w:pPr>
      <w:r>
        <w:rPr>
          <w:rFonts w:hint="eastAsia"/>
          <w:color w:val="auto"/>
          <w:highlight w:val="none"/>
        </w:rPr>
        <w:t>②养殖场将生产区和生活区分开，生产区门口设置消毒池，各养殖区设置消毒池及消毒室；</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color w:val="auto"/>
          <w:highlight w:val="none"/>
        </w:rPr>
      </w:pPr>
      <w:r>
        <w:rPr>
          <w:rFonts w:hint="eastAsia"/>
          <w:color w:val="auto"/>
          <w:highlight w:val="none"/>
        </w:rPr>
        <w:t>③禁止无关人员进入生产区，确因工作需要必须进入场区的人员、车辆均进行严格的消毒；</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color w:val="auto"/>
          <w:highlight w:val="none"/>
        </w:rPr>
      </w:pPr>
      <w:r>
        <w:rPr>
          <w:rFonts w:hint="eastAsia"/>
          <w:color w:val="auto"/>
          <w:highlight w:val="none"/>
        </w:rPr>
        <w:t>④实行全进全出或实行分单元全进全出的饲养管理制度，一栋猪舍一个批次，每批猪只出栏后，圈舍应进行彻底的清洗、消毒，灭杀病原、防止连续感染和交叉感染；</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color w:val="auto"/>
          <w:highlight w:val="none"/>
        </w:rPr>
      </w:pPr>
      <w:r>
        <w:rPr>
          <w:rFonts w:hint="eastAsia"/>
          <w:color w:val="auto"/>
          <w:highlight w:val="none"/>
        </w:rPr>
        <w:t>⑤患病猪只应及时送入隔离舍进行隔离诊治或投入焚烧炉焚烧；对易感染的动物进行监测，并根据需要实施紧急免疫接种。</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color w:val="auto"/>
          <w:highlight w:val="none"/>
        </w:rPr>
      </w:pPr>
      <w:r>
        <w:rPr>
          <w:rFonts w:hint="eastAsia"/>
          <w:color w:val="auto"/>
          <w:highlight w:val="none"/>
        </w:rPr>
        <w:t>如发生重大动物疫情应报县级以上人民政府处理，并积极配合政府工作。</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color w:val="auto"/>
          <w:highlight w:val="none"/>
        </w:rPr>
      </w:pPr>
      <w:r>
        <w:rPr>
          <w:rFonts w:hint="eastAsia"/>
          <w:color w:val="auto"/>
          <w:highlight w:val="none"/>
        </w:rPr>
        <w:t>个人防护措施：</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color w:val="auto"/>
          <w:highlight w:val="none"/>
        </w:rPr>
      </w:pPr>
      <w:r>
        <w:rPr>
          <w:rFonts w:hint="eastAsia"/>
          <w:color w:val="auto"/>
          <w:highlight w:val="none"/>
        </w:rPr>
        <w:t xml:space="preserve"> ①管理传染源：加强畜类疫情监测，对感染动物应立即销毁，对疫源地进行封锁，侧地消毒，患者应立即隔离治疗，运转时应佩戴口罩；</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eastAsia"/>
          <w:color w:val="auto"/>
          <w:highlight w:val="none"/>
        </w:rPr>
      </w:pPr>
      <w:r>
        <w:rPr>
          <w:rFonts w:hint="eastAsia"/>
          <w:color w:val="auto"/>
          <w:highlight w:val="none"/>
        </w:rPr>
        <w:t xml:space="preserve"> ②切断传播途径：接触患者或患者分泌物后应洗手，处理患者血液或分泌物时应佩戴手套，被患者血液或分泌物污染的医疗器械应及时消毒，发生疫情时，应尽量减少与畜类的直接接触，接触时应注意防护，应戴上手套和口罩，穿上防护衣；</w:t>
      </w:r>
    </w:p>
    <w:p>
      <w:pPr>
        <w:keepNext w:val="0"/>
        <w:keepLines w:val="0"/>
        <w:pageBreakBefore w:val="0"/>
        <w:widowControl/>
        <w:kinsoku/>
        <w:wordWrap/>
        <w:overflowPunct/>
        <w:topLinePunct w:val="0"/>
        <w:autoSpaceDE/>
        <w:autoSpaceDN/>
        <w:bidi w:val="0"/>
        <w:adjustRightInd/>
        <w:snapToGrid/>
        <w:ind w:firstLine="480"/>
        <w:textAlignment w:val="auto"/>
        <w:outlineLvl w:val="9"/>
        <w:rPr>
          <w:color w:val="auto"/>
          <w:highlight w:val="none"/>
        </w:rPr>
      </w:pPr>
      <w:r>
        <w:rPr>
          <w:rFonts w:hint="eastAsia"/>
          <w:color w:val="auto"/>
          <w:highlight w:val="none"/>
        </w:rPr>
        <w:t xml:space="preserve"> ③日常防护：工人进入养殖场之前和之后，都应该换洗衣裳、洗澡、消毒搞好个人防护。</w:t>
      </w:r>
    </w:p>
    <w:p>
      <w:pPr>
        <w:keepNext w:val="0"/>
        <w:keepLines w:val="0"/>
        <w:pageBreakBefore w:val="0"/>
        <w:widowControl/>
        <w:kinsoku/>
        <w:wordWrap/>
        <w:overflowPunct/>
        <w:topLinePunct w:val="0"/>
        <w:autoSpaceDE/>
        <w:autoSpaceDN/>
        <w:bidi w:val="0"/>
        <w:adjustRightInd/>
        <w:snapToGrid/>
        <w:ind w:firstLine="482"/>
        <w:textAlignment w:val="auto"/>
        <w:outlineLvl w:val="9"/>
        <w:rPr>
          <w:rFonts w:hint="default" w:ascii="Times New Roman" w:hAnsi="Times New Roman" w:cs="Times New Roman"/>
          <w:color w:val="auto"/>
          <w:highlight w:val="none"/>
          <w:lang w:val="zh-CN"/>
        </w:rPr>
      </w:pPr>
      <w:r>
        <w:rPr>
          <w:rFonts w:hint="eastAsia" w:cs="Times New Roman"/>
          <w:color w:val="auto"/>
          <w:highlight w:val="none"/>
          <w:lang w:val="en-US" w:eastAsia="zh-CN"/>
        </w:rPr>
        <w:t>4</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zh-CN"/>
        </w:rPr>
        <w:t>安全管理措施</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（1）加强安全生产教育。安全生产教育包括特殊工种安全教育、日常安全教育以及外来人员安全教育等。</w:t>
      </w:r>
    </w:p>
    <w:p>
      <w:pPr>
        <w:keepNext w:val="0"/>
        <w:keepLines w:val="0"/>
        <w:pageBreakBefore w:val="0"/>
        <w:widowControl/>
        <w:kinsoku/>
        <w:wordWrap/>
        <w:overflowPunct/>
        <w:topLinePunct w:val="0"/>
        <w:autoSpaceDE/>
        <w:autoSpaceDN/>
        <w:bidi w:val="0"/>
        <w:adjustRightInd/>
        <w:snapToGrid/>
        <w:ind w:firstLine="480"/>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2）加强设备、管道、阀门等密封检查与维护，发现问题及时解决，在对设备进行大修时，严格检查，特别是泵等关键设备的检查，及时更换不宜再继续使用的配件。检修结束后和生产前组织技术人员对各设备、各工序进行认真仔细检查，发现问题及时解决。</w:t>
      </w:r>
    </w:p>
    <w:p>
      <w:pPr>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加强生产安全卫生监督。按照国家部委有关劳动、安全、卫生的法规标准开展工作，特别是做好车间内有害物质浓度的监测，并及时向厂安全部门报告，协助安全部门分析有可能出现的异常情况，以便及时处理，确保将生产事故消灭在未发生之前。</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5、污水输送管道泄漏预防措施</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为了防止污水输送过程中管道破裂而污染土壤和浅层地下水，评价提出如下建议措施：</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（1）合理设置管道阀门，在出现破裂时，能及时通过阀门控制泄漏量。</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（2）选用优质管材，减少管道破裂的几率。</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（3）对管道及阀门进行保养及维护，预防跑冒滴漏现象的发生；</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（4）加强管理，做好管道的维护工作，发现破裂时能及时做应急处理。</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评价认为采取以上措施后可有效降低沼液输送过程中发生风险的几率。</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lang w:val="en-US" w:eastAsia="zh-CN"/>
        </w:rPr>
        <w:t>、沼液输送管道风险防范措施</w:t>
      </w:r>
    </w:p>
    <w:p>
      <w:pPr>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为了防止沼液输送过程中管道破裂而污染土壤和浅层地下水，评价提出如下建议措施：</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（1）合理设置管道阀门，在出现破裂时，能及时通过阀门控制泄漏量。</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（2）选用优质管材，减少管道破裂的几率。</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（3）加强管理，做好管道的维护工作，发现破裂时能及时做应急处理。</w:t>
      </w:r>
    </w:p>
    <w:p>
      <w:pPr>
        <w:pStyle w:val="23"/>
        <w:keepNext w:val="0"/>
        <w:keepLines w:val="0"/>
        <w:pageBreakBefore w:val="0"/>
        <w:widowControl/>
        <w:kinsoku/>
        <w:wordWrap/>
        <w:overflowPunct/>
        <w:topLinePunct w:val="0"/>
        <w:autoSpaceDE/>
        <w:autoSpaceDN/>
        <w:bidi w:val="0"/>
        <w:adjustRightInd/>
        <w:snapToGrid/>
        <w:spacing w:before="0" w:beforeLines="0" w:after="0" w:afterLines="0"/>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评价认为采取以上措施后可有效降低沼液输送过程中发生风险的几率。</w:t>
      </w:r>
    </w:p>
    <w:p>
      <w:pPr>
        <w:pStyle w:val="23"/>
        <w:keepNext w:val="0"/>
        <w:keepLines w:val="0"/>
        <w:pageBreakBefore w:val="0"/>
        <w:widowControl/>
        <w:numPr>
          <w:ilvl w:val="0"/>
          <w:numId w:val="0"/>
        </w:numPr>
        <w:kinsoku/>
        <w:wordWrap/>
        <w:overflowPunct/>
        <w:topLinePunct w:val="0"/>
        <w:autoSpaceDE/>
        <w:autoSpaceDN/>
        <w:bidi w:val="0"/>
        <w:adjustRightInd/>
        <w:snapToGrid/>
        <w:spacing w:before="0" w:beforeLines="0" w:after="0" w:afterLines="0"/>
        <w:ind w:firstLine="48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7、沼液贮存风险防范措施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olor w:val="auto"/>
          <w:highlight w:val="none"/>
          <w:lang w:val="en-US" w:eastAsia="zh-CN"/>
        </w:rPr>
      </w:pPr>
      <w:r>
        <w:rPr>
          <w:rFonts w:hint="default"/>
          <w:color w:val="auto"/>
          <w:highlight w:val="none"/>
          <w:lang w:val="en-US" w:eastAsia="zh-CN"/>
        </w:rPr>
        <w:t>根据《畜禽养殖业污染防治技术规范》（HJ/T81-2001）规定：①养殖场的排水系统应实行雨水和污水收集输送系统分离，在场区内设置的污水收集输送系统，不得采取明沟布设；②贮存设施应采取有效的防渗处理工艺，防止畜禽粪便污染地下水；③贮存设施应采取设置顶盖及围堰等防止雨水进入的措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olor w:val="auto"/>
          <w:highlight w:val="none"/>
          <w:lang w:val="en-US" w:eastAsia="zh-CN"/>
        </w:rPr>
      </w:pPr>
      <w:r>
        <w:rPr>
          <w:rFonts w:hint="default"/>
          <w:color w:val="auto"/>
          <w:highlight w:val="none"/>
          <w:lang w:val="en-US" w:eastAsia="zh-CN"/>
        </w:rPr>
        <w:t>本项目污水处理站沼气池、沼液存储池均采用黑膜密闭，可避免雨水进入。</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val="0"/>
          <w:color w:val="auto"/>
          <w:highlight w:val="none"/>
          <w:lang w:val="en-US" w:eastAsia="zh-CN"/>
        </w:rPr>
      </w:pPr>
      <w:r>
        <w:rPr>
          <w:rFonts w:hint="default"/>
          <w:color w:val="auto"/>
          <w:highlight w:val="none"/>
          <w:lang w:val="en-US" w:eastAsia="zh-CN"/>
        </w:rPr>
        <w:t>项目沼液储存池池壁在清场夯压的基础上采用铺设1.5mmHDPE防渗膜进行防渗，黑膜沼气池采用素土夯实+HDPE防渗膜进行防渗， 收集池为砖混结构并做相应的耐酸、碱表面处理。项目区各池子均做了有效的防渗措施，同时在日常运行中应定期对池底防渗膜进行检查，发现渗漏及时进行维修。在污水处理站地下水下游方位设置监测井，定期对地下水进行监测，如发现指标异常，应立即对污水处理系统进行排查检修。经过上述处理后，沼液下渗污染地下水和土壤的风险很小</w:t>
      </w:r>
      <w:r>
        <w:rPr>
          <w:rFonts w:hint="default" w:ascii="Times New Roman" w:hAnsi="Times New Roman" w:cs="Times New Roman"/>
          <w:b w:val="0"/>
          <w:bCs w:val="0"/>
          <w:color w:val="auto"/>
          <w:highlight w:val="none"/>
          <w:lang w:val="en-US" w:eastAsia="zh-CN"/>
        </w:rPr>
        <w:t>。</w:t>
      </w:r>
    </w:p>
    <w:p>
      <w:pPr>
        <w:pStyle w:val="23"/>
        <w:keepNext w:val="0"/>
        <w:keepLines w:val="0"/>
        <w:pageBreakBefore w:val="0"/>
        <w:widowControl/>
        <w:kinsoku/>
        <w:wordWrap/>
        <w:overflowPunct/>
        <w:topLinePunct w:val="0"/>
        <w:autoSpaceDN/>
        <w:bidi w:val="0"/>
        <w:adjustRightInd/>
        <w:snapToGrid/>
        <w:spacing w:before="0" w:beforeLines="0" w:after="0" w:afterLines="0" w:line="360" w:lineRule="auto"/>
        <w:textAlignment w:val="auto"/>
        <w:rPr>
          <w:rFonts w:hint="default" w:ascii="Times New Roman" w:hAnsi="Times New Roman"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8</w:t>
      </w:r>
      <w:r>
        <w:rPr>
          <w:rFonts w:hint="default" w:ascii="Times New Roman" w:hAnsi="Times New Roman" w:cs="Times New Roman"/>
          <w:b w:val="0"/>
          <w:bCs w:val="0"/>
          <w:color w:val="auto"/>
          <w:highlight w:val="none"/>
          <w:lang w:val="en-US" w:eastAsia="zh-CN"/>
        </w:rPr>
        <w:t>、</w:t>
      </w:r>
      <w:r>
        <w:rPr>
          <w:rFonts w:hint="default" w:ascii="Times New Roman" w:hAnsi="Times New Roman" w:cs="Times New Roman"/>
          <w:b w:val="0"/>
          <w:bCs w:val="0"/>
          <w:color w:val="auto"/>
          <w:sz w:val="24"/>
          <w:highlight w:val="none"/>
        </w:rPr>
        <w:t>场区雨污水漏入附近河流风险防范措施</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项目建成后养殖废水经污水处理系统处理后，暂存于</w:t>
      </w:r>
      <w:r>
        <w:rPr>
          <w:rFonts w:hint="eastAsia" w:cs="Times New Roman"/>
          <w:b w:val="0"/>
          <w:bCs w:val="0"/>
          <w:color w:val="auto"/>
          <w:sz w:val="24"/>
          <w:highlight w:val="none"/>
          <w:lang w:eastAsia="zh-CN"/>
        </w:rPr>
        <w:t>黑膜沼气</w:t>
      </w:r>
      <w:r>
        <w:rPr>
          <w:rFonts w:hint="default" w:ascii="Times New Roman" w:hAnsi="Times New Roman" w:cs="Times New Roman"/>
          <w:b w:val="0"/>
          <w:bCs w:val="0"/>
          <w:color w:val="auto"/>
          <w:sz w:val="24"/>
          <w:highlight w:val="none"/>
        </w:rPr>
        <w:t>池， 施肥季节，通过管网输送到沼液消纳地。因沼液输送管道破裂等情况发生泄漏，可能导致沼液流入附近河流，距离项目最近的河流为黄庄河，为地上水渠，整个渠体为封闭式结构，项目沼液泄漏排入的可能性极小。但沼液大量泄漏对区域土壤可能会受到影响</w:t>
      </w:r>
      <w:r>
        <w:rPr>
          <w:rFonts w:hint="eastAsia"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rPr>
        <w:t>评价要求沼液输送过程中应做好防渗、防漏等措施，杜绝沼液事故排放状况的发生。</w:t>
      </w:r>
    </w:p>
    <w:p>
      <w:pPr>
        <w:keepNext w:val="0"/>
        <w:keepLines w:val="0"/>
        <w:pageBreakBefore w:val="0"/>
        <w:widowControl/>
        <w:kinsoku/>
        <w:wordWrap/>
        <w:overflowPunct/>
        <w:topLinePunct w:val="0"/>
        <w:autoSpaceDE w:val="0"/>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本项目在场区内铺设有雨水、污水、粪便的输送管线</w:t>
      </w:r>
      <w:r>
        <w:rPr>
          <w:rFonts w:hint="eastAsia"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rPr>
        <w:t>企业应加强管理，定期维护，避免管线出现故障导致污水乱流未经处理排出场区，项目初期雨水中污染物主要为场区地面上可能沾有的猪粪，通过调节阀门，使初期雨水入污水站处理，后期干净雨水才可排出场外。</w:t>
      </w:r>
    </w:p>
    <w:p>
      <w:pPr>
        <w:pStyle w:val="23"/>
        <w:keepNext w:val="0"/>
        <w:keepLines w:val="0"/>
        <w:pageBreakBefore w:val="0"/>
        <w:widowControl/>
        <w:kinsoku/>
        <w:wordWrap/>
        <w:overflowPunct/>
        <w:topLinePunct w:val="0"/>
        <w:autoSpaceDN/>
        <w:bidi w:val="0"/>
        <w:adjustRightInd/>
        <w:snapToGrid/>
        <w:spacing w:before="0" w:beforeLines="0" w:after="0" w:afterLines="0" w:line="360" w:lineRule="auto"/>
        <w:textAlignment w:val="auto"/>
        <w:rPr>
          <w:rFonts w:hint="default" w:ascii="Times New Roman" w:hAnsi="Times New Roman"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9、臭气污染风险防范措施</w:t>
      </w:r>
    </w:p>
    <w:p>
      <w:pPr>
        <w:pStyle w:val="23"/>
        <w:keepNext w:val="0"/>
        <w:keepLines w:val="0"/>
        <w:pageBreakBefore w:val="0"/>
        <w:widowControl/>
        <w:kinsoku/>
        <w:wordWrap/>
        <w:overflowPunct/>
        <w:topLinePunct w:val="0"/>
        <w:autoSpaceDN/>
        <w:bidi w:val="0"/>
        <w:adjustRightInd/>
        <w:snapToGrid/>
        <w:spacing w:before="0" w:beforeLines="0" w:after="0" w:afterLines="0" w:line="360" w:lineRule="auto"/>
        <w:textAlignment w:val="auto"/>
        <w:rPr>
          <w:rFonts w:hint="eastAsia" w:ascii="Times New Roman" w:hAnsi="Times New Roman" w:cs="Times New Roman"/>
          <w:b w:val="0"/>
          <w:bCs w:val="0"/>
          <w:color w:val="auto"/>
          <w:highlight w:val="none"/>
          <w:lang w:val="en-US" w:eastAsia="zh-CN"/>
        </w:rPr>
      </w:pPr>
      <w:r>
        <w:rPr>
          <w:rFonts w:hint="default"/>
          <w:color w:val="auto"/>
          <w:highlight w:val="none"/>
          <w:lang w:val="en-US" w:eastAsia="zh-CN"/>
        </w:rPr>
        <w:t>本项目产生臭气的主要单元为猪舍、粪污处理区、污水处理区</w:t>
      </w:r>
      <w:r>
        <w:rPr>
          <w:rFonts w:hint="eastAsia"/>
          <w:color w:val="auto"/>
          <w:highlight w:val="none"/>
          <w:lang w:val="en-US" w:eastAsia="zh-CN"/>
        </w:rPr>
        <w:t>，</w:t>
      </w:r>
      <w:r>
        <w:rPr>
          <w:rFonts w:hint="default"/>
          <w:color w:val="auto"/>
          <w:highlight w:val="none"/>
          <w:lang w:val="en-US" w:eastAsia="zh-CN"/>
        </w:rPr>
        <w:t>其主要通过喷洒除臭剂，进行密闭、安装除臭装置等措施进行除臭。如发生除臭装置停止运行、密闭措施破裂等情况将产生臭气大量排出，污染周围环境的风险，评价提出对于病死猪处理机如臭气治理措施故障不能正常运行，应立即停止设备的运行，将未处理完成的病死猪从设备内取出，用密闭的容器承装</w:t>
      </w:r>
      <w:r>
        <w:rPr>
          <w:rFonts w:hint="eastAsia"/>
          <w:color w:val="auto"/>
          <w:highlight w:val="none"/>
          <w:lang w:val="en-US" w:eastAsia="zh-CN"/>
        </w:rPr>
        <w:t>，</w:t>
      </w:r>
      <w:r>
        <w:rPr>
          <w:rFonts w:hint="default"/>
          <w:color w:val="auto"/>
          <w:highlight w:val="none"/>
          <w:lang w:val="en-US" w:eastAsia="zh-CN"/>
        </w:rPr>
        <w:t>避免恶臭气体排出</w:t>
      </w:r>
      <w:r>
        <w:rPr>
          <w:rFonts w:hint="eastAsia"/>
          <w:color w:val="auto"/>
          <w:highlight w:val="none"/>
          <w:lang w:val="en-US" w:eastAsia="zh-CN"/>
        </w:rPr>
        <w:t>，</w:t>
      </w:r>
      <w:r>
        <w:rPr>
          <w:rFonts w:hint="default"/>
          <w:color w:val="auto"/>
          <w:highlight w:val="none"/>
          <w:lang w:val="en-US" w:eastAsia="zh-CN"/>
        </w:rPr>
        <w:t>对设备维修后在正常运行。对于猪舍区、污水处理区通过喷洒除臭剂进行除臭的区域</w:t>
      </w:r>
      <w:r>
        <w:rPr>
          <w:rFonts w:hint="eastAsia"/>
          <w:color w:val="auto"/>
          <w:highlight w:val="none"/>
          <w:lang w:val="en-US" w:eastAsia="zh-CN"/>
        </w:rPr>
        <w:t>，</w:t>
      </w:r>
      <w:r>
        <w:rPr>
          <w:rFonts w:hint="default"/>
          <w:color w:val="auto"/>
          <w:highlight w:val="none"/>
          <w:lang w:val="en-US" w:eastAsia="zh-CN"/>
        </w:rPr>
        <w:t>要加强制度的建设和人员的管理，建立岗位责任制，每天由专人定期、定量进行除臭剂的喷洒，并安排专人进行检查，起到督促监督作用。如发现沼气池及存储池上黑膜破裂，恶臭气体排出，应立即安排人员先用</w:t>
      </w:r>
      <w:r>
        <w:rPr>
          <w:rFonts w:hint="default" w:ascii="Times New Roman" w:hAnsi="Times New Roman" w:cs="Times New Roman"/>
          <w:b w:val="0"/>
          <w:bCs w:val="0"/>
          <w:color w:val="auto"/>
          <w:highlight w:val="none"/>
          <w:lang w:val="en-US" w:eastAsia="zh-CN"/>
        </w:rPr>
        <w:t>胶布临时封堵破裂口，然后进行黑膜的修复工作</w:t>
      </w:r>
      <w:r>
        <w:rPr>
          <w:rFonts w:hint="eastAsia" w:ascii="Times New Roman" w:hAnsi="Times New Roman" w:cs="Times New Roman"/>
          <w:b w:val="0"/>
          <w:bCs w:val="0"/>
          <w:color w:val="auto"/>
          <w:highlight w:val="none"/>
          <w:lang w:val="en-US" w:eastAsia="zh-CN"/>
        </w:rPr>
        <w:t>。</w:t>
      </w:r>
    </w:p>
    <w:p>
      <w:pPr>
        <w:pStyle w:val="23"/>
        <w:keepNext w:val="0"/>
        <w:keepLines w:val="0"/>
        <w:pageBreakBefore w:val="0"/>
        <w:widowControl/>
        <w:kinsoku/>
        <w:wordWrap/>
        <w:overflowPunct/>
        <w:topLinePunct w:val="0"/>
        <w:autoSpaceDN/>
        <w:bidi w:val="0"/>
        <w:adjustRightInd/>
        <w:snapToGrid/>
        <w:spacing w:before="0" w:beforeLines="0" w:after="0" w:afterLines="0" w:line="360" w:lineRule="auto"/>
        <w:textAlignment w:val="auto"/>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1</w:t>
      </w:r>
      <w:r>
        <w:rPr>
          <w:rFonts w:hint="eastAsia" w:ascii="Times New Roman" w:hAnsi="Times New Roman" w:cs="Times New Roman"/>
          <w:b w:val="0"/>
          <w:bCs w:val="0"/>
          <w:color w:val="auto"/>
          <w:highlight w:val="none"/>
          <w:lang w:val="en-US" w:eastAsia="zh-CN"/>
        </w:rPr>
        <w:t>0</w:t>
      </w:r>
      <w:r>
        <w:rPr>
          <w:rFonts w:hint="default" w:ascii="Times New Roman" w:hAnsi="Times New Roman" w:cs="Times New Roman"/>
          <w:b w:val="0"/>
          <w:bCs w:val="0"/>
          <w:color w:val="auto"/>
          <w:highlight w:val="none"/>
          <w:lang w:val="en-US" w:eastAsia="zh-CN"/>
        </w:rPr>
        <w:t>、猪舍防疫措施</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（1）科学的饲养管理是种猪、仔猪疾病防疫基础良好的饲养管理是防疫基础。从猪舍内部具体布局到饲料供给、温度、光照、通风等环境条件的调控，管理的好坏直接关系到猪的健康。</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（2）执行严格的猪舍卫生消毒制度</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消毒能够有效地消灭散播于环境、猪体表面及工具上的病原体，切断传播途径。消毒制度化，经常化，这对环境的净化和疫情的防治有重要作用。常用消毒剂包括：</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氢氧化钠：含94%氢氧化钠的块状或片状固体，配成2～3%溶液，用于运动场猪舍消毒。②甲醛溶液：含煤酚50%的溶液，配成1～2%，用于手、器械消毒，配成3～5%用于用具，栏圈消毒。③酒精：含乙醇95%的溶液，配成70～75%，用于擦拭消毒注射部位。④碘酒：碘的酒精溶液，配成2%，用于皮肤消毒。⑤百毒杀：50%或10%溶液，配成0.1%，用于饮水，带猪消毒。⑥安唯消：10%溶液，配成1：5000，带猪消毒。</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（3）建立科学的免疫接种程序</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免疫接种是预防疾病的重要手段。要达到预期的免疫效果，疫苗的种类、疫苗的质量、免疫时间、免疫方法等都很关键。猪舍应根据当地猪病流行情况及严重程度、母源抗体水平、疫苗的种类、性质、免疫途径等情况制定适合本厂实际情况的免疫程序。针对猪群常见的几种疾病，分别采取相应的免疫接种措施，主要如下：</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①猪瘟防疫方法</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种猪每年定期进行4次猪瘟免疫弱毒苗接种。没有猪瘟流行地区的哺乳仔猪，在出生后25～30天接种，60～70天再接种一次，每次接种的猪均实行打耳标记，防治漏接种，对漏接种的猪要及时补针。</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②猪丹毒防疫方法</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预防猪丹病重要的是定期进行预防接种，使用猪丹毒氢氧化铝甲醛苗注射， 断奶以后的猪每头注射5mL。</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③猪肺疫防疫办法</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预防猪肺疫，用猪肺疫氢氧化铝甲醛苗或B型苗注射。</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④仔猪黄痢防疫办法</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黄连20～30g加水1000ml，煎成500ml，发病仔猪灌服5～7ml，每天三次连服两天，若在仔猪刚产下未吃初乳前每头灌服2～3ml，两天后重复用药一次，则有较好的预防作用。</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⑤口蹄疫防疫方法</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每年定期4次对种猪注射疫苗，仔猪要进行2次疫苗注射。</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（4）做好猪的检疫净化工作</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猪感染某些疾病后症状不明显，有时治愈后还长期带菌，不仅严重影响猪自身的生产能力，而且威胁整个猪群，因此要对这些病进行检疫。</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（5）杀虫、灭鼠、控制夜野鸟</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许多昆虫、鼠类和飞鸟是猪舍传播媒介的传播源，猪舍必须杀虫、灭鼠和控制飞鸟。</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、猪舍发生疫情的应急措施</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针对不同疾病，猪舍管理者应在及时采取不同的防疫措施，以避免或控制疫情发展，主要防范措施如下：</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（1）猪出现疫情时应立即组成防疫小组，尽快做出确切诊断，迅速向有关上级部门报告疫情。</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（2）隔离：当猪舍发生传染病或疑似传染病时，应立即隔离，指派专人饲养管理。在隔离的同时要尽快诊断，经诊断属于烈性传染病时要报告当地政府和兽医防疫部门，必要时采取封锁措施。</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消毒：隔离的同时立即严格消毒猪舍环境和所有器具，彻底打扫垫草和粪便。病死猪要进行无害化处理，在最后一只病猪治愈或处理 2 周后在进行一次全面的大消毒才能解除隔离或封锁。</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紧急免疫接种：为了迅速控制疫病流行， 要对疫区受威胁的猪群进行紧急接种。可以用免疫血清，但目前主要是使用疫苗。实践证明在疫区内使用疫苗对所有的猪只紧急接种，不但可以预防疫病向周围地区蔓延，而且对某些疾病还可以较少发病猪群的死亡损失。但对正处在潜伏期尚未明显发病的猪只，有可能促进死亡，经过一段时间后，发病及死亡就会迅速下降，使疫情得到控制。</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紧急药物治疗：对病猪和疑似病猪要进行治疗，对假定健康群要进行预防性治疗。治疗要在诊确的基础上尽早实施，控制疾病蔓延和防止继发感染。</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（3）病死猪尸体要严格按照防疫条例进行处置。</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（4）出现重大疫情时必须严格执行《重大动物疫情应急条例》中相关规定。</w:t>
      </w:r>
    </w:p>
    <w:p>
      <w:pPr>
        <w:pStyle w:val="6"/>
        <w:ind w:firstLine="482"/>
        <w:rPr>
          <w:rFonts w:hint="eastAsia"/>
          <w:color w:val="auto"/>
          <w:highlight w:val="none"/>
          <w:lang w:val="en-US" w:eastAsia="zh-CN"/>
        </w:rPr>
      </w:pPr>
      <w:r>
        <w:rPr>
          <w:rFonts w:hint="eastAsia"/>
          <w:color w:val="auto"/>
          <w:highlight w:val="none"/>
          <w:lang w:val="en-US" w:eastAsia="zh-CN"/>
        </w:rPr>
        <w:t>4.2.7.8风险应急预案</w:t>
      </w:r>
    </w:p>
    <w:p>
      <w:pPr>
        <w:ind w:firstLine="480"/>
        <w:rPr>
          <w:color w:val="auto"/>
          <w:highlight w:val="none"/>
        </w:rPr>
      </w:pPr>
      <w:r>
        <w:rPr>
          <w:rFonts w:hint="eastAsia"/>
          <w:color w:val="auto"/>
          <w:highlight w:val="none"/>
        </w:rPr>
        <w:t>（1）对火灾的应急处理</w:t>
      </w:r>
    </w:p>
    <w:p>
      <w:pPr>
        <w:ind w:firstLine="480"/>
        <w:rPr>
          <w:color w:val="auto"/>
          <w:highlight w:val="none"/>
        </w:rPr>
      </w:pPr>
      <w:r>
        <w:rPr>
          <w:rFonts w:hint="eastAsia"/>
          <w:color w:val="auto"/>
          <w:highlight w:val="none"/>
        </w:rPr>
        <w:t>厂区</w:t>
      </w:r>
      <w:r>
        <w:rPr>
          <w:color w:val="auto"/>
          <w:highlight w:val="none"/>
        </w:rPr>
        <w:t>一旦发生火灾，应采取以下应急措施：</w:t>
      </w:r>
    </w:p>
    <w:p>
      <w:pPr>
        <w:ind w:firstLine="480"/>
        <w:rPr>
          <w:color w:val="auto"/>
          <w:highlight w:val="none"/>
        </w:rPr>
      </w:pPr>
      <w:r>
        <w:rPr>
          <w:color w:val="auto"/>
          <w:highlight w:val="none"/>
        </w:rPr>
        <w:t>一旦发生火情，全体工作人员立即进入灭火状态，及时通知消防部门，派专人上路迎接消防车辆到来。防火责任人立即敢赴现场、坚决采取果断措施，防止火患扩大。当消防车赶到现场时，要积极做好配合、提供现场情况资料，以最快速度扑灭大火。</w:t>
      </w:r>
    </w:p>
    <w:p>
      <w:pPr>
        <w:ind w:firstLine="480"/>
        <w:rPr>
          <w:color w:val="auto"/>
          <w:highlight w:val="none"/>
        </w:rPr>
      </w:pPr>
      <w:r>
        <w:rPr>
          <w:color w:val="auto"/>
          <w:highlight w:val="none"/>
        </w:rPr>
        <w:t>迅速转移员工到安全地带，设立警戒线，非消防人员不得进入；在安全的情况下，转移火源附近的易燃易爆物品；关闭雨水排入口，防止消防废水排入城市排水系统</w:t>
      </w:r>
      <w:r>
        <w:rPr>
          <w:rFonts w:hint="eastAsia"/>
          <w:color w:val="auto"/>
          <w:highlight w:val="none"/>
        </w:rPr>
        <w:t>。</w:t>
      </w:r>
    </w:p>
    <w:p>
      <w:pPr>
        <w:ind w:firstLine="480"/>
        <w:rPr>
          <w:color w:val="auto"/>
          <w:highlight w:val="none"/>
        </w:rPr>
      </w:pPr>
      <w:r>
        <w:rPr>
          <w:rFonts w:hint="eastAsia"/>
          <w:color w:val="auto"/>
          <w:highlight w:val="none"/>
        </w:rPr>
        <w:t>（2）应急响应方案</w:t>
      </w:r>
    </w:p>
    <w:p>
      <w:pPr>
        <w:ind w:firstLine="480"/>
        <w:rPr>
          <w:color w:val="auto"/>
          <w:highlight w:val="none"/>
        </w:rPr>
      </w:pPr>
      <w:r>
        <w:rPr>
          <w:color w:val="auto"/>
          <w:highlight w:val="none"/>
        </w:rPr>
        <w:t xml:space="preserve">对于项目主要风险（主要是火灾事故），制定应急响应方案，建立应急反应体系，当事件一旦发生时可迅速加以控制，使危害和损失降低到尽可能低的程度。 </w:t>
      </w:r>
    </w:p>
    <w:p>
      <w:pPr>
        <w:ind w:firstLine="480"/>
        <w:rPr>
          <w:color w:val="auto"/>
          <w:highlight w:val="none"/>
        </w:rPr>
      </w:pPr>
      <w:r>
        <w:rPr>
          <w:color w:val="auto"/>
          <w:highlight w:val="none"/>
        </w:rPr>
        <w:t>作为事故风险防范和应急对策的重要组成部分，应急组织机构应制定应急计划，其基本内容应包括应急组织、应急设施（设备器材）、应急通讯联络、应急监测、应急安全保卫、应急撤离措施、应急救援、应急状态终止、事故后果评价、应急报告等。建设单位应根据本项目实际情况，结合相关规范制定应急预案，具体内容见表</w:t>
      </w:r>
      <w:r>
        <w:rPr>
          <w:rFonts w:hint="eastAsia"/>
          <w:color w:val="auto"/>
          <w:highlight w:val="none"/>
          <w:lang w:val="en-US" w:eastAsia="zh-CN"/>
        </w:rPr>
        <w:t>4</w:t>
      </w:r>
      <w:r>
        <w:rPr>
          <w:rFonts w:hint="eastAsia"/>
          <w:color w:val="auto"/>
          <w:highlight w:val="none"/>
        </w:rPr>
        <w:t>.</w:t>
      </w:r>
      <w:r>
        <w:rPr>
          <w:rFonts w:hint="eastAsia"/>
          <w:color w:val="auto"/>
          <w:highlight w:val="none"/>
          <w:lang w:val="en-US" w:eastAsia="zh-CN"/>
        </w:rPr>
        <w:t>2</w:t>
      </w:r>
      <w:r>
        <w:rPr>
          <w:color w:val="auto"/>
          <w:highlight w:val="none"/>
        </w:rPr>
        <w:t>-</w:t>
      </w:r>
      <w:r>
        <w:rPr>
          <w:rFonts w:hint="eastAsia"/>
          <w:color w:val="auto"/>
          <w:highlight w:val="none"/>
          <w:lang w:val="en-US" w:eastAsia="zh-CN"/>
        </w:rPr>
        <w:t>52</w:t>
      </w:r>
      <w:r>
        <w:rPr>
          <w:color w:val="auto"/>
          <w:highlight w:val="none"/>
        </w:rPr>
        <w:t xml:space="preserve">。 </w:t>
      </w:r>
    </w:p>
    <w:p>
      <w:pPr>
        <w:pStyle w:val="40"/>
        <w:rPr>
          <w:rFonts w:hint="eastAsia" w:cs="Times New Roman"/>
          <w:color w:val="auto"/>
          <w:highlight w:val="none"/>
          <w:lang w:val="en-US" w:eastAsia="zh-CN"/>
        </w:rPr>
      </w:pPr>
      <w:r>
        <w:rPr>
          <w:rFonts w:hint="eastAsia" w:cs="Times New Roman"/>
          <w:color w:val="auto"/>
          <w:highlight w:val="none"/>
          <w:lang w:val="en-US" w:eastAsia="zh-CN"/>
        </w:rPr>
        <w:t xml:space="preserve">表4.2-52 环境风险应急预案内容一览表 </w:t>
      </w:r>
    </w:p>
    <w:tbl>
      <w:tblPr>
        <w:tblStyle w:val="24"/>
        <w:tblW w:w="830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707"/>
        <w:gridCol w:w="1525"/>
        <w:gridCol w:w="60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707" w:type="dxa"/>
            <w:tcBorders>
              <w:tl2br w:val="nil"/>
              <w:tr2bl w:val="nil"/>
            </w:tcBorders>
            <w:vAlign w:val="center"/>
          </w:tcPr>
          <w:p>
            <w:pPr>
              <w:pStyle w:val="2"/>
              <w:ind w:firstLine="0" w:firstLineChars="0"/>
              <w:jc w:val="center"/>
              <w:rPr>
                <w:b w:val="0"/>
                <w:bCs/>
                <w:color w:val="auto"/>
                <w:sz w:val="21"/>
                <w:szCs w:val="21"/>
                <w:highlight w:val="none"/>
              </w:rPr>
            </w:pPr>
            <w:r>
              <w:rPr>
                <w:b w:val="0"/>
                <w:bCs/>
                <w:color w:val="auto"/>
                <w:sz w:val="21"/>
                <w:szCs w:val="21"/>
                <w:highlight w:val="none"/>
              </w:rPr>
              <w:t>序号</w:t>
            </w:r>
          </w:p>
        </w:tc>
        <w:tc>
          <w:tcPr>
            <w:tcW w:w="1525" w:type="dxa"/>
            <w:tcBorders>
              <w:tl2br w:val="nil"/>
              <w:tr2bl w:val="nil"/>
            </w:tcBorders>
            <w:vAlign w:val="center"/>
          </w:tcPr>
          <w:p>
            <w:pPr>
              <w:pStyle w:val="2"/>
              <w:ind w:firstLine="0" w:firstLineChars="0"/>
              <w:jc w:val="center"/>
              <w:rPr>
                <w:b w:val="0"/>
                <w:bCs/>
                <w:color w:val="auto"/>
                <w:sz w:val="21"/>
                <w:szCs w:val="21"/>
                <w:highlight w:val="none"/>
              </w:rPr>
            </w:pPr>
            <w:r>
              <w:rPr>
                <w:b w:val="0"/>
                <w:bCs/>
                <w:color w:val="auto"/>
                <w:sz w:val="21"/>
                <w:szCs w:val="21"/>
                <w:highlight w:val="none"/>
              </w:rPr>
              <w:t>项目</w:t>
            </w:r>
          </w:p>
        </w:tc>
        <w:tc>
          <w:tcPr>
            <w:tcW w:w="6068" w:type="dxa"/>
            <w:tcBorders>
              <w:tl2br w:val="nil"/>
              <w:tr2bl w:val="nil"/>
            </w:tcBorders>
            <w:vAlign w:val="center"/>
          </w:tcPr>
          <w:p>
            <w:pPr>
              <w:pStyle w:val="2"/>
              <w:ind w:firstLine="0" w:firstLineChars="0"/>
              <w:jc w:val="center"/>
              <w:rPr>
                <w:b w:val="0"/>
                <w:bCs/>
                <w:color w:val="auto"/>
                <w:sz w:val="21"/>
                <w:szCs w:val="21"/>
                <w:highlight w:val="none"/>
              </w:rPr>
            </w:pPr>
            <w:r>
              <w:rPr>
                <w:b w:val="0"/>
                <w:bCs/>
                <w:color w:val="auto"/>
                <w:sz w:val="21"/>
                <w:szCs w:val="21"/>
                <w:highlight w:val="none"/>
              </w:rPr>
              <w:t>内容及要求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707" w:type="dxa"/>
            <w:tcBorders>
              <w:tl2br w:val="nil"/>
              <w:tr2bl w:val="nil"/>
            </w:tcBorders>
            <w:vAlign w:val="center"/>
          </w:tcPr>
          <w:p>
            <w:pPr>
              <w:pStyle w:val="2"/>
              <w:ind w:firstLine="0" w:firstLineChars="0"/>
              <w:jc w:val="center"/>
              <w:rPr>
                <w:bCs/>
                <w:color w:val="auto"/>
                <w:sz w:val="21"/>
                <w:szCs w:val="21"/>
                <w:highlight w:val="none"/>
              </w:rPr>
            </w:pPr>
            <w:r>
              <w:rPr>
                <w:bCs/>
                <w:color w:val="auto"/>
                <w:sz w:val="21"/>
                <w:szCs w:val="21"/>
                <w:highlight w:val="none"/>
              </w:rPr>
              <w:t>1</w:t>
            </w:r>
          </w:p>
        </w:tc>
        <w:tc>
          <w:tcPr>
            <w:tcW w:w="1525" w:type="dxa"/>
            <w:tcBorders>
              <w:tl2br w:val="nil"/>
              <w:tr2bl w:val="nil"/>
            </w:tcBorders>
            <w:vAlign w:val="center"/>
          </w:tcPr>
          <w:p>
            <w:pPr>
              <w:pStyle w:val="2"/>
              <w:ind w:firstLine="0" w:firstLineChars="0"/>
              <w:jc w:val="center"/>
              <w:rPr>
                <w:bCs/>
                <w:color w:val="auto"/>
                <w:sz w:val="21"/>
                <w:szCs w:val="21"/>
                <w:highlight w:val="none"/>
              </w:rPr>
            </w:pPr>
            <w:r>
              <w:rPr>
                <w:bCs/>
                <w:color w:val="auto"/>
                <w:sz w:val="21"/>
                <w:szCs w:val="21"/>
                <w:highlight w:val="none"/>
              </w:rPr>
              <w:t>应急计划区</w:t>
            </w:r>
          </w:p>
        </w:tc>
        <w:tc>
          <w:tcPr>
            <w:tcW w:w="6068" w:type="dxa"/>
            <w:tcBorders>
              <w:tl2br w:val="nil"/>
              <w:tr2bl w:val="nil"/>
            </w:tcBorders>
            <w:vAlign w:val="center"/>
          </w:tcPr>
          <w:p>
            <w:pPr>
              <w:pStyle w:val="2"/>
              <w:ind w:firstLine="0" w:firstLineChars="0"/>
              <w:jc w:val="center"/>
              <w:rPr>
                <w:bCs/>
                <w:color w:val="auto"/>
                <w:sz w:val="21"/>
                <w:szCs w:val="21"/>
                <w:highlight w:val="none"/>
              </w:rPr>
            </w:pPr>
            <w:r>
              <w:rPr>
                <w:bCs/>
                <w:color w:val="auto"/>
                <w:sz w:val="21"/>
                <w:szCs w:val="21"/>
                <w:highlight w:val="none"/>
              </w:rPr>
              <w:t>生产厂房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707" w:type="dxa"/>
            <w:tcBorders>
              <w:tl2br w:val="nil"/>
              <w:tr2bl w:val="nil"/>
            </w:tcBorders>
            <w:vAlign w:val="center"/>
          </w:tcPr>
          <w:p>
            <w:pPr>
              <w:pStyle w:val="2"/>
              <w:ind w:firstLine="0" w:firstLineChars="0"/>
              <w:jc w:val="center"/>
              <w:rPr>
                <w:bCs/>
                <w:color w:val="auto"/>
                <w:sz w:val="21"/>
                <w:szCs w:val="21"/>
                <w:highlight w:val="none"/>
              </w:rPr>
            </w:pPr>
            <w:r>
              <w:rPr>
                <w:bCs/>
                <w:color w:val="auto"/>
                <w:sz w:val="21"/>
                <w:szCs w:val="21"/>
                <w:highlight w:val="none"/>
              </w:rPr>
              <w:t>2</w:t>
            </w:r>
          </w:p>
        </w:tc>
        <w:tc>
          <w:tcPr>
            <w:tcW w:w="1525" w:type="dxa"/>
            <w:tcBorders>
              <w:tl2br w:val="nil"/>
              <w:tr2bl w:val="nil"/>
            </w:tcBorders>
            <w:vAlign w:val="center"/>
          </w:tcPr>
          <w:p>
            <w:pPr>
              <w:pStyle w:val="2"/>
              <w:ind w:firstLine="0" w:firstLineChars="0"/>
              <w:jc w:val="center"/>
              <w:rPr>
                <w:bCs/>
                <w:color w:val="auto"/>
                <w:sz w:val="21"/>
                <w:szCs w:val="21"/>
                <w:highlight w:val="none"/>
              </w:rPr>
            </w:pPr>
            <w:r>
              <w:rPr>
                <w:bCs/>
                <w:color w:val="auto"/>
                <w:sz w:val="21"/>
                <w:szCs w:val="21"/>
                <w:highlight w:val="none"/>
              </w:rPr>
              <w:t>应急组织结构</w:t>
            </w:r>
          </w:p>
        </w:tc>
        <w:tc>
          <w:tcPr>
            <w:tcW w:w="6068" w:type="dxa"/>
            <w:tcBorders>
              <w:tl2br w:val="nil"/>
              <w:tr2bl w:val="nil"/>
            </w:tcBorders>
            <w:vAlign w:val="center"/>
          </w:tcPr>
          <w:p>
            <w:pPr>
              <w:pStyle w:val="2"/>
              <w:ind w:firstLine="0" w:firstLineChars="0"/>
              <w:jc w:val="center"/>
              <w:rPr>
                <w:bCs/>
                <w:color w:val="auto"/>
                <w:sz w:val="21"/>
                <w:szCs w:val="21"/>
                <w:highlight w:val="none"/>
              </w:rPr>
            </w:pPr>
            <w:r>
              <w:rPr>
                <w:bCs/>
                <w:color w:val="auto"/>
                <w:sz w:val="21"/>
                <w:szCs w:val="21"/>
                <w:highlight w:val="none"/>
              </w:rPr>
              <w:t>以厂区为主体，各主要负责人为应急计划、协调第一人，应急人员必须为培训上岗熟练工；区域应急组织结构由当地政府、相关行业专家、卫生安全相关单位组成，并由当地政府进行统一调度。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707" w:type="dxa"/>
            <w:tcBorders>
              <w:tl2br w:val="nil"/>
              <w:tr2bl w:val="nil"/>
            </w:tcBorders>
            <w:vAlign w:val="center"/>
          </w:tcPr>
          <w:p>
            <w:pPr>
              <w:pStyle w:val="2"/>
              <w:ind w:firstLine="0" w:firstLineChars="0"/>
              <w:jc w:val="center"/>
              <w:rPr>
                <w:bCs/>
                <w:color w:val="auto"/>
                <w:sz w:val="21"/>
                <w:szCs w:val="21"/>
                <w:highlight w:val="none"/>
              </w:rPr>
            </w:pPr>
            <w:r>
              <w:rPr>
                <w:bCs/>
                <w:color w:val="auto"/>
                <w:sz w:val="21"/>
                <w:szCs w:val="21"/>
                <w:highlight w:val="none"/>
              </w:rPr>
              <w:t>3</w:t>
            </w:r>
          </w:p>
        </w:tc>
        <w:tc>
          <w:tcPr>
            <w:tcW w:w="1525" w:type="dxa"/>
            <w:tcBorders>
              <w:tl2br w:val="nil"/>
              <w:tr2bl w:val="nil"/>
            </w:tcBorders>
            <w:vAlign w:val="center"/>
          </w:tcPr>
          <w:p>
            <w:pPr>
              <w:pStyle w:val="2"/>
              <w:ind w:firstLine="0" w:firstLineChars="0"/>
              <w:jc w:val="center"/>
              <w:rPr>
                <w:bCs/>
                <w:color w:val="auto"/>
                <w:sz w:val="21"/>
                <w:szCs w:val="21"/>
                <w:highlight w:val="none"/>
              </w:rPr>
            </w:pPr>
            <w:r>
              <w:rPr>
                <w:bCs/>
                <w:color w:val="auto"/>
                <w:sz w:val="21"/>
                <w:szCs w:val="21"/>
                <w:highlight w:val="none"/>
              </w:rPr>
              <w:t>预案分级响应条件</w:t>
            </w:r>
          </w:p>
        </w:tc>
        <w:tc>
          <w:tcPr>
            <w:tcW w:w="6068" w:type="dxa"/>
            <w:tcBorders>
              <w:tl2br w:val="nil"/>
              <w:tr2bl w:val="nil"/>
            </w:tcBorders>
            <w:vAlign w:val="center"/>
          </w:tcPr>
          <w:p>
            <w:pPr>
              <w:pStyle w:val="2"/>
              <w:ind w:firstLine="0" w:firstLineChars="0"/>
              <w:jc w:val="center"/>
              <w:rPr>
                <w:bCs/>
                <w:color w:val="auto"/>
                <w:sz w:val="21"/>
                <w:szCs w:val="21"/>
                <w:highlight w:val="none"/>
              </w:rPr>
            </w:pPr>
            <w:r>
              <w:rPr>
                <w:bCs/>
                <w:color w:val="auto"/>
                <w:sz w:val="21"/>
                <w:szCs w:val="21"/>
                <w:highlight w:val="none"/>
              </w:rPr>
              <w:t>根据事故的严重程度制定相应级别的应急预案，以及适合相应情况的处理措施。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707" w:type="dxa"/>
            <w:tcBorders>
              <w:tl2br w:val="nil"/>
              <w:tr2bl w:val="nil"/>
            </w:tcBorders>
            <w:vAlign w:val="center"/>
          </w:tcPr>
          <w:p>
            <w:pPr>
              <w:pStyle w:val="2"/>
              <w:ind w:firstLine="0" w:firstLineChars="0"/>
              <w:jc w:val="center"/>
              <w:rPr>
                <w:bCs/>
                <w:color w:val="auto"/>
                <w:sz w:val="21"/>
                <w:szCs w:val="21"/>
                <w:highlight w:val="none"/>
              </w:rPr>
            </w:pPr>
            <w:r>
              <w:rPr>
                <w:bCs/>
                <w:color w:val="auto"/>
                <w:sz w:val="21"/>
                <w:szCs w:val="21"/>
                <w:highlight w:val="none"/>
              </w:rPr>
              <w:t>4</w:t>
            </w:r>
          </w:p>
        </w:tc>
        <w:tc>
          <w:tcPr>
            <w:tcW w:w="1525" w:type="dxa"/>
            <w:tcBorders>
              <w:tl2br w:val="nil"/>
              <w:tr2bl w:val="nil"/>
            </w:tcBorders>
            <w:vAlign w:val="center"/>
          </w:tcPr>
          <w:p>
            <w:pPr>
              <w:pStyle w:val="2"/>
              <w:ind w:firstLine="0" w:firstLineChars="0"/>
              <w:jc w:val="center"/>
              <w:rPr>
                <w:bCs/>
                <w:color w:val="auto"/>
                <w:sz w:val="21"/>
                <w:szCs w:val="21"/>
                <w:highlight w:val="none"/>
              </w:rPr>
            </w:pPr>
            <w:r>
              <w:rPr>
                <w:bCs/>
                <w:color w:val="auto"/>
                <w:sz w:val="21"/>
                <w:szCs w:val="21"/>
                <w:highlight w:val="none"/>
              </w:rPr>
              <w:t>报警、通讯联络</w:t>
            </w:r>
          </w:p>
          <w:p>
            <w:pPr>
              <w:pStyle w:val="2"/>
              <w:ind w:firstLine="0" w:firstLineChars="0"/>
              <w:jc w:val="center"/>
              <w:rPr>
                <w:bCs/>
                <w:color w:val="auto"/>
                <w:sz w:val="21"/>
                <w:szCs w:val="21"/>
                <w:highlight w:val="none"/>
              </w:rPr>
            </w:pPr>
            <w:r>
              <w:rPr>
                <w:bCs/>
                <w:color w:val="auto"/>
                <w:sz w:val="21"/>
                <w:szCs w:val="21"/>
                <w:highlight w:val="none"/>
              </w:rPr>
              <w:t>方式</w:t>
            </w:r>
          </w:p>
        </w:tc>
        <w:tc>
          <w:tcPr>
            <w:tcW w:w="6068" w:type="dxa"/>
            <w:tcBorders>
              <w:tl2br w:val="nil"/>
              <w:tr2bl w:val="nil"/>
            </w:tcBorders>
            <w:vAlign w:val="center"/>
          </w:tcPr>
          <w:p>
            <w:pPr>
              <w:pStyle w:val="2"/>
              <w:ind w:firstLine="0" w:firstLineChars="0"/>
              <w:jc w:val="center"/>
              <w:rPr>
                <w:bCs/>
                <w:color w:val="auto"/>
                <w:sz w:val="21"/>
                <w:szCs w:val="21"/>
                <w:highlight w:val="none"/>
              </w:rPr>
            </w:pPr>
            <w:r>
              <w:rPr>
                <w:bCs/>
                <w:color w:val="auto"/>
                <w:sz w:val="21"/>
                <w:szCs w:val="21"/>
                <w:highlight w:val="none"/>
              </w:rPr>
              <w:t>逐一细化应急状态下各主要负责单位的报警通讯方式、地点、电话号码以及相关配套的交通保障、管制、消防、环境保护部门联络方法，及时通报事故处理情况，以获得区域性支援。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707" w:type="dxa"/>
            <w:vMerge w:val="restart"/>
            <w:tcBorders>
              <w:tl2br w:val="nil"/>
              <w:tr2bl w:val="nil"/>
            </w:tcBorders>
            <w:vAlign w:val="center"/>
          </w:tcPr>
          <w:p>
            <w:pPr>
              <w:pStyle w:val="2"/>
              <w:ind w:firstLine="0" w:firstLineChars="0"/>
              <w:jc w:val="center"/>
              <w:rPr>
                <w:bCs/>
                <w:color w:val="auto"/>
                <w:sz w:val="21"/>
                <w:szCs w:val="21"/>
                <w:highlight w:val="none"/>
              </w:rPr>
            </w:pPr>
            <w:r>
              <w:rPr>
                <w:bCs/>
                <w:color w:val="auto"/>
                <w:sz w:val="21"/>
                <w:szCs w:val="21"/>
                <w:highlight w:val="none"/>
              </w:rPr>
              <w:t>5</w:t>
            </w:r>
          </w:p>
        </w:tc>
        <w:tc>
          <w:tcPr>
            <w:tcW w:w="1525" w:type="dxa"/>
            <w:tcBorders>
              <w:tl2br w:val="nil"/>
              <w:tr2bl w:val="nil"/>
            </w:tcBorders>
            <w:vAlign w:val="center"/>
          </w:tcPr>
          <w:p>
            <w:pPr>
              <w:pStyle w:val="2"/>
              <w:ind w:firstLine="0" w:firstLineChars="0"/>
              <w:jc w:val="center"/>
              <w:rPr>
                <w:bCs/>
                <w:color w:val="auto"/>
                <w:sz w:val="21"/>
                <w:szCs w:val="21"/>
                <w:highlight w:val="none"/>
              </w:rPr>
            </w:pPr>
            <w:r>
              <w:rPr>
                <w:bCs/>
                <w:color w:val="auto"/>
                <w:sz w:val="21"/>
                <w:szCs w:val="21"/>
                <w:highlight w:val="none"/>
              </w:rPr>
              <w:t>应急环境监测</w:t>
            </w:r>
          </w:p>
        </w:tc>
        <w:tc>
          <w:tcPr>
            <w:tcW w:w="6068" w:type="dxa"/>
            <w:tcBorders>
              <w:tl2br w:val="nil"/>
              <w:tr2bl w:val="nil"/>
            </w:tcBorders>
            <w:vAlign w:val="center"/>
          </w:tcPr>
          <w:p>
            <w:pPr>
              <w:pStyle w:val="2"/>
              <w:ind w:firstLine="0" w:firstLineChars="0"/>
              <w:jc w:val="center"/>
              <w:rPr>
                <w:bCs/>
                <w:color w:val="auto"/>
                <w:sz w:val="21"/>
                <w:szCs w:val="21"/>
                <w:highlight w:val="none"/>
              </w:rPr>
            </w:pPr>
            <w:r>
              <w:rPr>
                <w:bCs/>
                <w:color w:val="auto"/>
                <w:sz w:val="21"/>
                <w:szCs w:val="21"/>
                <w:highlight w:val="none"/>
              </w:rPr>
              <w:t>组织专业队伍负责对事故现场进行侦察监测，对事故性质、参数与后果进行评估，专为指挥部门提供决策依据。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707" w:type="dxa"/>
            <w:vMerge w:val="continue"/>
            <w:tcBorders>
              <w:tl2br w:val="nil"/>
              <w:tr2bl w:val="nil"/>
            </w:tcBorders>
            <w:vAlign w:val="center"/>
          </w:tcPr>
          <w:p>
            <w:pPr>
              <w:pStyle w:val="2"/>
              <w:ind w:firstLine="0" w:firstLineChars="0"/>
              <w:jc w:val="center"/>
              <w:rPr>
                <w:bCs/>
                <w:color w:val="auto"/>
                <w:sz w:val="21"/>
                <w:szCs w:val="21"/>
                <w:highlight w:val="none"/>
              </w:rPr>
            </w:pPr>
          </w:p>
        </w:tc>
        <w:tc>
          <w:tcPr>
            <w:tcW w:w="1525" w:type="dxa"/>
            <w:tcBorders>
              <w:tl2br w:val="nil"/>
              <w:tr2bl w:val="nil"/>
            </w:tcBorders>
            <w:vAlign w:val="center"/>
          </w:tcPr>
          <w:p>
            <w:pPr>
              <w:pStyle w:val="2"/>
              <w:ind w:firstLine="0" w:firstLineChars="0"/>
              <w:jc w:val="center"/>
              <w:rPr>
                <w:bCs/>
                <w:color w:val="auto"/>
                <w:sz w:val="21"/>
                <w:szCs w:val="21"/>
                <w:highlight w:val="none"/>
              </w:rPr>
            </w:pPr>
            <w:r>
              <w:rPr>
                <w:bCs/>
                <w:color w:val="auto"/>
                <w:sz w:val="21"/>
                <w:szCs w:val="21"/>
                <w:highlight w:val="none"/>
              </w:rPr>
              <w:t>抢险、救援控制</w:t>
            </w:r>
          </w:p>
          <w:p>
            <w:pPr>
              <w:pStyle w:val="2"/>
              <w:ind w:firstLine="0" w:firstLineChars="0"/>
              <w:jc w:val="center"/>
              <w:rPr>
                <w:bCs/>
                <w:color w:val="auto"/>
                <w:sz w:val="21"/>
                <w:szCs w:val="21"/>
                <w:highlight w:val="none"/>
              </w:rPr>
            </w:pPr>
            <w:r>
              <w:rPr>
                <w:bCs/>
                <w:color w:val="auto"/>
                <w:sz w:val="21"/>
                <w:szCs w:val="21"/>
                <w:highlight w:val="none"/>
              </w:rPr>
              <w:t>措施</w:t>
            </w:r>
          </w:p>
        </w:tc>
        <w:tc>
          <w:tcPr>
            <w:tcW w:w="6068" w:type="dxa"/>
            <w:tcBorders>
              <w:tl2br w:val="nil"/>
              <w:tr2bl w:val="nil"/>
            </w:tcBorders>
            <w:vAlign w:val="center"/>
          </w:tcPr>
          <w:p>
            <w:pPr>
              <w:pStyle w:val="2"/>
              <w:ind w:firstLine="0" w:firstLineChars="0"/>
              <w:jc w:val="center"/>
              <w:rPr>
                <w:bCs/>
                <w:color w:val="auto"/>
                <w:sz w:val="21"/>
                <w:szCs w:val="21"/>
                <w:highlight w:val="none"/>
              </w:rPr>
            </w:pPr>
            <w:r>
              <w:rPr>
                <w:bCs/>
                <w:color w:val="auto"/>
                <w:sz w:val="21"/>
                <w:szCs w:val="21"/>
                <w:highlight w:val="none"/>
              </w:rPr>
              <w:t>严格规定事故多发区、事故现场、邻近区域、控制防火区域设置控制和清除污染措施及相应设备的数量、使用方法、使用人员。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707" w:type="dxa"/>
            <w:tcBorders>
              <w:tl2br w:val="nil"/>
              <w:tr2bl w:val="nil"/>
            </w:tcBorders>
            <w:vAlign w:val="center"/>
          </w:tcPr>
          <w:p>
            <w:pPr>
              <w:pStyle w:val="2"/>
              <w:ind w:firstLine="0" w:firstLineChars="0"/>
              <w:jc w:val="center"/>
              <w:rPr>
                <w:bCs/>
                <w:color w:val="auto"/>
                <w:sz w:val="21"/>
                <w:szCs w:val="21"/>
                <w:highlight w:val="none"/>
              </w:rPr>
            </w:pPr>
            <w:r>
              <w:rPr>
                <w:bCs/>
                <w:color w:val="auto"/>
                <w:sz w:val="21"/>
                <w:szCs w:val="21"/>
                <w:highlight w:val="none"/>
              </w:rPr>
              <w:t>6</w:t>
            </w:r>
          </w:p>
        </w:tc>
        <w:tc>
          <w:tcPr>
            <w:tcW w:w="1525" w:type="dxa"/>
            <w:tcBorders>
              <w:tl2br w:val="nil"/>
              <w:tr2bl w:val="nil"/>
            </w:tcBorders>
            <w:vAlign w:val="center"/>
          </w:tcPr>
          <w:p>
            <w:pPr>
              <w:pStyle w:val="2"/>
              <w:ind w:firstLine="0" w:firstLineChars="0"/>
              <w:jc w:val="center"/>
              <w:rPr>
                <w:bCs/>
                <w:color w:val="auto"/>
                <w:sz w:val="21"/>
                <w:szCs w:val="21"/>
                <w:highlight w:val="none"/>
              </w:rPr>
            </w:pPr>
            <w:r>
              <w:rPr>
                <w:bCs/>
                <w:color w:val="auto"/>
                <w:sz w:val="21"/>
                <w:szCs w:val="21"/>
                <w:highlight w:val="none"/>
              </w:rPr>
              <w:t>疏散计划</w:t>
            </w:r>
          </w:p>
        </w:tc>
        <w:tc>
          <w:tcPr>
            <w:tcW w:w="6068" w:type="dxa"/>
            <w:tcBorders>
              <w:tl2br w:val="nil"/>
              <w:tr2bl w:val="nil"/>
            </w:tcBorders>
            <w:vAlign w:val="center"/>
          </w:tcPr>
          <w:p>
            <w:pPr>
              <w:pStyle w:val="2"/>
              <w:ind w:firstLine="0" w:firstLineChars="0"/>
              <w:jc w:val="center"/>
              <w:rPr>
                <w:bCs/>
                <w:color w:val="auto"/>
                <w:sz w:val="21"/>
                <w:szCs w:val="21"/>
                <w:highlight w:val="none"/>
              </w:rPr>
            </w:pPr>
            <w:r>
              <w:rPr>
                <w:bCs/>
                <w:color w:val="auto"/>
                <w:sz w:val="21"/>
                <w:szCs w:val="21"/>
                <w:highlight w:val="none"/>
              </w:rPr>
              <w:t>事故现场、邻近区、受事故影响的区域人员及公众对有毒有害物质应急剂量控制规定，制定紧急撤离组织计划和救护，制定事故发生时职工撤退应急路线图，医疗救护与公众健康。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707" w:type="dxa"/>
            <w:tcBorders>
              <w:tl2br w:val="nil"/>
              <w:tr2bl w:val="nil"/>
            </w:tcBorders>
            <w:vAlign w:val="center"/>
          </w:tcPr>
          <w:p>
            <w:pPr>
              <w:pStyle w:val="2"/>
              <w:ind w:firstLine="0" w:firstLineChars="0"/>
              <w:jc w:val="center"/>
              <w:rPr>
                <w:bCs/>
                <w:color w:val="auto"/>
                <w:sz w:val="21"/>
                <w:szCs w:val="21"/>
                <w:highlight w:val="none"/>
              </w:rPr>
            </w:pPr>
            <w:r>
              <w:rPr>
                <w:bCs/>
                <w:color w:val="auto"/>
                <w:sz w:val="21"/>
                <w:szCs w:val="21"/>
                <w:highlight w:val="none"/>
              </w:rPr>
              <w:t>7</w:t>
            </w:r>
          </w:p>
        </w:tc>
        <w:tc>
          <w:tcPr>
            <w:tcW w:w="1525" w:type="dxa"/>
            <w:tcBorders>
              <w:tl2br w:val="nil"/>
              <w:tr2bl w:val="nil"/>
            </w:tcBorders>
            <w:vAlign w:val="center"/>
          </w:tcPr>
          <w:p>
            <w:pPr>
              <w:pStyle w:val="2"/>
              <w:ind w:firstLine="0" w:firstLineChars="0"/>
              <w:jc w:val="center"/>
              <w:rPr>
                <w:bCs/>
                <w:color w:val="auto"/>
                <w:sz w:val="21"/>
                <w:szCs w:val="21"/>
                <w:highlight w:val="none"/>
              </w:rPr>
            </w:pPr>
            <w:r>
              <w:rPr>
                <w:bCs/>
                <w:color w:val="auto"/>
                <w:sz w:val="21"/>
                <w:szCs w:val="21"/>
                <w:highlight w:val="none"/>
              </w:rPr>
              <w:t>事故应急救援</w:t>
            </w:r>
          </w:p>
          <w:p>
            <w:pPr>
              <w:pStyle w:val="2"/>
              <w:ind w:firstLine="0" w:firstLineChars="0"/>
              <w:jc w:val="center"/>
              <w:rPr>
                <w:bCs/>
                <w:color w:val="auto"/>
                <w:sz w:val="21"/>
                <w:szCs w:val="21"/>
                <w:highlight w:val="none"/>
              </w:rPr>
            </w:pPr>
            <w:r>
              <w:rPr>
                <w:bCs/>
                <w:color w:val="auto"/>
                <w:sz w:val="21"/>
                <w:szCs w:val="21"/>
                <w:highlight w:val="none"/>
              </w:rPr>
              <w:t>关闭程序</w:t>
            </w:r>
          </w:p>
        </w:tc>
        <w:tc>
          <w:tcPr>
            <w:tcW w:w="6068" w:type="dxa"/>
            <w:tcBorders>
              <w:tl2br w:val="nil"/>
              <w:tr2bl w:val="nil"/>
            </w:tcBorders>
            <w:vAlign w:val="center"/>
          </w:tcPr>
          <w:p>
            <w:pPr>
              <w:pStyle w:val="2"/>
              <w:ind w:firstLine="0" w:firstLineChars="0"/>
              <w:jc w:val="center"/>
              <w:rPr>
                <w:bCs/>
                <w:color w:val="auto"/>
                <w:sz w:val="21"/>
                <w:szCs w:val="21"/>
                <w:highlight w:val="none"/>
              </w:rPr>
            </w:pPr>
            <w:r>
              <w:rPr>
                <w:bCs/>
                <w:color w:val="auto"/>
                <w:sz w:val="21"/>
                <w:szCs w:val="21"/>
                <w:highlight w:val="none"/>
              </w:rPr>
              <w:t>制定相关应急状态终止程序，事故现场、受影响范围内的善后处</w:t>
            </w:r>
          </w:p>
          <w:p>
            <w:pPr>
              <w:pStyle w:val="2"/>
              <w:ind w:firstLine="0" w:firstLineChars="0"/>
              <w:jc w:val="center"/>
              <w:rPr>
                <w:bCs/>
                <w:color w:val="auto"/>
                <w:sz w:val="21"/>
                <w:szCs w:val="21"/>
                <w:highlight w:val="none"/>
              </w:rPr>
            </w:pPr>
            <w:r>
              <w:rPr>
                <w:bCs/>
                <w:color w:val="auto"/>
                <w:sz w:val="21"/>
                <w:szCs w:val="21"/>
                <w:highlight w:val="none"/>
              </w:rPr>
              <w:t>理、恢复措施，邻近区域解除事故警戒及善后恢复措施。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707" w:type="dxa"/>
            <w:tcBorders>
              <w:tl2br w:val="nil"/>
              <w:tr2bl w:val="nil"/>
            </w:tcBorders>
            <w:vAlign w:val="center"/>
          </w:tcPr>
          <w:p>
            <w:pPr>
              <w:pStyle w:val="2"/>
              <w:ind w:firstLine="0" w:firstLineChars="0"/>
              <w:jc w:val="center"/>
              <w:rPr>
                <w:bCs/>
                <w:color w:val="auto"/>
                <w:sz w:val="21"/>
                <w:szCs w:val="21"/>
                <w:highlight w:val="none"/>
              </w:rPr>
            </w:pPr>
            <w:r>
              <w:rPr>
                <w:bCs/>
                <w:color w:val="auto"/>
                <w:sz w:val="21"/>
                <w:szCs w:val="21"/>
                <w:highlight w:val="none"/>
              </w:rPr>
              <w:t>8</w:t>
            </w:r>
          </w:p>
        </w:tc>
        <w:tc>
          <w:tcPr>
            <w:tcW w:w="1525" w:type="dxa"/>
            <w:tcBorders>
              <w:tl2br w:val="nil"/>
              <w:tr2bl w:val="nil"/>
            </w:tcBorders>
            <w:vAlign w:val="center"/>
          </w:tcPr>
          <w:p>
            <w:pPr>
              <w:pStyle w:val="2"/>
              <w:ind w:firstLine="0" w:firstLineChars="0"/>
              <w:jc w:val="center"/>
              <w:rPr>
                <w:bCs/>
                <w:color w:val="auto"/>
                <w:sz w:val="21"/>
                <w:szCs w:val="21"/>
                <w:highlight w:val="none"/>
              </w:rPr>
            </w:pPr>
            <w:r>
              <w:rPr>
                <w:bCs/>
                <w:color w:val="auto"/>
                <w:sz w:val="21"/>
                <w:szCs w:val="21"/>
                <w:highlight w:val="none"/>
              </w:rPr>
              <w:t>事故恢复措施</w:t>
            </w:r>
          </w:p>
        </w:tc>
        <w:tc>
          <w:tcPr>
            <w:tcW w:w="6068" w:type="dxa"/>
            <w:tcBorders>
              <w:tl2br w:val="nil"/>
              <w:tr2bl w:val="nil"/>
            </w:tcBorders>
            <w:vAlign w:val="center"/>
          </w:tcPr>
          <w:p>
            <w:pPr>
              <w:pStyle w:val="2"/>
              <w:ind w:firstLine="0" w:firstLineChars="0"/>
              <w:jc w:val="center"/>
              <w:rPr>
                <w:bCs/>
                <w:color w:val="auto"/>
                <w:sz w:val="21"/>
                <w:szCs w:val="21"/>
                <w:highlight w:val="none"/>
              </w:rPr>
            </w:pPr>
            <w:r>
              <w:rPr>
                <w:bCs/>
                <w:color w:val="auto"/>
                <w:sz w:val="21"/>
                <w:szCs w:val="21"/>
                <w:highlight w:val="none"/>
              </w:rPr>
              <w:t>制定有关的环境恢复措施，组织专业人员对事故后的环境变化进行监测，对事故应急措施的环境可行性进行后影响评价。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707" w:type="dxa"/>
            <w:tcBorders>
              <w:tl2br w:val="nil"/>
              <w:tr2bl w:val="nil"/>
            </w:tcBorders>
            <w:vAlign w:val="center"/>
          </w:tcPr>
          <w:p>
            <w:pPr>
              <w:pStyle w:val="2"/>
              <w:ind w:firstLine="0" w:firstLineChars="0"/>
              <w:jc w:val="center"/>
              <w:rPr>
                <w:bCs/>
                <w:color w:val="auto"/>
                <w:sz w:val="21"/>
                <w:szCs w:val="21"/>
                <w:highlight w:val="none"/>
              </w:rPr>
            </w:pPr>
            <w:r>
              <w:rPr>
                <w:bCs/>
                <w:color w:val="auto"/>
                <w:sz w:val="21"/>
                <w:szCs w:val="21"/>
                <w:highlight w:val="none"/>
              </w:rPr>
              <w:t>9</w:t>
            </w:r>
          </w:p>
        </w:tc>
        <w:tc>
          <w:tcPr>
            <w:tcW w:w="1525" w:type="dxa"/>
            <w:tcBorders>
              <w:tl2br w:val="nil"/>
              <w:tr2bl w:val="nil"/>
            </w:tcBorders>
            <w:vAlign w:val="center"/>
          </w:tcPr>
          <w:p>
            <w:pPr>
              <w:pStyle w:val="2"/>
              <w:ind w:firstLine="0" w:firstLineChars="0"/>
              <w:jc w:val="center"/>
              <w:rPr>
                <w:bCs/>
                <w:color w:val="auto"/>
                <w:sz w:val="21"/>
                <w:szCs w:val="21"/>
                <w:highlight w:val="none"/>
              </w:rPr>
            </w:pPr>
            <w:r>
              <w:rPr>
                <w:bCs/>
                <w:color w:val="auto"/>
                <w:sz w:val="21"/>
                <w:szCs w:val="21"/>
                <w:highlight w:val="none"/>
              </w:rPr>
              <w:t>应急培训计划</w:t>
            </w:r>
          </w:p>
        </w:tc>
        <w:tc>
          <w:tcPr>
            <w:tcW w:w="6068" w:type="dxa"/>
            <w:tcBorders>
              <w:tl2br w:val="nil"/>
              <w:tr2bl w:val="nil"/>
            </w:tcBorders>
            <w:vAlign w:val="center"/>
          </w:tcPr>
          <w:p>
            <w:pPr>
              <w:pStyle w:val="2"/>
              <w:ind w:firstLine="0" w:firstLineChars="0"/>
              <w:jc w:val="center"/>
              <w:rPr>
                <w:bCs/>
                <w:color w:val="auto"/>
                <w:sz w:val="21"/>
                <w:szCs w:val="21"/>
                <w:highlight w:val="none"/>
              </w:rPr>
            </w:pPr>
            <w:r>
              <w:rPr>
                <w:bCs/>
                <w:color w:val="auto"/>
                <w:sz w:val="21"/>
                <w:szCs w:val="21"/>
                <w:highlight w:val="none"/>
              </w:rPr>
              <w:t>定期安排有关人员进行培训与演练。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707" w:type="dxa"/>
            <w:tcBorders>
              <w:tl2br w:val="nil"/>
              <w:tr2bl w:val="nil"/>
            </w:tcBorders>
            <w:vAlign w:val="center"/>
          </w:tcPr>
          <w:p>
            <w:pPr>
              <w:pStyle w:val="2"/>
              <w:ind w:firstLine="0" w:firstLineChars="0"/>
              <w:jc w:val="center"/>
              <w:rPr>
                <w:bCs/>
                <w:color w:val="auto"/>
                <w:sz w:val="21"/>
                <w:szCs w:val="21"/>
                <w:highlight w:val="none"/>
              </w:rPr>
            </w:pPr>
            <w:r>
              <w:rPr>
                <w:bCs/>
                <w:color w:val="auto"/>
                <w:sz w:val="21"/>
                <w:szCs w:val="21"/>
                <w:highlight w:val="none"/>
              </w:rPr>
              <w:t>10</w:t>
            </w:r>
          </w:p>
        </w:tc>
        <w:tc>
          <w:tcPr>
            <w:tcW w:w="1525" w:type="dxa"/>
            <w:tcBorders>
              <w:tl2br w:val="nil"/>
              <w:tr2bl w:val="nil"/>
            </w:tcBorders>
            <w:vAlign w:val="center"/>
          </w:tcPr>
          <w:p>
            <w:pPr>
              <w:pStyle w:val="2"/>
              <w:ind w:firstLine="0" w:firstLineChars="0"/>
              <w:jc w:val="center"/>
              <w:rPr>
                <w:bCs/>
                <w:color w:val="auto"/>
                <w:sz w:val="21"/>
                <w:szCs w:val="21"/>
                <w:highlight w:val="none"/>
              </w:rPr>
            </w:pPr>
            <w:r>
              <w:rPr>
                <w:bCs/>
                <w:color w:val="auto"/>
                <w:sz w:val="21"/>
                <w:szCs w:val="21"/>
                <w:highlight w:val="none"/>
              </w:rPr>
              <w:t>公众教育和信息</w:t>
            </w:r>
          </w:p>
        </w:tc>
        <w:tc>
          <w:tcPr>
            <w:tcW w:w="6068" w:type="dxa"/>
            <w:tcBorders>
              <w:tl2br w:val="nil"/>
              <w:tr2bl w:val="nil"/>
            </w:tcBorders>
            <w:vAlign w:val="center"/>
          </w:tcPr>
          <w:p>
            <w:pPr>
              <w:pStyle w:val="2"/>
              <w:ind w:firstLine="0" w:firstLineChars="0"/>
              <w:jc w:val="center"/>
              <w:rPr>
                <w:bCs/>
                <w:color w:val="auto"/>
                <w:sz w:val="21"/>
                <w:szCs w:val="21"/>
                <w:highlight w:val="none"/>
              </w:rPr>
            </w:pPr>
            <w:r>
              <w:rPr>
                <w:bCs/>
                <w:color w:val="auto"/>
                <w:sz w:val="21"/>
                <w:szCs w:val="21"/>
                <w:highlight w:val="none"/>
              </w:rPr>
              <w:t>对邻近地区开展公众教育、培训和发布有关信息。</w:t>
            </w:r>
          </w:p>
        </w:tc>
      </w:tr>
    </w:tbl>
    <w:p>
      <w:pPr>
        <w:pStyle w:val="6"/>
        <w:ind w:firstLine="482"/>
        <w:rPr>
          <w:rFonts w:hint="eastAsia"/>
          <w:color w:val="auto"/>
          <w:highlight w:val="none"/>
          <w:lang w:val="en-US" w:eastAsia="zh-CN"/>
        </w:rPr>
      </w:pPr>
      <w:bookmarkStart w:id="43" w:name="_Toc404171074"/>
      <w:bookmarkStart w:id="44" w:name="_Toc451525733"/>
      <w:r>
        <w:rPr>
          <w:rFonts w:hint="eastAsia"/>
          <w:color w:val="auto"/>
          <w:highlight w:val="none"/>
          <w:lang w:val="en-US" w:eastAsia="zh-CN"/>
        </w:rPr>
        <w:t>4.2.7.9 风险评价结论</w:t>
      </w:r>
      <w:bookmarkEnd w:id="43"/>
      <w:bookmarkEnd w:id="44"/>
    </w:p>
    <w:p>
      <w:pPr>
        <w:pStyle w:val="112"/>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ascii="Times New Roman" w:hAnsi="Times New Roman"/>
          <w:color w:val="auto"/>
          <w:sz w:val="24"/>
          <w:highlight w:val="none"/>
        </w:rPr>
      </w:pPr>
      <w:r>
        <w:rPr>
          <w:rFonts w:hint="eastAsia" w:ascii="Times New Roman" w:hAnsi="Times New Roman"/>
          <w:color w:val="auto"/>
          <w:sz w:val="24"/>
          <w:highlight w:val="none"/>
        </w:rPr>
        <w:t>本项目环境风险主要表现在沼气发生泄漏可能引起大气污染及火灾、爆炸事故引发的次生大气污染。废水泄漏可能对周围土壤、地表水及地下水产生的影响。</w:t>
      </w:r>
    </w:p>
    <w:p>
      <w:pPr>
        <w:pStyle w:val="112"/>
        <w:keepNext w:val="0"/>
        <w:keepLines w:val="0"/>
        <w:pageBreakBefore w:val="0"/>
        <w:widowControl/>
        <w:kinsoku/>
        <w:wordWrap/>
        <w:overflowPunct/>
        <w:topLinePunct w:val="0"/>
        <w:autoSpaceDE/>
        <w:autoSpaceDN/>
        <w:bidi w:val="0"/>
        <w:adjustRightInd/>
        <w:snapToGrid/>
        <w:spacing w:line="360" w:lineRule="auto"/>
        <w:ind w:firstLine="480"/>
        <w:textAlignment w:val="auto"/>
        <w:rPr>
          <w:color w:val="auto"/>
          <w:highlight w:val="none"/>
        </w:rPr>
      </w:pPr>
      <w:r>
        <w:rPr>
          <w:rFonts w:hint="eastAsia" w:ascii="Times New Roman" w:hAnsi="Times New Roman"/>
          <w:color w:val="auto"/>
          <w:sz w:val="24"/>
          <w:highlight w:val="none"/>
        </w:rPr>
        <w:t>通过分析可知，在严格落实本环评提出的各项风险防范措施和应急预案后，该项目发生风险事故的可能进一步降低，其潜在的环境风险是可以接受的</w:t>
      </w:r>
      <w:r>
        <w:rPr>
          <w:color w:val="auto"/>
          <w:highlight w:val="none"/>
        </w:rPr>
        <w:t>。</w:t>
      </w:r>
    </w:p>
    <w:p>
      <w:pPr>
        <w:pStyle w:val="112"/>
        <w:keepNext w:val="0"/>
        <w:keepLines w:val="0"/>
        <w:pageBreakBefore w:val="0"/>
        <w:widowControl/>
        <w:kinsoku/>
        <w:wordWrap/>
        <w:overflowPunct/>
        <w:topLinePunct w:val="0"/>
        <w:autoSpaceDE/>
        <w:autoSpaceDN/>
        <w:bidi w:val="0"/>
        <w:adjustRightInd/>
        <w:snapToGrid/>
        <w:spacing w:line="360" w:lineRule="auto"/>
        <w:ind w:firstLine="480"/>
        <w:textAlignment w:val="auto"/>
        <w:rPr>
          <w:color w:val="auto"/>
          <w:highlight w:val="none"/>
        </w:rPr>
        <w:sectPr>
          <w:pgSz w:w="11850" w:h="16783"/>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p>
    <w:p>
      <w:pPr>
        <w:pStyle w:val="3"/>
        <w:spacing w:before="0" w:beforeLines="0" w:after="0" w:afterLines="0"/>
        <w:rPr>
          <w:rFonts w:cs="Times New Roman"/>
          <w:color w:val="auto"/>
          <w:highlight w:val="none"/>
        </w:rPr>
      </w:pPr>
      <w:bookmarkStart w:id="45" w:name="_Toc25714"/>
      <w:r>
        <w:rPr>
          <w:rFonts w:hint="eastAsia" w:cs="Times New Roman"/>
          <w:color w:val="auto"/>
          <w:highlight w:val="none"/>
          <w:lang w:val="en-US" w:eastAsia="zh-CN"/>
        </w:rPr>
        <w:t>5</w:t>
      </w:r>
      <w:r>
        <w:rPr>
          <w:rFonts w:cs="Times New Roman"/>
          <w:color w:val="auto"/>
          <w:highlight w:val="none"/>
        </w:rPr>
        <w:t>环境保护措施及其可行性分析</w:t>
      </w:r>
      <w:bookmarkEnd w:id="45"/>
    </w:p>
    <w:p>
      <w:pPr>
        <w:pStyle w:val="4"/>
        <w:spacing w:beforeLines="0"/>
        <w:rPr>
          <w:rFonts w:cs="Times New Roman"/>
          <w:color w:val="auto"/>
          <w:highlight w:val="none"/>
        </w:rPr>
      </w:pPr>
      <w:bookmarkStart w:id="46" w:name="_Toc2666"/>
      <w:r>
        <w:rPr>
          <w:rFonts w:hint="eastAsia" w:cs="Times New Roman"/>
          <w:color w:val="auto"/>
          <w:highlight w:val="none"/>
          <w:lang w:val="en-US" w:eastAsia="zh-CN"/>
        </w:rPr>
        <w:t>5</w:t>
      </w:r>
      <w:r>
        <w:rPr>
          <w:rFonts w:hint="eastAsia" w:cs="Times New Roman"/>
          <w:color w:val="auto"/>
          <w:highlight w:val="none"/>
        </w:rPr>
        <w:t>.</w:t>
      </w:r>
      <w:r>
        <w:rPr>
          <w:rFonts w:cs="Times New Roman"/>
          <w:color w:val="auto"/>
          <w:highlight w:val="none"/>
        </w:rPr>
        <w:t>1</w:t>
      </w:r>
      <w:r>
        <w:rPr>
          <w:rFonts w:hint="eastAsia" w:cs="Times New Roman"/>
          <w:color w:val="auto"/>
          <w:highlight w:val="none"/>
        </w:rPr>
        <w:t>施工期环境保护措施</w:t>
      </w:r>
      <w:bookmarkEnd w:id="46"/>
    </w:p>
    <w:p>
      <w:pPr>
        <w:pStyle w:val="5"/>
        <w:spacing w:before="66"/>
        <w:ind w:firstLine="482"/>
        <w:rPr>
          <w:color w:val="auto"/>
          <w:highlight w:val="none"/>
        </w:rPr>
      </w:pPr>
      <w:r>
        <w:rPr>
          <w:rFonts w:hint="eastAsia"/>
          <w:color w:val="auto"/>
          <w:highlight w:val="none"/>
          <w:lang w:val="en-US" w:eastAsia="zh-CN"/>
        </w:rPr>
        <w:t>5</w:t>
      </w:r>
      <w:r>
        <w:rPr>
          <w:rFonts w:hint="eastAsia"/>
          <w:color w:val="auto"/>
          <w:highlight w:val="none"/>
        </w:rPr>
        <w:t>.1.1水环境保护措施</w:t>
      </w:r>
    </w:p>
    <w:p>
      <w:pPr>
        <w:ind w:firstLine="480"/>
        <w:rPr>
          <w:rFonts w:cs="Times New Roman"/>
          <w:color w:val="auto"/>
          <w:highlight w:val="none"/>
        </w:rPr>
      </w:pPr>
      <w:r>
        <w:rPr>
          <w:rFonts w:hint="eastAsia" w:cs="Times New Roman"/>
          <w:color w:val="auto"/>
          <w:highlight w:val="none"/>
        </w:rPr>
        <w:t>本项目施工期间</w:t>
      </w:r>
      <w:r>
        <w:rPr>
          <w:rStyle w:val="110"/>
          <w:rFonts w:hint="eastAsia"/>
          <w:color w:val="auto"/>
          <w:highlight w:val="none"/>
        </w:rPr>
        <w:t>场地内施工人员生活污水经处理后回用于施工或洒水抑尘</w:t>
      </w:r>
      <w:r>
        <w:rPr>
          <w:rFonts w:cs="Times New Roman"/>
          <w:color w:val="auto"/>
          <w:highlight w:val="none"/>
        </w:rPr>
        <w:t>。</w:t>
      </w:r>
      <w:r>
        <w:rPr>
          <w:rFonts w:hint="eastAsia" w:cs="Times New Roman"/>
          <w:color w:val="auto"/>
          <w:highlight w:val="none"/>
        </w:rPr>
        <w:t>施工场地设置进出车辆冲洗平台，并在平台周边设置截流沟，将冲洗废水导入沉淀池或沉砂井，施工废水经简易沉淀处理后，回用于施工或洒水降尘。</w:t>
      </w:r>
    </w:p>
    <w:p>
      <w:pPr>
        <w:pStyle w:val="5"/>
        <w:spacing w:before="66"/>
        <w:ind w:firstLine="482"/>
        <w:rPr>
          <w:color w:val="auto"/>
          <w:highlight w:val="none"/>
        </w:rPr>
      </w:pPr>
      <w:r>
        <w:rPr>
          <w:rFonts w:hint="eastAsia"/>
          <w:color w:val="auto"/>
          <w:highlight w:val="none"/>
          <w:lang w:val="en-US" w:eastAsia="zh-CN"/>
        </w:rPr>
        <w:t>5</w:t>
      </w:r>
      <w:r>
        <w:rPr>
          <w:rFonts w:hint="eastAsia"/>
          <w:color w:val="auto"/>
          <w:highlight w:val="none"/>
        </w:rPr>
        <w:t>.1.2扬尘污染防治措施</w:t>
      </w:r>
    </w:p>
    <w:p>
      <w:pPr>
        <w:ind w:firstLine="480"/>
        <w:rPr>
          <w:rFonts w:hint="eastAsia"/>
          <w:color w:val="auto"/>
          <w:highlight w:val="none"/>
        </w:rPr>
      </w:pPr>
      <w:r>
        <w:rPr>
          <w:rFonts w:hint="eastAsia"/>
          <w:color w:val="auto"/>
          <w:highlight w:val="none"/>
        </w:rPr>
        <w:t>工程土建施工期间，由于开挖的土方通常裸露堆放在施工现场，如果遇到干燥大风天气，将会产生一定量的扬尘，对周围环境产生一定的影响，根据政府相关要求应做好扬尘污染防治措施。对于施工期土石开挖造成的植被破坏，评价建议建设单位加强管理，工程完成后，及时回填、绿化，减少对环境造成的扬尘影响，并防止水土流失。为减小工程施工期可能对周围环境造成的影响，保护项目区的生态环境，最大限度地减少工程建设对环境造成的不利影响，同时根据豫环攻坚办〔2019〕25号《关于印发河南省2019年大气污染防治攻坚战实施方案的通知》及驻马店市大气污染防治的最新要求，本项目具体采取以下控制措施：</w:t>
      </w:r>
    </w:p>
    <w:p>
      <w:pPr>
        <w:ind w:firstLine="480"/>
        <w:rPr>
          <w:rFonts w:hint="eastAsia"/>
          <w:color w:val="auto"/>
          <w:highlight w:val="none"/>
        </w:rPr>
      </w:pPr>
      <w:r>
        <w:rPr>
          <w:rFonts w:hint="eastAsia"/>
          <w:color w:val="auto"/>
          <w:highlight w:val="none"/>
        </w:rPr>
        <w:t>评价对施工期环境影响因素进行分析并提出相应的防治措施：</w:t>
      </w:r>
    </w:p>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rPr>
      </w:pPr>
      <w:r>
        <w:rPr>
          <w:rFonts w:hint="eastAsia"/>
          <w:color w:val="auto"/>
          <w:highlight w:val="none"/>
        </w:rPr>
        <w:t>（1）施工现场实行封闭管理，必须在大门口醒目位置设置扬尘治理责任公示牌和文明施工扬尘治理标准，要设置硬质围挡且必须沿工地四周连续安装。围挡高度不得低于1.8米；围挡内侧1米范围内不得堆放料具、土石方等物料，围挡外侧5米范围内保持清洁。</w:t>
      </w:r>
    </w:p>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rPr>
      </w:pPr>
      <w:r>
        <w:rPr>
          <w:rFonts w:hint="eastAsia"/>
          <w:color w:val="auto"/>
          <w:highlight w:val="none"/>
        </w:rPr>
        <w:t>（2）施工现场应当按规定设置建筑垃圾集中堆放点，建筑垃圾应集中、分类堆放；施工产生的建筑垃圾、渣土必须按照有关市容和环境卫生的管理规定，及时清运到指定地点；生活垃圾应当设置专用垃圾箱，做到日产日清。</w:t>
      </w:r>
    </w:p>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rPr>
      </w:pPr>
      <w:r>
        <w:rPr>
          <w:rFonts w:hint="eastAsia"/>
          <w:color w:val="auto"/>
          <w:highlight w:val="none"/>
        </w:rPr>
        <w:t>（3）施工现场出入口处应当设置车辆清洗设施和泥浆沉淀设施。工程车辆进出工地必须清洗，洗车时要保证车辆车身洁净，车轮不带泥，出口路面见本色。</w:t>
      </w:r>
    </w:p>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rPr>
      </w:pPr>
      <w:r>
        <w:rPr>
          <w:rFonts w:hint="eastAsia"/>
          <w:color w:val="auto"/>
          <w:highlight w:val="none"/>
        </w:rPr>
        <w:t>（4）建筑工程工地出入口应用砼、沥青等硬化，出口处硬化路面不得小于出口宽度；施工现场内主干道及作业场地应进行硬化处理，施工道路应当坚实抗压、保障畅通；施工现场内其他的施工道路应坚实平整，无浮土，无积水。</w:t>
      </w:r>
    </w:p>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rPr>
      </w:pPr>
      <w:r>
        <w:rPr>
          <w:rFonts w:hint="eastAsia"/>
          <w:color w:val="auto"/>
          <w:highlight w:val="none"/>
        </w:rPr>
        <w:t>（5）项目必须使用商品混凝土和预拌砂浆。施工现场不得大量堆放和储存水泥、砂、石等容易造成扬尘的建筑材料。</w:t>
      </w:r>
    </w:p>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rPr>
      </w:pPr>
      <w:r>
        <w:rPr>
          <w:rFonts w:hint="eastAsia"/>
          <w:color w:val="auto"/>
          <w:highlight w:val="none"/>
        </w:rPr>
        <w:t>（6）土方、渣土和施工垃圾等运输应采用密闭式运输车辆。</w:t>
      </w:r>
    </w:p>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rPr>
      </w:pPr>
      <w:r>
        <w:rPr>
          <w:rFonts w:hint="eastAsia"/>
          <w:color w:val="auto"/>
          <w:highlight w:val="none"/>
        </w:rPr>
        <w:t>（7）施工现场裸露的空地和集中堆放的土方、渣土、砂堆、灰堆等，必须采取覆盖、固化、绿化、定时洒水等有效措施控制扬尘；施工道路要进行淋水降尘，控制粉尘污染，不得在未实施洒水等抑尘措施情况下进行直接清扫。</w:t>
      </w:r>
    </w:p>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rPr>
      </w:pPr>
      <w:r>
        <w:rPr>
          <w:rFonts w:hint="eastAsia"/>
          <w:color w:val="auto"/>
          <w:highlight w:val="none"/>
        </w:rPr>
        <w:t>（8）遇到四级或四级以上大风天气，施工单位应停止土方等易产生扬尘作业的建设工程。</w:t>
      </w:r>
    </w:p>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rPr>
      </w:pPr>
      <w:r>
        <w:rPr>
          <w:rFonts w:hint="eastAsia"/>
          <w:color w:val="auto"/>
          <w:highlight w:val="none"/>
        </w:rPr>
        <w:t>（9）施工单位应对工地周围环境进行保洁，施工扬尘影响范围为保洁责任区的范围。</w:t>
      </w:r>
    </w:p>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rPr>
      </w:pPr>
      <w:r>
        <w:rPr>
          <w:rFonts w:hint="eastAsia"/>
          <w:color w:val="auto"/>
          <w:highlight w:val="none"/>
        </w:rPr>
        <w:t>（10）建材等散流体露天堆场均应采取“防扬散、防流失、防渗漏”的“三防措施”，实现空中不飞扬，地面不流失，地下不渗漏。</w:t>
      </w:r>
    </w:p>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rPr>
      </w:pPr>
      <w:r>
        <w:rPr>
          <w:rFonts w:hint="eastAsia"/>
          <w:color w:val="auto"/>
          <w:highlight w:val="none"/>
        </w:rPr>
        <w:t>（11）建筑施工工地全部实现标准化管理，做到“六个100%”。“六个100%”即施工现场100%围挡、现场路面100%硬化、散流体和裸地100%覆盖、车辆驶离100%冲洗、散流体运输车辆100%密封、洒水降尘制度100%落实。</w:t>
      </w:r>
    </w:p>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rPr>
      </w:pPr>
      <w:r>
        <w:rPr>
          <w:rFonts w:hint="eastAsia"/>
          <w:color w:val="auto"/>
          <w:highlight w:val="none"/>
        </w:rPr>
        <w:t>（12）制定运输扬尘管理办法,运输垃圾、渣土、砂石、土方、灰浆等散装、流体物料车辆要采取密闭或其他措施防止扬尘，运输车辆需要安装密闭装置。</w:t>
      </w:r>
    </w:p>
    <w:p>
      <w:pPr>
        <w:keepNext w:val="0"/>
        <w:keepLines w:val="0"/>
        <w:pageBreakBefore w:val="0"/>
        <w:widowControl/>
        <w:kinsoku/>
        <w:wordWrap/>
        <w:overflowPunct/>
        <w:topLinePunct w:val="0"/>
        <w:autoSpaceDE/>
        <w:autoSpaceDN/>
        <w:bidi w:val="0"/>
        <w:adjustRightInd/>
        <w:snapToGrid/>
        <w:ind w:firstLine="480"/>
        <w:textAlignment w:val="auto"/>
        <w:rPr>
          <w:color w:val="auto"/>
          <w:highlight w:val="none"/>
        </w:rPr>
      </w:pPr>
      <w:r>
        <w:rPr>
          <w:rFonts w:hint="eastAsia"/>
          <w:color w:val="auto"/>
          <w:highlight w:val="none"/>
        </w:rPr>
        <w:t>经采取以上扬尘控制措施后，建设项目施工期扬尘产生量可控制在最低限度，有效控制扬尘影响区域，扬尘防治措施可行。</w:t>
      </w:r>
    </w:p>
    <w:p>
      <w:pPr>
        <w:pStyle w:val="5"/>
        <w:spacing w:before="66"/>
        <w:ind w:firstLine="482"/>
        <w:rPr>
          <w:color w:val="auto"/>
          <w:highlight w:val="none"/>
        </w:rPr>
      </w:pPr>
      <w:r>
        <w:rPr>
          <w:rFonts w:hint="eastAsia"/>
          <w:color w:val="auto"/>
          <w:highlight w:val="none"/>
          <w:lang w:val="en-US" w:eastAsia="zh-CN"/>
        </w:rPr>
        <w:t>5</w:t>
      </w:r>
      <w:r>
        <w:rPr>
          <w:rFonts w:hint="eastAsia"/>
          <w:color w:val="auto"/>
          <w:highlight w:val="none"/>
        </w:rPr>
        <w:t>.1.3机械废气防治措施</w:t>
      </w:r>
    </w:p>
    <w:p>
      <w:pPr>
        <w:ind w:firstLine="480"/>
        <w:rPr>
          <w:color w:val="auto"/>
          <w:highlight w:val="none"/>
        </w:rPr>
      </w:pPr>
      <w:r>
        <w:rPr>
          <w:rFonts w:hint="eastAsia"/>
          <w:color w:val="auto"/>
          <w:highlight w:val="none"/>
        </w:rPr>
        <w:t>施工车辆、打桩机、挖土机等因燃油产生的二氧化硫、氮氧化物、一氧化碳、烃类等污染物会对大气环境造成不良影响。施工单位采用尾气排放符合国家规定标准的车辆和施工机械，确保其在运行时尾气达标排放，减少对环境空气的污染。禁止尾气排放不达标的车辆和施工机械运行作业。运输车辆和施工机械发生故障和损坏，及时维修或更新，防止设备带病运行，加大废气对环境空气的污染。</w:t>
      </w:r>
    </w:p>
    <w:p>
      <w:pPr>
        <w:ind w:firstLine="480"/>
        <w:rPr>
          <w:color w:val="auto"/>
          <w:highlight w:val="none"/>
        </w:rPr>
      </w:pPr>
      <w:r>
        <w:rPr>
          <w:rFonts w:hint="eastAsia"/>
          <w:color w:val="auto"/>
          <w:highlight w:val="none"/>
        </w:rPr>
        <w:t>以上措施能够较大程度上降低施工期间车辆、机械尾气和装修废气，措施可行。</w:t>
      </w:r>
    </w:p>
    <w:p>
      <w:pPr>
        <w:pStyle w:val="5"/>
        <w:spacing w:before="66"/>
        <w:ind w:firstLine="482"/>
        <w:rPr>
          <w:color w:val="auto"/>
          <w:highlight w:val="none"/>
        </w:rPr>
      </w:pPr>
      <w:r>
        <w:rPr>
          <w:rFonts w:hint="eastAsia"/>
          <w:color w:val="auto"/>
          <w:highlight w:val="none"/>
          <w:lang w:val="en-US" w:eastAsia="zh-CN"/>
        </w:rPr>
        <w:t>5</w:t>
      </w:r>
      <w:r>
        <w:rPr>
          <w:rFonts w:hint="eastAsia"/>
          <w:color w:val="auto"/>
          <w:highlight w:val="none"/>
        </w:rPr>
        <w:t>.1.4装修废气</w:t>
      </w:r>
    </w:p>
    <w:p>
      <w:pPr>
        <w:ind w:firstLine="480"/>
        <w:rPr>
          <w:color w:val="auto"/>
          <w:highlight w:val="none"/>
        </w:rPr>
      </w:pPr>
      <w:r>
        <w:rPr>
          <w:rFonts w:hint="eastAsia"/>
          <w:color w:val="auto"/>
          <w:highlight w:val="none"/>
        </w:rPr>
        <w:t>在选择装修材料和涂料的时候应选用对环境污染小、有益于人体健康的建筑材料产品，室内装修材料的选取应按照国家质检总局颁布的《室内装修材料10项有害物质限量》规定进行，严格控制室内甲醛、苯系物等挥发性有机物，使各项污染指标达到《室内空气质量标准》（GB/T18883-2002）的限值要求。</w:t>
      </w:r>
    </w:p>
    <w:p>
      <w:pPr>
        <w:pStyle w:val="5"/>
        <w:spacing w:before="66"/>
        <w:ind w:firstLine="482"/>
        <w:rPr>
          <w:color w:val="auto"/>
          <w:highlight w:val="none"/>
        </w:rPr>
      </w:pPr>
      <w:r>
        <w:rPr>
          <w:rFonts w:hint="eastAsia"/>
          <w:color w:val="auto"/>
          <w:highlight w:val="none"/>
          <w:lang w:val="en-US" w:eastAsia="zh-CN"/>
        </w:rPr>
        <w:t>5</w:t>
      </w:r>
      <w:r>
        <w:rPr>
          <w:rFonts w:hint="eastAsia"/>
          <w:color w:val="auto"/>
          <w:highlight w:val="none"/>
        </w:rPr>
        <w:t>.1.5噪声防治措施</w:t>
      </w:r>
    </w:p>
    <w:p>
      <w:pPr>
        <w:pStyle w:val="108"/>
        <w:spacing w:before="0" w:line="360" w:lineRule="auto"/>
        <w:ind w:firstLine="480"/>
        <w:contextualSpacing/>
        <w:rPr>
          <w:rStyle w:val="110"/>
          <w:color w:val="auto"/>
          <w:highlight w:val="none"/>
          <w:lang w:val="en-US"/>
        </w:rPr>
      </w:pPr>
      <w:r>
        <w:rPr>
          <w:rFonts w:hint="eastAsia"/>
          <w:color w:val="auto"/>
          <w:highlight w:val="none"/>
        </w:rPr>
        <w:t>施工期的噪声主要为机械设备噪声和施工车辆噪声。机械设备噪声主要由施工机械造成，如挖土机械、打桩机、装载机等，多为点声源。</w:t>
      </w:r>
      <w:r>
        <w:rPr>
          <w:rFonts w:hAnsi="宋体"/>
          <w:color w:val="auto"/>
          <w:highlight w:val="none"/>
          <w:lang w:val="en-US"/>
        </w:rPr>
        <w:t>因此，项目施工期应加强管理，合理安排施工时间，在项目与敏感点之间设置临时隔声屏障；尽量将高噪声设备远离敏感点布置。</w:t>
      </w:r>
      <w:r>
        <w:rPr>
          <w:rStyle w:val="110"/>
          <w:rFonts w:hAnsi="宋体"/>
          <w:color w:val="auto"/>
          <w:highlight w:val="none"/>
          <w:lang w:val="en-US"/>
        </w:rPr>
        <w:t>主要采取以下措施。</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1</w:t>
      </w:r>
      <w:r>
        <w:rPr>
          <w:rFonts w:hAnsi="宋体"/>
          <w:color w:val="auto"/>
          <w:highlight w:val="none"/>
          <w:lang w:val="en-US"/>
        </w:rPr>
        <w:t>）合理选择施工时间，施工过程中应严格控制各施工机械的施工时间，主要噪声源尽量安排在昼间非正常休息时间内进行的要求，高噪声设备在夜间禁止施工，同时应避免高噪声设备同时施工。</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2</w:t>
      </w:r>
      <w:r>
        <w:rPr>
          <w:rFonts w:hAnsi="宋体"/>
          <w:color w:val="auto"/>
          <w:highlight w:val="none"/>
          <w:lang w:val="en-US"/>
        </w:rPr>
        <w:t>）对打桩机等高噪声设备，应设置临时隔声屏障。</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3</w:t>
      </w:r>
      <w:r>
        <w:rPr>
          <w:rFonts w:hAnsi="宋体"/>
          <w:color w:val="auto"/>
          <w:highlight w:val="none"/>
          <w:lang w:val="en-US"/>
        </w:rPr>
        <w:t>）合理选择施工机械，尽量选用低噪声设备，加强对施工机械和设备维护保养，避免由于设备性能减退而使噪声增大。</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4</w:t>
      </w:r>
      <w:r>
        <w:rPr>
          <w:rFonts w:hAnsi="宋体"/>
          <w:color w:val="auto"/>
          <w:highlight w:val="none"/>
          <w:lang w:val="en-US"/>
        </w:rPr>
        <w:t>）合理选择施工方法，避免连续施工，合理布置施工现场。</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5</w:t>
      </w:r>
      <w:r>
        <w:rPr>
          <w:rFonts w:hAnsi="宋体"/>
          <w:color w:val="auto"/>
          <w:highlight w:val="none"/>
          <w:lang w:val="en-US"/>
        </w:rPr>
        <w:t>）进出施工场地的物料运输车辆需限制行驶速度，并禁鸣喇叭，以最大程度减小运输车辆噪声对周边敏感目标的影响。</w:t>
      </w:r>
    </w:p>
    <w:p>
      <w:pPr>
        <w:pStyle w:val="108"/>
        <w:spacing w:before="0" w:line="360" w:lineRule="auto"/>
        <w:ind w:firstLine="480"/>
        <w:contextualSpacing/>
        <w:rPr>
          <w:color w:val="auto"/>
          <w:highlight w:val="none"/>
          <w:lang w:val="en-US"/>
        </w:rPr>
      </w:pPr>
      <w:r>
        <w:rPr>
          <w:rFonts w:hAnsi="宋体"/>
          <w:color w:val="auto"/>
          <w:highlight w:val="none"/>
          <w:lang w:val="en-US"/>
        </w:rPr>
        <w:t>（</w:t>
      </w:r>
      <w:r>
        <w:rPr>
          <w:color w:val="auto"/>
          <w:highlight w:val="none"/>
          <w:lang w:val="en-US"/>
        </w:rPr>
        <w:t>6</w:t>
      </w:r>
      <w:r>
        <w:rPr>
          <w:rFonts w:hAnsi="宋体"/>
          <w:color w:val="auto"/>
          <w:highlight w:val="none"/>
          <w:lang w:val="en-US"/>
        </w:rPr>
        <w:t>）项目在装修阶段使用的电锯、电刨、电钻产生的噪声值较高，故禁止中午或夜间施工，在施工工序上建议先装门、窗，后进行其它方面的装修，利用先装好的门窗，可隔噪声</w:t>
      </w:r>
      <w:r>
        <w:rPr>
          <w:color w:val="auto"/>
          <w:highlight w:val="none"/>
          <w:lang w:val="en-US"/>
        </w:rPr>
        <w:t>10dB(A)</w:t>
      </w:r>
      <w:r>
        <w:rPr>
          <w:rFonts w:hAnsi="宋体"/>
          <w:color w:val="auto"/>
          <w:highlight w:val="none"/>
          <w:lang w:val="en-US"/>
        </w:rPr>
        <w:t>左右，以减小项目装修阶段其它工序产生的噪声对周边环境敏感目标的影响。</w:t>
      </w:r>
    </w:p>
    <w:p>
      <w:pPr>
        <w:tabs>
          <w:tab w:val="right" w:pos="11340"/>
        </w:tabs>
        <w:ind w:firstLine="480"/>
        <w:rPr>
          <w:rFonts w:cs="Times New Roman"/>
          <w:color w:val="auto"/>
          <w:kern w:val="0"/>
          <w:highlight w:val="none"/>
        </w:rPr>
      </w:pPr>
      <w:r>
        <w:rPr>
          <w:rFonts w:hAnsi="宋体" w:cs="Times New Roman"/>
          <w:color w:val="auto"/>
          <w:kern w:val="0"/>
          <w:highlight w:val="none"/>
        </w:rPr>
        <w:t>施工噪声具有阶段性、临时性和不固定性，随着施工阶段的不同，施工噪声影响也不同。施工结束时，施工噪声也自行消失。</w:t>
      </w:r>
    </w:p>
    <w:p>
      <w:pPr>
        <w:pStyle w:val="5"/>
        <w:spacing w:before="66"/>
        <w:ind w:firstLine="482"/>
        <w:rPr>
          <w:color w:val="auto"/>
          <w:highlight w:val="none"/>
        </w:rPr>
      </w:pPr>
      <w:r>
        <w:rPr>
          <w:rFonts w:hint="eastAsia"/>
          <w:color w:val="auto"/>
          <w:highlight w:val="none"/>
          <w:lang w:val="en-US" w:eastAsia="zh-CN"/>
        </w:rPr>
        <w:t>5</w:t>
      </w:r>
      <w:r>
        <w:rPr>
          <w:rFonts w:hint="eastAsia"/>
          <w:color w:val="auto"/>
          <w:highlight w:val="none"/>
        </w:rPr>
        <w:t>.1.6固体废物处置措施</w:t>
      </w:r>
    </w:p>
    <w:p>
      <w:pPr>
        <w:ind w:firstLine="480"/>
        <w:rPr>
          <w:rFonts w:hint="eastAsia" w:hAnsi="宋体"/>
          <w:color w:val="auto"/>
          <w:highlight w:val="none"/>
        </w:rPr>
      </w:pPr>
      <w:r>
        <w:rPr>
          <w:rFonts w:hint="eastAsia" w:cs="Times New Roman"/>
          <w:color w:val="auto"/>
          <w:highlight w:val="none"/>
        </w:rPr>
        <w:t>施工期的固体废物主要为多余渣土、施工建筑垃圾及生活垃圾等</w:t>
      </w:r>
      <w:r>
        <w:rPr>
          <w:rFonts w:hint="eastAsia"/>
          <w:color w:val="auto"/>
          <w:highlight w:val="none"/>
        </w:rPr>
        <w:t>。</w:t>
      </w:r>
      <w:r>
        <w:rPr>
          <w:rFonts w:hAnsi="宋体"/>
          <w:color w:val="auto"/>
          <w:highlight w:val="none"/>
        </w:rPr>
        <w:t>渣土可在厂内回填</w:t>
      </w:r>
      <w:r>
        <w:rPr>
          <w:rFonts w:hint="eastAsia" w:hAnsi="宋体"/>
          <w:color w:val="auto"/>
          <w:highlight w:val="none"/>
        </w:rPr>
        <w:t>。建筑垃圾采取及时清运、并加以利用，防止其因长期堆放而产生扬尘。施工过程中产生的生活垃圾拟进行专门收集，</w:t>
      </w:r>
      <w:r>
        <w:rPr>
          <w:rFonts w:hAnsi="宋体"/>
          <w:color w:val="auto"/>
          <w:highlight w:val="none"/>
        </w:rPr>
        <w:t>交由环卫部门统一清运处理</w:t>
      </w:r>
      <w:r>
        <w:rPr>
          <w:rFonts w:hint="eastAsia" w:hAnsi="宋体"/>
          <w:color w:val="auto"/>
          <w:highlight w:val="none"/>
        </w:rPr>
        <w:t>。</w:t>
      </w:r>
    </w:p>
    <w:p>
      <w:pPr>
        <w:pStyle w:val="5"/>
        <w:spacing w:before="66"/>
        <w:ind w:firstLine="482"/>
        <w:rPr>
          <w:rFonts w:hint="eastAsia"/>
          <w:color w:val="auto"/>
          <w:highlight w:val="none"/>
        </w:rPr>
      </w:pPr>
      <w:r>
        <w:rPr>
          <w:rFonts w:hint="eastAsia"/>
          <w:color w:val="auto"/>
          <w:highlight w:val="none"/>
          <w:lang w:val="en-US" w:eastAsia="zh-CN"/>
        </w:rPr>
        <w:t>5</w:t>
      </w:r>
      <w:r>
        <w:rPr>
          <w:rFonts w:hint="eastAsia"/>
          <w:color w:val="auto"/>
          <w:highlight w:val="none"/>
        </w:rPr>
        <w:t>.1.</w:t>
      </w:r>
      <w:r>
        <w:rPr>
          <w:rFonts w:hint="eastAsia"/>
          <w:color w:val="auto"/>
          <w:highlight w:val="none"/>
          <w:lang w:val="en-US" w:eastAsia="zh-CN"/>
        </w:rPr>
        <w:t>7</w:t>
      </w:r>
      <w:r>
        <w:rPr>
          <w:rFonts w:hint="eastAsia"/>
          <w:color w:val="auto"/>
          <w:highlight w:val="none"/>
        </w:rPr>
        <w:t>生态保护措施</w:t>
      </w:r>
    </w:p>
    <w:p>
      <w:pPr>
        <w:keepNext w:val="0"/>
        <w:keepLines w:val="0"/>
        <w:pageBreakBefore w:val="0"/>
        <w:widowControl/>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项目施工期所有建筑材料由乡道、村道运往项目建设区，临时堆放于项目厂区。项目厂区用地为农田，紧邻村道，项目建设不涉及临时占地。项目施工期主要是项目厂区土地平整、开挖对项目区植被的破坏，现在项目建设期及建设完成后拟将从以下几个方面进行生态恢复：</w:t>
      </w:r>
    </w:p>
    <w:p>
      <w:pPr>
        <w:keepNext w:val="0"/>
        <w:keepLines w:val="0"/>
        <w:pageBreakBefore w:val="0"/>
        <w:widowControl/>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（1）施工期尽量避开农作物生长季节施工，最大限度减少农作物产量的损失；</w:t>
      </w:r>
    </w:p>
    <w:p>
      <w:pPr>
        <w:keepNext w:val="0"/>
        <w:keepLines w:val="0"/>
        <w:pageBreakBefore w:val="0"/>
        <w:widowControl/>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（2）项目施工过程中尽量减少土石方量，对场址周围受到破坏的植被进行修复，四周、道路两边及空地进行绿化，提高植被覆盖率，以最大限度降低项目对生态环境的影响；</w:t>
      </w:r>
    </w:p>
    <w:p>
      <w:pPr>
        <w:keepNext w:val="0"/>
        <w:keepLines w:val="0"/>
        <w:pageBreakBefore w:val="0"/>
        <w:widowControl/>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（3）及时清理施工作业区域产生的废弃物</w:t>
      </w:r>
    </w:p>
    <w:p>
      <w:pPr>
        <w:keepNext w:val="0"/>
        <w:keepLines w:val="0"/>
        <w:pageBreakBefore w:val="0"/>
        <w:widowControl/>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（4）项目建成后，将对场区内进行绿化，能在一定程度上补偿对原有生态的影响，并能使项目与周围环境更加协调，起到美化环境的效果。</w:t>
      </w:r>
    </w:p>
    <w:p>
      <w:pPr>
        <w:keepNext w:val="0"/>
        <w:keepLines w:val="0"/>
        <w:pageBreakBefore w:val="0"/>
        <w:widowControl/>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（5）项目运营结束后，及时对土地进行复垦。</w:t>
      </w:r>
    </w:p>
    <w:p>
      <w:pPr>
        <w:keepNext w:val="0"/>
        <w:keepLines w:val="0"/>
        <w:pageBreakBefore w:val="0"/>
        <w:widowControl/>
        <w:kinsoku/>
        <w:wordWrap/>
        <w:overflowPunct/>
        <w:topLinePunct w:val="0"/>
        <w:autoSpaceDE/>
        <w:autoSpaceDN/>
        <w:bidi w:val="0"/>
        <w:adjustRightInd/>
        <w:snapToGrid/>
        <w:textAlignment w:val="auto"/>
        <w:rPr>
          <w:rFonts w:hint="eastAsia" w:eastAsia="宋体"/>
          <w:color w:val="auto"/>
          <w:highlight w:val="none"/>
          <w:lang w:eastAsia="zh-CN"/>
        </w:rPr>
      </w:pPr>
      <w:r>
        <w:rPr>
          <w:rFonts w:hint="eastAsia"/>
          <w:color w:val="auto"/>
          <w:highlight w:val="none"/>
        </w:rPr>
        <w:t>一般来说，施工期间对环境的影响是暂时的，加强施工管理，采取环评提出的措施后，施工结束后受影响的环境要素大多可得到恢复</w:t>
      </w:r>
      <w:r>
        <w:rPr>
          <w:rFonts w:hint="eastAsia"/>
          <w:color w:val="auto"/>
          <w:highlight w:val="none"/>
          <w:lang w:eastAsia="zh-CN"/>
        </w:rPr>
        <w:t>。</w:t>
      </w:r>
    </w:p>
    <w:p>
      <w:pPr>
        <w:pStyle w:val="4"/>
        <w:spacing w:beforeLines="0"/>
        <w:rPr>
          <w:rFonts w:hint="eastAsia" w:cs="Times New Roman"/>
          <w:color w:val="auto"/>
          <w:highlight w:val="none"/>
        </w:rPr>
      </w:pPr>
      <w:bookmarkStart w:id="47" w:name="_Toc31942"/>
      <w:r>
        <w:rPr>
          <w:rFonts w:hint="eastAsia" w:cs="Times New Roman"/>
          <w:color w:val="auto"/>
          <w:highlight w:val="none"/>
          <w:lang w:val="en-US" w:eastAsia="zh-CN"/>
        </w:rPr>
        <w:t>5</w:t>
      </w:r>
      <w:r>
        <w:rPr>
          <w:rFonts w:hint="eastAsia" w:cs="Times New Roman"/>
          <w:color w:val="auto"/>
          <w:highlight w:val="none"/>
        </w:rPr>
        <w:t>.2营运期环境保护措施</w:t>
      </w:r>
      <w:bookmarkEnd w:id="47"/>
    </w:p>
    <w:p>
      <w:pPr>
        <w:pStyle w:val="5"/>
        <w:spacing w:before="66"/>
        <w:ind w:firstLine="482"/>
        <w:rPr>
          <w:rFonts w:hint="eastAsia"/>
          <w:color w:val="auto"/>
          <w:highlight w:val="none"/>
          <w:lang w:val="en-US" w:eastAsia="zh-CN"/>
        </w:rPr>
      </w:pPr>
      <w:r>
        <w:rPr>
          <w:rFonts w:hint="eastAsia"/>
          <w:color w:val="auto"/>
          <w:highlight w:val="none"/>
          <w:lang w:val="en-US" w:eastAsia="zh-CN"/>
        </w:rPr>
        <w:t>5.2.1养殖场污染治理基本要求</w:t>
      </w:r>
    </w:p>
    <w:p>
      <w:pPr>
        <w:pStyle w:val="2"/>
        <w:keepNext w:val="0"/>
        <w:keepLines w:val="0"/>
        <w:pageBreakBefore w:val="0"/>
        <w:widowControl/>
        <w:kinsoku/>
        <w:wordWrap/>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《畜禽养殖业污染防治技术规范》（HJ/T81-2001）第四条规定：</w:t>
      </w:r>
    </w:p>
    <w:p>
      <w:pPr>
        <w:pStyle w:val="2"/>
        <w:keepNext w:val="0"/>
        <w:keepLines w:val="0"/>
        <w:pageBreakBefore w:val="0"/>
        <w:widowControl/>
        <w:kinsoku/>
        <w:wordWrap/>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（1）新建、改建、扩建的畜禽养殖场应实现生产区、生活管理区的隔离，粪便污水处理设施和禽畜尸体焚烧炉，应设在养殖场的生产区、生活管理区的常年主导风向的下风向或侧风向处。</w:t>
      </w:r>
    </w:p>
    <w:p>
      <w:pPr>
        <w:pStyle w:val="2"/>
        <w:keepNext w:val="0"/>
        <w:keepLines w:val="0"/>
        <w:pageBreakBefore w:val="0"/>
        <w:widowControl/>
        <w:kinsoku/>
        <w:wordWrap/>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（2）养殖场的排水系统应实行雨水和污水收集输送系统分离，在场区内外设置的污水收集输送系统，不得采取明沟布设。</w:t>
      </w:r>
    </w:p>
    <w:p>
      <w:pPr>
        <w:pStyle w:val="2"/>
        <w:keepNext w:val="0"/>
        <w:keepLines w:val="0"/>
        <w:pageBreakBefore w:val="0"/>
        <w:widowControl/>
        <w:kinsoku/>
        <w:wordWrap/>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（3）新建、改建、扩建的畜禽养殖场应采取干法清粪工艺，采取有效措施将粪及时、单独清出，不可与尿、污水混合排出，并将产生的粪渣及时运至贮存或处理场所，实现日产日清。</w:t>
      </w:r>
    </w:p>
    <w:p>
      <w:pPr>
        <w:pStyle w:val="2"/>
        <w:keepNext w:val="0"/>
        <w:keepLines w:val="0"/>
        <w:pageBreakBefore w:val="0"/>
        <w:widowControl/>
        <w:kinsoku/>
        <w:wordWrap/>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对照上述规定：</w:t>
      </w:r>
    </w:p>
    <w:p>
      <w:pPr>
        <w:pStyle w:val="2"/>
        <w:keepNext w:val="0"/>
        <w:keepLines w:val="0"/>
        <w:pageBreakBefore w:val="0"/>
        <w:widowControl/>
        <w:kinsoku/>
        <w:wordWrap/>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☆本项目养殖场在场区布局上，实行养殖区、办公区与粪污处理区的三区分离，生活区位于</w:t>
      </w:r>
      <w:r>
        <w:rPr>
          <w:rFonts w:hint="eastAsia"/>
          <w:color w:val="auto"/>
          <w:highlight w:val="none"/>
        </w:rPr>
        <w:t>养殖区</w:t>
      </w:r>
      <w:r>
        <w:rPr>
          <w:rFonts w:hint="eastAsia"/>
          <w:color w:val="auto"/>
          <w:highlight w:val="none"/>
          <w:lang w:eastAsia="zh-CN"/>
        </w:rPr>
        <w:t>南</w:t>
      </w:r>
      <w:r>
        <w:rPr>
          <w:rFonts w:hint="eastAsia"/>
          <w:color w:val="auto"/>
          <w:highlight w:val="none"/>
        </w:rPr>
        <w:t>侧</w:t>
      </w:r>
      <w:r>
        <w:rPr>
          <w:rFonts w:hint="eastAsia"/>
          <w:color w:val="auto"/>
          <w:highlight w:val="none"/>
          <w:lang w:val="en-US" w:eastAsia="zh-CN"/>
        </w:rPr>
        <w:t>，位于常年主导风向的下风向，养殖区均位于中间，粪污处理区位于场区北侧。场区的平面布置满足规定要求。</w:t>
      </w:r>
    </w:p>
    <w:p>
      <w:pPr>
        <w:pStyle w:val="2"/>
        <w:keepNext w:val="0"/>
        <w:keepLines w:val="0"/>
        <w:pageBreakBefore w:val="0"/>
        <w:widowControl/>
        <w:kinsoku/>
        <w:wordWrap/>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场区排水系统实现雨、污分流，并采取暗沟布设。本项目雨水经雨水管道排至场区外的田间地沟中；养殖废水则由废水管道收集后，经场内废水处理设施处理，产生的沼液做农肥，猪粪、沼渣收集后制备有机肥基肥，满足规定要求。</w:t>
      </w:r>
    </w:p>
    <w:p>
      <w:pPr>
        <w:pStyle w:val="2"/>
        <w:keepNext w:val="0"/>
        <w:keepLines w:val="0"/>
        <w:pageBreakBefore w:val="0"/>
        <w:widowControl/>
        <w:kinsoku/>
        <w:wordWrap/>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本项目采用环保部认定的干清粪工艺。猪生活在漏缝地板上，猪舍内产生的猪粪由于猪的踩踏及重力作用离开猪舍进入猪舍底部的粪污储存池，储存池底部设计成一端高一端低的倾斜结构，排粪塞位于最低端，项目粪污储存池定期排空，排空时粪尿依靠储存池底部坡度由储存池排出，进入污水处理系统干湿分离段进行干湿分离。干湿分离后的干物质制有机肥基肥，经厌氧发酵处理后综合利用，粪便与尿、污水不混合处理，满足规定要求。环保部文件-环办函【2015】425号文件（2015年3月24日），明确指出：“牧原食品股份有限公司部分养殖场所采用的清粪工艺不将清水用于圈舍粪尿日常清理，粪尿产生即依靠重力离开猪舍进入储存池，大大减少了粪污产生量，并实现粪尿及时清理；粪污离开储存池即进行干湿分离和无害化并全部实现综合利用，没有混合排出。我部认为该清粪工艺具备干清粪工艺基本特征，符合相关技术规范的要求。”。</w:t>
      </w:r>
    </w:p>
    <w:p>
      <w:pPr>
        <w:pStyle w:val="5"/>
        <w:spacing w:before="66"/>
        <w:ind w:firstLine="482"/>
        <w:rPr>
          <w:color w:val="auto"/>
          <w:highlight w:val="none"/>
        </w:rPr>
      </w:pPr>
      <w:r>
        <w:rPr>
          <w:rFonts w:hint="eastAsia"/>
          <w:color w:val="auto"/>
          <w:highlight w:val="none"/>
          <w:lang w:val="en-US" w:eastAsia="zh-CN"/>
        </w:rPr>
        <w:t>5</w:t>
      </w:r>
      <w:r>
        <w:rPr>
          <w:rFonts w:hint="eastAsia"/>
          <w:color w:val="auto"/>
          <w:highlight w:val="none"/>
        </w:rPr>
        <w:t>.</w:t>
      </w:r>
      <w:r>
        <w:rPr>
          <w:color w:val="auto"/>
          <w:highlight w:val="none"/>
        </w:rPr>
        <w:t>2.</w:t>
      </w:r>
      <w:r>
        <w:rPr>
          <w:rFonts w:hint="eastAsia"/>
          <w:color w:val="auto"/>
          <w:highlight w:val="none"/>
          <w:lang w:val="en-US" w:eastAsia="zh-CN"/>
        </w:rPr>
        <w:t>2</w:t>
      </w:r>
      <w:r>
        <w:rPr>
          <w:rFonts w:hint="eastAsia"/>
          <w:color w:val="auto"/>
          <w:highlight w:val="none"/>
        </w:rPr>
        <w:t>大气污染防治措施</w:t>
      </w:r>
    </w:p>
    <w:p>
      <w:pPr>
        <w:pStyle w:val="6"/>
        <w:ind w:firstLine="482"/>
        <w:rPr>
          <w:color w:val="auto"/>
          <w:highlight w:val="none"/>
        </w:rPr>
      </w:pPr>
      <w:r>
        <w:rPr>
          <w:rFonts w:hint="eastAsia"/>
          <w:color w:val="auto"/>
          <w:highlight w:val="none"/>
          <w:lang w:val="en-US" w:eastAsia="zh-CN"/>
        </w:rPr>
        <w:t>5</w:t>
      </w:r>
      <w:r>
        <w:rPr>
          <w:color w:val="auto"/>
          <w:highlight w:val="none"/>
        </w:rPr>
        <w:t>.2.</w:t>
      </w:r>
      <w:r>
        <w:rPr>
          <w:rFonts w:hint="eastAsia"/>
          <w:color w:val="auto"/>
          <w:highlight w:val="none"/>
        </w:rPr>
        <w:t>1.1恶臭气体防治措施可行性分析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highlight w:val="none"/>
        </w:rPr>
      </w:pPr>
      <w:r>
        <w:rPr>
          <w:rFonts w:ascii="Times New Roman" w:hAnsi="Times New Roman"/>
          <w:bCs/>
          <w:color w:val="auto"/>
          <w:kern w:val="0"/>
          <w:sz w:val="24"/>
          <w:highlight w:val="none"/>
        </w:rPr>
        <w:t>（1）恶臭产生的场所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highlight w:val="none"/>
        </w:rPr>
      </w:pPr>
      <w:r>
        <w:rPr>
          <w:rFonts w:ascii="Times New Roman" w:hAnsi="Times New Roman"/>
          <w:bCs/>
          <w:color w:val="auto"/>
          <w:kern w:val="0"/>
          <w:sz w:val="24"/>
          <w:highlight w:val="none"/>
        </w:rPr>
        <w:t>恶臭在养殖场和粪污处理场等处均可产生。影响畜禽场恶臭产生的的主要原因是清粪方式、管理水平、粪便和污水处理程度，同时也与场址选择、场地规划和布局、畜舍设计、畜舍通风等有关。</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highlight w:val="none"/>
        </w:rPr>
      </w:pPr>
      <w:r>
        <w:rPr>
          <w:rFonts w:ascii="Times New Roman" w:hAnsi="Times New Roman"/>
          <w:bCs/>
          <w:color w:val="auto"/>
          <w:kern w:val="0"/>
          <w:sz w:val="24"/>
          <w:highlight w:val="none"/>
        </w:rPr>
        <w:t>恶臭的成分十分复杂，因家畜的种类、清粪方式、日粮组成、空气湿度、粪便和污水处理等不同而异，有机成分是硫醇类、胺类、吲哚、挥发性有机酸、酚类、醛类、酮类、醇类以及含氮杂环化合物等，无机成分主要是NH</w:t>
      </w:r>
      <w:r>
        <w:rPr>
          <w:rFonts w:ascii="Times New Roman" w:hAnsi="Times New Roman"/>
          <w:bCs/>
          <w:color w:val="auto"/>
          <w:kern w:val="0"/>
          <w:sz w:val="24"/>
          <w:highlight w:val="none"/>
          <w:vertAlign w:val="subscript"/>
        </w:rPr>
        <w:t>3</w:t>
      </w:r>
      <w:r>
        <w:rPr>
          <w:rFonts w:ascii="Times New Roman" w:hAnsi="Times New Roman"/>
          <w:bCs/>
          <w:color w:val="auto"/>
          <w:kern w:val="0"/>
          <w:sz w:val="24"/>
          <w:highlight w:val="none"/>
        </w:rPr>
        <w:t>和H</w:t>
      </w:r>
      <w:r>
        <w:rPr>
          <w:rFonts w:ascii="Times New Roman" w:hAnsi="Times New Roman"/>
          <w:bCs/>
          <w:color w:val="auto"/>
          <w:kern w:val="0"/>
          <w:sz w:val="24"/>
          <w:highlight w:val="none"/>
          <w:vertAlign w:val="subscript"/>
        </w:rPr>
        <w:t>2</w:t>
      </w:r>
      <w:r>
        <w:rPr>
          <w:rFonts w:ascii="Times New Roman" w:hAnsi="Times New Roman"/>
          <w:bCs/>
          <w:color w:val="auto"/>
          <w:kern w:val="0"/>
          <w:sz w:val="24"/>
          <w:highlight w:val="none"/>
        </w:rPr>
        <w:t>S。</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highlight w:val="none"/>
        </w:rPr>
      </w:pPr>
      <w:r>
        <w:rPr>
          <w:rFonts w:ascii="Times New Roman" w:hAnsi="Times New Roman"/>
          <w:bCs/>
          <w:color w:val="auto"/>
          <w:kern w:val="0"/>
          <w:sz w:val="24"/>
          <w:highlight w:val="none"/>
        </w:rPr>
        <w:t>（2）恶臭污染防治措施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highlight w:val="none"/>
        </w:rPr>
      </w:pPr>
      <w:r>
        <w:rPr>
          <w:rFonts w:ascii="Times New Roman" w:hAnsi="Times New Roman"/>
          <w:bCs/>
          <w:color w:val="auto"/>
          <w:kern w:val="0"/>
          <w:sz w:val="24"/>
          <w:highlight w:val="none"/>
        </w:rPr>
        <w:t>由于猪舍的恶臭污染源很分散，集中处理困难，最有效的控制方法是预防为主，在恶臭产生的源头就地处理。根据《畜禽养殖业污染治理工程技术规范》（HJ 497－2009）及《畜禽养殖业污染防治技术规范》（HJ/T81－2001）相关要求，结合本项目生产实际，本评价主要提出如下措施减降恶臭污染物的产生：</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highlight w:val="none"/>
        </w:rPr>
      </w:pPr>
      <w:r>
        <w:rPr>
          <w:rFonts w:ascii="Times New Roman" w:hAnsi="Times New Roman"/>
          <w:bCs/>
          <w:color w:val="auto"/>
          <w:kern w:val="0"/>
          <w:sz w:val="24"/>
          <w:highlight w:val="none"/>
        </w:rPr>
        <w:t>①源头控制</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highlight w:val="none"/>
        </w:rPr>
      </w:pPr>
      <w:r>
        <w:rPr>
          <w:rFonts w:ascii="Times New Roman" w:hAnsi="Times New Roman"/>
          <w:bCs/>
          <w:color w:val="auto"/>
          <w:kern w:val="0"/>
          <w:sz w:val="24"/>
          <w:highlight w:val="none"/>
        </w:rPr>
        <w:t>■通过控制饲养密度，并加强舍内通风，及时清理猪舍，猪粪、污泥等应及时加工或外运，尽量减少其在场内的堆存时间和堆存量；搞好场区环境卫生，采用节水型饮水器，猪舍及时冲洗；</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kern w:val="0"/>
          <w:sz w:val="24"/>
          <w:highlight w:val="none"/>
        </w:rPr>
      </w:pPr>
      <w:r>
        <w:rPr>
          <w:rFonts w:ascii="Times New Roman" w:hAnsi="Times New Roman"/>
          <w:bCs/>
          <w:color w:val="auto"/>
          <w:kern w:val="0"/>
          <w:sz w:val="24"/>
          <w:highlight w:val="none"/>
        </w:rPr>
        <w:t>■温度高、湿度大时恶臭气体浓度高，猪粪在1～2周后发酵较快，粪便暴露面积大的发酵率高。猪舍使用漏缝地板，保证粪便冷却，并尽快从猪舍内清粪，在猪舍内加强通风，采用节水型饮水器，加速粪便干燥，可减少猪粪污染；</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highlight w:val="none"/>
        </w:rPr>
      </w:pPr>
      <w:r>
        <w:rPr>
          <w:rFonts w:ascii="Times New Roman" w:hAnsi="Times New Roman"/>
          <w:bCs/>
          <w:color w:val="auto"/>
          <w:kern w:val="0"/>
          <w:sz w:val="24"/>
          <w:highlight w:val="none"/>
        </w:rPr>
        <w:t>②过程整治</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highlight w:val="none"/>
        </w:rPr>
      </w:pPr>
      <w:r>
        <w:rPr>
          <w:rFonts w:ascii="Times New Roman" w:hAnsi="Times New Roman"/>
          <w:bCs/>
          <w:color w:val="auto"/>
          <w:sz w:val="24"/>
          <w:highlight w:val="none"/>
        </w:rPr>
        <w:t>■猪场采用</w:t>
      </w:r>
      <w:r>
        <w:rPr>
          <w:rFonts w:hint="eastAsia" w:asciiTheme="minorEastAsia" w:hAnsiTheme="minorEastAsia" w:eastAsiaTheme="minorEastAsia" w:cstheme="minorEastAsia"/>
          <w:bCs/>
          <w:color w:val="auto"/>
          <w:sz w:val="24"/>
          <w:highlight w:val="none"/>
        </w:rPr>
        <w:t>“环保部认定的干清粪”工艺，项目采用墙体集热板、猪舍内热交</w:t>
      </w:r>
      <w:r>
        <w:rPr>
          <w:rFonts w:ascii="Times New Roman" w:hAnsi="Times New Roman"/>
          <w:bCs/>
          <w:color w:val="auto"/>
          <w:sz w:val="24"/>
          <w:highlight w:val="none"/>
        </w:rPr>
        <w:t>换系统和水帘风机相结合的方式进行猪舍内部温度控制。降低舍内有害气体浓度，产生的粪渣等固废及时运至贮存或处理场所，以减少污染。</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bCs/>
          <w:color w:val="auto"/>
          <w:sz w:val="24"/>
          <w:highlight w:val="none"/>
          <w:lang w:eastAsia="zh-CN"/>
        </w:rPr>
      </w:pPr>
      <w:r>
        <w:rPr>
          <w:rFonts w:ascii="Times New Roman" w:hAnsi="Times New Roman"/>
          <w:bCs/>
          <w:color w:val="auto"/>
          <w:kern w:val="0"/>
          <w:sz w:val="24"/>
          <w:highlight w:val="none"/>
        </w:rPr>
        <w:t>■加强养殖场生产管理，并对工作人员强化知识培训，提高饲养人员操作技能</w:t>
      </w:r>
      <w:r>
        <w:rPr>
          <w:rFonts w:hint="eastAsia"/>
          <w:bCs/>
          <w:color w:val="auto"/>
          <w:kern w:val="0"/>
          <w:sz w:val="24"/>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highlight w:val="none"/>
        </w:rPr>
      </w:pPr>
      <w:r>
        <w:rPr>
          <w:rFonts w:ascii="Times New Roman" w:hAnsi="Times New Roman"/>
          <w:bCs/>
          <w:color w:val="auto"/>
          <w:kern w:val="0"/>
          <w:sz w:val="24"/>
          <w:highlight w:val="none"/>
        </w:rPr>
        <w:t>■场区布置按功能区进行相应划分，各构筑物之间设绿化隔离带，宜种植具有吸附恶臭功能的绿色植物，利用绿色植物的吸收作用，以减少恶臭气体的逸散，减轻恶臭等对周围环境的影响。</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highlight w:val="none"/>
        </w:rPr>
      </w:pPr>
      <w:r>
        <w:rPr>
          <w:rFonts w:ascii="Times New Roman" w:hAnsi="Times New Roman"/>
          <w:bCs/>
          <w:color w:val="auto"/>
          <w:kern w:val="0"/>
          <w:sz w:val="24"/>
          <w:highlight w:val="none"/>
        </w:rPr>
        <w:t>③终端处理</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bCs/>
          <w:color w:val="auto"/>
          <w:sz w:val="24"/>
          <w:highlight w:val="none"/>
          <w:lang w:eastAsia="zh-CN"/>
        </w:rPr>
      </w:pPr>
      <w:r>
        <w:rPr>
          <w:rFonts w:ascii="Times New Roman" w:hAnsi="Times New Roman"/>
          <w:bCs/>
          <w:color w:val="auto"/>
          <w:kern w:val="0"/>
          <w:sz w:val="24"/>
          <w:highlight w:val="none"/>
        </w:rPr>
        <w:t>■产生的恶臭用多种化学和生物产品来控制恶臭。评价建议夏季高温天气在沼气工程附近喷洒除臭剂进行处理，多用强氧化剂和杀菌剂等消除微生物产生的臭味或化学氧化臭味物质。</w:t>
      </w:r>
      <w:r>
        <w:rPr>
          <w:rFonts w:hint="eastAsia"/>
          <w:bCs/>
          <w:color w:val="auto"/>
          <w:kern w:val="0"/>
          <w:sz w:val="24"/>
          <w:highlight w:val="none"/>
          <w:lang w:eastAsia="zh-CN"/>
        </w:rPr>
        <w:t>在猪舍、无害化处理车间、固粪处置区配备除臭墙。</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highlight w:val="none"/>
        </w:rPr>
      </w:pPr>
      <w:r>
        <w:rPr>
          <w:rFonts w:hint="eastAsia"/>
          <w:bCs/>
          <w:color w:val="auto"/>
          <w:kern w:val="0"/>
          <w:sz w:val="24"/>
          <w:highlight w:val="none"/>
          <w:lang w:val="en-US" w:eastAsia="zh-CN"/>
        </w:rPr>
        <w:t>a、</w:t>
      </w:r>
      <w:r>
        <w:rPr>
          <w:rFonts w:ascii="Times New Roman" w:hAnsi="Times New Roman"/>
          <w:bCs/>
          <w:color w:val="auto"/>
          <w:kern w:val="0"/>
          <w:sz w:val="24"/>
          <w:highlight w:val="none"/>
        </w:rPr>
        <w:t>本项目采用植物型除臭剂，该除臭剂主要由丝兰、银杏叶、茶多酚、葡萄籽、樟科植物、桉叶油、松油等多种植物提取物精制而成，适用于各种恶臭环境的异味处理，如垃圾填埋场、垃圾转运站、垃圾堆肥厂、垃圾焚烧厂、污水处理中心、粪便处理中心、养猪养鸡场、工业废水处理及渔业加工中心等。除臭剂中的活性基(-CHO)具有很高的活性，利用它的活性同挥发性含S(如硫化氢、硫醇、疏基化合物)、含N(如氨、有机胺) 等易挥发物质反应，产生新的低气味且无毒的新物质，不能参与活性基(-CHO)反应的一些挥发性物质则采用气味补偿办法解决，这种补偿也不是筒单的气味掩盖作用，而是利用植物提取液中的活性成分与不能和活性基(-CHO)反应的成分进行再次作用，使其失去原来的气味，实现对挥发性恶臭物质的有效削减和消除。植物型除臭剂原液稀释100倍喷洒，1kg可喷洒500m</w:t>
      </w:r>
      <w:r>
        <w:rPr>
          <w:rFonts w:ascii="Times New Roman" w:hAnsi="Times New Roman"/>
          <w:bCs/>
          <w:color w:val="auto"/>
          <w:kern w:val="0"/>
          <w:sz w:val="24"/>
          <w:highlight w:val="none"/>
          <w:vertAlign w:val="superscript"/>
        </w:rPr>
        <w:t>2</w:t>
      </w:r>
      <w:r>
        <w:rPr>
          <w:rFonts w:ascii="Times New Roman" w:hAnsi="Times New Roman"/>
          <w:bCs/>
          <w:color w:val="auto"/>
          <w:kern w:val="0"/>
          <w:sz w:val="24"/>
          <w:highlight w:val="none"/>
        </w:rPr>
        <w:t>，项目污水处理区、堆肥区、猪舍均需要喷洒除臭剂，根据面积核算，除臭剂用量共计约</w:t>
      </w:r>
      <w:r>
        <w:rPr>
          <w:rFonts w:hint="eastAsia"/>
          <w:bCs/>
          <w:color w:val="auto"/>
          <w:kern w:val="0"/>
          <w:sz w:val="24"/>
          <w:highlight w:val="none"/>
          <w:lang w:val="en-US" w:eastAsia="zh-CN"/>
        </w:rPr>
        <w:t>1.08</w:t>
      </w:r>
      <w:r>
        <w:rPr>
          <w:rFonts w:ascii="Times New Roman" w:hAnsi="Times New Roman"/>
          <w:bCs/>
          <w:color w:val="auto"/>
          <w:kern w:val="0"/>
          <w:sz w:val="24"/>
          <w:highlight w:val="none"/>
        </w:rPr>
        <w:t>t/a。</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bCs/>
          <w:color w:val="auto"/>
          <w:sz w:val="24"/>
          <w:highlight w:val="none"/>
        </w:rPr>
      </w:pPr>
      <w:r>
        <w:rPr>
          <w:rFonts w:ascii="Times New Roman" w:hAnsi="Times New Roman"/>
          <w:bCs/>
          <w:color w:val="auto"/>
          <w:kern w:val="0"/>
          <w:sz w:val="24"/>
          <w:highlight w:val="none"/>
        </w:rPr>
        <w:t>植物型除臭剂原理具体为：植物型除臭剂通过4种物理化学作用力将臭气分子捕捉：范德华力、耦合力、化学反应力、吸附力。植物型除臭剂将臭气分子捕捉后，其有效成分可与环境中恶臭气体分子发生如下反应：</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color w:val="auto"/>
          <w:sz w:val="24"/>
          <w:highlight w:val="none"/>
        </w:rPr>
      </w:pPr>
      <w:r>
        <w:rPr>
          <w:rFonts w:ascii="Times New Roman" w:hAnsi="Times New Roman"/>
          <w:bCs/>
          <w:color w:val="auto"/>
          <w:kern w:val="0"/>
          <w:sz w:val="24"/>
          <w:highlight w:val="none"/>
        </w:rPr>
        <w:t>①硫化氢H</w:t>
      </w:r>
      <w:r>
        <w:rPr>
          <w:rFonts w:ascii="Times New Roman" w:hAnsi="Times New Roman"/>
          <w:bCs/>
          <w:color w:val="auto"/>
          <w:kern w:val="0"/>
          <w:sz w:val="24"/>
          <w:highlight w:val="none"/>
          <w:vertAlign w:val="subscript"/>
        </w:rPr>
        <w:t>2</w:t>
      </w:r>
      <w:r>
        <w:rPr>
          <w:rFonts w:ascii="Times New Roman" w:hAnsi="Times New Roman"/>
          <w:bCs/>
          <w:color w:val="auto"/>
          <w:kern w:val="0"/>
          <w:sz w:val="24"/>
          <w:highlight w:val="none"/>
        </w:rPr>
        <w:t>S的反应：</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color w:val="auto"/>
          <w:sz w:val="24"/>
          <w:highlight w:val="none"/>
        </w:rPr>
      </w:pPr>
      <w:r>
        <w:rPr>
          <w:rFonts w:ascii="Times New Roman" w:hAnsi="Times New Roman"/>
          <w:bCs/>
          <w:color w:val="auto"/>
          <w:kern w:val="0"/>
          <w:sz w:val="24"/>
          <w:highlight w:val="none"/>
        </w:rPr>
        <w:t>R-NH</w:t>
      </w:r>
      <w:r>
        <w:rPr>
          <w:rFonts w:ascii="Times New Roman" w:hAnsi="Times New Roman"/>
          <w:bCs/>
          <w:color w:val="auto"/>
          <w:kern w:val="0"/>
          <w:sz w:val="24"/>
          <w:highlight w:val="none"/>
          <w:vertAlign w:val="subscript"/>
        </w:rPr>
        <w:t>2</w:t>
      </w:r>
      <w:r>
        <w:rPr>
          <w:rFonts w:ascii="Times New Roman" w:hAnsi="Times New Roman"/>
          <w:bCs/>
          <w:color w:val="auto"/>
          <w:kern w:val="0"/>
          <w:sz w:val="24"/>
          <w:highlight w:val="none"/>
        </w:rPr>
        <w:t>+H</w:t>
      </w:r>
      <w:r>
        <w:rPr>
          <w:rFonts w:ascii="Times New Roman" w:hAnsi="Times New Roman"/>
          <w:bCs/>
          <w:color w:val="auto"/>
          <w:kern w:val="0"/>
          <w:sz w:val="24"/>
          <w:highlight w:val="none"/>
          <w:vertAlign w:val="subscript"/>
        </w:rPr>
        <w:t>2</w:t>
      </w:r>
      <w:r>
        <w:rPr>
          <w:rFonts w:ascii="Times New Roman" w:hAnsi="Times New Roman"/>
          <w:bCs/>
          <w:color w:val="auto"/>
          <w:kern w:val="0"/>
          <w:sz w:val="24"/>
          <w:highlight w:val="none"/>
        </w:rPr>
        <w:t>S→R-NH</w:t>
      </w:r>
      <w:r>
        <w:rPr>
          <w:rFonts w:ascii="Times New Roman" w:hAnsi="Times New Roman"/>
          <w:bCs/>
          <w:color w:val="auto"/>
          <w:kern w:val="0"/>
          <w:sz w:val="24"/>
          <w:highlight w:val="none"/>
          <w:vertAlign w:val="subscript"/>
        </w:rPr>
        <w:t>3</w:t>
      </w:r>
      <w:r>
        <w:rPr>
          <w:rFonts w:ascii="Times New Roman" w:hAnsi="Times New Roman"/>
          <w:bCs/>
          <w:color w:val="auto"/>
          <w:kern w:val="0"/>
          <w:sz w:val="24"/>
          <w:highlight w:val="none"/>
        </w:rPr>
        <w:t>-+SH</w:t>
      </w:r>
      <w:r>
        <w:rPr>
          <w:rFonts w:ascii="Times New Roman" w:hAnsi="Times New Roman"/>
          <w:bCs/>
          <w:color w:val="auto"/>
          <w:kern w:val="0"/>
          <w:sz w:val="24"/>
          <w:highlight w:val="none"/>
          <w:vertAlign w:val="superscript"/>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color w:val="auto"/>
          <w:sz w:val="24"/>
          <w:highlight w:val="none"/>
        </w:rPr>
      </w:pPr>
      <w:r>
        <w:rPr>
          <w:rFonts w:ascii="Times New Roman" w:hAnsi="Times New Roman"/>
          <w:bCs/>
          <w:color w:val="auto"/>
          <w:kern w:val="0"/>
          <w:sz w:val="24"/>
          <w:highlight w:val="none"/>
        </w:rPr>
        <w:t>R-NH</w:t>
      </w:r>
      <w:r>
        <w:rPr>
          <w:rFonts w:ascii="Times New Roman" w:hAnsi="Times New Roman"/>
          <w:bCs/>
          <w:color w:val="auto"/>
          <w:kern w:val="0"/>
          <w:sz w:val="24"/>
          <w:highlight w:val="none"/>
          <w:vertAlign w:val="subscript"/>
        </w:rPr>
        <w:t>2</w:t>
      </w:r>
      <w:r>
        <w:rPr>
          <w:rFonts w:ascii="Times New Roman" w:hAnsi="Times New Roman"/>
          <w:bCs/>
          <w:color w:val="auto"/>
          <w:kern w:val="0"/>
          <w:sz w:val="24"/>
          <w:highlight w:val="none"/>
        </w:rPr>
        <w:t>+SH</w:t>
      </w:r>
      <w:r>
        <w:rPr>
          <w:rFonts w:ascii="Times New Roman" w:hAnsi="Times New Roman"/>
          <w:bCs/>
          <w:color w:val="auto"/>
          <w:kern w:val="0"/>
          <w:sz w:val="24"/>
          <w:highlight w:val="none"/>
          <w:vertAlign w:val="superscript"/>
        </w:rPr>
        <w:t>-</w:t>
      </w:r>
      <w:r>
        <w:rPr>
          <w:rFonts w:ascii="Times New Roman" w:hAnsi="Times New Roman"/>
          <w:bCs/>
          <w:color w:val="auto"/>
          <w:kern w:val="0"/>
          <w:sz w:val="24"/>
          <w:highlight w:val="none"/>
        </w:rPr>
        <w:t>+O</w:t>
      </w:r>
      <w:r>
        <w:rPr>
          <w:rFonts w:ascii="Times New Roman" w:hAnsi="Times New Roman"/>
          <w:bCs/>
          <w:color w:val="auto"/>
          <w:kern w:val="0"/>
          <w:sz w:val="24"/>
          <w:highlight w:val="none"/>
          <w:vertAlign w:val="subscript"/>
        </w:rPr>
        <w:t>2</w:t>
      </w:r>
      <w:r>
        <w:rPr>
          <w:rFonts w:ascii="Times New Roman" w:hAnsi="Times New Roman"/>
          <w:bCs/>
          <w:color w:val="auto"/>
          <w:kern w:val="0"/>
          <w:sz w:val="24"/>
          <w:highlight w:val="none"/>
        </w:rPr>
        <w:t>+H</w:t>
      </w:r>
      <w:r>
        <w:rPr>
          <w:rFonts w:ascii="Times New Roman" w:hAnsi="Times New Roman"/>
          <w:bCs/>
          <w:color w:val="auto"/>
          <w:kern w:val="0"/>
          <w:sz w:val="24"/>
          <w:highlight w:val="none"/>
          <w:vertAlign w:val="subscript"/>
        </w:rPr>
        <w:t>2</w:t>
      </w:r>
      <w:r>
        <w:rPr>
          <w:rFonts w:ascii="Times New Roman" w:hAnsi="Times New Roman"/>
          <w:bCs/>
          <w:color w:val="auto"/>
          <w:kern w:val="0"/>
          <w:sz w:val="24"/>
          <w:highlight w:val="none"/>
        </w:rPr>
        <w:t>O→R-NH</w:t>
      </w:r>
      <w:r>
        <w:rPr>
          <w:rFonts w:ascii="Times New Roman" w:hAnsi="Times New Roman"/>
          <w:bCs/>
          <w:color w:val="auto"/>
          <w:kern w:val="0"/>
          <w:sz w:val="24"/>
          <w:highlight w:val="none"/>
          <w:vertAlign w:val="subscript"/>
        </w:rPr>
        <w:t>3</w:t>
      </w:r>
      <w:r>
        <w:rPr>
          <w:rFonts w:ascii="Times New Roman" w:hAnsi="Times New Roman"/>
          <w:bCs/>
          <w:color w:val="auto"/>
          <w:kern w:val="0"/>
          <w:sz w:val="24"/>
          <w:highlight w:val="none"/>
          <w:vertAlign w:val="superscript"/>
        </w:rPr>
        <w:t>+</w:t>
      </w:r>
      <w:r>
        <w:rPr>
          <w:rFonts w:ascii="Times New Roman" w:hAnsi="Times New Roman"/>
          <w:bCs/>
          <w:color w:val="auto"/>
          <w:kern w:val="0"/>
          <w:sz w:val="24"/>
          <w:highlight w:val="none"/>
        </w:rPr>
        <w:t>+SO</w:t>
      </w:r>
      <w:r>
        <w:rPr>
          <w:rFonts w:ascii="Times New Roman" w:hAnsi="Times New Roman"/>
          <w:bCs/>
          <w:color w:val="auto"/>
          <w:kern w:val="0"/>
          <w:sz w:val="24"/>
          <w:highlight w:val="none"/>
          <w:vertAlign w:val="subscript"/>
        </w:rPr>
        <w:t>4</w:t>
      </w:r>
      <w:r>
        <w:rPr>
          <w:rFonts w:ascii="Times New Roman" w:hAnsi="Times New Roman"/>
          <w:bCs/>
          <w:color w:val="auto"/>
          <w:kern w:val="0"/>
          <w:sz w:val="24"/>
          <w:highlight w:val="none"/>
          <w:vertAlign w:val="superscript"/>
        </w:rPr>
        <w:t>2-</w:t>
      </w:r>
      <w:r>
        <w:rPr>
          <w:rFonts w:ascii="Times New Roman" w:hAnsi="Times New Roman"/>
          <w:bCs/>
          <w:color w:val="auto"/>
          <w:kern w:val="0"/>
          <w:sz w:val="24"/>
          <w:highlight w:val="none"/>
        </w:rPr>
        <w:t>+OH</w:t>
      </w:r>
      <w:r>
        <w:rPr>
          <w:rFonts w:ascii="Times New Roman" w:hAnsi="Times New Roman"/>
          <w:bCs/>
          <w:color w:val="auto"/>
          <w:kern w:val="0"/>
          <w:sz w:val="24"/>
          <w:highlight w:val="none"/>
          <w:vertAlign w:val="superscript"/>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color w:val="auto"/>
          <w:sz w:val="24"/>
          <w:highlight w:val="none"/>
        </w:rPr>
      </w:pPr>
      <w:r>
        <w:rPr>
          <w:rFonts w:ascii="Times New Roman" w:hAnsi="Times New Roman"/>
          <w:bCs/>
          <w:color w:val="auto"/>
          <w:kern w:val="0"/>
          <w:sz w:val="24"/>
          <w:highlight w:val="none"/>
        </w:rPr>
        <w:t>R-NH</w:t>
      </w:r>
      <w:r>
        <w:rPr>
          <w:rFonts w:ascii="Times New Roman" w:hAnsi="Times New Roman"/>
          <w:bCs/>
          <w:color w:val="auto"/>
          <w:kern w:val="0"/>
          <w:sz w:val="24"/>
          <w:highlight w:val="none"/>
          <w:vertAlign w:val="subscript"/>
        </w:rPr>
        <w:t>3</w:t>
      </w:r>
      <w:r>
        <w:rPr>
          <w:rFonts w:ascii="Times New Roman" w:hAnsi="Times New Roman"/>
          <w:bCs/>
          <w:color w:val="auto"/>
          <w:kern w:val="0"/>
          <w:sz w:val="24"/>
          <w:highlight w:val="none"/>
          <w:vertAlign w:val="superscript"/>
        </w:rPr>
        <w:t>+</w:t>
      </w:r>
      <w:r>
        <w:rPr>
          <w:rFonts w:ascii="Times New Roman" w:hAnsi="Times New Roman"/>
          <w:bCs/>
          <w:color w:val="auto"/>
          <w:kern w:val="0"/>
          <w:sz w:val="24"/>
          <w:highlight w:val="none"/>
        </w:rPr>
        <w:t>+OH</w:t>
      </w:r>
      <w:r>
        <w:rPr>
          <w:rFonts w:ascii="Times New Roman" w:hAnsi="Times New Roman"/>
          <w:bCs/>
          <w:color w:val="auto"/>
          <w:kern w:val="0"/>
          <w:sz w:val="24"/>
          <w:highlight w:val="none"/>
          <w:vertAlign w:val="superscript"/>
        </w:rPr>
        <w:t>-</w:t>
      </w:r>
      <w:r>
        <w:rPr>
          <w:rFonts w:ascii="Times New Roman" w:hAnsi="Times New Roman"/>
          <w:bCs/>
          <w:color w:val="auto"/>
          <w:kern w:val="0"/>
          <w:sz w:val="24"/>
          <w:highlight w:val="none"/>
        </w:rPr>
        <w:t>→R-NH</w:t>
      </w:r>
      <w:r>
        <w:rPr>
          <w:rFonts w:ascii="Times New Roman" w:hAnsi="Times New Roman"/>
          <w:bCs/>
          <w:color w:val="auto"/>
          <w:kern w:val="0"/>
          <w:sz w:val="24"/>
          <w:highlight w:val="none"/>
          <w:vertAlign w:val="subscript"/>
        </w:rPr>
        <w:t>2</w:t>
      </w:r>
      <w:r>
        <w:rPr>
          <w:rFonts w:ascii="Times New Roman" w:hAnsi="Times New Roman"/>
          <w:bCs/>
          <w:color w:val="auto"/>
          <w:kern w:val="0"/>
          <w:sz w:val="24"/>
          <w:highlight w:val="none"/>
        </w:rPr>
        <w:t>+H</w:t>
      </w:r>
      <w:r>
        <w:rPr>
          <w:rFonts w:ascii="Times New Roman" w:hAnsi="Times New Roman"/>
          <w:bCs/>
          <w:color w:val="auto"/>
          <w:kern w:val="0"/>
          <w:sz w:val="24"/>
          <w:highlight w:val="none"/>
          <w:vertAlign w:val="subscript"/>
        </w:rPr>
        <w:t>2</w:t>
      </w:r>
      <w:r>
        <w:rPr>
          <w:rFonts w:ascii="Times New Roman" w:hAnsi="Times New Roman"/>
          <w:bCs/>
          <w:color w:val="auto"/>
          <w:kern w:val="0"/>
          <w:sz w:val="24"/>
          <w:highlight w:val="none"/>
        </w:rPr>
        <w:t>O</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ascii="Times New Roman" w:hAnsi="Times New Roman"/>
          <w:bCs/>
          <w:color w:val="auto"/>
          <w:kern w:val="0"/>
          <w:sz w:val="24"/>
          <w:highlight w:val="none"/>
          <w:vertAlign w:val="subscript"/>
        </w:rPr>
      </w:pPr>
      <w:r>
        <w:rPr>
          <w:rFonts w:ascii="Times New Roman" w:hAnsi="Times New Roman"/>
          <w:bCs/>
          <w:color w:val="auto"/>
          <w:kern w:val="0"/>
          <w:sz w:val="24"/>
          <w:highlight w:val="none"/>
        </w:rPr>
        <w:t>②与甲醛HCHO的反应：</w:t>
      </w:r>
      <w:r>
        <w:rPr>
          <w:rFonts w:ascii="Times New Roman" w:hAnsi="Times New Roman"/>
          <w:bCs/>
          <w:color w:val="auto"/>
          <w:kern w:val="0"/>
          <w:sz w:val="24"/>
          <w:highlight w:val="none"/>
        </w:rPr>
        <w:br w:type="textWrapping"/>
      </w:r>
      <w:r>
        <w:rPr>
          <w:rFonts w:ascii="Times New Roman" w:hAnsi="Times New Roman"/>
          <w:bCs/>
          <w:color w:val="auto"/>
          <w:kern w:val="0"/>
          <w:sz w:val="24"/>
          <w:highlight w:val="none"/>
        </w:rPr>
        <w:t xml:space="preserve">   R-NH</w:t>
      </w:r>
      <w:r>
        <w:rPr>
          <w:rFonts w:ascii="Times New Roman" w:hAnsi="Times New Roman"/>
          <w:bCs/>
          <w:color w:val="auto"/>
          <w:kern w:val="0"/>
          <w:sz w:val="24"/>
          <w:highlight w:val="none"/>
          <w:vertAlign w:val="subscript"/>
        </w:rPr>
        <w:t>2</w:t>
      </w:r>
      <w:r>
        <w:rPr>
          <w:rFonts w:ascii="Times New Roman" w:hAnsi="Times New Roman"/>
          <w:bCs/>
          <w:color w:val="auto"/>
          <w:kern w:val="0"/>
          <w:sz w:val="24"/>
          <w:highlight w:val="none"/>
        </w:rPr>
        <w:t>+HCHO→CO</w:t>
      </w:r>
      <w:r>
        <w:rPr>
          <w:rFonts w:ascii="Times New Roman" w:hAnsi="Times New Roman"/>
          <w:bCs/>
          <w:color w:val="auto"/>
          <w:kern w:val="0"/>
          <w:sz w:val="24"/>
          <w:highlight w:val="none"/>
          <w:vertAlign w:val="subscript"/>
        </w:rPr>
        <w:t>2</w:t>
      </w:r>
      <w:r>
        <w:rPr>
          <w:rFonts w:ascii="Times New Roman" w:hAnsi="Times New Roman"/>
          <w:bCs/>
          <w:color w:val="auto"/>
          <w:kern w:val="0"/>
          <w:sz w:val="24"/>
          <w:highlight w:val="none"/>
        </w:rPr>
        <w:t>+H</w:t>
      </w:r>
      <w:r>
        <w:rPr>
          <w:rFonts w:ascii="Times New Roman" w:hAnsi="Times New Roman"/>
          <w:bCs/>
          <w:color w:val="auto"/>
          <w:kern w:val="0"/>
          <w:sz w:val="24"/>
          <w:highlight w:val="none"/>
          <w:vertAlign w:val="subscript"/>
        </w:rPr>
        <w:t>2</w:t>
      </w:r>
      <w:r>
        <w:rPr>
          <w:rFonts w:ascii="Times New Roman" w:hAnsi="Times New Roman"/>
          <w:bCs/>
          <w:color w:val="auto"/>
          <w:kern w:val="0"/>
          <w:sz w:val="24"/>
          <w:highlight w:val="none"/>
        </w:rPr>
        <w:t>O+N</w:t>
      </w:r>
      <w:r>
        <w:rPr>
          <w:rFonts w:ascii="Times New Roman" w:hAnsi="Times New Roman"/>
          <w:bCs/>
          <w:color w:val="auto"/>
          <w:kern w:val="0"/>
          <w:sz w:val="24"/>
          <w:highlight w:val="none"/>
          <w:vertAlign w:val="subscript"/>
        </w:rPr>
        <w:t>2</w:t>
      </w:r>
      <w:r>
        <w:rPr>
          <w:rFonts w:ascii="Times New Roman" w:hAnsi="Times New Roman"/>
          <w:bCs/>
          <w:color w:val="auto"/>
          <w:kern w:val="0"/>
          <w:sz w:val="24"/>
          <w:highlight w:val="none"/>
        </w:rPr>
        <w:br w:type="textWrapping"/>
      </w:r>
      <w:r>
        <w:rPr>
          <w:rFonts w:hint="eastAsia"/>
          <w:bCs/>
          <w:color w:val="auto"/>
          <w:kern w:val="0"/>
          <w:sz w:val="24"/>
          <w:highlight w:val="none"/>
          <w:lang w:val="en-US" w:eastAsia="zh-CN"/>
        </w:rPr>
        <w:t xml:space="preserve">   </w:t>
      </w:r>
      <w:r>
        <w:rPr>
          <w:rFonts w:ascii="Times New Roman" w:hAnsi="Times New Roman"/>
          <w:bCs/>
          <w:color w:val="auto"/>
          <w:kern w:val="0"/>
          <w:sz w:val="24"/>
          <w:highlight w:val="none"/>
        </w:rPr>
        <w:t>③与氨NH</w:t>
      </w:r>
      <w:r>
        <w:rPr>
          <w:rFonts w:ascii="Times New Roman" w:hAnsi="Times New Roman"/>
          <w:bCs/>
          <w:color w:val="auto"/>
          <w:kern w:val="0"/>
          <w:sz w:val="24"/>
          <w:highlight w:val="none"/>
          <w:vertAlign w:val="subscript"/>
        </w:rPr>
        <w:t>3</w:t>
      </w:r>
      <w:r>
        <w:rPr>
          <w:rFonts w:ascii="Times New Roman" w:hAnsi="Times New Roman"/>
          <w:bCs/>
          <w:color w:val="auto"/>
          <w:kern w:val="0"/>
          <w:sz w:val="24"/>
          <w:highlight w:val="none"/>
        </w:rPr>
        <w:t>的反应：</w:t>
      </w:r>
      <w:r>
        <w:rPr>
          <w:rFonts w:ascii="Times New Roman" w:hAnsi="Times New Roman"/>
          <w:bCs/>
          <w:color w:val="auto"/>
          <w:kern w:val="0"/>
          <w:sz w:val="24"/>
          <w:highlight w:val="none"/>
        </w:rPr>
        <w:br w:type="textWrapping"/>
      </w:r>
      <w:r>
        <w:rPr>
          <w:rFonts w:ascii="Times New Roman" w:hAnsi="Times New Roman"/>
          <w:bCs/>
          <w:color w:val="auto"/>
          <w:kern w:val="0"/>
          <w:sz w:val="24"/>
          <w:highlight w:val="none"/>
        </w:rPr>
        <w:t xml:space="preserve">   R-NH</w:t>
      </w:r>
      <w:r>
        <w:rPr>
          <w:rFonts w:ascii="Times New Roman" w:hAnsi="Times New Roman"/>
          <w:bCs/>
          <w:color w:val="auto"/>
          <w:kern w:val="0"/>
          <w:sz w:val="24"/>
          <w:highlight w:val="none"/>
          <w:vertAlign w:val="subscript"/>
        </w:rPr>
        <w:t>2</w:t>
      </w:r>
      <w:r>
        <w:rPr>
          <w:rFonts w:ascii="Times New Roman" w:hAnsi="Times New Roman"/>
          <w:bCs/>
          <w:color w:val="auto"/>
          <w:kern w:val="0"/>
          <w:sz w:val="24"/>
          <w:highlight w:val="none"/>
        </w:rPr>
        <w:t>+NH</w:t>
      </w:r>
      <w:r>
        <w:rPr>
          <w:rFonts w:ascii="Times New Roman" w:hAnsi="Times New Roman"/>
          <w:bCs/>
          <w:color w:val="auto"/>
          <w:kern w:val="0"/>
          <w:sz w:val="24"/>
          <w:highlight w:val="none"/>
          <w:vertAlign w:val="subscript"/>
        </w:rPr>
        <w:t>3</w:t>
      </w:r>
      <w:r>
        <w:rPr>
          <w:rFonts w:ascii="Times New Roman" w:hAnsi="Times New Roman"/>
          <w:bCs/>
          <w:color w:val="auto"/>
          <w:kern w:val="0"/>
          <w:sz w:val="24"/>
          <w:highlight w:val="none"/>
        </w:rPr>
        <w:t>→R-NH</w:t>
      </w:r>
      <w:r>
        <w:rPr>
          <w:rFonts w:ascii="Times New Roman" w:hAnsi="Times New Roman"/>
          <w:bCs/>
          <w:color w:val="auto"/>
          <w:kern w:val="0"/>
          <w:sz w:val="24"/>
          <w:highlight w:val="none"/>
          <w:vertAlign w:val="subscript"/>
        </w:rPr>
        <w:t>2</w:t>
      </w:r>
      <w:r>
        <w:rPr>
          <w:rFonts w:ascii="Times New Roman" w:hAnsi="Times New Roman"/>
          <w:bCs/>
          <w:color w:val="auto"/>
          <w:kern w:val="0"/>
          <w:sz w:val="24"/>
          <w:highlight w:val="none"/>
        </w:rPr>
        <w:t>+N</w:t>
      </w:r>
      <w:r>
        <w:rPr>
          <w:rFonts w:ascii="Times New Roman" w:hAnsi="Times New Roman"/>
          <w:bCs/>
          <w:color w:val="auto"/>
          <w:kern w:val="0"/>
          <w:sz w:val="24"/>
          <w:highlight w:val="none"/>
          <w:vertAlign w:val="subscript"/>
        </w:rPr>
        <w:t>2</w:t>
      </w:r>
      <w:r>
        <w:rPr>
          <w:rFonts w:ascii="Times New Roman" w:hAnsi="Times New Roman"/>
          <w:bCs/>
          <w:color w:val="auto"/>
          <w:kern w:val="0"/>
          <w:sz w:val="24"/>
          <w:highlight w:val="none"/>
        </w:rPr>
        <w:t>+H</w:t>
      </w:r>
      <w:r>
        <w:rPr>
          <w:rFonts w:ascii="Times New Roman" w:hAnsi="Times New Roman"/>
          <w:bCs/>
          <w:color w:val="auto"/>
          <w:kern w:val="0"/>
          <w:sz w:val="24"/>
          <w:highlight w:val="none"/>
          <w:vertAlign w:val="subscript"/>
        </w:rPr>
        <w:t>2</w:t>
      </w:r>
      <w:r>
        <w:rPr>
          <w:rFonts w:ascii="Times New Roman" w:hAnsi="Times New Roman"/>
          <w:bCs/>
          <w:color w:val="auto"/>
          <w:kern w:val="0"/>
          <w:sz w:val="24"/>
          <w:highlight w:val="none"/>
        </w:rPr>
        <w:t>O</w:t>
      </w:r>
      <w:r>
        <w:rPr>
          <w:rFonts w:ascii="Times New Roman" w:hAnsi="Times New Roman"/>
          <w:bCs/>
          <w:color w:val="auto"/>
          <w:kern w:val="0"/>
          <w:sz w:val="24"/>
          <w:highlight w:val="none"/>
        </w:rPr>
        <w:br w:type="textWrapping"/>
      </w:r>
      <w:r>
        <w:rPr>
          <w:rFonts w:hint="eastAsia"/>
          <w:bCs/>
          <w:color w:val="auto"/>
          <w:kern w:val="0"/>
          <w:sz w:val="24"/>
          <w:highlight w:val="none"/>
          <w:lang w:val="en-US" w:eastAsia="zh-CN"/>
        </w:rPr>
        <w:t xml:space="preserve">   </w:t>
      </w:r>
      <w:r>
        <w:rPr>
          <w:rFonts w:ascii="Times New Roman" w:hAnsi="Times New Roman"/>
          <w:bCs/>
          <w:color w:val="auto"/>
          <w:kern w:val="0"/>
          <w:sz w:val="24"/>
          <w:highlight w:val="none"/>
        </w:rPr>
        <w:t>④与硫醇类恶臭气体的反应：</w:t>
      </w:r>
      <w:r>
        <w:rPr>
          <w:rFonts w:ascii="Times New Roman" w:hAnsi="Times New Roman"/>
          <w:bCs/>
          <w:color w:val="auto"/>
          <w:kern w:val="0"/>
          <w:sz w:val="24"/>
          <w:highlight w:val="none"/>
        </w:rPr>
        <w:br w:type="textWrapping"/>
      </w:r>
      <w:r>
        <w:rPr>
          <w:rFonts w:ascii="Times New Roman" w:hAnsi="Times New Roman"/>
          <w:bCs/>
          <w:color w:val="auto"/>
          <w:kern w:val="0"/>
          <w:sz w:val="24"/>
          <w:highlight w:val="none"/>
        </w:rPr>
        <w:t xml:space="preserve">   R-NH</w:t>
      </w:r>
      <w:r>
        <w:rPr>
          <w:rFonts w:ascii="Times New Roman" w:hAnsi="Times New Roman"/>
          <w:bCs/>
          <w:color w:val="auto"/>
          <w:kern w:val="0"/>
          <w:sz w:val="24"/>
          <w:highlight w:val="none"/>
          <w:vertAlign w:val="subscript"/>
        </w:rPr>
        <w:t>2</w:t>
      </w:r>
      <w:r>
        <w:rPr>
          <w:rFonts w:ascii="Times New Roman" w:hAnsi="Times New Roman"/>
          <w:bCs/>
          <w:color w:val="auto"/>
          <w:kern w:val="0"/>
          <w:sz w:val="24"/>
          <w:highlight w:val="none"/>
        </w:rPr>
        <w:t>+CH</w:t>
      </w:r>
      <w:r>
        <w:rPr>
          <w:rFonts w:ascii="Times New Roman" w:hAnsi="Times New Roman"/>
          <w:bCs/>
          <w:color w:val="auto"/>
          <w:kern w:val="0"/>
          <w:sz w:val="24"/>
          <w:highlight w:val="none"/>
          <w:vertAlign w:val="subscript"/>
        </w:rPr>
        <w:t>4</w:t>
      </w:r>
      <w:r>
        <w:rPr>
          <w:rFonts w:ascii="Times New Roman" w:hAnsi="Times New Roman"/>
          <w:bCs/>
          <w:color w:val="auto"/>
          <w:kern w:val="0"/>
          <w:sz w:val="24"/>
          <w:highlight w:val="none"/>
        </w:rPr>
        <w:t>S→R-NH</w:t>
      </w:r>
      <w:r>
        <w:rPr>
          <w:rFonts w:ascii="Times New Roman" w:hAnsi="Times New Roman"/>
          <w:bCs/>
          <w:color w:val="auto"/>
          <w:kern w:val="0"/>
          <w:sz w:val="24"/>
          <w:highlight w:val="none"/>
          <w:vertAlign w:val="subscript"/>
        </w:rPr>
        <w:t>2</w:t>
      </w:r>
      <w:r>
        <w:rPr>
          <w:rFonts w:ascii="Times New Roman" w:hAnsi="Times New Roman"/>
          <w:bCs/>
          <w:color w:val="auto"/>
          <w:kern w:val="0"/>
          <w:sz w:val="24"/>
          <w:highlight w:val="none"/>
        </w:rPr>
        <w:t>+N</w:t>
      </w:r>
      <w:r>
        <w:rPr>
          <w:rFonts w:ascii="Times New Roman" w:hAnsi="Times New Roman"/>
          <w:bCs/>
          <w:color w:val="auto"/>
          <w:kern w:val="0"/>
          <w:sz w:val="24"/>
          <w:highlight w:val="none"/>
          <w:vertAlign w:val="subscript"/>
        </w:rPr>
        <w:t>2</w:t>
      </w:r>
      <w:r>
        <w:rPr>
          <w:rFonts w:ascii="Times New Roman" w:hAnsi="Times New Roman"/>
          <w:bCs/>
          <w:color w:val="auto"/>
          <w:kern w:val="0"/>
          <w:sz w:val="24"/>
          <w:highlight w:val="none"/>
        </w:rPr>
        <w:t>+H</w:t>
      </w:r>
      <w:r>
        <w:rPr>
          <w:rFonts w:ascii="Times New Roman" w:hAnsi="Times New Roman"/>
          <w:bCs/>
          <w:color w:val="auto"/>
          <w:kern w:val="0"/>
          <w:sz w:val="24"/>
          <w:highlight w:val="none"/>
          <w:vertAlign w:val="subscript"/>
        </w:rPr>
        <w:t>2</w:t>
      </w:r>
      <w:r>
        <w:rPr>
          <w:rFonts w:ascii="Times New Roman" w:hAnsi="Times New Roman"/>
          <w:bCs/>
          <w:color w:val="auto"/>
          <w:kern w:val="0"/>
          <w:sz w:val="24"/>
          <w:highlight w:val="none"/>
        </w:rPr>
        <w:t>O+SO</w:t>
      </w:r>
      <w:r>
        <w:rPr>
          <w:rFonts w:ascii="Times New Roman" w:hAnsi="Times New Roman"/>
          <w:bCs/>
          <w:color w:val="auto"/>
          <w:kern w:val="0"/>
          <w:sz w:val="24"/>
          <w:highlight w:val="none"/>
          <w:vertAlign w:val="subscript"/>
        </w:rPr>
        <w:t>2</w:t>
      </w:r>
      <w:r>
        <w:rPr>
          <w:rFonts w:ascii="Times New Roman" w:hAnsi="Times New Roman"/>
          <w:bCs/>
          <w:color w:val="auto"/>
          <w:kern w:val="0"/>
          <w:sz w:val="24"/>
          <w:highlight w:val="none"/>
        </w:rPr>
        <w:br w:type="textWrapping"/>
      </w:r>
      <w:r>
        <w:rPr>
          <w:rFonts w:ascii="Times New Roman" w:hAnsi="Times New Roman"/>
          <w:bCs/>
          <w:color w:val="auto"/>
          <w:kern w:val="0"/>
          <w:sz w:val="24"/>
          <w:highlight w:val="none"/>
        </w:rPr>
        <w:t xml:space="preserve">   R-NH</w:t>
      </w:r>
      <w:r>
        <w:rPr>
          <w:rFonts w:ascii="Times New Roman" w:hAnsi="Times New Roman"/>
          <w:bCs/>
          <w:color w:val="auto"/>
          <w:kern w:val="0"/>
          <w:sz w:val="24"/>
          <w:highlight w:val="none"/>
          <w:vertAlign w:val="subscript"/>
        </w:rPr>
        <w:t>2</w:t>
      </w:r>
      <w:r>
        <w:rPr>
          <w:rFonts w:ascii="Times New Roman" w:hAnsi="Times New Roman"/>
          <w:bCs/>
          <w:color w:val="auto"/>
          <w:kern w:val="0"/>
          <w:sz w:val="24"/>
          <w:highlight w:val="none"/>
        </w:rPr>
        <w:t>+C</w:t>
      </w:r>
      <w:r>
        <w:rPr>
          <w:rFonts w:ascii="Times New Roman" w:hAnsi="Times New Roman"/>
          <w:bCs/>
          <w:color w:val="auto"/>
          <w:kern w:val="0"/>
          <w:sz w:val="24"/>
          <w:highlight w:val="none"/>
          <w:vertAlign w:val="subscript"/>
        </w:rPr>
        <w:t>2</w:t>
      </w:r>
      <w:r>
        <w:rPr>
          <w:rFonts w:ascii="Times New Roman" w:hAnsi="Times New Roman"/>
          <w:bCs/>
          <w:color w:val="auto"/>
          <w:kern w:val="0"/>
          <w:sz w:val="24"/>
          <w:highlight w:val="none"/>
        </w:rPr>
        <w:t>H</w:t>
      </w:r>
      <w:r>
        <w:rPr>
          <w:rFonts w:ascii="Times New Roman" w:hAnsi="Times New Roman"/>
          <w:bCs/>
          <w:color w:val="auto"/>
          <w:kern w:val="0"/>
          <w:sz w:val="24"/>
          <w:highlight w:val="none"/>
          <w:vertAlign w:val="subscript"/>
        </w:rPr>
        <w:t>6</w:t>
      </w:r>
      <w:r>
        <w:rPr>
          <w:rFonts w:ascii="Times New Roman" w:hAnsi="Times New Roman"/>
          <w:bCs/>
          <w:color w:val="auto"/>
          <w:kern w:val="0"/>
          <w:sz w:val="24"/>
          <w:highlight w:val="none"/>
        </w:rPr>
        <w:t>S→R-NH</w:t>
      </w:r>
      <w:r>
        <w:rPr>
          <w:rFonts w:ascii="Times New Roman" w:hAnsi="Times New Roman"/>
          <w:bCs/>
          <w:color w:val="auto"/>
          <w:kern w:val="0"/>
          <w:sz w:val="24"/>
          <w:highlight w:val="none"/>
          <w:vertAlign w:val="subscript"/>
        </w:rPr>
        <w:t>2</w:t>
      </w:r>
      <w:r>
        <w:rPr>
          <w:rFonts w:ascii="Times New Roman" w:hAnsi="Times New Roman"/>
          <w:bCs/>
          <w:color w:val="auto"/>
          <w:kern w:val="0"/>
          <w:sz w:val="24"/>
          <w:highlight w:val="none"/>
        </w:rPr>
        <w:t>+N</w:t>
      </w:r>
      <w:r>
        <w:rPr>
          <w:rFonts w:ascii="Times New Roman" w:hAnsi="Times New Roman"/>
          <w:bCs/>
          <w:color w:val="auto"/>
          <w:kern w:val="0"/>
          <w:sz w:val="24"/>
          <w:highlight w:val="none"/>
          <w:vertAlign w:val="subscript"/>
        </w:rPr>
        <w:t>2</w:t>
      </w:r>
      <w:r>
        <w:rPr>
          <w:rFonts w:ascii="Times New Roman" w:hAnsi="Times New Roman"/>
          <w:bCs/>
          <w:color w:val="auto"/>
          <w:kern w:val="0"/>
          <w:sz w:val="24"/>
          <w:highlight w:val="none"/>
        </w:rPr>
        <w:t>+H</w:t>
      </w:r>
      <w:r>
        <w:rPr>
          <w:rFonts w:ascii="Times New Roman" w:hAnsi="Times New Roman"/>
          <w:bCs/>
          <w:color w:val="auto"/>
          <w:kern w:val="0"/>
          <w:sz w:val="24"/>
          <w:highlight w:val="none"/>
          <w:vertAlign w:val="subscript"/>
        </w:rPr>
        <w:t>2</w:t>
      </w:r>
      <w:r>
        <w:rPr>
          <w:rFonts w:ascii="Times New Roman" w:hAnsi="Times New Roman"/>
          <w:bCs/>
          <w:color w:val="auto"/>
          <w:kern w:val="0"/>
          <w:sz w:val="24"/>
          <w:highlight w:val="none"/>
        </w:rPr>
        <w:t>O+SO</w:t>
      </w:r>
      <w:r>
        <w:rPr>
          <w:rFonts w:ascii="Times New Roman" w:hAnsi="Times New Roman"/>
          <w:bCs/>
          <w:color w:val="auto"/>
          <w:kern w:val="0"/>
          <w:sz w:val="24"/>
          <w:highlight w:val="none"/>
          <w:vertAlign w:val="subscript"/>
        </w:rPr>
        <w:t>2</w:t>
      </w:r>
    </w:p>
    <w:p>
      <w:pPr>
        <w:outlineLvl w:val="9"/>
        <w:rPr>
          <w:rFonts w:hint="eastAsia"/>
          <w:bCs/>
          <w:color w:val="auto"/>
          <w:kern w:val="0"/>
          <w:sz w:val="24"/>
          <w:highlight w:val="none"/>
          <w:lang w:val="en-US" w:eastAsia="zh-CN"/>
        </w:rPr>
      </w:pPr>
      <w:r>
        <w:rPr>
          <w:rFonts w:hint="eastAsia"/>
          <w:bCs/>
          <w:color w:val="auto"/>
          <w:kern w:val="0"/>
          <w:sz w:val="24"/>
          <w:highlight w:val="none"/>
          <w:lang w:val="en-US" w:eastAsia="zh-CN"/>
        </w:rPr>
        <w:t>b、除臭墙</w:t>
      </w:r>
    </w:p>
    <w:p>
      <w:pPr>
        <w:outlineLvl w:val="9"/>
        <w:rPr>
          <w:rFonts w:hint="eastAsia"/>
          <w:color w:val="auto"/>
          <w:highlight w:val="none"/>
          <w:lang w:eastAsia="zh-CN"/>
        </w:rPr>
      </w:pPr>
      <w:r>
        <w:rPr>
          <w:rFonts w:hint="eastAsia"/>
          <w:color w:val="auto"/>
          <w:highlight w:val="none"/>
          <w:lang w:eastAsia="zh-CN"/>
        </w:rPr>
        <w:t>本项目在猪舍、无害化处理车间、固粪处理区配备除臭墙，在出风口处安装过滤吸附除臭装置，将臭气集中收集后经过过滤吸附除臭装置处理后排放。</w:t>
      </w:r>
    </w:p>
    <w:p>
      <w:pPr>
        <w:outlineLvl w:val="9"/>
        <w:rPr>
          <w:rFonts w:hint="eastAsia" w:eastAsia="宋体"/>
          <w:color w:val="auto"/>
          <w:highlight w:val="none"/>
          <w:lang w:eastAsia="zh-CN"/>
        </w:rPr>
      </w:pPr>
      <w:r>
        <w:rPr>
          <w:rFonts w:hint="eastAsia"/>
          <w:color w:val="auto"/>
          <w:highlight w:val="none"/>
        </w:rPr>
        <w:t>除臭装置中过滤球充当载体，无规则排列且疏松多孔结构，能与臭气进行充分接触并高效拦截；循环水中添加具有除臭作用的专用试剂，能与臭气分子发生反应。该除臭工艺为牧原集团研发设计团队结合多年生产经验设计，并计划申请专利。除臭装置用于臭气处理的除臭剂为除臭系统的核心部分。</w:t>
      </w:r>
      <w:r>
        <w:rPr>
          <w:rFonts w:hint="eastAsia"/>
          <w:color w:val="auto"/>
          <w:highlight w:val="none"/>
          <w:lang w:eastAsia="zh-CN"/>
        </w:rPr>
        <w:t>主要原理为：通过收集管道将臭气收集到除臭装置，臭气同水接触并溶解到水中，水溶液中的恶臭成分被微生物吸附、吸收，恶臭成分从水中转移至微生物体内，进入微生物细胞的恶臭成分作为营养物质为微生物所分解、利用，从而使污染物得以去除。</w:t>
      </w:r>
    </w:p>
    <w:p>
      <w:pPr>
        <w:pStyle w:val="40"/>
        <w:rPr>
          <w:rFonts w:hint="eastAsia" w:cs="Times New Roman"/>
          <w:color w:val="auto"/>
          <w:highlight w:val="none"/>
          <w:lang w:val="en-US" w:eastAsia="zh-CN"/>
        </w:rPr>
      </w:pPr>
      <w:r>
        <w:rPr>
          <w:rFonts w:hint="eastAsia" w:cs="Times New Roman"/>
          <w:color w:val="auto"/>
          <w:highlight w:val="none"/>
          <w:lang w:val="en-US" w:eastAsia="zh-CN"/>
        </w:rPr>
        <w:t>5.2-1 项目废气污染防治措施一览表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44"/>
        <w:gridCol w:w="1068"/>
        <w:gridCol w:w="2240"/>
        <w:gridCol w:w="2618"/>
        <w:gridCol w:w="19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378"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序号</w:t>
            </w:r>
          </w:p>
        </w:tc>
        <w:tc>
          <w:tcPr>
            <w:tcW w:w="627"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排放源</w:t>
            </w:r>
          </w:p>
        </w:tc>
        <w:tc>
          <w:tcPr>
            <w:tcW w:w="1315"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防治措施</w:t>
            </w:r>
          </w:p>
        </w:tc>
        <w:tc>
          <w:tcPr>
            <w:tcW w:w="1537"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实施方案</w:t>
            </w:r>
          </w:p>
        </w:tc>
        <w:tc>
          <w:tcPr>
            <w:tcW w:w="1141"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治理目标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8"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1</w:t>
            </w:r>
          </w:p>
        </w:tc>
        <w:tc>
          <w:tcPr>
            <w:tcW w:w="627"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猪舍</w:t>
            </w:r>
          </w:p>
        </w:tc>
        <w:tc>
          <w:tcPr>
            <w:tcW w:w="1315"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控制密度，及时清粪；喷洒除臭剂，</w:t>
            </w:r>
            <w:r>
              <w:rPr>
                <w:rFonts w:hint="eastAsia"/>
                <w:color w:val="auto"/>
                <w:kern w:val="2"/>
                <w:highlight w:val="none"/>
                <w:lang w:eastAsia="zh-CN"/>
              </w:rPr>
              <w:t>配备除臭墙，加强</w:t>
            </w:r>
            <w:r>
              <w:rPr>
                <w:rFonts w:hint="eastAsia"/>
                <w:color w:val="auto"/>
                <w:kern w:val="2"/>
                <w:highlight w:val="none"/>
              </w:rPr>
              <w:t>厂区绿化</w:t>
            </w:r>
          </w:p>
        </w:tc>
        <w:tc>
          <w:tcPr>
            <w:tcW w:w="1537"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猪转栏时利用高压水枪彻底冲圈消毒</w:t>
            </w:r>
          </w:p>
        </w:tc>
        <w:tc>
          <w:tcPr>
            <w:tcW w:w="1141" w:type="pct"/>
            <w:vMerge w:val="restar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NH</w:t>
            </w:r>
            <w:r>
              <w:rPr>
                <w:rFonts w:hint="eastAsia"/>
                <w:color w:val="auto"/>
                <w:kern w:val="2"/>
                <w:highlight w:val="none"/>
                <w:vertAlign w:val="subscript"/>
              </w:rPr>
              <w:t>3</w:t>
            </w:r>
            <w:r>
              <w:rPr>
                <w:rFonts w:hint="eastAsia"/>
                <w:color w:val="auto"/>
                <w:kern w:val="2"/>
                <w:highlight w:val="none"/>
              </w:rPr>
              <w:t>、H</w:t>
            </w:r>
            <w:r>
              <w:rPr>
                <w:rFonts w:hint="eastAsia"/>
                <w:color w:val="auto"/>
                <w:kern w:val="2"/>
                <w:highlight w:val="none"/>
                <w:vertAlign w:val="subscript"/>
              </w:rPr>
              <w:t>2</w:t>
            </w:r>
            <w:r>
              <w:rPr>
                <w:rFonts w:hint="eastAsia"/>
                <w:color w:val="auto"/>
                <w:kern w:val="2"/>
                <w:highlight w:val="none"/>
              </w:rPr>
              <w:t>S满足《恶臭污染物排放标准》（GB14554-93）表1中二级标准要求。臭气浓度满足《畜禽养殖业污染物排放标准》（GB18596-2001）排放标准要求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8"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2</w:t>
            </w:r>
          </w:p>
        </w:tc>
        <w:tc>
          <w:tcPr>
            <w:tcW w:w="627"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固粪处理区</w:t>
            </w:r>
          </w:p>
        </w:tc>
        <w:tc>
          <w:tcPr>
            <w:tcW w:w="1315"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设置顶棚，周边喷洒除臭剂，</w:t>
            </w:r>
            <w:r>
              <w:rPr>
                <w:rFonts w:hint="eastAsia"/>
                <w:color w:val="auto"/>
                <w:kern w:val="2"/>
                <w:highlight w:val="none"/>
                <w:lang w:eastAsia="zh-CN"/>
              </w:rPr>
              <w:t>配备除臭墙，加强</w:t>
            </w:r>
            <w:r>
              <w:rPr>
                <w:rFonts w:hint="eastAsia"/>
                <w:color w:val="auto"/>
                <w:kern w:val="2"/>
                <w:highlight w:val="none"/>
              </w:rPr>
              <w:t>绿化</w:t>
            </w:r>
          </w:p>
        </w:tc>
        <w:tc>
          <w:tcPr>
            <w:tcW w:w="1537"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设置顶棚，周边喷洒除臭剂，加强绿化</w:t>
            </w:r>
          </w:p>
        </w:tc>
        <w:tc>
          <w:tcPr>
            <w:tcW w:w="1141" w:type="pct"/>
            <w:vMerge w:val="continue"/>
            <w:noWrap w:val="0"/>
            <w:vAlign w:val="center"/>
          </w:tcPr>
          <w:p>
            <w:pPr>
              <w:adjustRightInd w:val="0"/>
              <w:snapToGrid w:val="0"/>
              <w:rPr>
                <w:rFonts w:ascii="Times New Roman" w:hAnsi="Times New Roman"/>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8"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3</w:t>
            </w:r>
          </w:p>
        </w:tc>
        <w:tc>
          <w:tcPr>
            <w:tcW w:w="627" w:type="pct"/>
            <w:noWrap w:val="0"/>
            <w:vAlign w:val="center"/>
          </w:tcPr>
          <w:p>
            <w:pPr>
              <w:pStyle w:val="42"/>
              <w:spacing w:line="240" w:lineRule="auto"/>
              <w:ind w:left="0" w:leftChars="0" w:firstLine="0" w:firstLineChars="0"/>
              <w:jc w:val="center"/>
              <w:rPr>
                <w:rFonts w:hint="eastAsia" w:eastAsia="宋体"/>
                <w:color w:val="auto"/>
                <w:kern w:val="2"/>
                <w:highlight w:val="none"/>
                <w:lang w:eastAsia="zh-CN"/>
              </w:rPr>
            </w:pPr>
            <w:r>
              <w:rPr>
                <w:rFonts w:hint="eastAsia"/>
                <w:color w:val="auto"/>
                <w:kern w:val="2"/>
                <w:highlight w:val="none"/>
                <w:lang w:eastAsia="zh-CN"/>
              </w:rPr>
              <w:t>无害化处理车间</w:t>
            </w:r>
          </w:p>
        </w:tc>
        <w:tc>
          <w:tcPr>
            <w:tcW w:w="1315" w:type="pct"/>
            <w:noWrap w:val="0"/>
            <w:vAlign w:val="center"/>
          </w:tcPr>
          <w:p>
            <w:pPr>
              <w:pStyle w:val="42"/>
              <w:spacing w:line="240" w:lineRule="auto"/>
              <w:ind w:left="0" w:leftChars="0" w:firstLine="0" w:firstLineChars="0"/>
              <w:jc w:val="center"/>
              <w:rPr>
                <w:rFonts w:hint="eastAsia" w:eastAsia="宋体"/>
                <w:color w:val="auto"/>
                <w:kern w:val="2"/>
                <w:highlight w:val="none"/>
                <w:lang w:eastAsia="zh-CN"/>
              </w:rPr>
            </w:pPr>
            <w:r>
              <w:rPr>
                <w:rFonts w:hint="eastAsia"/>
                <w:color w:val="auto"/>
                <w:kern w:val="2"/>
                <w:highlight w:val="none"/>
              </w:rPr>
              <w:t>加强管理，喷洒除臭剂，</w:t>
            </w:r>
            <w:r>
              <w:rPr>
                <w:rFonts w:hint="eastAsia"/>
                <w:color w:val="auto"/>
                <w:kern w:val="2"/>
                <w:highlight w:val="none"/>
                <w:lang w:eastAsia="zh-CN"/>
              </w:rPr>
              <w:t>配备除臭墙</w:t>
            </w:r>
          </w:p>
        </w:tc>
        <w:tc>
          <w:tcPr>
            <w:tcW w:w="1537" w:type="pct"/>
            <w:noWrap w:val="0"/>
            <w:vAlign w:val="center"/>
          </w:tcPr>
          <w:p>
            <w:pPr>
              <w:pStyle w:val="42"/>
              <w:spacing w:line="240" w:lineRule="auto"/>
              <w:ind w:left="0" w:leftChars="0" w:firstLine="0" w:firstLineChars="0"/>
              <w:jc w:val="center"/>
              <w:rPr>
                <w:rFonts w:hint="eastAsia" w:eastAsia="宋体"/>
                <w:color w:val="auto"/>
                <w:kern w:val="2"/>
                <w:highlight w:val="none"/>
                <w:lang w:eastAsia="zh-CN"/>
              </w:rPr>
            </w:pPr>
            <w:r>
              <w:rPr>
                <w:rFonts w:hint="eastAsia"/>
                <w:color w:val="auto"/>
                <w:kern w:val="2"/>
                <w:highlight w:val="none"/>
              </w:rPr>
              <w:t>对操作人员强化培训，并配合喷洒除臭剂，</w:t>
            </w:r>
            <w:r>
              <w:rPr>
                <w:rFonts w:hint="eastAsia"/>
                <w:color w:val="auto"/>
                <w:kern w:val="2"/>
                <w:highlight w:val="none"/>
                <w:lang w:eastAsia="zh-CN"/>
              </w:rPr>
              <w:t>配备除臭墙</w:t>
            </w:r>
          </w:p>
        </w:tc>
        <w:tc>
          <w:tcPr>
            <w:tcW w:w="1141" w:type="pct"/>
            <w:vMerge w:val="continue"/>
            <w:noWrap w:val="0"/>
            <w:vAlign w:val="center"/>
          </w:tcPr>
          <w:p>
            <w:pPr>
              <w:adjustRightInd w:val="0"/>
              <w:snapToGrid w:val="0"/>
              <w:rPr>
                <w:rFonts w:ascii="Times New Roman" w:hAnsi="Times New Roman"/>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8"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4</w:t>
            </w:r>
          </w:p>
        </w:tc>
        <w:tc>
          <w:tcPr>
            <w:tcW w:w="627"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沼液储存池</w:t>
            </w:r>
          </w:p>
        </w:tc>
        <w:tc>
          <w:tcPr>
            <w:tcW w:w="1315"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四周设置绿化</w:t>
            </w:r>
          </w:p>
        </w:tc>
        <w:tc>
          <w:tcPr>
            <w:tcW w:w="1537" w:type="pct"/>
            <w:noWrap w:val="0"/>
            <w:vAlign w:val="center"/>
          </w:tcPr>
          <w:p>
            <w:pPr>
              <w:pStyle w:val="42"/>
              <w:spacing w:line="240" w:lineRule="auto"/>
              <w:ind w:left="0" w:leftChars="0" w:firstLine="0" w:firstLineChars="0"/>
              <w:jc w:val="center"/>
              <w:rPr>
                <w:rFonts w:hint="eastAsia"/>
                <w:color w:val="auto"/>
                <w:kern w:val="2"/>
                <w:highlight w:val="none"/>
              </w:rPr>
            </w:pPr>
            <w:r>
              <w:rPr>
                <w:rFonts w:hint="eastAsia"/>
                <w:color w:val="auto"/>
                <w:kern w:val="2"/>
                <w:highlight w:val="none"/>
              </w:rPr>
              <w:t>四周设置绿化，主要种植草木、灌木</w:t>
            </w:r>
            <w:bookmarkStart w:id="69" w:name="_GoBack"/>
            <w:bookmarkEnd w:id="69"/>
            <w:r>
              <w:rPr>
                <w:rFonts w:hint="eastAsia"/>
                <w:color w:val="auto"/>
                <w:kern w:val="2"/>
                <w:highlight w:val="none"/>
              </w:rPr>
              <w:t>、乔木等间隔立体绿化</w:t>
            </w:r>
          </w:p>
        </w:tc>
        <w:tc>
          <w:tcPr>
            <w:tcW w:w="1141" w:type="pct"/>
            <w:vMerge w:val="continue"/>
            <w:noWrap w:val="0"/>
            <w:vAlign w:val="center"/>
          </w:tcPr>
          <w:p>
            <w:pPr>
              <w:adjustRightInd w:val="0"/>
              <w:snapToGrid w:val="0"/>
              <w:rPr>
                <w:rFonts w:ascii="Times New Roman" w:hAnsi="Times New Roman"/>
                <w:bCs/>
                <w:color w:val="auto"/>
                <w:sz w:val="21"/>
                <w:szCs w:val="21"/>
                <w:highlight w:val="none"/>
              </w:rPr>
            </w:pPr>
          </w:p>
        </w:tc>
      </w:tr>
    </w:tbl>
    <w:p>
      <w:pPr>
        <w:pStyle w:val="113"/>
        <w:keepNext w:val="0"/>
        <w:keepLines w:val="0"/>
        <w:pageBreakBefore w:val="0"/>
        <w:widowControl w:val="0"/>
        <w:kinsoku/>
        <w:wordWrap/>
        <w:overflowPunct/>
        <w:topLinePunct w:val="0"/>
        <w:autoSpaceDE/>
        <w:autoSpaceDN/>
        <w:bidi w:val="0"/>
        <w:adjustRightInd/>
        <w:snapToGrid/>
        <w:ind w:firstLine="422"/>
        <w:jc w:val="both"/>
        <w:textAlignment w:val="auto"/>
        <w:rPr>
          <w:rFonts w:hint="default" w:ascii="Times New Roman" w:hAnsi="Times New Roman" w:cs="Times New Roman" w:eastAsiaTheme="minorEastAsia"/>
          <w:b w:val="0"/>
          <w:bCs w:val="0"/>
          <w:color w:val="auto"/>
          <w:sz w:val="24"/>
          <w:szCs w:val="24"/>
          <w:highlight w:val="none"/>
        </w:rPr>
      </w:pPr>
      <w:r>
        <w:rPr>
          <w:rFonts w:hint="default" w:ascii="Times New Roman" w:hAnsi="Times New Roman" w:cs="Times New Roman" w:eastAsiaTheme="minorEastAsia"/>
          <w:b w:val="0"/>
          <w:bCs w:val="0"/>
          <w:color w:val="auto"/>
          <w:sz w:val="24"/>
          <w:szCs w:val="24"/>
          <w:highlight w:val="none"/>
        </w:rPr>
        <w:t>采用上述措施治理后，可有效减轻项目恶臭污染影响，评价预测场界排放NH</w:t>
      </w:r>
      <w:r>
        <w:rPr>
          <w:rFonts w:hint="default" w:ascii="Times New Roman" w:hAnsi="Times New Roman" w:cs="Times New Roman" w:eastAsiaTheme="minorEastAsia"/>
          <w:b w:val="0"/>
          <w:bCs w:val="0"/>
          <w:color w:val="auto"/>
          <w:sz w:val="24"/>
          <w:szCs w:val="24"/>
          <w:highlight w:val="none"/>
          <w:vertAlign w:val="subscript"/>
        </w:rPr>
        <w:t>3</w:t>
      </w:r>
      <w:r>
        <w:rPr>
          <w:rFonts w:hint="default" w:ascii="Times New Roman" w:hAnsi="Times New Roman" w:cs="Times New Roman" w:eastAsiaTheme="minorEastAsia"/>
          <w:b w:val="0"/>
          <w:bCs w:val="0"/>
          <w:color w:val="auto"/>
          <w:sz w:val="24"/>
          <w:szCs w:val="24"/>
          <w:highlight w:val="none"/>
        </w:rPr>
        <w:t>、H</w:t>
      </w:r>
      <w:r>
        <w:rPr>
          <w:rFonts w:hint="default" w:ascii="Times New Roman" w:hAnsi="Times New Roman" w:cs="Times New Roman" w:eastAsiaTheme="minorEastAsia"/>
          <w:b w:val="0"/>
          <w:bCs w:val="0"/>
          <w:color w:val="auto"/>
          <w:sz w:val="24"/>
          <w:szCs w:val="24"/>
          <w:highlight w:val="none"/>
          <w:vertAlign w:val="subscript"/>
        </w:rPr>
        <w:t>2</w:t>
      </w:r>
      <w:r>
        <w:rPr>
          <w:rFonts w:hint="default" w:ascii="Times New Roman" w:hAnsi="Times New Roman" w:cs="Times New Roman" w:eastAsiaTheme="minorEastAsia"/>
          <w:b w:val="0"/>
          <w:bCs w:val="0"/>
          <w:color w:val="auto"/>
          <w:sz w:val="24"/>
          <w:szCs w:val="24"/>
          <w:highlight w:val="none"/>
        </w:rPr>
        <w:t>S满足《恶臭污染物排放标准》（GB14554-93）表1中二级标准要求。臭气浓度满足《畜禽养殖业污染物排放标准》（GB18596-2001）排放标准要求。</w:t>
      </w:r>
    </w:p>
    <w:p>
      <w:pPr>
        <w:pStyle w:val="113"/>
        <w:keepNext w:val="0"/>
        <w:keepLines w:val="0"/>
        <w:pageBreakBefore w:val="0"/>
        <w:widowControl w:val="0"/>
        <w:kinsoku/>
        <w:wordWrap/>
        <w:overflowPunct/>
        <w:topLinePunct w:val="0"/>
        <w:autoSpaceDE/>
        <w:autoSpaceDN/>
        <w:bidi w:val="0"/>
        <w:adjustRightInd/>
        <w:snapToGrid/>
        <w:ind w:firstLine="422"/>
        <w:jc w:val="both"/>
        <w:textAlignment w:val="auto"/>
        <w:rPr>
          <w:rFonts w:hint="default" w:ascii="Times New Roman" w:hAnsi="Times New Roman" w:cs="Times New Roman" w:eastAsiaTheme="minorEastAsia"/>
          <w:b w:val="0"/>
          <w:bCs w:val="0"/>
          <w:color w:val="auto"/>
          <w:sz w:val="24"/>
          <w:szCs w:val="24"/>
          <w:highlight w:val="none"/>
          <w:lang w:eastAsia="zh-CN"/>
        </w:rPr>
      </w:pPr>
      <w:r>
        <w:rPr>
          <w:rFonts w:hint="default" w:ascii="Times New Roman" w:hAnsi="Times New Roman" w:cs="Times New Roman" w:eastAsiaTheme="minorEastAsia"/>
          <w:b w:val="0"/>
          <w:bCs w:val="0"/>
          <w:color w:val="auto"/>
          <w:sz w:val="24"/>
          <w:szCs w:val="24"/>
          <w:highlight w:val="none"/>
        </w:rPr>
        <w:t>因此采用喷洒除臭剂、</w:t>
      </w:r>
      <w:r>
        <w:rPr>
          <w:rFonts w:hint="eastAsia" w:cs="Times New Roman" w:eastAsiaTheme="minorEastAsia"/>
          <w:b w:val="0"/>
          <w:bCs w:val="0"/>
          <w:color w:val="auto"/>
          <w:sz w:val="24"/>
          <w:szCs w:val="24"/>
          <w:highlight w:val="none"/>
          <w:lang w:eastAsia="zh-CN"/>
        </w:rPr>
        <w:t>配备除臭墙、</w:t>
      </w:r>
      <w:r>
        <w:rPr>
          <w:rFonts w:hint="default" w:ascii="Times New Roman" w:hAnsi="Times New Roman" w:cs="Times New Roman" w:eastAsiaTheme="minorEastAsia"/>
          <w:b w:val="0"/>
          <w:bCs w:val="0"/>
          <w:color w:val="auto"/>
          <w:sz w:val="24"/>
          <w:szCs w:val="24"/>
          <w:highlight w:val="none"/>
        </w:rPr>
        <w:t>设置绿化的方式可有效去除恶臭，达到减降目的</w:t>
      </w:r>
      <w:r>
        <w:rPr>
          <w:rFonts w:hint="default" w:ascii="Times New Roman" w:hAnsi="Times New Roman" w:cs="Times New Roman" w:eastAsiaTheme="minorEastAsia"/>
          <w:b w:val="0"/>
          <w:bCs w:val="0"/>
          <w:color w:val="auto"/>
          <w:sz w:val="24"/>
          <w:szCs w:val="24"/>
          <w:highlight w:val="none"/>
          <w:lang w:eastAsia="zh-CN"/>
        </w:rPr>
        <w:t>。</w:t>
      </w:r>
    </w:p>
    <w:p>
      <w:pPr>
        <w:pStyle w:val="6"/>
        <w:ind w:firstLine="482"/>
        <w:rPr>
          <w:color w:val="auto"/>
          <w:highlight w:val="none"/>
        </w:rPr>
      </w:pPr>
      <w:r>
        <w:rPr>
          <w:rFonts w:hint="eastAsia"/>
          <w:color w:val="auto"/>
          <w:highlight w:val="none"/>
          <w:lang w:val="en-US" w:eastAsia="zh-CN"/>
        </w:rPr>
        <w:t>5</w:t>
      </w:r>
      <w:r>
        <w:rPr>
          <w:color w:val="auto"/>
          <w:highlight w:val="none"/>
        </w:rPr>
        <w:t>.2.</w:t>
      </w:r>
      <w:r>
        <w:rPr>
          <w:rFonts w:hint="eastAsia"/>
          <w:color w:val="auto"/>
          <w:highlight w:val="none"/>
        </w:rPr>
        <w:t>1.</w:t>
      </w:r>
      <w:r>
        <w:rPr>
          <w:rFonts w:hint="eastAsia"/>
          <w:color w:val="auto"/>
          <w:highlight w:val="none"/>
          <w:lang w:val="en-US" w:eastAsia="zh-CN"/>
        </w:rPr>
        <w:t>2</w:t>
      </w:r>
      <w:r>
        <w:rPr>
          <w:rFonts w:hint="eastAsia"/>
          <w:color w:val="auto"/>
          <w:highlight w:val="none"/>
          <w:lang w:eastAsia="zh-CN"/>
        </w:rPr>
        <w:t>沼气燃烧废气</w:t>
      </w:r>
      <w:r>
        <w:rPr>
          <w:rFonts w:hint="eastAsia"/>
          <w:color w:val="auto"/>
          <w:highlight w:val="none"/>
        </w:rPr>
        <w:t>防治措施可行性分析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val="0"/>
          <w:bCs/>
          <w:color w:val="auto"/>
          <w:sz w:val="24"/>
          <w:szCs w:val="22"/>
          <w:highlight w:val="none"/>
          <w:u w:val="none"/>
          <w:lang w:val="en-US" w:eastAsia="zh-CN"/>
        </w:rPr>
      </w:pPr>
      <w:r>
        <w:rPr>
          <w:rFonts w:hint="eastAsia" w:eastAsia="宋体"/>
          <w:color w:val="auto"/>
          <w:highlight w:val="none"/>
          <w:lang w:eastAsia="zh-CN"/>
        </w:rPr>
        <w:t>项目全年沼气产生量</w:t>
      </w:r>
      <w:r>
        <w:rPr>
          <w:rFonts w:hint="eastAsia"/>
          <w:color w:val="auto"/>
          <w:sz w:val="24"/>
          <w:highlight w:val="none"/>
          <w:lang w:val="en-US" w:eastAsia="zh-CN"/>
        </w:rPr>
        <w:t>404770</w:t>
      </w:r>
      <w:r>
        <w:rPr>
          <w:rFonts w:hint="eastAsia" w:eastAsia="宋体"/>
          <w:color w:val="auto"/>
          <w:highlight w:val="none"/>
          <w:lang w:eastAsia="zh-CN"/>
        </w:rPr>
        <w:t>m</w:t>
      </w:r>
      <w:r>
        <w:rPr>
          <w:rFonts w:hint="eastAsia" w:eastAsia="宋体"/>
          <w:color w:val="auto"/>
          <w:highlight w:val="none"/>
          <w:vertAlign w:val="superscript"/>
          <w:lang w:eastAsia="zh-CN"/>
        </w:rPr>
        <w:t>3</w:t>
      </w:r>
      <w:r>
        <w:rPr>
          <w:rFonts w:hint="eastAsia" w:eastAsia="宋体"/>
          <w:color w:val="auto"/>
          <w:highlight w:val="none"/>
          <w:lang w:eastAsia="zh-CN"/>
        </w:rPr>
        <w:t>/a，</w:t>
      </w:r>
      <w:r>
        <w:rPr>
          <w:rFonts w:hint="eastAsia" w:ascii="Times New Roman" w:hAnsi="Times New Roman" w:eastAsia="宋体" w:cstheme="minorBidi"/>
          <w:bCs/>
          <w:color w:val="auto"/>
          <w:kern w:val="2"/>
          <w:sz w:val="24"/>
          <w:szCs w:val="24"/>
          <w:highlight w:val="none"/>
          <w:lang w:val="en-US" w:eastAsia="zh-CN" w:bidi="ar-SA"/>
        </w:rPr>
        <w:t>沼气主要用于场区食堂</w:t>
      </w:r>
      <w:r>
        <w:rPr>
          <w:rFonts w:hint="eastAsia" w:cstheme="minorBidi"/>
          <w:bCs/>
          <w:color w:val="auto"/>
          <w:kern w:val="2"/>
          <w:sz w:val="24"/>
          <w:szCs w:val="24"/>
          <w:highlight w:val="none"/>
          <w:lang w:val="en-US" w:eastAsia="zh-CN" w:bidi="ar-SA"/>
        </w:rPr>
        <w:t>和无害化处理车间</w:t>
      </w:r>
      <w:r>
        <w:rPr>
          <w:rFonts w:hint="eastAsia" w:ascii="Times New Roman" w:hAnsi="Times New Roman" w:eastAsia="宋体" w:cstheme="minorBidi"/>
          <w:bCs/>
          <w:color w:val="auto"/>
          <w:kern w:val="2"/>
          <w:sz w:val="24"/>
          <w:szCs w:val="24"/>
          <w:highlight w:val="none"/>
          <w:lang w:val="en-US" w:eastAsia="zh-CN" w:bidi="ar-SA"/>
        </w:rPr>
        <w:t>，其中用于食堂的沼气量为44851.2m</w:t>
      </w:r>
      <w:r>
        <w:rPr>
          <w:rFonts w:hint="eastAsia" w:ascii="Times New Roman" w:hAnsi="Times New Roman" w:eastAsia="宋体" w:cstheme="minorBidi"/>
          <w:bCs/>
          <w:color w:val="auto"/>
          <w:kern w:val="2"/>
          <w:sz w:val="24"/>
          <w:szCs w:val="24"/>
          <w:highlight w:val="none"/>
          <w:vertAlign w:val="superscript"/>
          <w:lang w:val="en-US" w:eastAsia="zh-CN" w:bidi="ar-SA"/>
        </w:rPr>
        <w:t>3</w:t>
      </w:r>
      <w:r>
        <w:rPr>
          <w:rFonts w:hint="eastAsia" w:ascii="Times New Roman" w:hAnsi="Times New Roman" w:eastAsia="宋体" w:cstheme="minorBidi"/>
          <w:bCs/>
          <w:color w:val="auto"/>
          <w:kern w:val="2"/>
          <w:sz w:val="24"/>
          <w:szCs w:val="24"/>
          <w:highlight w:val="none"/>
          <w:lang w:val="en-US" w:eastAsia="zh-CN" w:bidi="ar-SA"/>
        </w:rPr>
        <w:t>/a，</w:t>
      </w:r>
      <w:r>
        <w:rPr>
          <w:rFonts w:hint="eastAsia" w:ascii="Times New Roman" w:hAnsi="Times New Roman" w:cstheme="minorBidi"/>
          <w:bCs/>
          <w:color w:val="auto"/>
          <w:kern w:val="2"/>
          <w:sz w:val="24"/>
          <w:szCs w:val="24"/>
          <w:highlight w:val="none"/>
          <w:lang w:val="en-US" w:eastAsia="zh-CN" w:bidi="ar-SA"/>
        </w:rPr>
        <w:t>无害化处理车间</w:t>
      </w:r>
      <w:r>
        <w:rPr>
          <w:rFonts w:hint="eastAsia" w:ascii="Times New Roman" w:hAnsi="Times New Roman" w:eastAsia="宋体" w:cstheme="minorBidi"/>
          <w:bCs/>
          <w:color w:val="auto"/>
          <w:kern w:val="2"/>
          <w:sz w:val="24"/>
          <w:szCs w:val="24"/>
          <w:highlight w:val="none"/>
          <w:lang w:val="en-US" w:eastAsia="zh-CN" w:bidi="ar-SA"/>
        </w:rPr>
        <w:t>的沼气量为576m</w:t>
      </w:r>
      <w:r>
        <w:rPr>
          <w:rFonts w:hint="eastAsia" w:ascii="Times New Roman" w:hAnsi="Times New Roman" w:eastAsia="宋体" w:cstheme="minorBidi"/>
          <w:bCs/>
          <w:color w:val="auto"/>
          <w:kern w:val="2"/>
          <w:sz w:val="24"/>
          <w:szCs w:val="24"/>
          <w:highlight w:val="none"/>
          <w:vertAlign w:val="superscript"/>
          <w:lang w:val="en-US" w:eastAsia="zh-CN" w:bidi="ar-SA"/>
        </w:rPr>
        <w:t>3</w:t>
      </w:r>
      <w:r>
        <w:rPr>
          <w:rFonts w:hint="eastAsia" w:ascii="Times New Roman" w:hAnsi="Times New Roman" w:eastAsia="宋体" w:cstheme="minorBidi"/>
          <w:bCs/>
          <w:color w:val="auto"/>
          <w:kern w:val="2"/>
          <w:sz w:val="24"/>
          <w:szCs w:val="24"/>
          <w:highlight w:val="none"/>
          <w:lang w:val="en-US" w:eastAsia="zh-CN" w:bidi="ar-SA"/>
        </w:rPr>
        <w:t>/a</w:t>
      </w:r>
      <w:r>
        <w:rPr>
          <w:rFonts w:hint="eastAsia" w:cstheme="minorBidi"/>
          <w:bCs/>
          <w:color w:val="auto"/>
          <w:kern w:val="2"/>
          <w:sz w:val="24"/>
          <w:szCs w:val="24"/>
          <w:highlight w:val="none"/>
          <w:lang w:val="en-US" w:eastAsia="zh-CN" w:bidi="ar-SA"/>
        </w:rPr>
        <w:t>，</w:t>
      </w:r>
      <w:r>
        <w:rPr>
          <w:rFonts w:hint="eastAsia" w:cs="Times New Roman"/>
          <w:b w:val="0"/>
          <w:bCs/>
          <w:color w:val="auto"/>
          <w:sz w:val="24"/>
          <w:szCs w:val="22"/>
          <w:highlight w:val="none"/>
          <w:u w:val="none"/>
          <w:lang w:eastAsia="zh-CN"/>
        </w:rPr>
        <w:t>剩余359342.8m</w:t>
      </w:r>
      <w:r>
        <w:rPr>
          <w:rFonts w:hint="eastAsia" w:cs="Times New Roman"/>
          <w:b w:val="0"/>
          <w:bCs/>
          <w:color w:val="auto"/>
          <w:sz w:val="24"/>
          <w:szCs w:val="22"/>
          <w:highlight w:val="none"/>
          <w:u w:val="none"/>
          <w:vertAlign w:val="superscript"/>
          <w:lang w:eastAsia="zh-CN"/>
        </w:rPr>
        <w:t>3</w:t>
      </w:r>
      <w:r>
        <w:rPr>
          <w:rFonts w:hint="eastAsia" w:cs="Times New Roman"/>
          <w:b w:val="0"/>
          <w:bCs/>
          <w:color w:val="auto"/>
          <w:sz w:val="24"/>
          <w:szCs w:val="22"/>
          <w:highlight w:val="none"/>
          <w:u w:val="none"/>
          <w:lang w:eastAsia="zh-CN"/>
        </w:rPr>
        <w:t>/a，全部用于火炬燃烧。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经预测，本项目</w:t>
      </w:r>
      <w:r>
        <w:rPr>
          <w:rFonts w:hint="eastAsia"/>
          <w:color w:val="auto"/>
          <w:sz w:val="24"/>
          <w:highlight w:val="none"/>
          <w:lang w:eastAsia="zh-CN"/>
        </w:rPr>
        <w:t>沼气锅炉燃烧</w:t>
      </w:r>
      <w:r>
        <w:rPr>
          <w:rFonts w:hint="eastAsia"/>
          <w:color w:val="auto"/>
          <w:sz w:val="24"/>
          <w:highlight w:val="none"/>
        </w:rPr>
        <w:t>的废气</w:t>
      </w:r>
      <w:r>
        <w:rPr>
          <w:color w:val="auto"/>
          <w:kern w:val="0"/>
          <w:sz w:val="24"/>
          <w:highlight w:val="none"/>
        </w:rPr>
        <w:t>SO</w:t>
      </w:r>
      <w:r>
        <w:rPr>
          <w:color w:val="auto"/>
          <w:kern w:val="0"/>
          <w:sz w:val="24"/>
          <w:highlight w:val="none"/>
          <w:vertAlign w:val="subscript"/>
        </w:rPr>
        <w:t>2</w:t>
      </w:r>
      <w:r>
        <w:rPr>
          <w:color w:val="auto"/>
          <w:kern w:val="0"/>
          <w:sz w:val="24"/>
          <w:highlight w:val="none"/>
        </w:rPr>
        <w:t>、NO</w:t>
      </w:r>
      <w:r>
        <w:rPr>
          <w:rFonts w:hint="eastAsia"/>
          <w:color w:val="auto"/>
          <w:kern w:val="0"/>
          <w:sz w:val="24"/>
          <w:highlight w:val="none"/>
          <w:vertAlign w:val="subscript"/>
          <w:lang w:val="en-US" w:eastAsia="zh-CN"/>
        </w:rPr>
        <w:t>X</w:t>
      </w:r>
      <w:r>
        <w:rPr>
          <w:color w:val="auto"/>
          <w:kern w:val="0"/>
          <w:sz w:val="24"/>
          <w:highlight w:val="none"/>
        </w:rPr>
        <w:t>、颗粒物</w:t>
      </w:r>
      <w:r>
        <w:rPr>
          <w:rFonts w:hint="eastAsia"/>
          <w:color w:val="auto"/>
          <w:kern w:val="0"/>
          <w:sz w:val="24"/>
          <w:highlight w:val="none"/>
        </w:rPr>
        <w:t>的</w:t>
      </w:r>
      <w:r>
        <w:rPr>
          <w:rFonts w:hint="eastAsia"/>
          <w:color w:val="auto"/>
          <w:sz w:val="24"/>
          <w:highlight w:val="none"/>
        </w:rPr>
        <w:t>最大落地浓度分别为</w:t>
      </w:r>
      <w:r>
        <w:rPr>
          <w:rFonts w:hint="eastAsia"/>
          <w:color w:val="auto"/>
          <w:highlight w:val="none"/>
        </w:rPr>
        <w:t>0.000622</w:t>
      </w:r>
      <w:r>
        <w:rPr>
          <w:rFonts w:hint="eastAsia"/>
          <w:color w:val="auto"/>
          <w:highlight w:val="none"/>
          <w:lang w:val="en-US" w:eastAsia="zh-CN"/>
        </w:rPr>
        <w:t>m</w:t>
      </w:r>
      <w:r>
        <w:rPr>
          <w:rFonts w:hint="eastAsia"/>
          <w:color w:val="auto"/>
          <w:highlight w:val="none"/>
        </w:rPr>
        <w:t>g/m</w:t>
      </w:r>
      <w:r>
        <w:rPr>
          <w:rFonts w:hint="eastAsia"/>
          <w:color w:val="auto"/>
          <w:highlight w:val="none"/>
          <w:vertAlign w:val="superscript"/>
        </w:rPr>
        <w:t>3</w:t>
      </w:r>
      <w:r>
        <w:rPr>
          <w:rFonts w:cs="Times New Roman"/>
          <w:color w:val="auto"/>
          <w:sz w:val="24"/>
          <w:szCs w:val="24"/>
          <w:highlight w:val="none"/>
        </w:rPr>
        <w:t>、</w:t>
      </w:r>
      <w:r>
        <w:rPr>
          <w:rFonts w:hint="eastAsia"/>
          <w:color w:val="auto"/>
          <w:highlight w:val="none"/>
        </w:rPr>
        <w:t>0.00342</w:t>
      </w:r>
      <w:r>
        <w:rPr>
          <w:rFonts w:hint="eastAsia"/>
          <w:color w:val="auto"/>
          <w:highlight w:val="none"/>
          <w:lang w:val="en-US" w:eastAsia="zh-CN"/>
        </w:rPr>
        <w:t>m</w:t>
      </w:r>
      <w:r>
        <w:rPr>
          <w:rFonts w:hint="eastAsia"/>
          <w:color w:val="auto"/>
          <w:highlight w:val="none"/>
        </w:rPr>
        <w:t>g/m</w:t>
      </w:r>
      <w:r>
        <w:rPr>
          <w:rFonts w:hint="eastAsia"/>
          <w:color w:val="auto"/>
          <w:highlight w:val="none"/>
          <w:vertAlign w:val="superscript"/>
        </w:rPr>
        <w:t>3</w:t>
      </w:r>
      <w:r>
        <w:rPr>
          <w:rFonts w:hint="eastAsia"/>
          <w:color w:val="auto"/>
          <w:sz w:val="24"/>
          <w:highlight w:val="none"/>
        </w:rPr>
        <w:t>、</w:t>
      </w:r>
      <w:r>
        <w:rPr>
          <w:rFonts w:hint="eastAsia"/>
          <w:color w:val="auto"/>
          <w:highlight w:val="none"/>
        </w:rPr>
        <w:t>0.00107</w:t>
      </w:r>
      <w:r>
        <w:rPr>
          <w:rFonts w:hint="eastAsia"/>
          <w:color w:val="auto"/>
          <w:highlight w:val="none"/>
          <w:lang w:val="en-US" w:eastAsia="zh-CN"/>
        </w:rPr>
        <w:t>m</w:t>
      </w:r>
      <w:r>
        <w:rPr>
          <w:rFonts w:hint="eastAsia"/>
          <w:color w:val="auto"/>
          <w:highlight w:val="none"/>
        </w:rPr>
        <w:t>g/m</w:t>
      </w:r>
      <w:r>
        <w:rPr>
          <w:rFonts w:hint="eastAsia"/>
          <w:color w:val="auto"/>
          <w:highlight w:val="none"/>
          <w:vertAlign w:val="superscript"/>
        </w:rPr>
        <w:t>3</w:t>
      </w:r>
      <w:r>
        <w:rPr>
          <w:rFonts w:hint="eastAsia"/>
          <w:color w:val="auto"/>
          <w:sz w:val="24"/>
          <w:highlight w:val="none"/>
        </w:rPr>
        <w:t>，占标率分别为</w:t>
      </w:r>
      <w:r>
        <w:rPr>
          <w:rFonts w:hint="eastAsia" w:cs="Times New Roman"/>
          <w:color w:val="auto"/>
          <w:sz w:val="24"/>
          <w:szCs w:val="24"/>
          <w:highlight w:val="none"/>
        </w:rPr>
        <w:t>0.</w:t>
      </w:r>
      <w:r>
        <w:rPr>
          <w:rFonts w:hint="eastAsia" w:cs="Times New Roman"/>
          <w:color w:val="auto"/>
          <w:sz w:val="24"/>
          <w:szCs w:val="24"/>
          <w:highlight w:val="none"/>
          <w:lang w:val="en-US" w:eastAsia="zh-CN"/>
        </w:rPr>
        <w:t>12</w:t>
      </w:r>
      <w:r>
        <w:rPr>
          <w:rFonts w:hint="eastAsia" w:cs="Times New Roman"/>
          <w:color w:val="auto"/>
          <w:sz w:val="24"/>
          <w:szCs w:val="24"/>
          <w:highlight w:val="none"/>
        </w:rPr>
        <w:t>%</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1.37%</w:t>
      </w:r>
      <w:r>
        <w:rPr>
          <w:rFonts w:hint="eastAsia"/>
          <w:color w:val="auto"/>
          <w:sz w:val="24"/>
          <w:highlight w:val="none"/>
        </w:rPr>
        <w:t>、</w:t>
      </w:r>
      <w:r>
        <w:rPr>
          <w:rFonts w:hint="eastAsia" w:cs="Times New Roman"/>
          <w:color w:val="auto"/>
          <w:sz w:val="24"/>
          <w:szCs w:val="24"/>
          <w:highlight w:val="none"/>
          <w:lang w:val="en-US" w:eastAsia="zh-CN"/>
        </w:rPr>
        <w:t>0.24%。</w:t>
      </w:r>
      <w:r>
        <w:rPr>
          <w:rFonts w:hint="eastAsia" w:eastAsia="宋体"/>
          <w:color w:val="auto"/>
          <w:highlight w:val="none"/>
          <w:lang w:eastAsia="zh-CN"/>
        </w:rPr>
        <w:t>火炬燃烧废气</w:t>
      </w:r>
      <w:r>
        <w:rPr>
          <w:rFonts w:hint="eastAsia"/>
          <w:color w:val="auto"/>
          <w:highlight w:val="none"/>
        </w:rPr>
        <w:t>NO</w:t>
      </w:r>
      <w:r>
        <w:rPr>
          <w:rFonts w:hint="eastAsia" w:ascii="Times New Roman" w:eastAsia="宋体"/>
          <w:color w:val="auto"/>
          <w:highlight w:val="none"/>
          <w:vertAlign w:val="subscript"/>
          <w:lang w:val="en-US" w:eastAsia="zh-CN"/>
        </w:rPr>
        <w:t>X</w:t>
      </w:r>
      <w:r>
        <w:rPr>
          <w:rFonts w:hint="eastAsia"/>
          <w:color w:val="auto"/>
          <w:highlight w:val="none"/>
        </w:rPr>
        <w:t>最大贡献浓度0.00604</w:t>
      </w:r>
      <w:r>
        <w:rPr>
          <w:rFonts w:hint="eastAsia" w:ascii="Times New Roman" w:eastAsia="宋体"/>
          <w:color w:val="auto"/>
          <w:highlight w:val="none"/>
          <w:lang w:val="en-US" w:eastAsia="zh-CN"/>
        </w:rPr>
        <w:t>m</w:t>
      </w:r>
      <w:r>
        <w:rPr>
          <w:rFonts w:hint="eastAsia"/>
          <w:color w:val="auto"/>
          <w:highlight w:val="none"/>
        </w:rPr>
        <w:t>g/m</w:t>
      </w:r>
      <w:r>
        <w:rPr>
          <w:rFonts w:hint="eastAsia"/>
          <w:color w:val="auto"/>
          <w:highlight w:val="none"/>
          <w:vertAlign w:val="superscript"/>
        </w:rPr>
        <w:t>3</w:t>
      </w:r>
      <w:r>
        <w:rPr>
          <w:rFonts w:hint="eastAsia"/>
          <w:color w:val="auto"/>
          <w:highlight w:val="none"/>
        </w:rPr>
        <w:t>，占标率</w:t>
      </w:r>
      <w:r>
        <w:rPr>
          <w:rFonts w:hint="eastAsia" w:ascii="Times New Roman" w:eastAsia="宋体"/>
          <w:color w:val="auto"/>
          <w:highlight w:val="none"/>
          <w:lang w:val="en-US" w:eastAsia="zh-CN"/>
        </w:rPr>
        <w:t>2.41</w:t>
      </w:r>
      <w:r>
        <w:rPr>
          <w:rFonts w:hint="eastAsia"/>
          <w:color w:val="auto"/>
          <w:highlight w:val="none"/>
        </w:rPr>
        <w:t>%</w:t>
      </w:r>
      <w:r>
        <w:rPr>
          <w:rFonts w:hint="eastAsia" w:ascii="Times New Roman" w:eastAsia="宋体"/>
          <w:color w:val="auto"/>
          <w:highlight w:val="none"/>
          <w:lang w:val="en-US" w:eastAsia="zh-CN"/>
        </w:rPr>
        <w:t>；</w:t>
      </w:r>
      <w:r>
        <w:rPr>
          <w:rFonts w:hint="eastAsia"/>
          <w:color w:val="auto"/>
          <w:highlight w:val="none"/>
        </w:rPr>
        <w:t>SO</w:t>
      </w:r>
      <w:r>
        <w:rPr>
          <w:rFonts w:hint="eastAsia"/>
          <w:color w:val="auto"/>
          <w:highlight w:val="none"/>
          <w:vertAlign w:val="subscript"/>
        </w:rPr>
        <w:t>2</w:t>
      </w:r>
      <w:r>
        <w:rPr>
          <w:rFonts w:hint="eastAsia"/>
          <w:color w:val="auto"/>
          <w:highlight w:val="none"/>
        </w:rPr>
        <w:t>最大贡献浓度0.0011</w:t>
      </w:r>
      <w:r>
        <w:rPr>
          <w:rFonts w:hint="eastAsia" w:ascii="Times New Roman" w:eastAsia="宋体"/>
          <w:color w:val="auto"/>
          <w:highlight w:val="none"/>
          <w:lang w:val="en-US" w:eastAsia="zh-CN"/>
        </w:rPr>
        <w:t>m</w:t>
      </w:r>
      <w:r>
        <w:rPr>
          <w:rFonts w:hint="eastAsia"/>
          <w:color w:val="auto"/>
          <w:highlight w:val="none"/>
        </w:rPr>
        <w:t>g/m</w:t>
      </w:r>
      <w:r>
        <w:rPr>
          <w:rFonts w:hint="eastAsia"/>
          <w:color w:val="auto"/>
          <w:highlight w:val="none"/>
          <w:vertAlign w:val="superscript"/>
        </w:rPr>
        <w:t>3</w:t>
      </w:r>
      <w:r>
        <w:rPr>
          <w:rFonts w:hint="eastAsia"/>
          <w:color w:val="auto"/>
          <w:highlight w:val="none"/>
        </w:rPr>
        <w:t>，占标率0.</w:t>
      </w:r>
      <w:r>
        <w:rPr>
          <w:rFonts w:hint="eastAsia" w:ascii="Times New Roman" w:eastAsia="宋体"/>
          <w:color w:val="auto"/>
          <w:highlight w:val="none"/>
          <w:lang w:val="en-US" w:eastAsia="zh-CN"/>
        </w:rPr>
        <w:t>22</w:t>
      </w:r>
      <w:r>
        <w:rPr>
          <w:rFonts w:hint="eastAsia"/>
          <w:color w:val="auto"/>
          <w:highlight w:val="none"/>
        </w:rPr>
        <w:t>%，PM</w:t>
      </w:r>
      <w:r>
        <w:rPr>
          <w:rFonts w:hint="eastAsia"/>
          <w:color w:val="auto"/>
          <w:highlight w:val="none"/>
          <w:vertAlign w:val="subscript"/>
        </w:rPr>
        <w:t>10</w:t>
      </w:r>
      <w:r>
        <w:rPr>
          <w:rFonts w:hint="eastAsia"/>
          <w:color w:val="auto"/>
          <w:highlight w:val="none"/>
        </w:rPr>
        <w:t>最大贡献浓度0.00188</w:t>
      </w:r>
      <w:r>
        <w:rPr>
          <w:rFonts w:hint="eastAsia" w:ascii="Times New Roman" w:eastAsia="宋体"/>
          <w:color w:val="auto"/>
          <w:highlight w:val="none"/>
          <w:lang w:val="en-US" w:eastAsia="zh-CN"/>
        </w:rPr>
        <w:t>m</w:t>
      </w:r>
      <w:r>
        <w:rPr>
          <w:rFonts w:hint="eastAsia"/>
          <w:color w:val="auto"/>
          <w:highlight w:val="none"/>
        </w:rPr>
        <w:t>g/m</w:t>
      </w:r>
      <w:r>
        <w:rPr>
          <w:rFonts w:hint="eastAsia"/>
          <w:color w:val="auto"/>
          <w:highlight w:val="none"/>
          <w:vertAlign w:val="superscript"/>
        </w:rPr>
        <w:t>3</w:t>
      </w:r>
      <w:r>
        <w:rPr>
          <w:rFonts w:hint="eastAsia"/>
          <w:color w:val="auto"/>
          <w:highlight w:val="none"/>
        </w:rPr>
        <w:t>，占标率0.</w:t>
      </w:r>
      <w:r>
        <w:rPr>
          <w:rFonts w:hint="eastAsia" w:ascii="Times New Roman" w:eastAsia="宋体"/>
          <w:color w:val="auto"/>
          <w:highlight w:val="none"/>
          <w:lang w:val="en-US" w:eastAsia="zh-CN"/>
        </w:rPr>
        <w:t>42</w:t>
      </w:r>
      <w:r>
        <w:rPr>
          <w:rFonts w:hint="eastAsia"/>
          <w:color w:val="auto"/>
          <w:highlight w:val="none"/>
        </w:rPr>
        <w:t>%</w:t>
      </w:r>
      <w:r>
        <w:rPr>
          <w:rFonts w:hint="eastAsia"/>
          <w:color w:val="auto"/>
          <w:highlight w:val="none"/>
          <w:lang w:eastAsia="zh-CN"/>
        </w:rPr>
        <w:t>。均</w:t>
      </w:r>
      <w:r>
        <w:rPr>
          <w:rFonts w:hint="eastAsia"/>
          <w:color w:val="auto"/>
          <w:sz w:val="24"/>
          <w:highlight w:val="none"/>
        </w:rPr>
        <w:t>小于相应环境空气质量标准限值要求，各污染物最大落地浓度占标率均小于</w:t>
      </w:r>
      <w:r>
        <w:rPr>
          <w:color w:val="auto"/>
          <w:sz w:val="24"/>
          <w:highlight w:val="none"/>
        </w:rPr>
        <w:t>10%</w:t>
      </w:r>
      <w:r>
        <w:rPr>
          <w:rFonts w:hint="eastAsia"/>
          <w:color w:val="auto"/>
          <w:sz w:val="24"/>
          <w:highlight w:val="none"/>
        </w:rPr>
        <w:t>。</w:t>
      </w:r>
    </w:p>
    <w:p>
      <w:pPr>
        <w:pStyle w:val="2"/>
        <w:rPr>
          <w:rFonts w:hint="eastAsia" w:eastAsia="宋体"/>
          <w:color w:val="auto"/>
          <w:highlight w:val="none"/>
          <w:lang w:eastAsia="zh-CN"/>
        </w:rPr>
      </w:pPr>
      <w:r>
        <w:rPr>
          <w:rFonts w:hint="eastAsia"/>
          <w:color w:val="auto"/>
          <w:sz w:val="24"/>
          <w:highlight w:val="none"/>
          <w:lang w:eastAsia="zh-CN"/>
        </w:rPr>
        <w:t>本项目沼气锅炉废气采用高效低氮燃烧器+烟气二次燃烧技术处理后经1根8米高排气筒排放，“低氮燃烧器+烟气二次燃烧”装置，可以有效降低燃气废气中的烟尘和NO</w:t>
      </w:r>
      <w:r>
        <w:rPr>
          <w:rFonts w:hint="eastAsia"/>
          <w:color w:val="auto"/>
          <w:sz w:val="24"/>
          <w:highlight w:val="none"/>
          <w:vertAlign w:val="subscript"/>
          <w:lang w:eastAsia="zh-CN"/>
        </w:rPr>
        <w:t>X</w:t>
      </w:r>
      <w:r>
        <w:rPr>
          <w:rFonts w:hint="eastAsia"/>
          <w:color w:val="auto"/>
          <w:sz w:val="24"/>
          <w:highlight w:val="none"/>
          <w:lang w:eastAsia="zh-CN"/>
        </w:rPr>
        <w:t>的排放量。锅炉烟气中氮氧化物根据形成机理分为燃料型、热力型。燃料型指燃烧过程中燃料中的有机氮被氧化形成的氮氧化物，热力型指燃烧过程中空气中的氮气与氧气反应生成的氮氧化物。当燃烧温度小于1500℃时，燃烧过程产生的热力型氮氧化物量很少，当燃烧温度大于1500℃时，温度每升高100℃，反应速率提高6~7倍，而本项目锅炉燃烧温度控制在1200℃左右，小于1500℃，因此热力型氮氧化物产生量很少，燃烧烟气中氮氧化物浓度较低。低氮燃烧器采用空气分级方式，将助燃风分为外层、中层和中心三局部，并比例可调节，低氮燃烧器的全部燃料从中心风部分送入燃烧器开始燃烧，将原本一次完成的燃烧通过控制多次供风分多次燃尽，因为在燃料过剩的区域氧气与燃料结合的趋势远远大于氮气，在燃烧过程中只在燃烧尾部才出现助燃风过剩，燃烧时存在炉管换热可降低火焰区域温度，因此低氮燃烧器可达到降低氮氧化物的效果。</w:t>
      </w:r>
      <w:r>
        <w:rPr>
          <w:rFonts w:hint="eastAsia"/>
          <w:color w:val="auto"/>
          <w:sz w:val="24"/>
          <w:highlight w:val="none"/>
        </w:rPr>
        <w:t>经预测，本项目</w:t>
      </w:r>
      <w:r>
        <w:rPr>
          <w:rFonts w:hint="eastAsia" w:eastAsia="宋体"/>
          <w:color w:val="auto"/>
          <w:sz w:val="24"/>
          <w:highlight w:val="none"/>
          <w:lang w:eastAsia="zh-CN"/>
        </w:rPr>
        <w:t>沼气锅炉燃烧</w:t>
      </w:r>
      <w:r>
        <w:rPr>
          <w:rFonts w:hint="eastAsia"/>
          <w:color w:val="auto"/>
          <w:sz w:val="24"/>
          <w:highlight w:val="none"/>
        </w:rPr>
        <w:t>的废气</w:t>
      </w:r>
      <w:r>
        <w:rPr>
          <w:color w:val="auto"/>
          <w:kern w:val="0"/>
          <w:sz w:val="24"/>
          <w:highlight w:val="none"/>
        </w:rPr>
        <w:t>SO</w:t>
      </w:r>
      <w:r>
        <w:rPr>
          <w:color w:val="auto"/>
          <w:kern w:val="0"/>
          <w:sz w:val="24"/>
          <w:highlight w:val="none"/>
          <w:vertAlign w:val="subscript"/>
        </w:rPr>
        <w:t>2</w:t>
      </w:r>
      <w:r>
        <w:rPr>
          <w:color w:val="auto"/>
          <w:kern w:val="0"/>
          <w:sz w:val="24"/>
          <w:highlight w:val="none"/>
        </w:rPr>
        <w:t>、NO</w:t>
      </w:r>
      <w:r>
        <w:rPr>
          <w:rFonts w:hint="eastAsia" w:ascii="Times New Roman" w:eastAsia="宋体"/>
          <w:color w:val="auto"/>
          <w:kern w:val="0"/>
          <w:sz w:val="24"/>
          <w:highlight w:val="none"/>
          <w:vertAlign w:val="subscript"/>
          <w:lang w:val="en-US" w:eastAsia="zh-CN"/>
        </w:rPr>
        <w:t>X</w:t>
      </w:r>
      <w:r>
        <w:rPr>
          <w:color w:val="auto"/>
          <w:kern w:val="0"/>
          <w:sz w:val="24"/>
          <w:highlight w:val="none"/>
        </w:rPr>
        <w:t>、颗粒物</w:t>
      </w:r>
      <w:r>
        <w:rPr>
          <w:rFonts w:hint="eastAsia"/>
          <w:color w:val="auto"/>
          <w:kern w:val="0"/>
          <w:sz w:val="24"/>
          <w:highlight w:val="none"/>
        </w:rPr>
        <w:t>的</w:t>
      </w:r>
      <w:r>
        <w:rPr>
          <w:rFonts w:hint="eastAsia"/>
          <w:color w:val="auto"/>
          <w:sz w:val="24"/>
          <w:highlight w:val="none"/>
        </w:rPr>
        <w:t>最大落地浓度分别为</w:t>
      </w:r>
      <w:r>
        <w:rPr>
          <w:rFonts w:hint="eastAsia"/>
          <w:color w:val="auto"/>
          <w:highlight w:val="none"/>
        </w:rPr>
        <w:t>0.000622</w:t>
      </w:r>
      <w:r>
        <w:rPr>
          <w:rFonts w:hint="eastAsia" w:ascii="Times New Roman" w:eastAsia="宋体"/>
          <w:color w:val="auto"/>
          <w:highlight w:val="none"/>
          <w:lang w:val="en-US" w:eastAsia="zh-CN"/>
        </w:rPr>
        <w:t>m</w:t>
      </w:r>
      <w:r>
        <w:rPr>
          <w:rFonts w:hint="eastAsia"/>
          <w:color w:val="auto"/>
          <w:highlight w:val="none"/>
        </w:rPr>
        <w:t>g/m</w:t>
      </w:r>
      <w:r>
        <w:rPr>
          <w:rFonts w:hint="eastAsia"/>
          <w:color w:val="auto"/>
          <w:highlight w:val="none"/>
          <w:vertAlign w:val="superscript"/>
        </w:rPr>
        <w:t>3</w:t>
      </w:r>
      <w:r>
        <w:rPr>
          <w:rFonts w:cs="Times New Roman"/>
          <w:color w:val="auto"/>
          <w:sz w:val="24"/>
          <w:szCs w:val="24"/>
          <w:highlight w:val="none"/>
        </w:rPr>
        <w:t>、</w:t>
      </w:r>
      <w:r>
        <w:rPr>
          <w:rFonts w:hint="eastAsia"/>
          <w:color w:val="auto"/>
          <w:highlight w:val="none"/>
        </w:rPr>
        <w:t>0.00342</w:t>
      </w:r>
      <w:r>
        <w:rPr>
          <w:rFonts w:hint="eastAsia" w:ascii="Times New Roman" w:eastAsia="宋体"/>
          <w:color w:val="auto"/>
          <w:highlight w:val="none"/>
          <w:lang w:val="en-US" w:eastAsia="zh-CN"/>
        </w:rPr>
        <w:t>m</w:t>
      </w:r>
      <w:r>
        <w:rPr>
          <w:rFonts w:hint="eastAsia"/>
          <w:color w:val="auto"/>
          <w:highlight w:val="none"/>
        </w:rPr>
        <w:t>g/m</w:t>
      </w:r>
      <w:r>
        <w:rPr>
          <w:rFonts w:hint="eastAsia"/>
          <w:color w:val="auto"/>
          <w:highlight w:val="none"/>
          <w:vertAlign w:val="superscript"/>
        </w:rPr>
        <w:t>3</w:t>
      </w:r>
      <w:r>
        <w:rPr>
          <w:rFonts w:hint="eastAsia"/>
          <w:color w:val="auto"/>
          <w:sz w:val="24"/>
          <w:highlight w:val="none"/>
        </w:rPr>
        <w:t>、</w:t>
      </w:r>
      <w:r>
        <w:rPr>
          <w:rFonts w:hint="eastAsia"/>
          <w:color w:val="auto"/>
          <w:highlight w:val="none"/>
        </w:rPr>
        <w:t>0.00107</w:t>
      </w:r>
      <w:r>
        <w:rPr>
          <w:rFonts w:hint="eastAsia" w:ascii="Times New Roman" w:eastAsia="宋体"/>
          <w:color w:val="auto"/>
          <w:highlight w:val="none"/>
          <w:lang w:val="en-US" w:eastAsia="zh-CN"/>
        </w:rPr>
        <w:t>m</w:t>
      </w:r>
      <w:r>
        <w:rPr>
          <w:rFonts w:hint="eastAsia"/>
          <w:color w:val="auto"/>
          <w:highlight w:val="none"/>
        </w:rPr>
        <w:t>g/m</w:t>
      </w:r>
      <w:r>
        <w:rPr>
          <w:rFonts w:hint="eastAsia"/>
          <w:color w:val="auto"/>
          <w:highlight w:val="none"/>
          <w:vertAlign w:val="superscript"/>
        </w:rPr>
        <w:t>3</w:t>
      </w:r>
      <w:r>
        <w:rPr>
          <w:rFonts w:hint="eastAsia"/>
          <w:color w:val="auto"/>
          <w:sz w:val="24"/>
          <w:highlight w:val="none"/>
        </w:rPr>
        <w:t>，占标率分别为</w:t>
      </w:r>
      <w:r>
        <w:rPr>
          <w:rFonts w:hint="eastAsia" w:cs="Times New Roman"/>
          <w:color w:val="auto"/>
          <w:sz w:val="24"/>
          <w:szCs w:val="24"/>
          <w:highlight w:val="none"/>
        </w:rPr>
        <w:t>0.</w:t>
      </w:r>
      <w:r>
        <w:rPr>
          <w:rFonts w:hint="eastAsia" w:cs="Times New Roman"/>
          <w:color w:val="auto"/>
          <w:sz w:val="24"/>
          <w:szCs w:val="24"/>
          <w:highlight w:val="none"/>
          <w:lang w:val="en-US" w:eastAsia="zh-CN"/>
        </w:rPr>
        <w:t>12</w:t>
      </w:r>
      <w:r>
        <w:rPr>
          <w:rFonts w:hint="eastAsia" w:cs="Times New Roman"/>
          <w:color w:val="auto"/>
          <w:sz w:val="24"/>
          <w:szCs w:val="24"/>
          <w:highlight w:val="none"/>
        </w:rPr>
        <w:t>%</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1.37%</w:t>
      </w:r>
      <w:r>
        <w:rPr>
          <w:rFonts w:hint="eastAsia"/>
          <w:color w:val="auto"/>
          <w:sz w:val="24"/>
          <w:highlight w:val="none"/>
        </w:rPr>
        <w:t>、</w:t>
      </w:r>
      <w:r>
        <w:rPr>
          <w:rFonts w:hint="eastAsia" w:cs="Times New Roman"/>
          <w:color w:val="auto"/>
          <w:sz w:val="24"/>
          <w:szCs w:val="24"/>
          <w:highlight w:val="none"/>
          <w:lang w:val="en-US" w:eastAsia="zh-CN"/>
        </w:rPr>
        <w:t>0.24%。</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综上，本项目</w:t>
      </w:r>
      <w:r>
        <w:rPr>
          <w:rFonts w:hint="eastAsia"/>
          <w:color w:val="auto"/>
          <w:sz w:val="24"/>
          <w:highlight w:val="none"/>
          <w:lang w:eastAsia="zh-CN"/>
        </w:rPr>
        <w:t>沼气燃烧</w:t>
      </w:r>
      <w:r>
        <w:rPr>
          <w:rFonts w:hint="eastAsia"/>
          <w:color w:val="auto"/>
          <w:sz w:val="24"/>
          <w:highlight w:val="none"/>
        </w:rPr>
        <w:t>废气可实现达标排放，因此本项目采取的该处理措施是可行的。</w:t>
      </w:r>
    </w:p>
    <w:p>
      <w:pPr>
        <w:pStyle w:val="6"/>
        <w:ind w:firstLine="482"/>
        <w:rPr>
          <w:color w:val="auto"/>
          <w:highlight w:val="none"/>
        </w:rPr>
      </w:pPr>
      <w:r>
        <w:rPr>
          <w:rFonts w:hint="eastAsia"/>
          <w:color w:val="auto"/>
          <w:highlight w:val="none"/>
          <w:lang w:val="en-US" w:eastAsia="zh-CN"/>
        </w:rPr>
        <w:t>5</w:t>
      </w:r>
      <w:r>
        <w:rPr>
          <w:color w:val="auto"/>
          <w:highlight w:val="none"/>
        </w:rPr>
        <w:t>.2.</w:t>
      </w:r>
      <w:r>
        <w:rPr>
          <w:rFonts w:hint="eastAsia"/>
          <w:color w:val="auto"/>
          <w:highlight w:val="none"/>
        </w:rPr>
        <w:t>1.</w:t>
      </w:r>
      <w:r>
        <w:rPr>
          <w:rFonts w:hint="eastAsia"/>
          <w:color w:val="auto"/>
          <w:highlight w:val="none"/>
          <w:lang w:val="en-US" w:eastAsia="zh-CN"/>
        </w:rPr>
        <w:t>3</w:t>
      </w:r>
      <w:r>
        <w:rPr>
          <w:rFonts w:hint="eastAsia"/>
          <w:color w:val="auto"/>
          <w:highlight w:val="none"/>
          <w:lang w:eastAsia="zh-CN"/>
        </w:rPr>
        <w:t>食堂油烟</w:t>
      </w:r>
      <w:r>
        <w:rPr>
          <w:rFonts w:hint="eastAsia"/>
          <w:color w:val="auto"/>
          <w:highlight w:val="none"/>
        </w:rPr>
        <w:t>防治措施可行性分析</w:t>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eastAsia"/>
          <w:color w:val="auto"/>
          <w:highlight w:val="none"/>
        </w:rPr>
      </w:pPr>
      <w:r>
        <w:rPr>
          <w:rFonts w:hint="eastAsia"/>
          <w:color w:val="auto"/>
          <w:highlight w:val="none"/>
        </w:rPr>
        <w:t>项目饮食油烟采用安装符合国家有关要求的油烟净化系统（集气罩+油烟净化器），处理后的油烟排放浓度小于1.5mg/m</w:t>
      </w:r>
      <w:r>
        <w:rPr>
          <w:rFonts w:hint="eastAsia"/>
          <w:color w:val="auto"/>
          <w:highlight w:val="none"/>
          <w:vertAlign w:val="superscript"/>
        </w:rPr>
        <w:t>3</w:t>
      </w:r>
      <w:r>
        <w:rPr>
          <w:rFonts w:hint="eastAsia"/>
          <w:color w:val="auto"/>
          <w:highlight w:val="none"/>
        </w:rPr>
        <w:t>，可达到河南省《餐饮业油烟污染物放标准》(DB41/1604-2018)要求。</w:t>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eastAsia"/>
          <w:color w:val="auto"/>
          <w:highlight w:val="none"/>
        </w:rPr>
      </w:pPr>
      <w:r>
        <w:rPr>
          <w:rFonts w:hint="eastAsia"/>
          <w:color w:val="auto"/>
          <w:highlight w:val="none"/>
        </w:rPr>
        <w:t>饮食业排放的大气污染物主要为气溶胶，其中含有食用油及食品在高温下的挥发物，以及由食用油及食品的氧化、裂解、水解而形成的醛类、酮类、链烷类、链烯类、多环芳烃等，成份较为复杂。</w:t>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eastAsia"/>
          <w:color w:val="auto"/>
          <w:highlight w:val="none"/>
        </w:rPr>
      </w:pPr>
      <w:r>
        <w:rPr>
          <w:rFonts w:hint="eastAsia"/>
          <w:color w:val="auto"/>
          <w:highlight w:val="none"/>
        </w:rPr>
        <w:t>油烟净化机采用静电、荷电和滤网的联合作用来净化废气中的油烟，含油物的气体经过金属滤网时，较大颗粒的油滴被滤网阻挡、粘附、透过率网的较小颗粒的油滴随气体进入除油电场，在高压电场的作用下，使微小颗粒的油雾荷电，在电场力的作用下向油滤网运动，并在滤网上积聚成较大的油滴，受地心引力作用，油滴流下，经排油道排出。目前，我国各大中型城市均已对饮食行业外排油烟进行净化治理。市场上油烟净化设施种类亦较多，且效果较好。</w:t>
      </w:r>
    </w:p>
    <w:p>
      <w:pPr>
        <w:pStyle w:val="2"/>
        <w:keepNext w:val="0"/>
        <w:keepLines w:val="0"/>
        <w:pageBreakBefore w:val="0"/>
        <w:widowControl/>
        <w:kinsoku/>
        <w:wordWrap/>
        <w:overflowPunct/>
        <w:topLinePunct w:val="0"/>
        <w:autoSpaceDE/>
        <w:autoSpaceDN/>
        <w:bidi w:val="0"/>
        <w:adjustRightInd/>
        <w:snapToGrid/>
        <w:spacing w:line="360" w:lineRule="auto"/>
        <w:textAlignment w:val="auto"/>
        <w:rPr>
          <w:rFonts w:hint="eastAsia"/>
          <w:color w:val="auto"/>
          <w:highlight w:val="none"/>
        </w:rPr>
      </w:pPr>
      <w:r>
        <w:rPr>
          <w:rFonts w:hint="eastAsia"/>
          <w:color w:val="auto"/>
          <w:highlight w:val="none"/>
        </w:rPr>
        <w:t>本项目食堂安装经过国家主管部门认证的油烟净化设施，能满足有关环境保护标准的限值要求，所采取的措施可行。</w:t>
      </w:r>
    </w:p>
    <w:p>
      <w:pPr>
        <w:pStyle w:val="5"/>
        <w:spacing w:before="66"/>
        <w:ind w:firstLine="482"/>
        <w:rPr>
          <w:color w:val="auto"/>
          <w:highlight w:val="none"/>
        </w:rPr>
      </w:pPr>
      <w:r>
        <w:rPr>
          <w:rFonts w:hint="eastAsia"/>
          <w:color w:val="auto"/>
          <w:highlight w:val="none"/>
          <w:lang w:val="en-US" w:eastAsia="zh-CN"/>
        </w:rPr>
        <w:t>5</w:t>
      </w:r>
      <w:r>
        <w:rPr>
          <w:color w:val="auto"/>
          <w:highlight w:val="none"/>
        </w:rPr>
        <w:t>.2.</w:t>
      </w:r>
      <w:r>
        <w:rPr>
          <w:rFonts w:hint="eastAsia"/>
          <w:color w:val="auto"/>
          <w:highlight w:val="none"/>
          <w:lang w:val="en-US" w:eastAsia="zh-CN"/>
        </w:rPr>
        <w:t>3</w:t>
      </w:r>
      <w:r>
        <w:rPr>
          <w:rFonts w:hint="eastAsia"/>
          <w:color w:val="auto"/>
          <w:highlight w:val="none"/>
        </w:rPr>
        <w:t>废水治理措施</w:t>
      </w:r>
    </w:p>
    <w:p>
      <w:pPr>
        <w:pStyle w:val="6"/>
        <w:ind w:firstLine="482"/>
        <w:rPr>
          <w:color w:val="auto"/>
          <w:highlight w:val="none"/>
        </w:rPr>
      </w:pPr>
      <w:r>
        <w:rPr>
          <w:rFonts w:hint="eastAsia"/>
          <w:color w:val="auto"/>
          <w:highlight w:val="none"/>
          <w:lang w:val="en-US" w:eastAsia="zh-CN"/>
        </w:rPr>
        <w:t>5</w:t>
      </w:r>
      <w:r>
        <w:rPr>
          <w:color w:val="auto"/>
          <w:highlight w:val="none"/>
        </w:rPr>
        <w:t>.2.</w:t>
      </w:r>
      <w:r>
        <w:rPr>
          <w:rFonts w:hint="eastAsia"/>
          <w:color w:val="auto"/>
          <w:highlight w:val="none"/>
          <w:lang w:val="en-US" w:eastAsia="zh-CN"/>
        </w:rPr>
        <w:t>3</w:t>
      </w:r>
      <w:r>
        <w:rPr>
          <w:rFonts w:hint="eastAsia"/>
          <w:color w:val="auto"/>
          <w:highlight w:val="none"/>
        </w:rPr>
        <w:t>.1废水处理工艺比选</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color w:val="auto"/>
          <w:highlight w:val="none"/>
        </w:rPr>
      </w:pPr>
      <w:r>
        <w:rPr>
          <w:rFonts w:hint="eastAsia" w:cs="Times New Roman"/>
          <w:color w:val="auto"/>
          <w:highlight w:val="none"/>
        </w:rPr>
        <w:t>废水沼气化处理工艺能够实现养殖场粪污的综合利用，沼气化处理工艺的种类较多，工艺的选择由粪污种类、工程类型和工艺路线确定，常用的有以下几种：</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color w:val="auto"/>
          <w:highlight w:val="none"/>
        </w:rPr>
      </w:pPr>
      <w:r>
        <w:rPr>
          <w:rFonts w:hint="eastAsia" w:cs="Times New Roman"/>
          <w:color w:val="auto"/>
          <w:highlight w:val="none"/>
        </w:rPr>
        <w:t>CSTR工艺：CSTR工艺适合各类粪污处理沼气工程。其特征是原料液要预处理、液泵进料、进料TS浓度为6～8%（采用螺杆泵才能达到8%）。因我国使用单一的畜禽粪，故产气率在中温条件下，一般为0.8～1.0m</w:t>
      </w:r>
      <w:r>
        <w:rPr>
          <w:rFonts w:hint="eastAsia" w:cs="Times New Roman"/>
          <w:color w:val="auto"/>
          <w:highlight w:val="none"/>
          <w:vertAlign w:val="superscript"/>
        </w:rPr>
        <w:t>3</w:t>
      </w:r>
      <w:r>
        <w:rPr>
          <w:rFonts w:hint="eastAsia" w:cs="Times New Roman"/>
          <w:color w:val="auto"/>
          <w:highlight w:val="none"/>
        </w:rPr>
        <w:t>/m</w:t>
      </w:r>
      <w:r>
        <w:rPr>
          <w:rFonts w:hint="eastAsia" w:cs="Times New Roman"/>
          <w:color w:val="auto"/>
          <w:highlight w:val="none"/>
          <w:vertAlign w:val="superscript"/>
        </w:rPr>
        <w:t>3</w:t>
      </w:r>
      <w:r>
        <w:rPr>
          <w:rFonts w:hint="eastAsia" w:cs="Times New Roman"/>
          <w:color w:val="auto"/>
          <w:highlight w:val="none"/>
        </w:rPr>
        <w:t>；沼渣沼液一般不经固液分离直接用于农田施肥。其缺点是原料要进行预处理，工程投资偏高；能耗偏大，能量输出率偏低，如进行热电联产(CHP)， 能量输出率可大幅度提高。</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color w:val="auto"/>
          <w:highlight w:val="none"/>
        </w:rPr>
      </w:pPr>
      <w:r>
        <w:rPr>
          <w:rFonts w:hint="eastAsia" w:cs="Times New Roman"/>
          <w:color w:val="auto"/>
          <w:highlight w:val="none"/>
        </w:rPr>
        <w:t>USR工艺：采用上流式污泥床原理，其特征是原料预处理，液泵进料，进料TS浓度3～5%，采用下进料上出料方式，没有机械搅拌；原料从底部进入消化器内，与消化器里的活性污泥接触，使原料得到快速消化。未消化的有机物固体颗粒和沼气发酵微生物靠自然沉降滞留于消化器内，上清液从消化器上部溢出，这样可以得到比水力滞留期高得多的固体滞留期（SRT）和微生物滞留期（MRT），从而提高了固体有机物的分解率和消化器的效率。在当前畜禽养殖行业粪污资源化利用方面，有较多的应用。产气率在中温条件下，一般为0.7m</w:t>
      </w:r>
      <w:r>
        <w:rPr>
          <w:rFonts w:hint="eastAsia" w:cs="Times New Roman"/>
          <w:color w:val="auto"/>
          <w:highlight w:val="none"/>
          <w:vertAlign w:val="superscript"/>
        </w:rPr>
        <w:t>3</w:t>
      </w:r>
      <w:r>
        <w:rPr>
          <w:rFonts w:hint="eastAsia" w:cs="Times New Roman"/>
          <w:color w:val="auto"/>
          <w:highlight w:val="none"/>
        </w:rPr>
        <w:t>/m</w:t>
      </w:r>
      <w:r>
        <w:rPr>
          <w:rFonts w:hint="eastAsia" w:cs="Times New Roman"/>
          <w:color w:val="auto"/>
          <w:highlight w:val="none"/>
          <w:vertAlign w:val="superscript"/>
        </w:rPr>
        <w:t>3</w:t>
      </w:r>
      <w:r>
        <w:rPr>
          <w:rFonts w:hint="eastAsia" w:cs="Times New Roman"/>
          <w:color w:val="auto"/>
          <w:highlight w:val="none"/>
        </w:rPr>
        <w:t>左右。USR是一种简单而又低值的反应器。</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color w:val="auto"/>
          <w:highlight w:val="none"/>
        </w:rPr>
      </w:pPr>
      <w:r>
        <w:rPr>
          <w:rFonts w:hint="eastAsia" w:cs="Times New Roman"/>
          <w:color w:val="auto"/>
          <w:highlight w:val="none"/>
          <w:lang w:eastAsia="zh-CN"/>
        </w:rPr>
        <w:t>黑膜</w:t>
      </w:r>
      <w:r>
        <w:rPr>
          <w:rFonts w:hint="eastAsia" w:cs="Times New Roman"/>
          <w:color w:val="auto"/>
          <w:highlight w:val="none"/>
        </w:rPr>
        <w:t>沼气池发酵工艺</w:t>
      </w:r>
      <w:r>
        <w:rPr>
          <w:rFonts w:hint="eastAsia" w:cs="Times New Roman"/>
          <w:color w:val="auto"/>
          <w:highlight w:val="none"/>
          <w:lang w:eastAsia="zh-CN"/>
        </w:rPr>
        <w:t>：黑膜</w:t>
      </w:r>
      <w:r>
        <w:rPr>
          <w:rFonts w:hint="eastAsia" w:cs="Times New Roman"/>
          <w:color w:val="auto"/>
          <w:highlight w:val="none"/>
        </w:rPr>
        <w:t>沼气池发酵工艺是20世纪70年代开发的一种适用于低SS工业有机废水的厌氧处理工艺，并被应用于畜禽养殖场的污水处理。其原理是先对养殖场污水进行固液分离，污水进入</w:t>
      </w:r>
      <w:r>
        <w:rPr>
          <w:rFonts w:hint="eastAsia" w:cs="Times New Roman"/>
          <w:color w:val="auto"/>
          <w:highlight w:val="none"/>
          <w:lang w:eastAsia="zh-CN"/>
        </w:rPr>
        <w:t>黑膜</w:t>
      </w:r>
      <w:r>
        <w:rPr>
          <w:rFonts w:hint="eastAsia" w:cs="Times New Roman"/>
          <w:color w:val="auto"/>
          <w:highlight w:val="none"/>
        </w:rPr>
        <w:t>沼气池发酵反应器进行厌氧反应，产生沼气，出水需进一步好氧处理达标排放，是一种以环保治理为主，生产能源为辅的能源环保型沼气工程工艺。</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color w:val="auto"/>
          <w:highlight w:val="none"/>
        </w:rPr>
      </w:pPr>
      <w:r>
        <w:rPr>
          <w:rFonts w:hint="eastAsia" w:cs="Times New Roman"/>
          <w:color w:val="auto"/>
          <w:highlight w:val="none"/>
        </w:rPr>
        <w:t>HCF工艺：是一种全混式工艺，其原理是将粪污按照TS浓度8～12%调配，直接进入带搅拌器的HCF反应器进行厌氧反应，产气率在中温条件下视原料不同在0.8～1.2m</w:t>
      </w:r>
      <w:r>
        <w:rPr>
          <w:rFonts w:hint="eastAsia" w:cs="Times New Roman"/>
          <w:color w:val="auto"/>
          <w:highlight w:val="none"/>
          <w:vertAlign w:val="superscript"/>
        </w:rPr>
        <w:t>3</w:t>
      </w:r>
      <w:r>
        <w:rPr>
          <w:rFonts w:hint="eastAsia" w:cs="Times New Roman"/>
          <w:color w:val="auto"/>
          <w:highlight w:val="none"/>
        </w:rPr>
        <w:t>/m</w:t>
      </w:r>
      <w:r>
        <w:rPr>
          <w:rFonts w:hint="eastAsia" w:cs="Times New Roman"/>
          <w:color w:val="auto"/>
          <w:highlight w:val="none"/>
          <w:vertAlign w:val="superscript"/>
        </w:rPr>
        <w:t>3</w:t>
      </w:r>
      <w:r>
        <w:rPr>
          <w:rFonts w:hint="eastAsia" w:cs="Times New Roman"/>
          <w:color w:val="auto"/>
          <w:highlight w:val="none"/>
        </w:rPr>
        <w:t>之间，产生的沼渣直接用于农田施肥，也是典型的能源生态型沼气工程工艺。</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color w:val="auto"/>
          <w:highlight w:val="none"/>
        </w:rPr>
      </w:pPr>
      <w:r>
        <w:rPr>
          <w:rFonts w:hint="eastAsia" w:cs="Times New Roman"/>
          <w:color w:val="auto"/>
          <w:highlight w:val="none"/>
        </w:rPr>
        <w:t>IC工艺：是目前效能最高的</w:t>
      </w:r>
      <w:r>
        <w:rPr>
          <w:rFonts w:hint="eastAsia" w:cs="Times New Roman"/>
          <w:color w:val="auto"/>
          <w:highlight w:val="none"/>
          <w:lang w:eastAsia="zh-CN"/>
        </w:rPr>
        <w:t>黑膜</w:t>
      </w:r>
      <w:r>
        <w:rPr>
          <w:rFonts w:hint="eastAsia" w:cs="Times New Roman"/>
          <w:color w:val="auto"/>
          <w:highlight w:val="none"/>
        </w:rPr>
        <w:t>沼气池。该反应器是集</w:t>
      </w:r>
      <w:r>
        <w:rPr>
          <w:rFonts w:hint="eastAsia" w:cs="Times New Roman"/>
          <w:color w:val="auto"/>
          <w:highlight w:val="none"/>
          <w:lang w:eastAsia="zh-CN"/>
        </w:rPr>
        <w:t>黑膜</w:t>
      </w:r>
      <w:r>
        <w:rPr>
          <w:rFonts w:hint="eastAsia" w:cs="Times New Roman"/>
          <w:color w:val="auto"/>
          <w:highlight w:val="none"/>
        </w:rPr>
        <w:t>沼气池发酵反应器和流化反应器的优点于一身，利用反应器内所产沼气的提升力实现发酵料液内循环的一种新型反应器。但在实际工程存在运行能耗大、一次性投资高的问题。</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color w:val="auto"/>
          <w:highlight w:val="none"/>
        </w:rPr>
      </w:pPr>
      <w:r>
        <w:rPr>
          <w:rFonts w:hint="eastAsia" w:cs="Times New Roman"/>
          <w:color w:val="auto"/>
          <w:highlight w:val="none"/>
        </w:rPr>
        <w:t>五种工艺的列表比较如下。</w:t>
      </w:r>
    </w:p>
    <w:p>
      <w:pPr>
        <w:pStyle w:val="40"/>
        <w:rPr>
          <w:rFonts w:hint="eastAsia" w:cs="Times New Roman"/>
          <w:color w:val="auto"/>
          <w:highlight w:val="none"/>
          <w:lang w:val="en-US" w:eastAsia="zh-CN"/>
        </w:rPr>
      </w:pPr>
      <w:r>
        <w:rPr>
          <w:rFonts w:hint="eastAsia" w:cs="Times New Roman"/>
          <w:color w:val="auto"/>
          <w:highlight w:val="none"/>
          <w:lang w:val="en-US" w:eastAsia="zh-CN"/>
        </w:rPr>
        <w:t>5.2-2 沼气工程工艺的对比一览表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381"/>
        <w:gridCol w:w="1381"/>
        <w:gridCol w:w="1258"/>
        <w:gridCol w:w="1258"/>
        <w:gridCol w:w="16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b w:val="0"/>
                <w:bCs w:val="0"/>
                <w:color w:val="auto"/>
                <w:spacing w:val="7"/>
                <w:sz w:val="21"/>
                <w:szCs w:val="21"/>
                <w:highlight w:val="none"/>
              </w:rPr>
            </w:pPr>
            <w:r>
              <w:rPr>
                <w:rFonts w:ascii="Times New Roman" w:hAnsi="Times New Roman" w:cs="Times New Roman"/>
                <w:b w:val="0"/>
                <w:bCs w:val="0"/>
                <w:color w:val="auto"/>
                <w:spacing w:val="7"/>
                <w:sz w:val="21"/>
                <w:szCs w:val="21"/>
                <w:highlight w:val="none"/>
              </w:rPr>
              <mc:AlternateContent>
                <mc:Choice Requires="wps">
                  <w:drawing>
                    <wp:anchor distT="0" distB="0" distL="114300" distR="114300" simplePos="0" relativeHeight="254257152" behindDoc="0" locked="0" layoutInCell="1" allowOverlap="1">
                      <wp:simplePos x="0" y="0"/>
                      <wp:positionH relativeFrom="column">
                        <wp:posOffset>21590</wp:posOffset>
                      </wp:positionH>
                      <wp:positionV relativeFrom="paragraph">
                        <wp:posOffset>140335</wp:posOffset>
                      </wp:positionV>
                      <wp:extent cx="466090" cy="195580"/>
                      <wp:effectExtent l="0" t="0" r="0" b="0"/>
                      <wp:wrapNone/>
                      <wp:docPr id="69" name="矩形 69"/>
                      <wp:cNvGraphicFramePr/>
                      <a:graphic xmlns:a="http://schemas.openxmlformats.org/drawingml/2006/main">
                        <a:graphicData uri="http://schemas.microsoft.com/office/word/2010/wordprocessingShape">
                          <wps:wsp>
                            <wps:cNvSpPr/>
                            <wps:spPr>
                              <a:xfrm>
                                <a:off x="0" y="0"/>
                                <a:ext cx="466090" cy="195580"/>
                              </a:xfrm>
                              <a:prstGeom prst="rect">
                                <a:avLst/>
                              </a:prstGeom>
                              <a:noFill/>
                              <a:ln>
                                <a:noFill/>
                              </a:ln>
                            </wps:spPr>
                            <wps:txbx>
                              <w:txbxContent>
                                <w:p>
                                  <w:pPr>
                                    <w:widowControl w:val="0"/>
                                    <w:spacing w:line="240" w:lineRule="auto"/>
                                    <w:ind w:firstLine="0" w:firstLineChars="0"/>
                                    <w:rPr>
                                      <w:rFonts w:ascii="Calibri" w:hAnsi="Calibri" w:cs="Times New Roman"/>
                                      <w:b w:val="0"/>
                                      <w:bCs/>
                                      <w:sz w:val="21"/>
                                      <w:szCs w:val="21"/>
                                    </w:rPr>
                                  </w:pPr>
                                  <w:r>
                                    <w:rPr>
                                      <w:rFonts w:hint="eastAsia" w:ascii="Calibri" w:hAnsi="Calibri" w:cs="Times New Roman"/>
                                      <w:b w:val="0"/>
                                      <w:bCs/>
                                      <w:sz w:val="21"/>
                                      <w:szCs w:val="21"/>
                                    </w:rPr>
                                    <w:t>指标</w:t>
                                  </w:r>
                                </w:p>
                              </w:txbxContent>
                            </wps:txbx>
                            <wps:bodyPr lIns="0" tIns="0" rIns="0" bIns="0" upright="1"/>
                          </wps:wsp>
                        </a:graphicData>
                      </a:graphic>
                    </wp:anchor>
                  </w:drawing>
                </mc:Choice>
                <mc:Fallback>
                  <w:pict>
                    <v:rect id="_x0000_s1026" o:spid="_x0000_s1026" o:spt="1" style="position:absolute;left:0pt;margin-left:1.7pt;margin-top:11.05pt;height:15.4pt;width:36.7pt;z-index:254257152;mso-width-relative:page;mso-height-relative:page;" filled="f" stroked="f" coordsize="21600,21600" o:gfxdata="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YtlzRdgAAAAGAQAADwAAAAAAAAABACAAAAAiAAAA&#10;ZHJzL2Rvd25yZXYueG1sUEsBAhQAFAAAAAgAh07iQBJd2PiVAQAAGAMAAA4AAAAAAAAAAQAgAAAA&#10;JwEAAGRycy9lMm9Eb2MueG1sUEsFBgAAAAAGAAYAWQEAAC4FAAAAAA==&#10;">
                      <v:fill on="f" focussize="0,0"/>
                      <v:stroke on="f"/>
                      <v:imagedata o:title=""/>
                      <o:lock v:ext="edit" aspectratio="f"/>
                      <v:textbox inset="0mm,0mm,0mm,0mm">
                        <w:txbxContent>
                          <w:p>
                            <w:pPr>
                              <w:widowControl w:val="0"/>
                              <w:spacing w:line="240" w:lineRule="auto"/>
                              <w:ind w:firstLine="0" w:firstLineChars="0"/>
                              <w:rPr>
                                <w:rFonts w:ascii="Calibri" w:hAnsi="Calibri" w:cs="Times New Roman"/>
                                <w:b w:val="0"/>
                                <w:bCs/>
                                <w:sz w:val="21"/>
                                <w:szCs w:val="21"/>
                              </w:rPr>
                            </w:pPr>
                            <w:r>
                              <w:rPr>
                                <w:rFonts w:hint="eastAsia" w:ascii="Calibri" w:hAnsi="Calibri" w:cs="Times New Roman"/>
                                <w:b w:val="0"/>
                                <w:bCs/>
                                <w:sz w:val="21"/>
                                <w:szCs w:val="21"/>
                              </w:rPr>
                              <w:t>指标</w:t>
                            </w:r>
                          </w:p>
                        </w:txbxContent>
                      </v:textbox>
                    </v:rect>
                  </w:pict>
                </mc:Fallback>
              </mc:AlternateContent>
            </w:r>
            <w:r>
              <w:rPr>
                <w:rFonts w:ascii="Times New Roman" w:hAnsi="Times New Roman" w:cs="Times New Roman"/>
                <w:b w:val="0"/>
                <w:bCs w:val="0"/>
                <w:color w:val="auto"/>
                <w:spacing w:val="7"/>
                <w:sz w:val="21"/>
                <w:szCs w:val="21"/>
                <w:highlight w:val="none"/>
              </w:rPr>
              <mc:AlternateContent>
                <mc:Choice Requires="wps">
                  <w:drawing>
                    <wp:anchor distT="0" distB="0" distL="114300" distR="114300" simplePos="0" relativeHeight="254258176" behindDoc="0" locked="0" layoutInCell="1" allowOverlap="1">
                      <wp:simplePos x="0" y="0"/>
                      <wp:positionH relativeFrom="column">
                        <wp:posOffset>0</wp:posOffset>
                      </wp:positionH>
                      <wp:positionV relativeFrom="paragraph">
                        <wp:posOffset>14605</wp:posOffset>
                      </wp:positionV>
                      <wp:extent cx="953770" cy="307340"/>
                      <wp:effectExtent l="1270" t="4445" r="16510" b="12065"/>
                      <wp:wrapNone/>
                      <wp:docPr id="68" name="直接连接符 68"/>
                      <wp:cNvGraphicFramePr/>
                      <a:graphic xmlns:a="http://schemas.openxmlformats.org/drawingml/2006/main">
                        <a:graphicData uri="http://schemas.microsoft.com/office/word/2010/wordprocessingShape">
                          <wps:wsp>
                            <wps:cNvCnPr/>
                            <wps:spPr>
                              <a:xfrm>
                                <a:off x="0" y="0"/>
                                <a:ext cx="953770" cy="30734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1.15pt;height:24.2pt;width:75.1pt;z-index:254258176;mso-width-relative:page;mso-height-relative:page;" filled="f" stroked="t" coordsize="21600,21600" o:gfxdata="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ac/sttIAAAAFAQAADwAAAAAA&#10;AAABACAAAAAiAAAAZHJzL2Rvd25yZXYueG1sUEsBAhQAFAAAAAgAh07iQAdSuNvgAQAAnAMAAA4A&#10;AAAAAAAAAQAgAAAAIQEAAGRycy9lMm9Eb2MueG1sUEsFBgAAAAAGAAYAWQEAAHMFAAAAAA==&#10;">
                      <v:fill on="f" focussize="0,0"/>
                      <v:stroke weight="0.5pt" color="#000000" joinstyle="round"/>
                      <v:imagedata o:title=""/>
                      <o:lock v:ext="edit" aspectratio="f"/>
                    </v:line>
                  </w:pict>
                </mc:Fallback>
              </mc:AlternateContent>
            </w:r>
            <w:r>
              <w:rPr>
                <w:rFonts w:ascii="Times New Roman" w:hAnsi="Times New Roman" w:cs="Times New Roman"/>
                <w:b w:val="0"/>
                <w:bCs w:val="0"/>
                <w:color w:val="auto"/>
                <w:spacing w:val="7"/>
                <w:sz w:val="21"/>
                <w:szCs w:val="21"/>
                <w:highlight w:val="none"/>
              </w:rPr>
              <w:t xml:space="preserve">        工艺</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b w:val="0"/>
                <w:bCs w:val="0"/>
                <w:color w:val="auto"/>
                <w:spacing w:val="7"/>
                <w:sz w:val="21"/>
                <w:szCs w:val="21"/>
                <w:highlight w:val="none"/>
              </w:rPr>
            </w:pPr>
            <w:r>
              <w:rPr>
                <w:rFonts w:ascii="Times New Roman" w:hAnsi="Times New Roman" w:cs="Times New Roman"/>
                <w:b w:val="0"/>
                <w:bCs w:val="0"/>
                <w:color w:val="auto"/>
                <w:spacing w:val="7"/>
                <w:sz w:val="21"/>
                <w:szCs w:val="21"/>
                <w:highlight w:val="none"/>
              </w:rPr>
              <w:t>CSTR</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b w:val="0"/>
                <w:bCs w:val="0"/>
                <w:color w:val="auto"/>
                <w:spacing w:val="7"/>
                <w:sz w:val="21"/>
                <w:szCs w:val="21"/>
                <w:highlight w:val="none"/>
              </w:rPr>
            </w:pPr>
            <w:r>
              <w:rPr>
                <w:rFonts w:hint="eastAsia" w:ascii="Times New Roman" w:hAnsi="Times New Roman" w:cs="Times New Roman"/>
                <w:b w:val="0"/>
                <w:bCs w:val="0"/>
                <w:color w:val="auto"/>
                <w:spacing w:val="7"/>
                <w:sz w:val="21"/>
                <w:szCs w:val="21"/>
                <w:highlight w:val="none"/>
                <w:lang w:eastAsia="zh-CN"/>
              </w:rPr>
              <w:t>黑膜</w:t>
            </w:r>
            <w:r>
              <w:rPr>
                <w:rFonts w:ascii="Times New Roman" w:hAnsi="Times New Roman" w:cs="Times New Roman"/>
                <w:b w:val="0"/>
                <w:bCs w:val="0"/>
                <w:color w:val="auto"/>
                <w:spacing w:val="7"/>
                <w:sz w:val="21"/>
                <w:szCs w:val="21"/>
                <w:highlight w:val="none"/>
              </w:rPr>
              <w:t>沼气池发酵</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b w:val="0"/>
                <w:bCs w:val="0"/>
                <w:color w:val="auto"/>
                <w:spacing w:val="7"/>
                <w:sz w:val="21"/>
                <w:szCs w:val="21"/>
                <w:highlight w:val="none"/>
              </w:rPr>
            </w:pPr>
            <w:r>
              <w:rPr>
                <w:rFonts w:ascii="Times New Roman" w:hAnsi="Times New Roman" w:cs="Times New Roman"/>
                <w:b w:val="0"/>
                <w:bCs w:val="0"/>
                <w:color w:val="auto"/>
                <w:spacing w:val="7"/>
                <w:sz w:val="21"/>
                <w:szCs w:val="21"/>
                <w:highlight w:val="none"/>
              </w:rPr>
              <w:t>HCF</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b w:val="0"/>
                <w:bCs w:val="0"/>
                <w:color w:val="auto"/>
                <w:spacing w:val="7"/>
                <w:sz w:val="21"/>
                <w:szCs w:val="21"/>
                <w:highlight w:val="none"/>
              </w:rPr>
            </w:pPr>
            <w:r>
              <w:rPr>
                <w:rFonts w:ascii="Times New Roman" w:hAnsi="Times New Roman" w:cs="Times New Roman"/>
                <w:b w:val="0"/>
                <w:bCs w:val="0"/>
                <w:color w:val="auto"/>
                <w:spacing w:val="7"/>
                <w:sz w:val="21"/>
                <w:szCs w:val="21"/>
                <w:highlight w:val="none"/>
              </w:rPr>
              <w:t>USR</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b w:val="0"/>
                <w:bCs w:val="0"/>
                <w:color w:val="auto"/>
                <w:spacing w:val="7"/>
                <w:sz w:val="21"/>
                <w:szCs w:val="21"/>
                <w:highlight w:val="none"/>
              </w:rPr>
            </w:pPr>
            <w:r>
              <w:rPr>
                <w:rFonts w:ascii="Times New Roman" w:hAnsi="Times New Roman" w:cs="Times New Roman"/>
                <w:b w:val="0"/>
                <w:bCs w:val="0"/>
                <w:color w:val="auto"/>
                <w:spacing w:val="7"/>
                <w:sz w:val="21"/>
                <w:szCs w:val="21"/>
                <w:highlight w:val="none"/>
              </w:rPr>
              <w:t>IC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原料范围</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畜禽场粪污</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畜禽场污水</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畜禽场粪污</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猪场粪污水</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畜禽场粪污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原料TS浓度</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6～8%</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＜2%</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8～12%</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3～5%</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应用区域</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全国各地</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中部、南部</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全国各地</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中部、南部</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全国各地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单位能耗</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高</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中等</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低</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中等</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单池容积</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vertAlign w:val="superscript"/>
              </w:rPr>
            </w:pPr>
            <w:r>
              <w:rPr>
                <w:rFonts w:ascii="Times New Roman" w:hAnsi="Times New Roman" w:cs="Times New Roman"/>
                <w:color w:val="auto"/>
                <w:spacing w:val="7"/>
                <w:sz w:val="21"/>
                <w:szCs w:val="21"/>
                <w:highlight w:val="none"/>
              </w:rPr>
              <w:t>300～1000m</w:t>
            </w:r>
            <w:r>
              <w:rPr>
                <w:rFonts w:ascii="Times New Roman" w:hAnsi="Times New Roman" w:cs="Times New Roman"/>
                <w:color w:val="auto"/>
                <w:spacing w:val="7"/>
                <w:sz w:val="21"/>
                <w:szCs w:val="21"/>
                <w:highlight w:val="none"/>
                <w:vertAlign w:val="superscript"/>
              </w:rPr>
              <w:t>3</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vertAlign w:val="superscript"/>
              </w:rPr>
            </w:pPr>
            <w:r>
              <w:rPr>
                <w:rFonts w:ascii="Times New Roman" w:hAnsi="Times New Roman" w:cs="Times New Roman"/>
                <w:color w:val="auto"/>
                <w:spacing w:val="7"/>
                <w:sz w:val="21"/>
                <w:szCs w:val="21"/>
                <w:highlight w:val="none"/>
              </w:rPr>
              <w:t>100～1000m</w:t>
            </w:r>
            <w:r>
              <w:rPr>
                <w:rFonts w:ascii="Times New Roman" w:hAnsi="Times New Roman" w:cs="Times New Roman"/>
                <w:color w:val="auto"/>
                <w:spacing w:val="7"/>
                <w:sz w:val="21"/>
                <w:szCs w:val="21"/>
                <w:highlight w:val="none"/>
                <w:vertAlign w:val="superscript"/>
              </w:rPr>
              <w:t>3</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vertAlign w:val="superscript"/>
              </w:rPr>
            </w:pPr>
            <w:r>
              <w:rPr>
                <w:rFonts w:ascii="Times New Roman" w:hAnsi="Times New Roman" w:cs="Times New Roman"/>
                <w:color w:val="auto"/>
                <w:spacing w:val="7"/>
                <w:sz w:val="21"/>
                <w:szCs w:val="21"/>
                <w:highlight w:val="none"/>
              </w:rPr>
              <w:t>100～300m</w:t>
            </w:r>
            <w:r>
              <w:rPr>
                <w:rFonts w:ascii="Times New Roman" w:hAnsi="Times New Roman" w:cs="Times New Roman"/>
                <w:color w:val="auto"/>
                <w:spacing w:val="7"/>
                <w:sz w:val="21"/>
                <w:szCs w:val="21"/>
                <w:highlight w:val="none"/>
                <w:vertAlign w:val="superscript"/>
              </w:rPr>
              <w:t>3</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vertAlign w:val="superscript"/>
              </w:rPr>
            </w:pPr>
            <w:r>
              <w:rPr>
                <w:rFonts w:ascii="Times New Roman" w:hAnsi="Times New Roman" w:cs="Times New Roman"/>
                <w:color w:val="auto"/>
                <w:spacing w:val="7"/>
                <w:sz w:val="21"/>
                <w:szCs w:val="21"/>
                <w:highlight w:val="none"/>
              </w:rPr>
              <w:t>100～600m</w:t>
            </w:r>
            <w:r>
              <w:rPr>
                <w:rFonts w:ascii="Times New Roman" w:hAnsi="Times New Roman" w:cs="Times New Roman"/>
                <w:color w:val="auto"/>
                <w:spacing w:val="7"/>
                <w:sz w:val="21"/>
                <w:szCs w:val="21"/>
                <w:highlight w:val="none"/>
                <w:vertAlign w:val="superscript"/>
              </w:rPr>
              <w:t>3</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vertAlign w:val="superscript"/>
              </w:rPr>
            </w:pPr>
            <w:r>
              <w:rPr>
                <w:rFonts w:ascii="Times New Roman" w:hAnsi="Times New Roman" w:cs="Times New Roman"/>
                <w:color w:val="auto"/>
                <w:spacing w:val="7"/>
                <w:sz w:val="21"/>
                <w:szCs w:val="21"/>
                <w:highlight w:val="none"/>
              </w:rPr>
              <w:t>100～1000m</w:t>
            </w:r>
            <w:r>
              <w:rPr>
                <w:rFonts w:ascii="Times New Roman" w:hAnsi="Times New Roman" w:cs="Times New Roman"/>
                <w:color w:val="auto"/>
                <w:spacing w:val="7"/>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操作难度</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高</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中等</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低</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中等</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产气率</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≥0.8m</w:t>
            </w:r>
            <w:r>
              <w:rPr>
                <w:rFonts w:ascii="Times New Roman" w:hAnsi="Times New Roman" w:cs="Times New Roman"/>
                <w:color w:val="auto"/>
                <w:spacing w:val="7"/>
                <w:sz w:val="21"/>
                <w:szCs w:val="21"/>
                <w:highlight w:val="none"/>
                <w:vertAlign w:val="superscript"/>
              </w:rPr>
              <w:t>3</w:t>
            </w:r>
            <w:r>
              <w:rPr>
                <w:rFonts w:ascii="Times New Roman" w:hAnsi="Times New Roman" w:cs="Times New Roman"/>
                <w:color w:val="auto"/>
                <w:spacing w:val="7"/>
                <w:sz w:val="21"/>
                <w:szCs w:val="21"/>
                <w:highlight w:val="none"/>
              </w:rPr>
              <w:t>/m</w:t>
            </w:r>
            <w:r>
              <w:rPr>
                <w:rFonts w:ascii="Times New Roman" w:hAnsi="Times New Roman" w:cs="Times New Roman"/>
                <w:color w:val="auto"/>
                <w:spacing w:val="7"/>
                <w:sz w:val="21"/>
                <w:szCs w:val="21"/>
                <w:highlight w:val="none"/>
                <w:vertAlign w:val="superscript"/>
              </w:rPr>
              <w:t>3</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≥0.5m</w:t>
            </w:r>
            <w:r>
              <w:rPr>
                <w:rFonts w:ascii="Times New Roman" w:hAnsi="Times New Roman" w:cs="Times New Roman"/>
                <w:color w:val="auto"/>
                <w:spacing w:val="7"/>
                <w:sz w:val="21"/>
                <w:szCs w:val="21"/>
                <w:highlight w:val="none"/>
                <w:vertAlign w:val="superscript"/>
              </w:rPr>
              <w:t>3</w:t>
            </w:r>
            <w:r>
              <w:rPr>
                <w:rFonts w:ascii="Times New Roman" w:hAnsi="Times New Roman" w:cs="Times New Roman"/>
                <w:color w:val="auto"/>
                <w:spacing w:val="7"/>
                <w:sz w:val="21"/>
                <w:szCs w:val="21"/>
                <w:highlight w:val="none"/>
              </w:rPr>
              <w:t>/m</w:t>
            </w:r>
            <w:r>
              <w:rPr>
                <w:rFonts w:ascii="Times New Roman" w:hAnsi="Times New Roman" w:cs="Times New Roman"/>
                <w:color w:val="auto"/>
                <w:spacing w:val="7"/>
                <w:sz w:val="21"/>
                <w:szCs w:val="21"/>
                <w:highlight w:val="none"/>
                <w:vertAlign w:val="superscript"/>
              </w:rPr>
              <w:t>3</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≥0.8m</w:t>
            </w:r>
            <w:r>
              <w:rPr>
                <w:rFonts w:ascii="Times New Roman" w:hAnsi="Times New Roman" w:cs="Times New Roman"/>
                <w:color w:val="auto"/>
                <w:spacing w:val="7"/>
                <w:sz w:val="21"/>
                <w:szCs w:val="21"/>
                <w:highlight w:val="none"/>
                <w:vertAlign w:val="superscript"/>
              </w:rPr>
              <w:t>3</w:t>
            </w:r>
            <w:r>
              <w:rPr>
                <w:rFonts w:ascii="Times New Roman" w:hAnsi="Times New Roman" w:cs="Times New Roman"/>
                <w:color w:val="auto"/>
                <w:spacing w:val="7"/>
                <w:sz w:val="21"/>
                <w:szCs w:val="21"/>
                <w:highlight w:val="none"/>
              </w:rPr>
              <w:t>/m</w:t>
            </w:r>
            <w:r>
              <w:rPr>
                <w:rFonts w:ascii="Times New Roman" w:hAnsi="Times New Roman" w:cs="Times New Roman"/>
                <w:color w:val="auto"/>
                <w:spacing w:val="7"/>
                <w:sz w:val="21"/>
                <w:szCs w:val="21"/>
                <w:highlight w:val="none"/>
                <w:vertAlign w:val="superscript"/>
              </w:rPr>
              <w:t>3</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≥0.7m</w:t>
            </w:r>
            <w:r>
              <w:rPr>
                <w:rFonts w:ascii="Times New Roman" w:hAnsi="Times New Roman" w:cs="Times New Roman"/>
                <w:color w:val="auto"/>
                <w:spacing w:val="7"/>
                <w:sz w:val="21"/>
                <w:szCs w:val="21"/>
                <w:highlight w:val="none"/>
                <w:vertAlign w:val="superscript"/>
              </w:rPr>
              <w:t>3</w:t>
            </w:r>
            <w:r>
              <w:rPr>
                <w:rFonts w:ascii="Times New Roman" w:hAnsi="Times New Roman" w:cs="Times New Roman"/>
                <w:color w:val="auto"/>
                <w:spacing w:val="7"/>
                <w:sz w:val="21"/>
                <w:szCs w:val="21"/>
                <w:highlight w:val="none"/>
              </w:rPr>
              <w:t>/m</w:t>
            </w:r>
            <w:r>
              <w:rPr>
                <w:rFonts w:ascii="Times New Roman" w:hAnsi="Times New Roman" w:cs="Times New Roman"/>
                <w:color w:val="auto"/>
                <w:spacing w:val="7"/>
                <w:sz w:val="21"/>
                <w:szCs w:val="21"/>
                <w:highlight w:val="none"/>
                <w:vertAlign w:val="superscript"/>
              </w:rPr>
              <w:t>3</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≥0.5m</w:t>
            </w:r>
            <w:r>
              <w:rPr>
                <w:rFonts w:ascii="Times New Roman" w:hAnsi="Times New Roman" w:cs="Times New Roman"/>
                <w:color w:val="auto"/>
                <w:spacing w:val="7"/>
                <w:sz w:val="21"/>
                <w:szCs w:val="21"/>
                <w:highlight w:val="none"/>
                <w:vertAlign w:val="superscript"/>
              </w:rPr>
              <w:t>3</w:t>
            </w:r>
            <w:r>
              <w:rPr>
                <w:rFonts w:ascii="Times New Roman" w:hAnsi="Times New Roman" w:cs="Times New Roman"/>
                <w:color w:val="auto"/>
                <w:spacing w:val="7"/>
                <w:sz w:val="21"/>
                <w:szCs w:val="21"/>
                <w:highlight w:val="none"/>
              </w:rPr>
              <w:t>/m</w:t>
            </w:r>
            <w:r>
              <w:rPr>
                <w:rFonts w:ascii="Times New Roman" w:hAnsi="Times New Roman" w:cs="Times New Roman"/>
                <w:color w:val="auto"/>
                <w:spacing w:val="7"/>
                <w:sz w:val="21"/>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经济效益</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较佳</w:t>
            </w:r>
          </w:p>
        </w:tc>
        <w:tc>
          <w:tcPr>
            <w:tcW w:w="1381"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低</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中等</w:t>
            </w:r>
          </w:p>
        </w:tc>
        <w:tc>
          <w:tcPr>
            <w:tcW w:w="1258" w:type="dxa"/>
            <w:noWrap w:val="0"/>
            <w:tcMar>
              <w:left w:w="0" w:type="dxa"/>
              <w:right w:w="0" w:type="dxa"/>
            </w:tcMar>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较低</w:t>
            </w:r>
          </w:p>
        </w:tc>
        <w:tc>
          <w:tcPr>
            <w:tcW w:w="1603" w:type="dxa"/>
            <w:noWrap w:val="0"/>
            <w:vAlign w:val="center"/>
          </w:tcPr>
          <w:p>
            <w:pPr>
              <w:widowControl w:val="0"/>
              <w:tabs>
                <w:tab w:val="right" w:leader="dot" w:pos="8647"/>
              </w:tabs>
              <w:adjustRightInd w:val="0"/>
              <w:snapToGrid w:val="0"/>
              <w:spacing w:line="240" w:lineRule="auto"/>
              <w:ind w:firstLine="0" w:firstLineChars="0"/>
              <w:jc w:val="center"/>
              <w:rPr>
                <w:rFonts w:ascii="Times New Roman" w:hAnsi="Times New Roman" w:cs="Times New Roman"/>
                <w:color w:val="auto"/>
                <w:spacing w:val="7"/>
                <w:sz w:val="21"/>
                <w:szCs w:val="21"/>
                <w:highlight w:val="none"/>
              </w:rPr>
            </w:pPr>
            <w:r>
              <w:rPr>
                <w:rFonts w:ascii="Times New Roman" w:hAnsi="Times New Roman" w:cs="Times New Roman"/>
                <w:color w:val="auto"/>
                <w:spacing w:val="7"/>
                <w:sz w:val="21"/>
                <w:szCs w:val="21"/>
                <w:highlight w:val="none"/>
              </w:rPr>
              <w:t>佳</w:t>
            </w:r>
          </w:p>
        </w:tc>
      </w:tr>
    </w:tbl>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由以上分析可知， HCF工艺和CSTR工艺属于全混式工艺，将粪污按照TS浓度调配</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直接进入带反应器进行反应，本项目使用干清粪工艺，将粪污已分离，不适合HCF工艺和CSTR工艺；</w:t>
      </w:r>
      <w:r>
        <w:rPr>
          <w:rFonts w:hint="eastAsia" w:ascii="Times New Roman" w:hAnsi="Times New Roman" w:cs="Times New Roman"/>
          <w:color w:val="auto"/>
          <w:highlight w:val="none"/>
          <w:lang w:eastAsia="zh-CN"/>
        </w:rPr>
        <w:t>黑膜</w:t>
      </w:r>
      <w:r>
        <w:rPr>
          <w:rFonts w:hint="default" w:ascii="Times New Roman" w:hAnsi="Times New Roman" w:cs="Times New Roman"/>
          <w:color w:val="auto"/>
          <w:highlight w:val="none"/>
        </w:rPr>
        <w:t>沼气池发酵工艺与IC工艺、CSTR工艺相比，IC工艺运行能耗大、一次性投资高，CSTR工艺投资偏高、能耗偏大、能量输出率偏低，而</w:t>
      </w:r>
      <w:r>
        <w:rPr>
          <w:rFonts w:hint="eastAsia" w:ascii="Times New Roman" w:hAnsi="Times New Roman" w:cs="Times New Roman"/>
          <w:color w:val="auto"/>
          <w:highlight w:val="none"/>
          <w:lang w:eastAsia="zh-CN"/>
        </w:rPr>
        <w:t>黑膜</w:t>
      </w:r>
      <w:r>
        <w:rPr>
          <w:rFonts w:hint="default" w:ascii="Times New Roman" w:hAnsi="Times New Roman" w:cs="Times New Roman"/>
          <w:color w:val="auto"/>
          <w:highlight w:val="none"/>
        </w:rPr>
        <w:t>沼气池发酵工艺单位能耗相对较低；</w:t>
      </w:r>
      <w:r>
        <w:rPr>
          <w:rFonts w:hint="eastAsia" w:ascii="Times New Roman" w:hAnsi="Times New Roman" w:cs="Times New Roman"/>
          <w:color w:val="auto"/>
          <w:highlight w:val="none"/>
          <w:lang w:eastAsia="zh-CN"/>
        </w:rPr>
        <w:t>黑膜</w:t>
      </w:r>
      <w:r>
        <w:rPr>
          <w:rFonts w:hint="default" w:ascii="Times New Roman" w:hAnsi="Times New Roman" w:cs="Times New Roman"/>
          <w:color w:val="auto"/>
          <w:highlight w:val="none"/>
        </w:rPr>
        <w:t>沼气池发酵工艺与USR工艺相比，USR工艺产气率≥0.7m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eastAsia="zh-CN"/>
        </w:rPr>
        <w:t>黑膜</w:t>
      </w:r>
      <w:r>
        <w:rPr>
          <w:rFonts w:hint="default" w:ascii="Times New Roman" w:hAnsi="Times New Roman" w:cs="Times New Roman"/>
          <w:color w:val="auto"/>
          <w:highlight w:val="none"/>
        </w:rPr>
        <w:t>沼气池发酵工艺产气率≥0.5m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，本项目养殖废水处理不追求沼气的产生量，主要为养殖废水的综合利用，所以本项目选用</w:t>
      </w:r>
      <w:r>
        <w:rPr>
          <w:rFonts w:hint="eastAsia" w:ascii="Times New Roman" w:hAnsi="Times New Roman" w:cs="Times New Roman"/>
          <w:color w:val="auto"/>
          <w:highlight w:val="none"/>
          <w:lang w:eastAsia="zh-CN"/>
        </w:rPr>
        <w:t>黑膜</w:t>
      </w:r>
      <w:r>
        <w:rPr>
          <w:rFonts w:hint="default" w:ascii="Times New Roman" w:hAnsi="Times New Roman" w:cs="Times New Roman"/>
          <w:color w:val="auto"/>
          <w:highlight w:val="none"/>
        </w:rPr>
        <w:t>沼气池发酵工艺。</w:t>
      </w:r>
    </w:p>
    <w:p>
      <w:pPr>
        <w:pStyle w:val="23"/>
        <w:keepNext w:val="0"/>
        <w:keepLines w:val="0"/>
        <w:pageBreakBefore w:val="0"/>
        <w:widowControl/>
        <w:kinsoku/>
        <w:wordWrap/>
        <w:overflowPunct/>
        <w:topLinePunct w:val="0"/>
        <w:autoSpaceDE/>
        <w:autoSpaceDN/>
        <w:bidi w:val="0"/>
        <w:adjustRightInd/>
        <w:snapToGrid/>
        <w:spacing w:before="0" w:beforeLines="0" w:after="0" w:afterLines="0"/>
        <w:textAlignment w:val="auto"/>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综上所述，本项目选用</w:t>
      </w:r>
      <w:r>
        <w:rPr>
          <w:rFonts w:hint="eastAsia" w:ascii="Times New Roman" w:hAnsi="Times New Roman" w:cs="Times New Roman"/>
          <w:color w:val="auto"/>
          <w:highlight w:val="none"/>
          <w:lang w:eastAsia="zh-CN"/>
        </w:rPr>
        <w:t>黑膜</w:t>
      </w:r>
      <w:r>
        <w:rPr>
          <w:rFonts w:hint="default" w:ascii="Times New Roman" w:hAnsi="Times New Roman" w:cs="Times New Roman"/>
          <w:color w:val="auto"/>
          <w:highlight w:val="none"/>
        </w:rPr>
        <w:t>沼气池发酵工艺处理本项目产生的养殖废水</w:t>
      </w:r>
      <w:r>
        <w:rPr>
          <w:rFonts w:hint="eastAsia" w:ascii="Times New Roman" w:hAnsi="Times New Roman" w:cs="Times New Roman"/>
          <w:color w:val="auto"/>
          <w:highlight w:val="none"/>
          <w:lang w:eastAsia="zh-CN"/>
        </w:rPr>
        <w:t>。</w:t>
      </w:r>
    </w:p>
    <w:p>
      <w:pPr>
        <w:pStyle w:val="6"/>
        <w:ind w:firstLine="482"/>
        <w:rPr>
          <w:color w:val="auto"/>
          <w:highlight w:val="none"/>
        </w:rPr>
      </w:pPr>
      <w:r>
        <w:rPr>
          <w:rFonts w:hint="eastAsia"/>
          <w:color w:val="auto"/>
          <w:highlight w:val="none"/>
          <w:lang w:val="en-US" w:eastAsia="zh-CN"/>
        </w:rPr>
        <w:t>5</w:t>
      </w:r>
      <w:r>
        <w:rPr>
          <w:color w:val="auto"/>
          <w:highlight w:val="none"/>
        </w:rPr>
        <w:t>.2.</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2</w:t>
      </w:r>
      <w:r>
        <w:rPr>
          <w:rFonts w:hint="eastAsia"/>
          <w:color w:val="auto"/>
          <w:highlight w:val="none"/>
        </w:rPr>
        <w:t>本项目废水处理工艺路线选择</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畜禽养殖废水属于高浓度有机废水，经过厌氧无害化处理后的沼液，不仅含有作物所需的氮、磷、钾等大量元素，还含有硼、铜、铁、锰、钙、锌等丰富的中微量元素，以及大量的有机质、多种氨基酸、维生素、赤霉素、生长素、水解酶、有机酸和腐植酸等生物活性物质，是一种非常理想的肥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本项目废水处理的目的是将养殖废水转变为沼液用于农田施肥，使废物资源化利用，因此牧原食品股份有限公司在废水处理过程中不再简单的追求COD、氨氮的去除效率，过高的COD、氨氮去除率会造成沼液肥力的散失，不利于农田施肥。牧原食品股份有限公司废水处理的思路是：养殖废水在厌氧无害化消除病原菌的基础上，尽量保留粪水中的有机质、氨氮等农业所需养分，以保证后续农肥利用的持续、高效。因此，在</w:t>
      </w:r>
      <w:r>
        <w:rPr>
          <w:rFonts w:hint="eastAsia" w:ascii="Times New Roman" w:hAnsi="Times New Roman"/>
          <w:color w:val="auto"/>
          <w:sz w:val="24"/>
          <w:highlight w:val="none"/>
          <w:lang w:eastAsia="zh-CN"/>
        </w:rPr>
        <w:t>黑膜</w:t>
      </w:r>
      <w:r>
        <w:rPr>
          <w:rFonts w:ascii="Times New Roman" w:hAnsi="Times New Roman"/>
          <w:color w:val="auto"/>
          <w:sz w:val="24"/>
          <w:highlight w:val="none"/>
        </w:rPr>
        <w:t>沼气池的选择上，牧原公司结合公司工艺路线及生产实际，同时通过对其他同类同样采用干清粪工艺的企业进行考察，并请教相关专家，采用</w:t>
      </w:r>
      <w:r>
        <w:rPr>
          <w:rFonts w:hint="eastAsia" w:ascii="Times New Roman" w:hAnsi="Times New Roman"/>
          <w:color w:val="auto"/>
          <w:sz w:val="24"/>
          <w:highlight w:val="none"/>
          <w:lang w:eastAsia="zh-CN"/>
        </w:rPr>
        <w:t>黑膜</w:t>
      </w:r>
      <w:r>
        <w:rPr>
          <w:rFonts w:ascii="Times New Roman" w:hAnsi="Times New Roman"/>
          <w:color w:val="auto"/>
          <w:sz w:val="24"/>
          <w:highlight w:val="none"/>
        </w:rPr>
        <w:t>沼气池发酵厌氧发酵工艺，设计出既能保证厌氧无害化消除病原菌，又对运行人员操作技能要求较低的</w:t>
      </w:r>
      <w:r>
        <w:rPr>
          <w:rFonts w:hint="eastAsia" w:ascii="Times New Roman" w:hAnsi="Times New Roman"/>
          <w:color w:val="auto"/>
          <w:sz w:val="24"/>
          <w:highlight w:val="none"/>
          <w:lang w:eastAsia="zh-CN"/>
        </w:rPr>
        <w:t>黑膜</w:t>
      </w:r>
      <w:r>
        <w:rPr>
          <w:rFonts w:ascii="Times New Roman" w:hAnsi="Times New Roman"/>
          <w:color w:val="auto"/>
          <w:sz w:val="24"/>
          <w:highlight w:val="none"/>
        </w:rPr>
        <w:t>沼气池污水处理工艺。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该处理模式符合《省环保厅、省农业厅、省畜牧局关于印发畜禽养殖业污染源总量减排技术指导意见（试行）的通知》（豫环文【2012】99号）猪场污染减排模式2：养猪场采用干清粪方式，建设治污设施，粪便生产有机肥基肥，污水/尿液经处理后还田，无污水排放口外排，有与养殖规模相适应的消纳土地，且治污设施满足养殖场规模需求。保证COD、氨氮100%总量减排。</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本项目设计厌氧反应池水力停留时间为30天，能够在保证废水处理效果的前提下，更好的节约投资。废水进</w:t>
      </w:r>
      <w:r>
        <w:rPr>
          <w:rFonts w:hint="eastAsia" w:ascii="Times New Roman" w:hAnsi="Times New Roman"/>
          <w:color w:val="auto"/>
          <w:sz w:val="24"/>
          <w:highlight w:val="none"/>
          <w:lang w:eastAsia="zh-CN"/>
        </w:rPr>
        <w:t>黑膜</w:t>
      </w:r>
      <w:r>
        <w:rPr>
          <w:rFonts w:ascii="Times New Roman" w:hAnsi="Times New Roman"/>
          <w:color w:val="auto"/>
          <w:sz w:val="24"/>
          <w:highlight w:val="none"/>
        </w:rPr>
        <w:t xml:space="preserve">沼气池前经收集调节池预处理，均匀水质水量，能够减少沼气的产生，做到沼液的保氮保肥，最大限度的发挥厌氧池除臭杀菌的作用。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eastAsia="宋体" w:cs="Times New Roman"/>
          <w:color w:val="auto"/>
          <w:highlight w:val="none"/>
          <w:lang w:eastAsia="zh-CN"/>
        </w:rPr>
      </w:pPr>
      <w:r>
        <w:rPr>
          <w:rFonts w:ascii="Times New Roman" w:hAnsi="Times New Roman"/>
          <w:color w:val="auto"/>
          <w:sz w:val="24"/>
          <w:highlight w:val="none"/>
        </w:rPr>
        <w:t>项目</w:t>
      </w:r>
      <w:r>
        <w:rPr>
          <w:rFonts w:hint="eastAsia" w:ascii="Times New Roman" w:hAnsi="Times New Roman"/>
          <w:color w:val="auto"/>
          <w:sz w:val="24"/>
          <w:highlight w:val="none"/>
          <w:lang w:eastAsia="zh-CN"/>
        </w:rPr>
        <w:t>黑膜</w:t>
      </w:r>
      <w:r>
        <w:rPr>
          <w:rFonts w:ascii="Times New Roman" w:hAnsi="Times New Roman"/>
          <w:color w:val="auto"/>
          <w:sz w:val="24"/>
          <w:highlight w:val="none"/>
        </w:rPr>
        <w:t>沼气池设计反应温度为常温，牧原公司设计的废水处理是在厌氧无害化消除病原菌的基础上，尽量保留粪水中的有机质、氨氮等农业所需养分，以保证后续农肥利用的持续、高效。经过厌氧发酵处理后产生的沼液属于高浓度有机废水，该废水具有有机物浓度高、可生化性好、易降解的特点，是较为理想的农肥</w:t>
      </w:r>
      <w:r>
        <w:rPr>
          <w:rFonts w:hint="eastAsia" w:ascii="Times New Roman" w:hAnsi="Times New Roman"/>
          <w:color w:val="auto"/>
          <w:sz w:val="24"/>
          <w:highlight w:val="none"/>
          <w:lang w:eastAsia="zh-CN"/>
        </w:rPr>
        <w:t>。</w:t>
      </w:r>
    </w:p>
    <w:p>
      <w:pPr>
        <w:pStyle w:val="6"/>
        <w:ind w:firstLine="482"/>
        <w:rPr>
          <w:rFonts w:hint="eastAsia"/>
          <w:color w:val="auto"/>
          <w:highlight w:val="none"/>
        </w:rPr>
      </w:pPr>
      <w:r>
        <w:rPr>
          <w:rFonts w:hint="eastAsia"/>
          <w:color w:val="auto"/>
          <w:highlight w:val="none"/>
          <w:lang w:val="en-US" w:eastAsia="zh-CN"/>
        </w:rPr>
        <w:t>5</w:t>
      </w:r>
      <w:r>
        <w:rPr>
          <w:color w:val="auto"/>
          <w:highlight w:val="none"/>
        </w:rPr>
        <w:t>.2.</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3</w:t>
      </w:r>
      <w:r>
        <w:rPr>
          <w:rFonts w:hint="eastAsia"/>
          <w:color w:val="auto"/>
          <w:highlight w:val="none"/>
        </w:rPr>
        <w:t>废水治理措施工艺</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ascii="Times New Roman" w:hAnsi="Times New Roman"/>
          <w:color w:val="auto"/>
          <w:sz w:val="24"/>
          <w:highlight w:val="none"/>
        </w:rPr>
      </w:pPr>
      <w:r>
        <w:rPr>
          <w:rFonts w:ascii="Times New Roman" w:hAnsi="Times New Roman"/>
          <w:color w:val="auto"/>
          <w:sz w:val="24"/>
          <w:highlight w:val="none"/>
        </w:rPr>
        <w:t>本项目猪舍采用漏缝地板，废水由粪沟进入污水处理系统，采用</w:t>
      </w:r>
      <w:r>
        <w:rPr>
          <w:rFonts w:hint="eastAsia" w:ascii="宋体" w:hAnsi="宋体" w:eastAsia="宋体" w:cs="宋体"/>
          <w:color w:val="auto"/>
          <w:sz w:val="24"/>
          <w:highlight w:val="none"/>
        </w:rPr>
        <w:t>“</w:t>
      </w:r>
      <w:r>
        <w:rPr>
          <w:rFonts w:hint="eastAsia" w:ascii="宋体" w:hAnsi="宋体" w:eastAsia="宋体" w:cs="宋体"/>
          <w:bCs/>
          <w:color w:val="auto"/>
          <w:sz w:val="24"/>
          <w:highlight w:val="none"/>
          <w:lang w:eastAsia="zh-CN"/>
        </w:rPr>
        <w:t>黑膜</w:t>
      </w:r>
      <w:r>
        <w:rPr>
          <w:rFonts w:hint="eastAsia" w:ascii="宋体" w:hAnsi="宋体" w:eastAsia="宋体" w:cs="宋体"/>
          <w:bCs/>
          <w:color w:val="auto"/>
          <w:sz w:val="24"/>
          <w:highlight w:val="none"/>
        </w:rPr>
        <w:t>沼气池</w:t>
      </w:r>
      <w:r>
        <w:rPr>
          <w:rFonts w:hint="eastAsia" w:ascii="宋体" w:hAnsi="宋体" w:eastAsia="宋体" w:cs="宋体"/>
          <w:color w:val="auto"/>
          <w:sz w:val="24"/>
          <w:highlight w:val="none"/>
        </w:rPr>
        <w:t>厌氧发酵+沼气、沼液、沼渣综合利用”</w:t>
      </w:r>
      <w:r>
        <w:rPr>
          <w:rFonts w:ascii="Times New Roman" w:hAnsi="Times New Roman"/>
          <w:color w:val="auto"/>
          <w:sz w:val="24"/>
          <w:highlight w:val="none"/>
        </w:rPr>
        <w:t>的处理工艺。</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ascii="Times New Roman" w:hAnsi="Times New Roman"/>
          <w:color w:val="auto"/>
          <w:sz w:val="24"/>
          <w:highlight w:val="none"/>
        </w:rPr>
      </w:pPr>
      <w:r>
        <w:rPr>
          <w:rFonts w:hint="eastAsia" w:asciiTheme="minorEastAsia" w:hAnsiTheme="minorEastAsia" w:eastAsiaTheme="minorEastAsia" w:cstheme="minorEastAsia"/>
          <w:color w:val="auto"/>
          <w:sz w:val="24"/>
          <w:highlight w:val="none"/>
        </w:rPr>
        <w:t>①</w:t>
      </w:r>
      <w:r>
        <w:rPr>
          <w:rFonts w:ascii="Times New Roman" w:hAnsi="Times New Roman"/>
          <w:color w:val="auto"/>
          <w:sz w:val="24"/>
          <w:highlight w:val="none"/>
        </w:rPr>
        <w:t>工程废水处理工艺：</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ascii="Times New Roman" w:hAnsi="Times New Roman"/>
          <w:bCs/>
          <w:color w:val="auto"/>
          <w:sz w:val="24"/>
          <w:highlight w:val="none"/>
        </w:rPr>
      </w:pPr>
      <w:r>
        <w:rPr>
          <w:rFonts w:ascii="Times New Roman" w:hAnsi="Times New Roman"/>
          <w:bCs/>
          <w:color w:val="auto"/>
          <w:sz w:val="24"/>
          <w:highlight w:val="none"/>
        </w:rPr>
        <w:t>本工程污染治理详细工艺描述如下：</w:t>
      </w:r>
    </w:p>
    <w:p>
      <w:pPr>
        <w:keepNext w:val="0"/>
        <w:keepLines w:val="0"/>
        <w:pageBreakBefore w:val="0"/>
        <w:widowControl/>
        <w:kinsoku/>
        <w:wordWrap/>
        <w:overflowPunct/>
        <w:topLinePunct w:val="0"/>
        <w:autoSpaceDE/>
        <w:autoSpaceDN/>
        <w:bidi w:val="0"/>
        <w:adjustRightInd/>
        <w:snapToGrid/>
        <w:spacing w:line="360" w:lineRule="auto"/>
        <w:ind w:left="0"/>
        <w:jc w:val="both"/>
        <w:textAlignment w:val="auto"/>
        <w:rPr>
          <w:rFonts w:ascii="Times New Roman" w:hAnsi="Times New Roman"/>
          <w:bCs/>
          <w:color w:val="auto"/>
          <w:sz w:val="24"/>
          <w:highlight w:val="none"/>
        </w:rPr>
      </w:pPr>
      <w:r>
        <w:rPr>
          <w:rFonts w:ascii="Times New Roman" w:hAnsi="Times New Roman"/>
          <w:bCs/>
          <w:color w:val="auto"/>
          <w:sz w:val="24"/>
          <w:highlight w:val="none"/>
        </w:rPr>
        <w:t>本项目</w:t>
      </w:r>
      <w:r>
        <w:rPr>
          <w:rFonts w:hint="eastAsia" w:ascii="Times New Roman" w:hAnsi="Times New Roman"/>
          <w:bCs/>
          <w:color w:val="auto"/>
          <w:sz w:val="24"/>
          <w:highlight w:val="none"/>
          <w:lang w:eastAsia="zh-CN"/>
        </w:rPr>
        <w:t>黑膜</w:t>
      </w:r>
      <w:r>
        <w:rPr>
          <w:rFonts w:ascii="Times New Roman" w:hAnsi="Times New Roman"/>
          <w:bCs/>
          <w:color w:val="auto"/>
          <w:sz w:val="24"/>
          <w:highlight w:val="none"/>
        </w:rPr>
        <w:t>沼气池采用常温发酵，沼气池主体工程位于地下，塘口、底部用HDPE黑膜密封，采用全封闭结构，沼气池内的温度能保持常温发酵。废水处理产生的沼气经配套净化装置净化后，</w:t>
      </w:r>
      <w:r>
        <w:rPr>
          <w:rFonts w:hint="eastAsia" w:ascii="Times New Roman" w:hAnsi="Times New Roman"/>
          <w:bCs/>
          <w:color w:val="auto"/>
          <w:sz w:val="24"/>
          <w:highlight w:val="none"/>
          <w:lang w:eastAsia="zh-CN"/>
        </w:rPr>
        <w:t>优先</w:t>
      </w:r>
      <w:r>
        <w:rPr>
          <w:rFonts w:ascii="Times New Roman" w:hAnsi="Times New Roman"/>
          <w:bCs/>
          <w:color w:val="auto"/>
          <w:sz w:val="24"/>
          <w:highlight w:val="none"/>
        </w:rPr>
        <w:t>供给职工食堂使</w:t>
      </w:r>
      <w:r>
        <w:rPr>
          <w:rFonts w:hint="eastAsia" w:ascii="Times New Roman" w:hAnsi="Times New Roman"/>
          <w:bCs/>
          <w:color w:val="auto"/>
          <w:sz w:val="24"/>
          <w:highlight w:val="none"/>
          <w:lang w:eastAsia="zh-CN"/>
        </w:rPr>
        <w:t>用</w:t>
      </w:r>
      <w:r>
        <w:rPr>
          <w:rFonts w:hint="eastAsia"/>
          <w:bCs/>
          <w:color w:val="auto"/>
          <w:sz w:val="24"/>
          <w:highlight w:val="none"/>
          <w:lang w:eastAsia="zh-CN"/>
        </w:rPr>
        <w:t>，剩余部分用于无害化处理车间燃烧</w:t>
      </w:r>
      <w:r>
        <w:rPr>
          <w:rFonts w:ascii="Times New Roman" w:hAnsi="Times New Roman"/>
          <w:bCs/>
          <w:color w:val="auto"/>
          <w:sz w:val="24"/>
          <w:highlight w:val="none"/>
        </w:rPr>
        <w:t>；沼液在非施肥季节储存于</w:t>
      </w:r>
      <w:r>
        <w:rPr>
          <w:rFonts w:hint="eastAsia"/>
          <w:bCs/>
          <w:color w:val="auto"/>
          <w:sz w:val="24"/>
          <w:highlight w:val="none"/>
          <w:lang w:eastAsia="zh-CN"/>
        </w:rPr>
        <w:t>沼液储存</w:t>
      </w:r>
      <w:r>
        <w:rPr>
          <w:rFonts w:ascii="Times New Roman" w:hAnsi="Times New Roman"/>
          <w:bCs/>
          <w:color w:val="auto"/>
          <w:sz w:val="24"/>
          <w:highlight w:val="none"/>
        </w:rPr>
        <w:t>池，满足《畜禽养殖业污染防治技术规范》（HJ/T 81-2001）相关要求。</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②污水处理规模的确定</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bCs/>
          <w:color w:val="auto"/>
          <w:sz w:val="24"/>
          <w:highlight w:val="none"/>
        </w:rPr>
      </w:pPr>
      <w:r>
        <w:rPr>
          <w:rFonts w:ascii="Times New Roman" w:hAnsi="Times New Roman"/>
          <w:color w:val="auto"/>
          <w:sz w:val="24"/>
          <w:highlight w:val="none"/>
        </w:rPr>
        <w:t>本项目废水量为</w:t>
      </w:r>
      <w:r>
        <w:rPr>
          <w:rFonts w:hint="eastAsia" w:ascii="Times New Roman" w:hAnsi="Times New Roman"/>
          <w:bCs/>
          <w:color w:val="auto"/>
          <w:sz w:val="24"/>
          <w:szCs w:val="24"/>
          <w:highlight w:val="none"/>
          <w:lang w:val="en-US" w:eastAsia="zh-CN"/>
        </w:rPr>
        <w:t>3</w:t>
      </w:r>
      <w:r>
        <w:rPr>
          <w:rFonts w:hint="eastAsia"/>
          <w:bCs/>
          <w:color w:val="auto"/>
          <w:sz w:val="24"/>
          <w:szCs w:val="24"/>
          <w:highlight w:val="none"/>
          <w:lang w:val="en-US" w:eastAsia="zh-CN"/>
        </w:rPr>
        <w:t>55.982</w:t>
      </w:r>
      <w:r>
        <w:rPr>
          <w:rFonts w:ascii="Times New Roman" w:hAnsi="Times New Roman"/>
          <w:bCs/>
          <w:color w:val="auto"/>
          <w:sz w:val="24"/>
          <w:highlight w:val="none"/>
        </w:rPr>
        <w:t>m</w:t>
      </w:r>
      <w:r>
        <w:rPr>
          <w:rFonts w:ascii="Times New Roman" w:hAnsi="Times New Roman"/>
          <w:bCs/>
          <w:color w:val="auto"/>
          <w:sz w:val="24"/>
          <w:highlight w:val="none"/>
          <w:vertAlign w:val="superscript"/>
        </w:rPr>
        <w:t>3</w:t>
      </w:r>
      <w:r>
        <w:rPr>
          <w:rFonts w:ascii="Times New Roman" w:hAnsi="Times New Roman"/>
          <w:bCs/>
          <w:color w:val="auto"/>
          <w:sz w:val="24"/>
          <w:highlight w:val="none"/>
        </w:rPr>
        <w:t>/d（夏季最大），水力停留时间为30天，</w:t>
      </w:r>
      <w:r>
        <w:rPr>
          <w:rFonts w:hint="eastAsia" w:ascii="Times New Roman" w:hAnsi="Times New Roman"/>
          <w:bCs/>
          <w:color w:val="auto"/>
          <w:sz w:val="24"/>
          <w:highlight w:val="none"/>
        </w:rPr>
        <w:t>最大储存废水量为</w:t>
      </w:r>
      <w:r>
        <w:rPr>
          <w:rFonts w:hint="eastAsia" w:cs="Times New Roman"/>
          <w:bCs/>
          <w:color w:val="auto"/>
          <w:sz w:val="24"/>
          <w:szCs w:val="24"/>
          <w:highlight w:val="none"/>
          <w:lang w:val="en-US" w:eastAsia="zh-CN"/>
        </w:rPr>
        <w:t>10679.46</w:t>
      </w:r>
      <w:r>
        <w:rPr>
          <w:rFonts w:hint="eastAsia" w:ascii="Times New Roman" w:hAnsi="Times New Roman"/>
          <w:bCs/>
          <w:color w:val="auto"/>
          <w:sz w:val="24"/>
          <w:highlight w:val="none"/>
        </w:rPr>
        <w:t>m</w:t>
      </w:r>
      <w:r>
        <w:rPr>
          <w:rFonts w:hint="eastAsia" w:ascii="Times New Roman" w:hAnsi="Times New Roman"/>
          <w:bCs/>
          <w:color w:val="auto"/>
          <w:sz w:val="24"/>
          <w:highlight w:val="none"/>
          <w:vertAlign w:val="superscript"/>
        </w:rPr>
        <w:t>3</w:t>
      </w:r>
      <w:r>
        <w:rPr>
          <w:rFonts w:hint="eastAsia" w:ascii="Times New Roman" w:hAnsi="Times New Roman"/>
          <w:bCs/>
          <w:color w:val="auto"/>
          <w:sz w:val="24"/>
          <w:highlight w:val="none"/>
        </w:rPr>
        <w:t>，</w:t>
      </w:r>
      <w:r>
        <w:rPr>
          <w:rFonts w:hint="eastAsia" w:ascii="Times New Roman" w:hAnsi="Times New Roman"/>
          <w:bCs/>
          <w:color w:val="auto"/>
          <w:sz w:val="24"/>
          <w:highlight w:val="none"/>
          <w:lang w:eastAsia="zh-CN"/>
        </w:rPr>
        <w:t>黑膜</w:t>
      </w:r>
      <w:r>
        <w:rPr>
          <w:rFonts w:ascii="Times New Roman" w:hAnsi="Times New Roman"/>
          <w:bCs/>
          <w:color w:val="auto"/>
          <w:sz w:val="24"/>
          <w:highlight w:val="none"/>
        </w:rPr>
        <w:t>沼气池的设计容积为</w:t>
      </w:r>
      <w:r>
        <w:rPr>
          <w:rFonts w:hint="eastAsia"/>
          <w:bCs/>
          <w:color w:val="auto"/>
          <w:sz w:val="24"/>
          <w:highlight w:val="none"/>
          <w:lang w:eastAsia="zh-CN"/>
        </w:rPr>
        <w:t>10680</w:t>
      </w:r>
      <w:r>
        <w:rPr>
          <w:rFonts w:ascii="Times New Roman" w:hAnsi="Times New Roman"/>
          <w:bCs/>
          <w:color w:val="auto"/>
          <w:sz w:val="24"/>
          <w:highlight w:val="none"/>
        </w:rPr>
        <w:t>m</w:t>
      </w:r>
      <w:r>
        <w:rPr>
          <w:rFonts w:ascii="Times New Roman" w:hAnsi="Times New Roman"/>
          <w:bCs/>
          <w:color w:val="auto"/>
          <w:sz w:val="24"/>
          <w:highlight w:val="none"/>
          <w:vertAlign w:val="superscript"/>
        </w:rPr>
        <w:t>3</w:t>
      </w:r>
      <w:r>
        <w:rPr>
          <w:rFonts w:ascii="Times New Roman" w:hAnsi="Times New Roman"/>
          <w:bCs/>
          <w:color w:val="auto"/>
          <w:sz w:val="24"/>
          <w:highlight w:val="none"/>
        </w:rPr>
        <w:t>，为全封闭结构。满足工艺要求，厌氧处理设施可正常运行。</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highlight w:val="none"/>
        </w:rPr>
      </w:pPr>
      <w:r>
        <w:rPr>
          <w:rFonts w:hint="eastAsia" w:asciiTheme="minorEastAsia" w:hAnsiTheme="minorEastAsia" w:eastAsiaTheme="minorEastAsia" w:cstheme="minorEastAsia"/>
          <w:color w:val="auto"/>
          <w:sz w:val="24"/>
          <w:highlight w:val="none"/>
        </w:rPr>
        <w:t>③</w:t>
      </w:r>
      <w:r>
        <w:rPr>
          <w:rFonts w:ascii="Times New Roman" w:hAnsi="Times New Roman"/>
          <w:bCs/>
          <w:color w:val="auto"/>
          <w:sz w:val="24"/>
          <w:highlight w:val="none"/>
        </w:rPr>
        <w:t>沼液储存</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bCs/>
          <w:color w:val="auto"/>
          <w:sz w:val="24"/>
          <w:highlight w:val="none"/>
          <w:lang w:val="en-US" w:eastAsia="zh-CN"/>
        </w:rPr>
      </w:pPr>
      <w:r>
        <w:rPr>
          <w:rFonts w:hint="eastAsia" w:ascii="Times New Roman" w:hAnsi="Times New Roman"/>
          <w:bCs/>
          <w:color w:val="auto"/>
          <w:sz w:val="24"/>
          <w:highlight w:val="none"/>
        </w:rPr>
        <w:t>按照不低于存储1</w:t>
      </w:r>
      <w:r>
        <w:rPr>
          <w:rFonts w:hint="eastAsia"/>
          <w:bCs/>
          <w:color w:val="auto"/>
          <w:sz w:val="24"/>
          <w:highlight w:val="none"/>
          <w:lang w:val="en-US" w:eastAsia="zh-CN"/>
        </w:rPr>
        <w:t>20</w:t>
      </w:r>
      <w:r>
        <w:rPr>
          <w:rFonts w:hint="eastAsia" w:ascii="Times New Roman" w:hAnsi="Times New Roman"/>
          <w:bCs/>
          <w:color w:val="auto"/>
          <w:sz w:val="24"/>
          <w:highlight w:val="none"/>
        </w:rPr>
        <w:t>d沼液的规模设计沼液储存池有效容积不低于</w:t>
      </w:r>
      <w:r>
        <w:rPr>
          <w:rFonts w:hint="eastAsia"/>
          <w:bCs/>
          <w:color w:val="auto"/>
          <w:sz w:val="24"/>
          <w:highlight w:val="none"/>
          <w:lang w:val="en-US" w:eastAsia="zh-CN"/>
        </w:rPr>
        <w:t>42717.84</w:t>
      </w:r>
      <w:r>
        <w:rPr>
          <w:rFonts w:hint="eastAsia" w:ascii="Times New Roman" w:hAnsi="Times New Roman"/>
          <w:bCs/>
          <w:color w:val="auto"/>
          <w:sz w:val="24"/>
          <w:highlight w:val="none"/>
        </w:rPr>
        <w:t>m</w:t>
      </w:r>
      <w:r>
        <w:rPr>
          <w:rFonts w:hint="eastAsia" w:ascii="Times New Roman" w:hAnsi="Times New Roman"/>
          <w:bCs/>
          <w:color w:val="auto"/>
          <w:sz w:val="24"/>
          <w:highlight w:val="none"/>
          <w:vertAlign w:val="superscript"/>
        </w:rPr>
        <w:t>3</w:t>
      </w:r>
      <w:r>
        <w:rPr>
          <w:rFonts w:hint="eastAsia" w:ascii="Times New Roman" w:hAnsi="Times New Roman"/>
          <w:bCs/>
          <w:color w:val="auto"/>
          <w:sz w:val="24"/>
          <w:highlight w:val="none"/>
        </w:rPr>
        <w:t>，另外考虑到预留雨水量，</w:t>
      </w:r>
      <w:r>
        <w:rPr>
          <w:rFonts w:hint="eastAsia"/>
          <w:bCs/>
          <w:color w:val="auto"/>
          <w:sz w:val="24"/>
          <w:highlight w:val="none"/>
          <w:lang w:eastAsia="zh-CN"/>
        </w:rPr>
        <w:t>平舆</w:t>
      </w:r>
      <w:r>
        <w:rPr>
          <w:rFonts w:hint="eastAsia" w:ascii="Times New Roman" w:hAnsi="Times New Roman"/>
          <w:bCs/>
          <w:color w:val="auto"/>
          <w:sz w:val="24"/>
          <w:highlight w:val="none"/>
        </w:rPr>
        <w:t>县近年最大日降雨量为</w:t>
      </w:r>
      <w:r>
        <w:rPr>
          <w:rFonts w:hint="eastAsia"/>
          <w:bCs/>
          <w:color w:val="auto"/>
          <w:sz w:val="24"/>
          <w:highlight w:val="none"/>
          <w:lang w:val="en-US" w:eastAsia="zh-CN"/>
        </w:rPr>
        <w:t>147.3</w:t>
      </w:r>
      <w:r>
        <w:rPr>
          <w:rFonts w:hint="eastAsia" w:ascii="Times New Roman" w:hAnsi="Times New Roman"/>
          <w:bCs/>
          <w:color w:val="auto"/>
          <w:sz w:val="24"/>
          <w:highlight w:val="none"/>
        </w:rPr>
        <w:t>mm/h，降雨历时按2h计</w:t>
      </w:r>
      <w:r>
        <w:rPr>
          <w:rFonts w:hint="eastAsia"/>
          <w:bCs/>
          <w:color w:val="auto"/>
          <w:sz w:val="24"/>
          <w:highlight w:val="none"/>
          <w:lang w:eastAsia="zh-CN"/>
        </w:rPr>
        <w:t>，</w:t>
      </w:r>
      <w:r>
        <w:rPr>
          <w:rFonts w:hint="eastAsia" w:ascii="Times New Roman" w:hAnsi="Times New Roman"/>
          <w:bCs/>
          <w:color w:val="auto"/>
          <w:sz w:val="24"/>
          <w:highlight w:val="none"/>
        </w:rPr>
        <w:t>沼液储存池占地面积为</w:t>
      </w:r>
      <w:r>
        <w:rPr>
          <w:rFonts w:hint="eastAsia"/>
          <w:bCs/>
          <w:color w:val="auto"/>
          <w:sz w:val="24"/>
          <w:highlight w:val="none"/>
          <w:lang w:val="en-US" w:eastAsia="zh-CN"/>
        </w:rPr>
        <w:t>10080</w:t>
      </w:r>
      <w:r>
        <w:rPr>
          <w:rFonts w:hint="eastAsia" w:ascii="Times New Roman" w:hAnsi="Times New Roman"/>
          <w:bCs/>
          <w:color w:val="auto"/>
          <w:sz w:val="24"/>
          <w:highlight w:val="none"/>
        </w:rPr>
        <w:t>m</w:t>
      </w:r>
      <w:r>
        <w:rPr>
          <w:rFonts w:hint="eastAsia" w:ascii="Times New Roman" w:hAnsi="Times New Roman"/>
          <w:bCs/>
          <w:color w:val="auto"/>
          <w:sz w:val="24"/>
          <w:highlight w:val="none"/>
          <w:vertAlign w:val="superscript"/>
        </w:rPr>
        <w:t>2</w:t>
      </w:r>
      <w:r>
        <w:rPr>
          <w:rFonts w:hint="eastAsia" w:ascii="Times New Roman" w:hAnsi="Times New Roman"/>
          <w:bCs/>
          <w:color w:val="auto"/>
          <w:sz w:val="24"/>
          <w:highlight w:val="none"/>
        </w:rPr>
        <w:t>，则有效池容不低于</w:t>
      </w:r>
      <w:r>
        <w:rPr>
          <w:rFonts w:hint="eastAsia"/>
          <w:bCs/>
          <w:color w:val="auto"/>
          <w:sz w:val="24"/>
          <w:highlight w:val="none"/>
          <w:lang w:val="en-US" w:eastAsia="zh-CN"/>
        </w:rPr>
        <w:t>45687.408</w:t>
      </w:r>
      <w:r>
        <w:rPr>
          <w:rFonts w:hint="eastAsia" w:ascii="Times New Roman" w:hAnsi="Times New Roman"/>
          <w:bCs/>
          <w:color w:val="auto"/>
          <w:sz w:val="24"/>
          <w:highlight w:val="none"/>
        </w:rPr>
        <w:t>m</w:t>
      </w:r>
      <w:r>
        <w:rPr>
          <w:rFonts w:hint="eastAsia" w:ascii="Times New Roman" w:hAnsi="Times New Roman"/>
          <w:bCs/>
          <w:color w:val="auto"/>
          <w:sz w:val="24"/>
          <w:highlight w:val="none"/>
          <w:vertAlign w:val="superscript"/>
        </w:rPr>
        <w:t>3</w:t>
      </w:r>
      <w:r>
        <w:rPr>
          <w:rFonts w:hint="eastAsia" w:ascii="Times New Roman" w:hAnsi="Times New Roman"/>
          <w:bCs/>
          <w:color w:val="auto"/>
          <w:sz w:val="24"/>
          <w:highlight w:val="none"/>
        </w:rPr>
        <w:t>。根据《畜禽养殖污水贮存设施设计要求》（GB/T26624-2011）中要求，宜预留0.9m高的空间，预留体积按照设施的实际长和宽以及预留高度进行计算，并且池体高度或深度不能超过6m。根据平舆牧原农牧有限公司设计资料，沼液储存池深6m，则有效池容深度为5.1m，沼液储存池有效容积为</w:t>
      </w:r>
      <w:r>
        <w:rPr>
          <w:rFonts w:hint="eastAsia"/>
          <w:bCs/>
          <w:color w:val="auto"/>
          <w:sz w:val="24"/>
          <w:highlight w:val="none"/>
          <w:lang w:val="en-US" w:eastAsia="zh-CN"/>
        </w:rPr>
        <w:t>60480</w:t>
      </w:r>
      <w:r>
        <w:rPr>
          <w:rFonts w:hint="eastAsia" w:ascii="Times New Roman" w:hAnsi="Times New Roman"/>
          <w:bCs/>
          <w:color w:val="auto"/>
          <w:sz w:val="24"/>
          <w:highlight w:val="none"/>
        </w:rPr>
        <w:t>m</w:t>
      </w:r>
      <w:r>
        <w:rPr>
          <w:rFonts w:hint="eastAsia" w:ascii="Times New Roman" w:hAnsi="Times New Roman"/>
          <w:bCs/>
          <w:color w:val="auto"/>
          <w:sz w:val="24"/>
          <w:highlight w:val="none"/>
          <w:vertAlign w:val="superscript"/>
        </w:rPr>
        <w:t>3</w:t>
      </w:r>
      <w:r>
        <w:rPr>
          <w:rFonts w:hint="eastAsia" w:ascii="Times New Roman" w:hAnsi="Times New Roman"/>
          <w:bCs/>
          <w:color w:val="auto"/>
          <w:sz w:val="24"/>
          <w:highlight w:val="none"/>
        </w:rPr>
        <w:t>，能够满足要求</w:t>
      </w:r>
      <w:r>
        <w:rPr>
          <w:rFonts w:hint="eastAsia"/>
          <w:bCs/>
          <w:color w:val="auto"/>
          <w:sz w:val="24"/>
          <w:highlight w:val="none"/>
          <w:lang w:eastAsia="zh-CN"/>
        </w:rPr>
        <w:t>。</w:t>
      </w:r>
    </w:p>
    <w:p>
      <w:pPr>
        <w:pStyle w:val="2"/>
        <w:keepNext w:val="0"/>
        <w:keepLines w:val="0"/>
        <w:pageBreakBefore w:val="0"/>
        <w:widowControl/>
        <w:kinsoku/>
        <w:wordWrap/>
        <w:overflowPunct/>
        <w:topLinePunct w:val="0"/>
        <w:autoSpaceDE/>
        <w:autoSpaceDN/>
        <w:bidi w:val="0"/>
        <w:adjustRightInd/>
        <w:snapToGrid/>
        <w:spacing w:line="360" w:lineRule="auto"/>
        <w:ind w:left="0"/>
        <w:textAlignment w:val="auto"/>
        <w:rPr>
          <w:color w:val="auto"/>
          <w:highlight w:val="none"/>
        </w:rPr>
      </w:pPr>
      <w:r>
        <w:rPr>
          <w:rFonts w:ascii="Times New Roman" w:hAnsi="Times New Roman"/>
          <w:color w:val="auto"/>
          <w:sz w:val="24"/>
          <w:highlight w:val="none"/>
        </w:rPr>
        <w:t>废水处理工程所需设备及工程建设内容见表5</w:t>
      </w:r>
      <w:r>
        <w:rPr>
          <w:rFonts w:hint="eastAsia"/>
          <w:color w:val="auto"/>
          <w:sz w:val="24"/>
          <w:highlight w:val="none"/>
          <w:lang w:val="en-US" w:eastAsia="zh-CN"/>
        </w:rPr>
        <w:t>.2</w:t>
      </w:r>
      <w:r>
        <w:rPr>
          <w:rFonts w:ascii="Times New Roman" w:hAnsi="Times New Roman"/>
          <w:color w:val="auto"/>
          <w:sz w:val="24"/>
          <w:highlight w:val="none"/>
        </w:rPr>
        <w:t>-</w:t>
      </w:r>
      <w:r>
        <w:rPr>
          <w:rFonts w:hint="eastAsia"/>
          <w:color w:val="auto"/>
          <w:sz w:val="24"/>
          <w:highlight w:val="none"/>
          <w:lang w:val="en-US" w:eastAsia="zh-CN"/>
        </w:rPr>
        <w:t>3</w:t>
      </w:r>
      <w:r>
        <w:rPr>
          <w:rFonts w:ascii="Times New Roman" w:hAnsi="Times New Roman"/>
          <w:color w:val="auto"/>
          <w:sz w:val="24"/>
          <w:highlight w:val="none"/>
        </w:rPr>
        <w:t>。</w:t>
      </w:r>
    </w:p>
    <w:p>
      <w:pPr>
        <w:pStyle w:val="40"/>
        <w:rPr>
          <w:rFonts w:hint="eastAsia" w:cs="Times New Roman"/>
          <w:color w:val="auto"/>
          <w:highlight w:val="none"/>
          <w:lang w:val="en-US" w:eastAsia="zh-CN"/>
        </w:rPr>
      </w:pPr>
      <w:r>
        <w:rPr>
          <w:rFonts w:hint="eastAsia" w:cs="Times New Roman"/>
          <w:color w:val="auto"/>
          <w:highlight w:val="none"/>
          <w:lang w:val="en-US" w:eastAsia="zh-CN"/>
        </w:rPr>
        <w:t>5.2-3 废水处理工程主要构筑物设计一览表</w:t>
      </w:r>
    </w:p>
    <w:tbl>
      <w:tblPr>
        <w:tblStyle w:val="24"/>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77"/>
        <w:gridCol w:w="1482"/>
        <w:gridCol w:w="2158"/>
        <w:gridCol w:w="409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456" w:type="pct"/>
            <w:noWrap w:val="0"/>
            <w:vAlign w:val="center"/>
          </w:tcPr>
          <w:p>
            <w:pPr>
              <w:widowControl w:val="0"/>
              <w:spacing w:line="320" w:lineRule="exact"/>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序号</w:t>
            </w:r>
          </w:p>
        </w:tc>
        <w:tc>
          <w:tcPr>
            <w:tcW w:w="870" w:type="pct"/>
            <w:noWrap w:val="0"/>
            <w:vAlign w:val="center"/>
          </w:tcPr>
          <w:p>
            <w:pPr>
              <w:widowControl w:val="0"/>
              <w:spacing w:line="320" w:lineRule="exact"/>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工程内容</w:t>
            </w:r>
          </w:p>
        </w:tc>
        <w:tc>
          <w:tcPr>
            <w:tcW w:w="1267" w:type="pct"/>
            <w:noWrap w:val="0"/>
            <w:vAlign w:val="center"/>
          </w:tcPr>
          <w:p>
            <w:pPr>
              <w:widowControl w:val="0"/>
              <w:spacing w:line="320" w:lineRule="exact"/>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设计规模</w:t>
            </w:r>
          </w:p>
        </w:tc>
        <w:tc>
          <w:tcPr>
            <w:tcW w:w="2405" w:type="pct"/>
            <w:noWrap w:val="0"/>
            <w:vAlign w:val="center"/>
          </w:tcPr>
          <w:p>
            <w:pPr>
              <w:widowControl w:val="0"/>
              <w:spacing w:line="320" w:lineRule="exact"/>
              <w:ind w:firstLine="0" w:firstLineChars="0"/>
              <w:jc w:val="center"/>
              <w:rPr>
                <w:rFonts w:ascii="Times New Roman" w:hAnsi="Times New Roman" w:cs="Times New Roman"/>
                <w:b w:val="0"/>
                <w:bCs/>
                <w:color w:val="auto"/>
                <w:sz w:val="21"/>
                <w:szCs w:val="21"/>
                <w:highlight w:val="none"/>
              </w:rPr>
            </w:pPr>
            <w:r>
              <w:rPr>
                <w:rFonts w:ascii="Times New Roman" w:hAnsi="Times New Roman" w:cs="Times New Roman"/>
                <w:b w:val="0"/>
                <w:bCs/>
                <w:color w:val="auto"/>
                <w:sz w:val="21"/>
                <w:szCs w:val="21"/>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456" w:type="pct"/>
            <w:noWrap w:val="0"/>
            <w:vAlign w:val="center"/>
          </w:tcPr>
          <w:p>
            <w:pPr>
              <w:widowControl w:val="0"/>
              <w:spacing w:line="32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1</w:t>
            </w:r>
          </w:p>
        </w:tc>
        <w:tc>
          <w:tcPr>
            <w:tcW w:w="870"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黑膜</w:t>
            </w:r>
            <w:r>
              <w:rPr>
                <w:rFonts w:ascii="Times New Roman" w:hAnsi="Times New Roman" w:cs="Times New Roman"/>
                <w:color w:val="auto"/>
                <w:sz w:val="21"/>
                <w:szCs w:val="21"/>
                <w:highlight w:val="none"/>
              </w:rPr>
              <w:t>沼气池</w:t>
            </w:r>
          </w:p>
        </w:tc>
        <w:tc>
          <w:tcPr>
            <w:tcW w:w="1267"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10680</w:t>
            </w:r>
            <w:r>
              <w:rPr>
                <w:rFonts w:ascii="Times New Roman" w:hAnsi="Times New Roman" w:cs="Times New Roman"/>
                <w:color w:val="auto"/>
                <w:kern w:val="0"/>
                <w:sz w:val="21"/>
                <w:szCs w:val="21"/>
                <w:highlight w:val="none"/>
              </w:rPr>
              <w:t>m</w:t>
            </w:r>
            <w:r>
              <w:rPr>
                <w:rFonts w:ascii="Times New Roman" w:hAnsi="Times New Roman" w:cs="Times New Roman"/>
                <w:color w:val="auto"/>
                <w:kern w:val="0"/>
                <w:sz w:val="21"/>
                <w:szCs w:val="21"/>
                <w:highlight w:val="none"/>
                <w:vertAlign w:val="superscript"/>
              </w:rPr>
              <w:t>3</w:t>
            </w:r>
          </w:p>
        </w:tc>
        <w:tc>
          <w:tcPr>
            <w:tcW w:w="2405" w:type="pct"/>
            <w:noWrap w:val="0"/>
            <w:vAlign w:val="center"/>
          </w:tcPr>
          <w:p>
            <w:pPr>
              <w:widowControl w:val="0"/>
              <w:tabs>
                <w:tab w:val="right" w:leader="dot" w:pos="8647"/>
              </w:tabs>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采用HDPE膜防渗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456" w:type="pct"/>
            <w:noWrap w:val="0"/>
            <w:vAlign w:val="center"/>
          </w:tcPr>
          <w:p>
            <w:pPr>
              <w:widowControl w:val="0"/>
              <w:spacing w:line="320" w:lineRule="exact"/>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870" w:type="pct"/>
            <w:noWrap w:val="0"/>
            <w:vAlign w:val="center"/>
          </w:tcPr>
          <w:p>
            <w:pPr>
              <w:widowControl w:val="0"/>
              <w:spacing w:line="320" w:lineRule="exact"/>
              <w:ind w:firstLine="0" w:firstLineChars="0"/>
              <w:jc w:val="center"/>
              <w:rPr>
                <w:rFonts w:hint="eastAsia" w:ascii="Times New Roman" w:hAnsi="Times New Roman" w:cs="Times New Roman"/>
                <w:color w:val="auto"/>
                <w:sz w:val="21"/>
                <w:szCs w:val="21"/>
                <w:highlight w:val="none"/>
                <w:lang w:eastAsia="zh-CN"/>
              </w:rPr>
            </w:pPr>
            <w:r>
              <w:rPr>
                <w:rFonts w:hint="eastAsia" w:cs="Times New Roman"/>
                <w:color w:val="auto"/>
                <w:sz w:val="21"/>
                <w:szCs w:val="21"/>
                <w:highlight w:val="none"/>
                <w:lang w:eastAsia="zh-CN"/>
              </w:rPr>
              <w:t>沼液储存池</w:t>
            </w:r>
          </w:p>
        </w:tc>
        <w:tc>
          <w:tcPr>
            <w:tcW w:w="1267"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60480</w:t>
            </w:r>
            <w:r>
              <w:rPr>
                <w:rFonts w:ascii="Times New Roman" w:hAnsi="Times New Roman" w:cs="Times New Roman"/>
                <w:color w:val="auto"/>
                <w:kern w:val="0"/>
                <w:sz w:val="21"/>
                <w:szCs w:val="21"/>
                <w:highlight w:val="none"/>
              </w:rPr>
              <w:t>m</w:t>
            </w:r>
            <w:r>
              <w:rPr>
                <w:rFonts w:ascii="Times New Roman" w:hAnsi="Times New Roman" w:cs="Times New Roman"/>
                <w:color w:val="auto"/>
                <w:kern w:val="0"/>
                <w:sz w:val="21"/>
                <w:szCs w:val="21"/>
                <w:highlight w:val="none"/>
                <w:vertAlign w:val="superscript"/>
              </w:rPr>
              <w:t>3</w:t>
            </w:r>
          </w:p>
        </w:tc>
        <w:tc>
          <w:tcPr>
            <w:tcW w:w="2405" w:type="pct"/>
            <w:noWrap w:val="0"/>
            <w:vAlign w:val="center"/>
          </w:tcPr>
          <w:p>
            <w:pPr>
              <w:widowControl w:val="0"/>
              <w:tabs>
                <w:tab w:val="right" w:leader="dot" w:pos="8647"/>
              </w:tabs>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采用HDPE膜防渗</w:t>
            </w:r>
          </w:p>
        </w:tc>
      </w:tr>
    </w:tbl>
    <w:p>
      <w:pPr>
        <w:pStyle w:val="23"/>
        <w:keepNext w:val="0"/>
        <w:keepLines w:val="0"/>
        <w:pageBreakBefore w:val="0"/>
        <w:widowControl/>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④水处理效果的分析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本项目废水处理预测结果见表5</w:t>
      </w:r>
      <w:r>
        <w:rPr>
          <w:rFonts w:hint="eastAsia"/>
          <w:color w:val="auto"/>
          <w:sz w:val="24"/>
          <w:highlight w:val="none"/>
          <w:lang w:val="en-US" w:eastAsia="zh-CN"/>
        </w:rPr>
        <w:t>.2</w:t>
      </w:r>
      <w:r>
        <w:rPr>
          <w:rFonts w:ascii="Times New Roman" w:hAnsi="Times New Roman"/>
          <w:color w:val="auto"/>
          <w:sz w:val="24"/>
          <w:highlight w:val="none"/>
        </w:rPr>
        <w:t>-</w:t>
      </w:r>
      <w:r>
        <w:rPr>
          <w:rFonts w:hint="eastAsia"/>
          <w:color w:val="auto"/>
          <w:sz w:val="24"/>
          <w:highlight w:val="none"/>
          <w:lang w:val="en-US" w:eastAsia="zh-CN"/>
        </w:rPr>
        <w:t>4</w:t>
      </w:r>
      <w:r>
        <w:rPr>
          <w:rFonts w:ascii="Times New Roman" w:hAnsi="Times New Roman"/>
          <w:color w:val="auto"/>
          <w:sz w:val="24"/>
          <w:highlight w:val="none"/>
        </w:rPr>
        <w:t>。</w:t>
      </w:r>
    </w:p>
    <w:p>
      <w:pPr>
        <w:pStyle w:val="40"/>
        <w:rPr>
          <w:rFonts w:hint="eastAsia" w:cs="Times New Roman"/>
          <w:color w:val="auto"/>
          <w:highlight w:val="none"/>
          <w:lang w:val="en-US" w:eastAsia="zh-CN"/>
        </w:rPr>
      </w:pPr>
      <w:r>
        <w:rPr>
          <w:rFonts w:hint="eastAsia" w:cs="Times New Roman"/>
          <w:color w:val="auto"/>
          <w:highlight w:val="none"/>
          <w:lang w:val="en-US" w:eastAsia="zh-CN"/>
        </w:rPr>
        <w:t>表5.2-4 废水处理效率及预测结果</w:t>
      </w:r>
    </w:p>
    <w:tbl>
      <w:tblPr>
        <w:tblStyle w:val="24"/>
        <w:tblW w:w="4999"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450"/>
        <w:gridCol w:w="1385"/>
        <w:gridCol w:w="1419"/>
        <w:gridCol w:w="1419"/>
        <w:gridCol w:w="1419"/>
        <w:gridCol w:w="1422"/>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665" w:type="pct"/>
            <w:gridSpan w:val="2"/>
            <w:vMerge w:val="restar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处理工段</w:t>
            </w:r>
          </w:p>
        </w:tc>
        <w:tc>
          <w:tcPr>
            <w:tcW w:w="3334" w:type="pct"/>
            <w:gridSpan w:val="4"/>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主要污染物浓度（mg/L）</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665" w:type="pct"/>
            <w:gridSpan w:val="2"/>
            <w:vMerge w:val="continue"/>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p>
        </w:tc>
        <w:tc>
          <w:tcPr>
            <w:tcW w:w="833"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COD</w:t>
            </w:r>
          </w:p>
        </w:tc>
        <w:tc>
          <w:tcPr>
            <w:tcW w:w="833"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BOD</w:t>
            </w:r>
            <w:r>
              <w:rPr>
                <w:rFonts w:ascii="Times New Roman" w:hAnsi="Times New Roman" w:cs="Times New Roman"/>
                <w:color w:val="auto"/>
                <w:sz w:val="21"/>
                <w:szCs w:val="21"/>
                <w:highlight w:val="none"/>
                <w:vertAlign w:val="subscript"/>
              </w:rPr>
              <w:t>5</w:t>
            </w:r>
          </w:p>
        </w:tc>
        <w:tc>
          <w:tcPr>
            <w:tcW w:w="833"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SS</w:t>
            </w:r>
          </w:p>
        </w:tc>
        <w:tc>
          <w:tcPr>
            <w:tcW w:w="834"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NH</w:t>
            </w:r>
            <w:r>
              <w:rPr>
                <w:rFonts w:ascii="Times New Roman" w:hAnsi="Times New Roman" w:cs="Times New Roman"/>
                <w:color w:val="auto"/>
                <w:sz w:val="21"/>
                <w:szCs w:val="21"/>
                <w:highlight w:val="none"/>
                <w:vertAlign w:val="subscript"/>
              </w:rPr>
              <w:t>3</w:t>
            </w:r>
            <w:r>
              <w:rPr>
                <w:rFonts w:ascii="Times New Roman" w:hAnsi="Times New Roman" w:cs="Times New Roman"/>
                <w:color w:val="auto"/>
                <w:sz w:val="21"/>
                <w:szCs w:val="21"/>
                <w:highlight w:val="none"/>
              </w:rPr>
              <w:t>-N</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52" w:type="pct"/>
            <w:vMerge w:val="restar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废水处理系统</w:t>
            </w:r>
          </w:p>
        </w:tc>
        <w:tc>
          <w:tcPr>
            <w:tcW w:w="813"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进水</w:t>
            </w:r>
          </w:p>
        </w:tc>
        <w:tc>
          <w:tcPr>
            <w:tcW w:w="833"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hint="eastAsia" w:cs="Times New Roman"/>
                <w:bCs/>
                <w:color w:val="auto"/>
                <w:spacing w:val="2"/>
                <w:sz w:val="21"/>
                <w:highlight w:val="none"/>
                <w:lang w:val="en-US" w:eastAsia="zh-CN"/>
              </w:rPr>
              <w:t>19500</w:t>
            </w:r>
          </w:p>
        </w:tc>
        <w:tc>
          <w:tcPr>
            <w:tcW w:w="833"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hint="eastAsia" w:cs="Times New Roman"/>
                <w:bCs/>
                <w:color w:val="auto"/>
                <w:spacing w:val="2"/>
                <w:sz w:val="21"/>
                <w:highlight w:val="none"/>
                <w:lang w:val="en-US" w:eastAsia="zh-CN"/>
              </w:rPr>
              <w:t>8000</w:t>
            </w:r>
          </w:p>
        </w:tc>
        <w:tc>
          <w:tcPr>
            <w:tcW w:w="833"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hint="eastAsia" w:cs="Times New Roman"/>
                <w:bCs/>
                <w:color w:val="auto"/>
                <w:spacing w:val="2"/>
                <w:sz w:val="21"/>
                <w:highlight w:val="none"/>
                <w:lang w:val="en-US" w:eastAsia="zh-CN"/>
              </w:rPr>
              <w:t>16000</w:t>
            </w:r>
          </w:p>
        </w:tc>
        <w:tc>
          <w:tcPr>
            <w:tcW w:w="834"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hint="eastAsia" w:cs="Times New Roman"/>
                <w:bCs/>
                <w:color w:val="auto"/>
                <w:spacing w:val="2"/>
                <w:sz w:val="21"/>
                <w:highlight w:val="none"/>
                <w:lang w:val="en-US" w:eastAsia="zh-CN"/>
              </w:rPr>
              <w:t>1200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52" w:type="pct"/>
            <w:vMerge w:val="continue"/>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p>
        </w:tc>
        <w:tc>
          <w:tcPr>
            <w:tcW w:w="813"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去除率</w:t>
            </w:r>
          </w:p>
        </w:tc>
        <w:tc>
          <w:tcPr>
            <w:tcW w:w="833" w:type="pct"/>
            <w:noWrap w:val="0"/>
            <w:vAlign w:val="center"/>
          </w:tcPr>
          <w:p>
            <w:pPr>
              <w:widowControl w:val="0"/>
              <w:spacing w:line="32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833"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hint="eastAsia" w:cs="Times New Roman"/>
                <w:color w:val="auto"/>
                <w:sz w:val="21"/>
                <w:szCs w:val="21"/>
                <w:highlight w:val="none"/>
                <w:lang w:val="en-US" w:eastAsia="zh-CN"/>
              </w:rPr>
              <w:t>83</w:t>
            </w:r>
            <w:r>
              <w:rPr>
                <w:rFonts w:ascii="Times New Roman" w:hAnsi="Times New Roman" w:cs="Times New Roman"/>
                <w:color w:val="auto"/>
                <w:sz w:val="21"/>
                <w:szCs w:val="21"/>
                <w:highlight w:val="none"/>
              </w:rPr>
              <w:t>%</w:t>
            </w:r>
          </w:p>
        </w:tc>
        <w:tc>
          <w:tcPr>
            <w:tcW w:w="833"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hint="eastAsia" w:cs="Times New Roman"/>
                <w:color w:val="auto"/>
                <w:sz w:val="21"/>
                <w:szCs w:val="21"/>
                <w:highlight w:val="none"/>
                <w:lang w:val="en-US" w:eastAsia="zh-CN"/>
              </w:rPr>
              <w:t>87.9</w:t>
            </w:r>
            <w:r>
              <w:rPr>
                <w:rFonts w:ascii="Times New Roman" w:hAnsi="Times New Roman" w:cs="Times New Roman"/>
                <w:color w:val="auto"/>
                <w:sz w:val="21"/>
                <w:szCs w:val="21"/>
                <w:highlight w:val="none"/>
              </w:rPr>
              <w:t>%</w:t>
            </w:r>
          </w:p>
        </w:tc>
        <w:tc>
          <w:tcPr>
            <w:tcW w:w="834"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27.2</w:t>
            </w:r>
            <w:r>
              <w:rPr>
                <w:rFonts w:ascii="Times New Roman" w:hAnsi="Times New Roman" w:cs="Times New Roman"/>
                <w:color w:val="auto"/>
                <w:sz w:val="21"/>
                <w:szCs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52" w:type="pct"/>
            <w:vMerge w:val="continue"/>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p>
        </w:tc>
        <w:tc>
          <w:tcPr>
            <w:tcW w:w="813"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出水</w:t>
            </w:r>
          </w:p>
        </w:tc>
        <w:tc>
          <w:tcPr>
            <w:tcW w:w="833"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3000.00</w:t>
            </w:r>
          </w:p>
        </w:tc>
        <w:tc>
          <w:tcPr>
            <w:tcW w:w="833"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1400.00</w:t>
            </w:r>
          </w:p>
        </w:tc>
        <w:tc>
          <w:tcPr>
            <w:tcW w:w="833" w:type="pct"/>
            <w:noWrap w:val="0"/>
            <w:vAlign w:val="center"/>
          </w:tcPr>
          <w:p>
            <w:pPr>
              <w:widowControl w:val="0"/>
              <w:spacing w:line="32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2000</w:t>
            </w:r>
          </w:p>
        </w:tc>
        <w:tc>
          <w:tcPr>
            <w:tcW w:w="834" w:type="pct"/>
            <w:noWrap w:val="0"/>
            <w:vAlign w:val="center"/>
          </w:tcPr>
          <w:p>
            <w:pPr>
              <w:widowControl w:val="0"/>
              <w:spacing w:line="32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900</w:t>
            </w:r>
          </w:p>
        </w:tc>
      </w:tr>
    </w:tbl>
    <w:p>
      <w:pPr>
        <w:pStyle w:val="23"/>
        <w:keepNext w:val="0"/>
        <w:keepLines w:val="0"/>
        <w:pageBreakBefore w:val="0"/>
        <w:widowControl/>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⑤水处理措施经济可行性分析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auto"/>
          <w:sz w:val="24"/>
          <w:highlight w:val="none"/>
          <w:lang w:val="en-US" w:eastAsia="zh-CN"/>
        </w:rPr>
      </w:pPr>
      <w:r>
        <w:rPr>
          <w:rFonts w:ascii="Times New Roman" w:hAnsi="Times New Roman"/>
          <w:color w:val="auto"/>
          <w:sz w:val="24"/>
          <w:highlight w:val="none"/>
        </w:rPr>
        <w:t>本项目污水处理站总投资</w:t>
      </w:r>
      <w:r>
        <w:rPr>
          <w:rFonts w:hint="eastAsia"/>
          <w:color w:val="auto"/>
          <w:sz w:val="24"/>
          <w:highlight w:val="none"/>
          <w:lang w:val="en-US" w:eastAsia="zh-CN"/>
        </w:rPr>
        <w:t>350</w:t>
      </w:r>
      <w:r>
        <w:rPr>
          <w:rFonts w:ascii="Times New Roman" w:hAnsi="Times New Roman"/>
          <w:color w:val="auto"/>
          <w:sz w:val="24"/>
          <w:highlight w:val="none"/>
        </w:rPr>
        <w:t>万元，占总投资的</w:t>
      </w:r>
      <w:r>
        <w:rPr>
          <w:rFonts w:hint="eastAsia"/>
          <w:color w:val="auto"/>
          <w:sz w:val="24"/>
          <w:highlight w:val="none"/>
          <w:lang w:val="en-US" w:eastAsia="zh-CN"/>
        </w:rPr>
        <w:t>2.9</w:t>
      </w:r>
      <w:r>
        <w:rPr>
          <w:rFonts w:ascii="Times New Roman" w:hAnsi="Times New Roman"/>
          <w:color w:val="auto"/>
          <w:sz w:val="24"/>
          <w:highlight w:val="none"/>
        </w:rPr>
        <w:t>%。年处理废水</w:t>
      </w:r>
      <w:r>
        <w:rPr>
          <w:rFonts w:hint="eastAsia" w:ascii="Times New Roman" w:hAnsi="Times New Roman" w:cs="Times New Roman"/>
          <w:bCs/>
          <w:color w:val="auto"/>
          <w:sz w:val="24"/>
          <w:szCs w:val="24"/>
          <w:highlight w:val="none"/>
        </w:rPr>
        <w:t>94775.233</w:t>
      </w:r>
      <w:r>
        <w:rPr>
          <w:rFonts w:ascii="Times New Roman" w:hAnsi="Times New Roman"/>
          <w:color w:val="auto"/>
          <w:sz w:val="24"/>
          <w:highlight w:val="none"/>
        </w:rPr>
        <w:t>m</w:t>
      </w:r>
      <w:r>
        <w:rPr>
          <w:rFonts w:ascii="Times New Roman" w:hAnsi="Times New Roman"/>
          <w:color w:val="auto"/>
          <w:sz w:val="24"/>
          <w:highlight w:val="none"/>
          <w:vertAlign w:val="superscript"/>
        </w:rPr>
        <w:t>3</w:t>
      </w:r>
      <w:r>
        <w:rPr>
          <w:rFonts w:ascii="Times New Roman" w:hAnsi="Times New Roman"/>
          <w:color w:val="auto"/>
          <w:sz w:val="24"/>
          <w:highlight w:val="none"/>
        </w:rPr>
        <w:t>/a，年运行费用</w:t>
      </w:r>
      <w:r>
        <w:rPr>
          <w:rFonts w:hint="eastAsia"/>
          <w:color w:val="auto"/>
          <w:sz w:val="24"/>
          <w:highlight w:val="none"/>
          <w:lang w:val="en-US" w:eastAsia="zh-CN"/>
        </w:rPr>
        <w:t>191</w:t>
      </w:r>
      <w:r>
        <w:rPr>
          <w:rFonts w:ascii="Times New Roman" w:hAnsi="Times New Roman"/>
          <w:color w:val="auto"/>
          <w:sz w:val="24"/>
          <w:highlight w:val="none"/>
        </w:rPr>
        <w:t>万元，占年利润总额的</w:t>
      </w:r>
      <w:r>
        <w:rPr>
          <w:rFonts w:hint="eastAsia"/>
          <w:color w:val="auto"/>
          <w:sz w:val="24"/>
          <w:highlight w:val="none"/>
          <w:lang w:val="en-US" w:eastAsia="zh-CN"/>
        </w:rPr>
        <w:t>6.3</w:t>
      </w:r>
      <w:r>
        <w:rPr>
          <w:rFonts w:ascii="Times New Roman" w:hAnsi="Times New Roman"/>
          <w:color w:val="auto"/>
          <w:sz w:val="24"/>
          <w:highlight w:val="none"/>
        </w:rPr>
        <w:t>%，运行费用较低，经济可行。污水处理设施运行费用见表5</w:t>
      </w:r>
      <w:r>
        <w:rPr>
          <w:rFonts w:hint="eastAsia"/>
          <w:color w:val="auto"/>
          <w:sz w:val="24"/>
          <w:highlight w:val="none"/>
          <w:lang w:val="en-US" w:eastAsia="zh-CN"/>
        </w:rPr>
        <w:t>.2</w:t>
      </w:r>
      <w:r>
        <w:rPr>
          <w:rFonts w:ascii="Times New Roman" w:hAnsi="Times New Roman"/>
          <w:color w:val="auto"/>
          <w:sz w:val="24"/>
          <w:highlight w:val="none"/>
        </w:rPr>
        <w:t>-</w:t>
      </w:r>
      <w:r>
        <w:rPr>
          <w:rFonts w:hint="eastAsia"/>
          <w:color w:val="auto"/>
          <w:sz w:val="24"/>
          <w:highlight w:val="none"/>
          <w:lang w:val="en-US" w:eastAsia="zh-CN"/>
        </w:rPr>
        <w:t>5</w:t>
      </w:r>
      <w:r>
        <w:rPr>
          <w:rFonts w:ascii="Times New Roman" w:hAnsi="Times New Roman"/>
          <w:color w:val="auto"/>
          <w:sz w:val="24"/>
          <w:highlight w:val="none"/>
        </w:rPr>
        <w:t>。</w:t>
      </w:r>
    </w:p>
    <w:p>
      <w:pPr>
        <w:pStyle w:val="40"/>
        <w:rPr>
          <w:rFonts w:hint="eastAsia" w:cs="Times New Roman"/>
          <w:color w:val="auto"/>
          <w:highlight w:val="none"/>
          <w:lang w:val="en-US" w:eastAsia="zh-CN"/>
        </w:rPr>
      </w:pPr>
      <w:r>
        <w:rPr>
          <w:rFonts w:hint="eastAsia" w:cs="Times New Roman"/>
          <w:color w:val="auto"/>
          <w:highlight w:val="none"/>
          <w:lang w:val="en-US" w:eastAsia="zh-CN"/>
        </w:rPr>
        <w:t>表5.2-5 污水处理设施运行费用一览表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99"/>
        <w:gridCol w:w="2071"/>
        <w:gridCol w:w="2251"/>
        <w:gridCol w:w="33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9"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序号</w:t>
            </w:r>
          </w:p>
        </w:tc>
        <w:tc>
          <w:tcPr>
            <w:tcW w:w="1216"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费用名称</w:t>
            </w:r>
          </w:p>
        </w:tc>
        <w:tc>
          <w:tcPr>
            <w:tcW w:w="1322"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费用金额（万元/年）</w:t>
            </w:r>
          </w:p>
        </w:tc>
        <w:tc>
          <w:tcPr>
            <w:tcW w:w="1992"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9"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1216"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电费</w:t>
            </w:r>
          </w:p>
        </w:tc>
        <w:tc>
          <w:tcPr>
            <w:tcW w:w="1322" w:type="pct"/>
            <w:noWrap w:val="0"/>
            <w:vAlign w:val="center"/>
          </w:tcPr>
          <w:p>
            <w:pPr>
              <w:widowControl w:val="0"/>
              <w:spacing w:line="32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180</w:t>
            </w:r>
          </w:p>
        </w:tc>
        <w:tc>
          <w:tcPr>
            <w:tcW w:w="1992" w:type="pct"/>
            <w:noWrap w:val="0"/>
            <w:vAlign w:val="center"/>
          </w:tcPr>
          <w:p>
            <w:pPr>
              <w:widowControl w:val="0"/>
              <w:spacing w:line="320" w:lineRule="exact"/>
              <w:ind w:firstLine="0" w:firstLineChars="0"/>
              <w:jc w:val="both"/>
              <w:rPr>
                <w:rFonts w:ascii="Times New Roman" w:hAnsi="Times New Roman" w:cs="Times New Roman"/>
                <w:color w:val="auto"/>
                <w:sz w:val="21"/>
                <w:szCs w:val="21"/>
                <w:highlight w:val="none"/>
              </w:rPr>
            </w:pPr>
            <w:r>
              <w:rPr>
                <w:rFonts w:hint="eastAsia"/>
                <w:color w:val="auto"/>
                <w:sz w:val="21"/>
                <w:szCs w:val="21"/>
                <w:highlight w:val="none"/>
                <w:lang w:val="en-US" w:eastAsia="zh-CN"/>
              </w:rPr>
              <w:t>300万kW</w:t>
            </w:r>
            <w:r>
              <w:rPr>
                <w:rFonts w:hint="default" w:ascii="Times New Roman" w:hAnsi="Times New Roman" w:cs="Times New Roman"/>
                <w:color w:val="auto"/>
                <w:sz w:val="21"/>
                <w:szCs w:val="21"/>
                <w:highlight w:val="none"/>
                <w:lang w:val="en-US" w:eastAsia="zh-CN"/>
              </w:rPr>
              <w:t>·</w:t>
            </w:r>
            <w:r>
              <w:rPr>
                <w:rFonts w:hint="eastAsia"/>
                <w:color w:val="auto"/>
                <w:sz w:val="21"/>
                <w:szCs w:val="21"/>
                <w:highlight w:val="none"/>
                <w:lang w:val="en-US" w:eastAsia="zh-CN"/>
              </w:rPr>
              <w:t>h/年，单价0.6元/kW</w:t>
            </w:r>
            <w:r>
              <w:rPr>
                <w:rFonts w:hint="default" w:ascii="Times New Roman" w:hAnsi="Times New Roman" w:cs="Times New Roman"/>
                <w:color w:val="auto"/>
                <w:sz w:val="21"/>
                <w:szCs w:val="21"/>
                <w:highlight w:val="none"/>
                <w:lang w:val="en-US" w:eastAsia="zh-CN"/>
              </w:rPr>
              <w:t>·</w:t>
            </w:r>
            <w:r>
              <w:rPr>
                <w:rFonts w:hint="eastAsia"/>
                <w:color w:val="auto"/>
                <w:sz w:val="21"/>
                <w:szCs w:val="21"/>
                <w:highlight w:val="none"/>
                <w:lang w:val="en-US" w:eastAsia="zh-CN"/>
              </w:rPr>
              <w:t>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9"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1216"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工人工资</w:t>
            </w:r>
          </w:p>
        </w:tc>
        <w:tc>
          <w:tcPr>
            <w:tcW w:w="1322"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6</w:t>
            </w:r>
          </w:p>
        </w:tc>
        <w:tc>
          <w:tcPr>
            <w:tcW w:w="1992"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2人，人员工资3万元/人·年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9"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w:t>
            </w:r>
          </w:p>
        </w:tc>
        <w:tc>
          <w:tcPr>
            <w:tcW w:w="1216"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设备折旧</w:t>
            </w:r>
          </w:p>
        </w:tc>
        <w:tc>
          <w:tcPr>
            <w:tcW w:w="1322"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hint="eastAsia" w:cs="Times New Roman"/>
                <w:color w:val="auto"/>
                <w:sz w:val="21"/>
                <w:szCs w:val="21"/>
                <w:highlight w:val="none"/>
                <w:lang w:val="en-US" w:eastAsia="zh-CN"/>
              </w:rPr>
              <w:t>5</w:t>
            </w:r>
          </w:p>
        </w:tc>
        <w:tc>
          <w:tcPr>
            <w:tcW w:w="1992"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总投资</w:t>
            </w:r>
            <w:r>
              <w:rPr>
                <w:rFonts w:hint="eastAsia" w:cs="Times New Roman"/>
                <w:color w:val="auto"/>
                <w:sz w:val="21"/>
                <w:szCs w:val="21"/>
                <w:highlight w:val="none"/>
                <w:lang w:val="en-US" w:eastAsia="zh-CN"/>
              </w:rPr>
              <w:t>35</w:t>
            </w:r>
            <w:r>
              <w:rPr>
                <w:rFonts w:ascii="Times New Roman" w:hAnsi="Times New Roman" w:cs="Times New Roman"/>
                <w:color w:val="auto"/>
                <w:sz w:val="21"/>
                <w:szCs w:val="21"/>
                <w:highlight w:val="none"/>
              </w:rPr>
              <w:t>0万元，按20年折旧期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9"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w:t>
            </w:r>
          </w:p>
        </w:tc>
        <w:tc>
          <w:tcPr>
            <w:tcW w:w="1216"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合计</w:t>
            </w:r>
          </w:p>
        </w:tc>
        <w:tc>
          <w:tcPr>
            <w:tcW w:w="1322" w:type="pct"/>
            <w:noWrap w:val="0"/>
            <w:vAlign w:val="center"/>
          </w:tcPr>
          <w:p>
            <w:pPr>
              <w:widowControl w:val="0"/>
              <w:spacing w:line="32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191</w:t>
            </w:r>
          </w:p>
        </w:tc>
        <w:tc>
          <w:tcPr>
            <w:tcW w:w="1992" w:type="pct"/>
            <w:noWrap w:val="0"/>
            <w:vAlign w:val="center"/>
          </w:tcPr>
          <w:p>
            <w:pPr>
              <w:widowControl w:val="0"/>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r>
    </w:tbl>
    <w:p>
      <w:pPr>
        <w:pStyle w:val="5"/>
        <w:spacing w:before="66"/>
        <w:ind w:firstLine="482"/>
        <w:rPr>
          <w:color w:val="auto"/>
          <w:highlight w:val="none"/>
        </w:rPr>
      </w:pPr>
      <w:r>
        <w:rPr>
          <w:rFonts w:hint="eastAsia"/>
          <w:color w:val="auto"/>
          <w:highlight w:val="none"/>
          <w:lang w:val="en-US" w:eastAsia="zh-CN"/>
        </w:rPr>
        <w:t>5</w:t>
      </w:r>
      <w:r>
        <w:rPr>
          <w:rFonts w:hint="eastAsia"/>
          <w:color w:val="auto"/>
          <w:highlight w:val="none"/>
        </w:rPr>
        <w:t>.2.</w:t>
      </w:r>
      <w:r>
        <w:rPr>
          <w:rFonts w:hint="eastAsia"/>
          <w:color w:val="auto"/>
          <w:highlight w:val="none"/>
          <w:lang w:val="en-US" w:eastAsia="zh-CN"/>
        </w:rPr>
        <w:t>4</w:t>
      </w:r>
      <w:r>
        <w:rPr>
          <w:rFonts w:hint="eastAsia"/>
          <w:color w:val="auto"/>
          <w:highlight w:val="none"/>
        </w:rPr>
        <w:t>沼气综合利用</w:t>
      </w:r>
      <w:r>
        <w:rPr>
          <w:color w:val="auto"/>
          <w:highlight w:val="none"/>
        </w:rPr>
        <w:t>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2"/>
          <w:highlight w:val="none"/>
        </w:rPr>
      </w:pPr>
      <w:r>
        <w:rPr>
          <w:rFonts w:ascii="Times New Roman" w:hAnsi="Times New Roman" w:cs="Times New Roman"/>
          <w:color w:val="auto"/>
          <w:sz w:val="24"/>
          <w:szCs w:val="22"/>
          <w:highlight w:val="none"/>
        </w:rPr>
        <w:t>根据《规模化畜禽养殖场沼气工程设计规范》中的数据，沼气产生量按照去除1kgCOD产生沼气0.25m</w:t>
      </w:r>
      <w:r>
        <w:rPr>
          <w:rFonts w:ascii="Times New Roman" w:hAnsi="Times New Roman" w:cs="Times New Roman"/>
          <w:color w:val="auto"/>
          <w:sz w:val="24"/>
          <w:szCs w:val="22"/>
          <w:highlight w:val="none"/>
          <w:vertAlign w:val="superscript"/>
        </w:rPr>
        <w:t>3</w:t>
      </w:r>
      <w:r>
        <w:rPr>
          <w:rFonts w:ascii="Times New Roman" w:hAnsi="Times New Roman" w:cs="Times New Roman"/>
          <w:color w:val="auto"/>
          <w:sz w:val="24"/>
          <w:szCs w:val="22"/>
          <w:highlight w:val="none"/>
        </w:rPr>
        <w:t>进行计算。项目沼气产生量为</w:t>
      </w:r>
      <w:r>
        <w:rPr>
          <w:rFonts w:hint="eastAsia" w:ascii="Times New Roman" w:hAnsi="Times New Roman"/>
          <w:color w:val="auto"/>
          <w:sz w:val="24"/>
          <w:highlight w:val="none"/>
        </w:rPr>
        <w:t>404770</w:t>
      </w:r>
      <w:r>
        <w:rPr>
          <w:rFonts w:ascii="Times New Roman" w:hAnsi="Times New Roman"/>
          <w:color w:val="auto"/>
          <w:sz w:val="24"/>
          <w:highlight w:val="none"/>
        </w:rPr>
        <w:t>m</w:t>
      </w:r>
      <w:r>
        <w:rPr>
          <w:rFonts w:ascii="Times New Roman" w:hAnsi="Times New Roman"/>
          <w:color w:val="auto"/>
          <w:sz w:val="24"/>
          <w:highlight w:val="none"/>
          <w:vertAlign w:val="superscript"/>
        </w:rPr>
        <w:t>3</w:t>
      </w:r>
      <w:r>
        <w:rPr>
          <w:rFonts w:ascii="Times New Roman" w:hAnsi="Times New Roman"/>
          <w:color w:val="auto"/>
          <w:sz w:val="24"/>
          <w:highlight w:val="none"/>
        </w:rPr>
        <w:t>/a</w:t>
      </w:r>
      <w:r>
        <w:rPr>
          <w:rFonts w:ascii="Times New Roman" w:hAnsi="Times New Roman" w:cs="Times New Roman"/>
          <w:color w:val="auto"/>
          <w:sz w:val="24"/>
          <w:szCs w:val="22"/>
          <w:highlight w:val="none"/>
        </w:rPr>
        <w:t>，</w:t>
      </w:r>
      <w:r>
        <w:rPr>
          <w:rFonts w:hint="eastAsia" w:cs="Times New Roman"/>
          <w:color w:val="auto"/>
          <w:sz w:val="24"/>
          <w:szCs w:val="22"/>
          <w:highlight w:val="none"/>
          <w:lang w:eastAsia="zh-CN"/>
        </w:rPr>
        <w:t>主要</w:t>
      </w:r>
      <w:r>
        <w:rPr>
          <w:rFonts w:ascii="Times New Roman" w:hAnsi="Times New Roman" w:cs="Times New Roman"/>
          <w:color w:val="auto"/>
          <w:sz w:val="24"/>
          <w:szCs w:val="22"/>
          <w:highlight w:val="none"/>
        </w:rPr>
        <w:t>用于食堂</w:t>
      </w:r>
      <w:r>
        <w:rPr>
          <w:rFonts w:hint="eastAsia"/>
          <w:color w:val="auto"/>
          <w:highlight w:val="none"/>
          <w:lang w:eastAsia="zh-CN"/>
        </w:rPr>
        <w:t>，多余部分用于厂区无害化处理车间</w:t>
      </w:r>
      <w:r>
        <w:rPr>
          <w:rFonts w:ascii="Times New Roman" w:hAnsi="Times New Roman" w:cs="Times New Roman"/>
          <w:color w:val="auto"/>
          <w:sz w:val="24"/>
          <w:szCs w:val="22"/>
          <w:highlight w:val="none"/>
        </w:rPr>
        <w:t>。</w:t>
      </w:r>
    </w:p>
    <w:p>
      <w:pPr>
        <w:pStyle w:val="5"/>
        <w:spacing w:before="66"/>
        <w:ind w:firstLine="482"/>
        <w:rPr>
          <w:color w:val="auto"/>
          <w:highlight w:val="none"/>
        </w:rPr>
      </w:pPr>
      <w:r>
        <w:rPr>
          <w:rFonts w:hint="eastAsia"/>
          <w:color w:val="auto"/>
          <w:highlight w:val="none"/>
          <w:lang w:val="en-US" w:eastAsia="zh-CN"/>
        </w:rPr>
        <w:t>5</w:t>
      </w:r>
      <w:r>
        <w:rPr>
          <w:rFonts w:hint="eastAsia"/>
          <w:color w:val="auto"/>
          <w:highlight w:val="none"/>
        </w:rPr>
        <w:t>.2.</w:t>
      </w:r>
      <w:r>
        <w:rPr>
          <w:rFonts w:hint="eastAsia"/>
          <w:color w:val="auto"/>
          <w:highlight w:val="none"/>
          <w:lang w:val="en-US" w:eastAsia="zh-CN"/>
        </w:rPr>
        <w:t>5</w:t>
      </w:r>
      <w:r>
        <w:rPr>
          <w:rFonts w:hint="eastAsia"/>
          <w:color w:val="auto"/>
          <w:highlight w:val="none"/>
        </w:rPr>
        <w:t>沼液综合利用措施可行性分析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highlight w:val="none"/>
        </w:rPr>
      </w:pPr>
      <w:r>
        <w:rPr>
          <w:rFonts w:ascii="Times New Roman" w:hAnsi="Times New Roman"/>
          <w:bCs/>
          <w:color w:val="auto"/>
          <w:sz w:val="24"/>
          <w:highlight w:val="none"/>
        </w:rPr>
        <w:t>本次评价从沼液营养成分、土地消纳能力以及现实操作性等方面来分析沼液农肥利用系统的可行性。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highlight w:val="none"/>
        </w:rPr>
      </w:pPr>
      <w:r>
        <w:rPr>
          <w:rFonts w:ascii="Times New Roman" w:hAnsi="Times New Roman"/>
          <w:bCs/>
          <w:color w:val="auto"/>
          <w:sz w:val="24"/>
          <w:highlight w:val="none"/>
        </w:rPr>
        <w:t>（1）沼液营养成分</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ascii="Times New Roman" w:hAnsi="Times New Roman"/>
          <w:bCs/>
          <w:color w:val="auto"/>
          <w:sz w:val="24"/>
          <w:highlight w:val="none"/>
        </w:rPr>
      </w:pPr>
      <w:r>
        <w:rPr>
          <w:rFonts w:ascii="Times New Roman" w:hAnsi="Times New Roman"/>
          <w:bCs/>
          <w:color w:val="auto"/>
          <w:sz w:val="24"/>
          <w:highlight w:val="none"/>
        </w:rPr>
        <w:t>根据国内外大量实验研究及实际运用表明，沼液尤其是养殖废水处理后的沼液，不仅含有作物所需求丰富的N、P、K等大量元素外，还含有硼、铜、铁、锰、钙、锌等中微量元素，以及大量的有机质、多种氨基酸和维生素等。施用沼液，不仅能显著改良土壤、增加作物产量、确保农作物生长所需要的良好微生态系统，还有利于增强其抗冻、抗旱、抗虫能力。</w:t>
      </w:r>
    </w:p>
    <w:p>
      <w:pPr>
        <w:keepNext w:val="0"/>
        <w:keepLines w:val="0"/>
        <w:pageBreakBefore w:val="0"/>
        <w:widowControl/>
        <w:kinsoku/>
        <w:wordWrap/>
        <w:overflowPunct/>
        <w:autoSpaceDE/>
        <w:autoSpaceDN/>
        <w:bidi w:val="0"/>
        <w:adjustRightInd/>
        <w:snapToGrid/>
        <w:spacing w:line="360" w:lineRule="auto"/>
        <w:ind w:left="0" w:leftChars="0" w:firstLine="480"/>
        <w:jc w:val="both"/>
        <w:textAlignment w:val="auto"/>
        <w:rPr>
          <w:rFonts w:ascii="Times New Roman" w:hAnsi="Times New Roman"/>
          <w:bCs/>
          <w:color w:val="auto"/>
          <w:sz w:val="24"/>
          <w:highlight w:val="none"/>
        </w:rPr>
      </w:pPr>
      <w:r>
        <w:rPr>
          <w:rFonts w:ascii="Times New Roman" w:hAnsi="Times New Roman"/>
          <w:bCs/>
          <w:color w:val="auto"/>
          <w:sz w:val="24"/>
          <w:highlight w:val="none"/>
        </w:rPr>
        <w:t>（2）土地沼液消纳能力</w:t>
      </w:r>
    </w:p>
    <w:p>
      <w:pPr>
        <w:keepNext w:val="0"/>
        <w:keepLines w:val="0"/>
        <w:pageBreakBefore w:val="0"/>
        <w:widowControl/>
        <w:kinsoku/>
        <w:wordWrap/>
        <w:overflowPunct/>
        <w:autoSpaceDE/>
        <w:autoSpaceDN/>
        <w:bidi w:val="0"/>
        <w:adjustRightInd/>
        <w:snapToGrid/>
        <w:spacing w:line="360" w:lineRule="auto"/>
        <w:ind w:left="0" w:leftChars="0" w:firstLine="480"/>
        <w:jc w:val="both"/>
        <w:textAlignment w:val="auto"/>
        <w:rPr>
          <w:rFonts w:ascii="Times New Roman" w:hAnsi="Times New Roman"/>
          <w:bCs/>
          <w:color w:val="auto"/>
          <w:sz w:val="24"/>
          <w:highlight w:val="none"/>
        </w:rPr>
      </w:pPr>
      <w:r>
        <w:rPr>
          <w:rFonts w:hint="eastAsia" w:asciiTheme="minorEastAsia" w:hAnsiTheme="minorEastAsia" w:eastAsiaTheme="minorEastAsia" w:cstheme="minorEastAsia"/>
          <w:bCs/>
          <w:color w:val="auto"/>
          <w:sz w:val="24"/>
          <w:highlight w:val="none"/>
        </w:rPr>
        <w:t>①</w:t>
      </w:r>
      <w:r>
        <w:rPr>
          <w:rFonts w:ascii="Times New Roman" w:hAnsi="Times New Roman"/>
          <w:bCs/>
          <w:color w:val="auto"/>
          <w:sz w:val="24"/>
          <w:highlight w:val="none"/>
        </w:rPr>
        <w:t>农肥效确定</w:t>
      </w:r>
    </w:p>
    <w:p>
      <w:pPr>
        <w:keepNext w:val="0"/>
        <w:keepLines w:val="0"/>
        <w:pageBreakBefore w:val="0"/>
        <w:widowControl/>
        <w:kinsoku/>
        <w:wordWrap/>
        <w:overflowPunct/>
        <w:autoSpaceDE/>
        <w:autoSpaceDN/>
        <w:bidi w:val="0"/>
        <w:adjustRightInd/>
        <w:snapToGrid/>
        <w:spacing w:line="360" w:lineRule="auto"/>
        <w:ind w:left="0" w:leftChars="0" w:firstLine="480" w:firstLineChars="200"/>
        <w:jc w:val="both"/>
        <w:textAlignment w:val="auto"/>
        <w:rPr>
          <w:rFonts w:ascii="Times New Roman" w:hAnsi="Times New Roman"/>
          <w:bCs/>
          <w:color w:val="auto"/>
          <w:sz w:val="24"/>
          <w:highlight w:val="none"/>
        </w:rPr>
      </w:pPr>
      <w:r>
        <w:rPr>
          <w:rFonts w:ascii="Times New Roman" w:hAnsi="Times New Roman"/>
          <w:bCs/>
          <w:color w:val="auto"/>
          <w:sz w:val="24"/>
          <w:highlight w:val="none"/>
        </w:rPr>
        <w:t>多年来，</w:t>
      </w:r>
      <w:r>
        <w:rPr>
          <w:rFonts w:hint="eastAsia"/>
          <w:bCs/>
          <w:color w:val="auto"/>
          <w:sz w:val="24"/>
          <w:highlight w:val="none"/>
          <w:lang w:eastAsia="zh-CN"/>
        </w:rPr>
        <w:t>平舆</w:t>
      </w:r>
      <w:r>
        <w:rPr>
          <w:rFonts w:ascii="Times New Roman" w:hAnsi="Times New Roman"/>
          <w:bCs/>
          <w:color w:val="auto"/>
          <w:sz w:val="24"/>
          <w:highlight w:val="none"/>
        </w:rPr>
        <w:t>县耕作种植为一年两熟，夏季收获以小麦为主、秋季收获以玉米为主，因此农田消纳主要以小麦-玉米为主。根据近几年测土、试验研究结果，</w:t>
      </w:r>
      <w:r>
        <w:rPr>
          <w:rFonts w:hint="eastAsia"/>
          <w:bCs/>
          <w:color w:val="auto"/>
          <w:sz w:val="24"/>
          <w:highlight w:val="none"/>
          <w:lang w:eastAsia="zh-CN"/>
        </w:rPr>
        <w:t>平舆</w:t>
      </w:r>
      <w:r>
        <w:rPr>
          <w:rFonts w:ascii="Times New Roman" w:hAnsi="Times New Roman"/>
          <w:bCs/>
          <w:color w:val="auto"/>
          <w:sz w:val="24"/>
          <w:highlight w:val="none"/>
        </w:rPr>
        <w:t>县土壤碱解氮含量为57.6mg/kg，土壤贮氮量较低，应注重氮素的补给。</w:t>
      </w:r>
    </w:p>
    <w:p>
      <w:pPr>
        <w:keepNext w:val="0"/>
        <w:keepLines w:val="0"/>
        <w:pageBreakBefore w:val="0"/>
        <w:widowControl/>
        <w:kinsoku/>
        <w:wordWrap/>
        <w:overflowPunct/>
        <w:autoSpaceDE/>
        <w:autoSpaceDN/>
        <w:bidi w:val="0"/>
        <w:adjustRightInd/>
        <w:snapToGrid/>
        <w:spacing w:line="360" w:lineRule="auto"/>
        <w:ind w:left="0" w:leftChars="0" w:firstLine="480" w:firstLineChars="200"/>
        <w:jc w:val="both"/>
        <w:textAlignment w:val="auto"/>
        <w:rPr>
          <w:rFonts w:ascii="Times New Roman" w:hAnsi="Times New Roman"/>
          <w:bCs/>
          <w:color w:val="auto"/>
          <w:sz w:val="24"/>
          <w:highlight w:val="none"/>
        </w:rPr>
      </w:pPr>
      <w:r>
        <w:rPr>
          <w:rFonts w:ascii="Times New Roman" w:hAnsi="Times New Roman"/>
          <w:bCs/>
          <w:color w:val="auto"/>
          <w:sz w:val="24"/>
          <w:highlight w:val="none"/>
        </w:rPr>
        <w:t>沼液中含量最多也是最主要的可被作物吸收利用的为N素。根据工程设计，工程沼液中的氨氮含量为</w:t>
      </w:r>
      <w:r>
        <w:rPr>
          <w:rFonts w:hint="eastAsia" w:ascii="Times New Roman" w:hAnsi="Times New Roman"/>
          <w:bCs/>
          <w:color w:val="auto"/>
          <w:sz w:val="24"/>
          <w:highlight w:val="none"/>
          <w:lang w:val="en-US" w:eastAsia="zh-CN"/>
        </w:rPr>
        <w:t>900</w:t>
      </w:r>
      <w:r>
        <w:rPr>
          <w:rFonts w:ascii="Times New Roman" w:hAnsi="Times New Roman"/>
          <w:bCs/>
          <w:color w:val="auto"/>
          <w:sz w:val="24"/>
          <w:highlight w:val="none"/>
        </w:rPr>
        <w:t>mg/L，查找类比资料可知，养殖废水中氨氮浓度为总氮的80%左右，则总氮浓度为11</w:t>
      </w:r>
      <w:r>
        <w:rPr>
          <w:rFonts w:hint="eastAsia" w:ascii="Times New Roman" w:hAnsi="Times New Roman"/>
          <w:bCs/>
          <w:color w:val="auto"/>
          <w:sz w:val="24"/>
          <w:highlight w:val="none"/>
          <w:lang w:val="en-US" w:eastAsia="zh-CN"/>
        </w:rPr>
        <w:t>25</w:t>
      </w:r>
      <w:r>
        <w:rPr>
          <w:rFonts w:ascii="Times New Roman" w:hAnsi="Times New Roman"/>
          <w:bCs/>
          <w:color w:val="auto"/>
          <w:sz w:val="24"/>
          <w:highlight w:val="none"/>
        </w:rPr>
        <w:t>mg/L。</w:t>
      </w:r>
    </w:p>
    <w:p>
      <w:pPr>
        <w:keepNext w:val="0"/>
        <w:keepLines w:val="0"/>
        <w:pageBreakBefore w:val="0"/>
        <w:widowControl/>
        <w:numPr>
          <w:ilvl w:val="0"/>
          <w:numId w:val="0"/>
        </w:numPr>
        <w:kinsoku/>
        <w:wordWrap/>
        <w:overflowPunct/>
        <w:autoSpaceDE/>
        <w:autoSpaceDN/>
        <w:bidi w:val="0"/>
        <w:adjustRightInd/>
        <w:snapToGrid/>
        <w:spacing w:line="360" w:lineRule="auto"/>
        <w:ind w:leftChars="200"/>
        <w:jc w:val="both"/>
        <w:textAlignment w:val="auto"/>
        <w:rPr>
          <w:rFonts w:ascii="Times New Roman" w:hAnsi="Times New Roman"/>
          <w:bCs/>
          <w:color w:val="auto"/>
          <w:sz w:val="24"/>
          <w:highlight w:val="none"/>
        </w:rPr>
      </w:pPr>
      <w:r>
        <w:rPr>
          <w:rFonts w:hint="eastAsia" w:asciiTheme="minorEastAsia" w:hAnsiTheme="minorEastAsia" w:eastAsiaTheme="minorEastAsia" w:cstheme="minorEastAsia"/>
          <w:bCs/>
          <w:color w:val="auto"/>
          <w:sz w:val="24"/>
          <w:highlight w:val="none"/>
        </w:rPr>
        <w:t>②</w:t>
      </w:r>
      <w:r>
        <w:rPr>
          <w:rFonts w:ascii="Times New Roman" w:hAnsi="Times New Roman"/>
          <w:bCs/>
          <w:color w:val="auto"/>
          <w:sz w:val="24"/>
          <w:highlight w:val="none"/>
        </w:rPr>
        <w:t>农田消纳能力计算 </w:t>
      </w:r>
    </w:p>
    <w:p>
      <w:pPr>
        <w:keepNext w:val="0"/>
        <w:keepLines w:val="0"/>
        <w:pageBreakBefore w:val="0"/>
        <w:widowControl/>
        <w:kinsoku/>
        <w:wordWrap/>
        <w:overflowPunct/>
        <w:autoSpaceDE/>
        <w:autoSpaceDN/>
        <w:bidi w:val="0"/>
        <w:adjustRightInd/>
        <w:snapToGrid/>
        <w:spacing w:line="360" w:lineRule="auto"/>
        <w:ind w:left="0" w:leftChars="0" w:firstLine="480"/>
        <w:jc w:val="both"/>
        <w:textAlignment w:val="auto"/>
        <w:rPr>
          <w:rFonts w:ascii="Times New Roman" w:hAnsi="Times New Roman"/>
          <w:bCs/>
          <w:color w:val="auto"/>
          <w:sz w:val="24"/>
          <w:highlight w:val="none"/>
        </w:rPr>
      </w:pPr>
      <w:r>
        <w:rPr>
          <w:rFonts w:ascii="Times New Roman" w:hAnsi="Times New Roman"/>
          <w:bCs/>
          <w:color w:val="auto"/>
          <w:sz w:val="24"/>
          <w:highlight w:val="none"/>
        </w:rPr>
        <w:t>根据2018年1月15日农业部办公厅印发的《畜禽粪污土地承载力测算技术指南》中畜禽规模养殖场粪污消纳配套土地面积的测算方法。</w:t>
      </w:r>
    </w:p>
    <w:p>
      <w:pPr>
        <w:keepNext w:val="0"/>
        <w:keepLines w:val="0"/>
        <w:pageBreakBefore w:val="0"/>
        <w:widowControl/>
        <w:kinsoku/>
        <w:wordWrap/>
        <w:overflowPunct/>
        <w:autoSpaceDE/>
        <w:autoSpaceDN/>
        <w:bidi w:val="0"/>
        <w:adjustRightInd/>
        <w:snapToGrid/>
        <w:spacing w:line="360" w:lineRule="auto"/>
        <w:ind w:left="0" w:leftChars="0" w:firstLine="480"/>
        <w:jc w:val="both"/>
        <w:textAlignment w:val="auto"/>
        <w:rPr>
          <w:rFonts w:ascii="Times New Roman" w:hAnsi="Times New Roman"/>
          <w:bCs/>
          <w:color w:val="auto"/>
          <w:sz w:val="24"/>
          <w:highlight w:val="none"/>
        </w:rPr>
      </w:pPr>
      <w:r>
        <w:rPr>
          <w:rFonts w:ascii="Times New Roman" w:hAnsi="Times New Roman"/>
          <w:bCs/>
          <w:color w:val="auto"/>
          <w:sz w:val="24"/>
          <w:highlight w:val="none"/>
        </w:rPr>
        <w:t>根据2018年1月15日农业部办公厅关于印发《畜禽粪污土地承载力测算技术指南》的通知，本指南适用于区域畜禽粪污土地承载力和畜禽规模养殖场粪污消纳配套土地面积的测算。规模养殖场配套土地面积等于规模养殖场粪肥养分供给量（对外销售部分不计算在内）除以单位土地粪肥养分需求量。根据项目区土地的种植规律，每年10月份种植小麦，6月份收割后种植玉米，即每年种植两季，一季小麦、一季玉米。</w:t>
      </w:r>
    </w:p>
    <w:p>
      <w:pPr>
        <w:keepNext w:val="0"/>
        <w:keepLines w:val="0"/>
        <w:pageBreakBefore w:val="0"/>
        <w:widowControl/>
        <w:kinsoku/>
        <w:wordWrap/>
        <w:overflowPunct/>
        <w:autoSpaceDE/>
        <w:autoSpaceDN/>
        <w:bidi w:val="0"/>
        <w:adjustRightInd/>
        <w:snapToGrid/>
        <w:spacing w:line="360" w:lineRule="auto"/>
        <w:ind w:left="0" w:leftChars="0" w:firstLine="480"/>
        <w:jc w:val="both"/>
        <w:textAlignment w:val="auto"/>
        <w:rPr>
          <w:rFonts w:ascii="Times New Roman" w:hAnsi="Times New Roman"/>
          <w:bCs/>
          <w:color w:val="auto"/>
          <w:sz w:val="24"/>
          <w:highlight w:val="none"/>
        </w:rPr>
      </w:pPr>
      <w:r>
        <w:rPr>
          <w:rFonts w:ascii="Times New Roman" w:hAnsi="Times New Roman"/>
          <w:bCs/>
          <w:color w:val="auto"/>
          <w:sz w:val="24"/>
          <w:highlight w:val="none"/>
        </w:rPr>
        <w:t>（一）粪肥养分供给量</w:t>
      </w:r>
    </w:p>
    <w:p>
      <w:pPr>
        <w:keepNext w:val="0"/>
        <w:keepLines w:val="0"/>
        <w:pageBreakBefore w:val="0"/>
        <w:widowControl/>
        <w:kinsoku/>
        <w:wordWrap/>
        <w:overflowPunct/>
        <w:topLinePunct/>
        <w:autoSpaceDE/>
        <w:autoSpaceDN/>
        <w:bidi w:val="0"/>
        <w:adjustRightInd/>
        <w:snapToGrid/>
        <w:spacing w:line="360" w:lineRule="auto"/>
        <w:ind w:left="0" w:leftChars="0" w:firstLine="480"/>
        <w:jc w:val="both"/>
        <w:textAlignment w:val="auto"/>
        <w:rPr>
          <w:rFonts w:ascii="Times New Roman" w:hAnsi="Times New Roman"/>
          <w:bCs/>
          <w:color w:val="auto"/>
          <w:sz w:val="24"/>
          <w:highlight w:val="none"/>
        </w:rPr>
      </w:pPr>
      <w:r>
        <w:rPr>
          <w:color w:val="auto"/>
          <w:highlight w:val="none"/>
        </w:rPr>
        <w:drawing>
          <wp:inline distT="0" distB="0" distL="114300" distR="114300">
            <wp:extent cx="4991100" cy="419100"/>
            <wp:effectExtent l="0" t="0" r="0" b="0"/>
            <wp:docPr id="7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2"/>
                    <pic:cNvPicPr>
                      <a:picLocks noChangeAspect="1"/>
                    </pic:cNvPicPr>
                  </pic:nvPicPr>
                  <pic:blipFill>
                    <a:blip r:embed="rId51"/>
                    <a:stretch>
                      <a:fillRect/>
                    </a:stretch>
                  </pic:blipFill>
                  <pic:spPr>
                    <a:xfrm>
                      <a:off x="0" y="0"/>
                      <a:ext cx="4991100" cy="419100"/>
                    </a:xfrm>
                    <a:prstGeom prst="rect">
                      <a:avLst/>
                    </a:prstGeom>
                    <a:noFill/>
                    <a:ln>
                      <a:noFill/>
                    </a:ln>
                  </pic:spPr>
                </pic:pic>
              </a:graphicData>
            </a:graphic>
          </wp:inline>
        </w:drawing>
      </w:r>
    </w:p>
    <w:p>
      <w:pPr>
        <w:keepNext w:val="0"/>
        <w:keepLines w:val="0"/>
        <w:pageBreakBefore w:val="0"/>
        <w:widowControl/>
        <w:kinsoku/>
        <w:wordWrap/>
        <w:overflowPunct/>
        <w:topLinePunct/>
        <w:autoSpaceDE/>
        <w:autoSpaceDN/>
        <w:bidi w:val="0"/>
        <w:adjustRightInd/>
        <w:snapToGrid/>
        <w:spacing w:line="360" w:lineRule="auto"/>
        <w:ind w:left="0" w:leftChars="0" w:firstLine="480"/>
        <w:jc w:val="both"/>
        <w:textAlignment w:val="auto"/>
        <w:rPr>
          <w:rFonts w:ascii="Times New Roman" w:hAnsi="Times New Roman"/>
          <w:bCs/>
          <w:color w:val="auto"/>
          <w:sz w:val="24"/>
          <w:highlight w:val="none"/>
        </w:rPr>
      </w:pPr>
      <w:r>
        <w:rPr>
          <w:rFonts w:ascii="Times New Roman" w:hAnsi="Times New Roman"/>
          <w:bCs/>
          <w:color w:val="auto"/>
          <w:sz w:val="24"/>
          <w:highlight w:val="none"/>
        </w:rPr>
        <w:t>由第二章工程分析可知项目废水总量</w:t>
      </w:r>
      <w:r>
        <w:rPr>
          <w:rFonts w:hint="eastAsia" w:ascii="Times New Roman" w:hAnsi="Times New Roman"/>
          <w:bCs/>
          <w:color w:val="auto"/>
          <w:sz w:val="24"/>
          <w:highlight w:val="none"/>
        </w:rPr>
        <w:t>101283.348</w:t>
      </w:r>
      <w:r>
        <w:rPr>
          <w:rFonts w:ascii="Times New Roman" w:hAnsi="Times New Roman"/>
          <w:bCs/>
          <w:color w:val="auto"/>
          <w:sz w:val="24"/>
          <w:highlight w:val="none"/>
        </w:rPr>
        <w:t>m</w:t>
      </w:r>
      <w:r>
        <w:rPr>
          <w:rFonts w:ascii="Times New Roman" w:hAnsi="Times New Roman"/>
          <w:bCs/>
          <w:color w:val="auto"/>
          <w:sz w:val="24"/>
          <w:highlight w:val="none"/>
          <w:vertAlign w:val="superscript"/>
        </w:rPr>
        <w:t>3</w:t>
      </w:r>
      <w:r>
        <w:rPr>
          <w:rFonts w:ascii="Times New Roman" w:hAnsi="Times New Roman"/>
          <w:bCs/>
          <w:color w:val="auto"/>
          <w:sz w:val="24"/>
          <w:highlight w:val="none"/>
        </w:rPr>
        <w:t>/a，氨氮最终产生浓度为9</w:t>
      </w:r>
      <w:r>
        <w:rPr>
          <w:rFonts w:hint="eastAsia" w:ascii="Times New Roman" w:hAnsi="Times New Roman"/>
          <w:bCs/>
          <w:color w:val="auto"/>
          <w:sz w:val="24"/>
          <w:highlight w:val="none"/>
          <w:lang w:val="en-US" w:eastAsia="zh-CN"/>
        </w:rPr>
        <w:t>00</w:t>
      </w:r>
      <w:r>
        <w:rPr>
          <w:rFonts w:ascii="Times New Roman" w:hAnsi="Times New Roman"/>
          <w:bCs/>
          <w:color w:val="auto"/>
          <w:sz w:val="24"/>
          <w:highlight w:val="none"/>
        </w:rPr>
        <w:t>mg/L，养殖废水中氨氮浓度为总氮的80%左右，折合总氮浓度为11</w:t>
      </w:r>
      <w:r>
        <w:rPr>
          <w:rFonts w:hint="eastAsia" w:ascii="Times New Roman" w:hAnsi="Times New Roman"/>
          <w:bCs/>
          <w:color w:val="auto"/>
          <w:sz w:val="24"/>
          <w:highlight w:val="none"/>
          <w:lang w:val="en-US" w:eastAsia="zh-CN"/>
        </w:rPr>
        <w:t>25</w:t>
      </w:r>
      <w:r>
        <w:rPr>
          <w:rFonts w:ascii="Times New Roman" w:hAnsi="Times New Roman"/>
          <w:bCs/>
          <w:color w:val="auto"/>
          <w:sz w:val="24"/>
          <w:highlight w:val="none"/>
        </w:rPr>
        <w:t>mg/L，则项目氮素总量为</w:t>
      </w:r>
      <w:r>
        <w:rPr>
          <w:rFonts w:hint="eastAsia"/>
          <w:bCs/>
          <w:color w:val="auto"/>
          <w:sz w:val="24"/>
          <w:highlight w:val="none"/>
          <w:lang w:val="en-US" w:eastAsia="zh-CN"/>
        </w:rPr>
        <w:t>113.94</w:t>
      </w:r>
      <w:r>
        <w:rPr>
          <w:rFonts w:hint="eastAsia" w:ascii="Times New Roman" w:hAnsi="Times New Roman"/>
          <w:bCs/>
          <w:color w:val="auto"/>
          <w:sz w:val="24"/>
          <w:highlight w:val="none"/>
          <w:lang w:val="en-US" w:eastAsia="zh-CN"/>
        </w:rPr>
        <w:t>t</w:t>
      </w:r>
      <w:r>
        <w:rPr>
          <w:rFonts w:ascii="Times New Roman" w:hAnsi="Times New Roman"/>
          <w:bCs/>
          <w:color w:val="auto"/>
          <w:sz w:val="24"/>
          <w:highlight w:val="none"/>
        </w:rPr>
        <w:t>/a。</w:t>
      </w:r>
    </w:p>
    <w:p>
      <w:pPr>
        <w:keepNext w:val="0"/>
        <w:keepLines w:val="0"/>
        <w:pageBreakBefore w:val="0"/>
        <w:widowControl/>
        <w:kinsoku/>
        <w:wordWrap/>
        <w:overflowPunct/>
        <w:autoSpaceDE/>
        <w:autoSpaceDN/>
        <w:bidi w:val="0"/>
        <w:adjustRightInd/>
        <w:snapToGrid/>
        <w:spacing w:line="360" w:lineRule="auto"/>
        <w:ind w:left="0" w:leftChars="0" w:firstLine="480"/>
        <w:jc w:val="both"/>
        <w:textAlignment w:val="auto"/>
        <w:rPr>
          <w:rFonts w:ascii="Times New Roman" w:hAnsi="Times New Roman"/>
          <w:bCs/>
          <w:color w:val="auto"/>
          <w:sz w:val="24"/>
          <w:highlight w:val="none"/>
        </w:rPr>
      </w:pPr>
      <w:r>
        <w:rPr>
          <w:rFonts w:ascii="Times New Roman" w:hAnsi="Times New Roman"/>
          <w:bCs/>
          <w:color w:val="auto"/>
          <w:sz w:val="24"/>
          <w:highlight w:val="none"/>
        </w:rPr>
        <w:t>（二）单位土地粪肥养分需求量</w:t>
      </w:r>
    </w:p>
    <w:p>
      <w:pPr>
        <w:keepNext w:val="0"/>
        <w:keepLines w:val="0"/>
        <w:pageBreakBefore w:val="0"/>
        <w:widowControl/>
        <w:kinsoku/>
        <w:wordWrap/>
        <w:overflowPunct/>
        <w:autoSpaceDE/>
        <w:autoSpaceDN/>
        <w:bidi w:val="0"/>
        <w:adjustRightInd/>
        <w:snapToGrid/>
        <w:spacing w:line="360" w:lineRule="auto"/>
        <w:ind w:left="0" w:leftChars="0" w:firstLine="482"/>
        <w:jc w:val="left"/>
        <w:textAlignment w:val="auto"/>
        <w:rPr>
          <w:rFonts w:ascii="Times New Roman" w:hAnsi="Times New Roman"/>
          <w:bCs/>
          <w:color w:val="auto"/>
          <w:sz w:val="24"/>
          <w:highlight w:val="none"/>
        </w:rPr>
      </w:pPr>
      <w:r>
        <w:rPr>
          <w:color w:val="auto"/>
          <w:highlight w:val="none"/>
        </w:rPr>
        <w:drawing>
          <wp:inline distT="0" distB="0" distL="114300" distR="114300">
            <wp:extent cx="5268595" cy="478790"/>
            <wp:effectExtent l="0" t="0" r="8255" b="16510"/>
            <wp:docPr id="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
                    <pic:cNvPicPr>
                      <a:picLocks noChangeAspect="1"/>
                    </pic:cNvPicPr>
                  </pic:nvPicPr>
                  <pic:blipFill>
                    <a:blip r:embed="rId52"/>
                    <a:stretch>
                      <a:fillRect/>
                    </a:stretch>
                  </pic:blipFill>
                  <pic:spPr>
                    <a:xfrm>
                      <a:off x="0" y="0"/>
                      <a:ext cx="5268595" cy="478790"/>
                    </a:xfrm>
                    <a:prstGeom prst="rect">
                      <a:avLst/>
                    </a:prstGeom>
                    <a:noFill/>
                    <a:ln>
                      <a:noFill/>
                    </a:ln>
                  </pic:spPr>
                </pic:pic>
              </a:graphicData>
            </a:graphic>
          </wp:inline>
        </w:drawing>
      </w:r>
    </w:p>
    <w:p>
      <w:pPr>
        <w:keepNext w:val="0"/>
        <w:keepLines w:val="0"/>
        <w:pageBreakBefore w:val="0"/>
        <w:widowControl/>
        <w:kinsoku/>
        <w:wordWrap/>
        <w:overflowPunct/>
        <w:autoSpaceDE/>
        <w:autoSpaceDN/>
        <w:bidi w:val="0"/>
        <w:adjustRightInd/>
        <w:snapToGrid/>
        <w:spacing w:line="360" w:lineRule="auto"/>
        <w:ind w:left="0" w:leftChars="0" w:firstLine="482"/>
        <w:jc w:val="both"/>
        <w:textAlignment w:val="auto"/>
        <w:rPr>
          <w:rFonts w:ascii="Times New Roman" w:hAnsi="Times New Roman"/>
          <w:bCs/>
          <w:color w:val="auto"/>
          <w:sz w:val="24"/>
          <w:highlight w:val="none"/>
        </w:rPr>
      </w:pPr>
      <w:r>
        <w:rPr>
          <w:rFonts w:ascii="Times New Roman" w:hAnsi="Times New Roman"/>
          <w:bCs/>
          <w:color w:val="auto"/>
          <w:sz w:val="24"/>
          <w:highlight w:val="none"/>
        </w:rPr>
        <w:t>单位土地养分需求量：根据《畜禽粪污土地承载力测算技术指南》，单位土地养分需求量为规模养殖场单位面积配套土地种植的各类植物在目标产量下的氮（磷）养分需求量之和；由本指南中的表3-1并结合项目区近年来农作物产量情况，确定项目配套土地小麦和玉米的产量分别为500kg/亩、600kg/亩；由本指南中的表1每100 kg产量的小麦和玉米需要吸收氮量分别为3.0 kg、2.3 kg；配套土地种植小麦和玉米的单位土地养分需求量分别为15.0 kg/亩、13.8 kg/亩；</w:t>
      </w:r>
    </w:p>
    <w:p>
      <w:pPr>
        <w:keepNext w:val="0"/>
        <w:keepLines w:val="0"/>
        <w:pageBreakBefore w:val="0"/>
        <w:widowControl/>
        <w:shd w:val="clear" w:color="auto" w:fill="FFFFFF"/>
        <w:kinsoku/>
        <w:wordWrap/>
        <w:overflowPunct/>
        <w:autoSpaceDE/>
        <w:autoSpaceDN/>
        <w:bidi w:val="0"/>
        <w:adjustRightInd/>
        <w:snapToGrid/>
        <w:spacing w:line="360" w:lineRule="auto"/>
        <w:ind w:left="0" w:leftChars="0" w:firstLine="480" w:firstLineChars="200"/>
        <w:jc w:val="both"/>
        <w:textAlignment w:val="auto"/>
        <w:rPr>
          <w:rFonts w:ascii="Times New Roman" w:hAnsi="Times New Roman"/>
          <w:bCs/>
          <w:color w:val="auto"/>
          <w:kern w:val="0"/>
          <w:sz w:val="24"/>
          <w:highlight w:val="none"/>
        </w:rPr>
      </w:pPr>
      <w:r>
        <w:rPr>
          <w:rFonts w:ascii="Times New Roman" w:hAnsi="Times New Roman"/>
          <w:bCs/>
          <w:color w:val="auto"/>
          <w:kern w:val="0"/>
          <w:sz w:val="24"/>
          <w:highlight w:val="none"/>
        </w:rPr>
        <w:t>施肥供给养分占比：土壤养分水平为Ⅲ类土壤，结合《畜禽粪污土地承载力测算技术指南》中表2，本次施肥供给占比取45</w:t>
      </w:r>
      <w:r>
        <w:rPr>
          <w:rFonts w:hint="eastAsia"/>
          <w:bCs/>
          <w:color w:val="auto"/>
          <w:kern w:val="0"/>
          <w:sz w:val="24"/>
          <w:highlight w:val="none"/>
          <w:lang w:val="en-US" w:eastAsia="zh-CN"/>
        </w:rPr>
        <w:t>%</w:t>
      </w:r>
      <w:r>
        <w:rPr>
          <w:rFonts w:ascii="Times New Roman" w:hAnsi="Times New Roman"/>
          <w:bCs/>
          <w:color w:val="auto"/>
          <w:kern w:val="0"/>
          <w:sz w:val="24"/>
          <w:highlight w:val="none"/>
        </w:rPr>
        <w:t>；</w:t>
      </w:r>
    </w:p>
    <w:p>
      <w:pPr>
        <w:keepNext w:val="0"/>
        <w:keepLines w:val="0"/>
        <w:pageBreakBefore w:val="0"/>
        <w:widowControl/>
        <w:shd w:val="clear" w:color="auto" w:fill="FFFFFF"/>
        <w:kinsoku/>
        <w:wordWrap/>
        <w:overflowPunct/>
        <w:autoSpaceDE/>
        <w:autoSpaceDN/>
        <w:bidi w:val="0"/>
        <w:adjustRightInd/>
        <w:snapToGrid/>
        <w:spacing w:line="360" w:lineRule="auto"/>
        <w:ind w:left="0" w:leftChars="0" w:firstLine="480" w:firstLineChars="200"/>
        <w:jc w:val="both"/>
        <w:textAlignment w:val="auto"/>
        <w:rPr>
          <w:rFonts w:ascii="Times New Roman" w:hAnsi="Times New Roman"/>
          <w:bCs/>
          <w:color w:val="auto"/>
          <w:kern w:val="0"/>
          <w:sz w:val="24"/>
          <w:highlight w:val="none"/>
        </w:rPr>
      </w:pPr>
      <w:r>
        <w:rPr>
          <w:rFonts w:ascii="Times New Roman" w:hAnsi="Times New Roman"/>
          <w:bCs/>
          <w:color w:val="auto"/>
          <w:kern w:val="0"/>
          <w:sz w:val="24"/>
          <w:highlight w:val="none"/>
        </w:rPr>
        <w:t>粪肥占施肥比例：75</w:t>
      </w:r>
      <w:r>
        <w:rPr>
          <w:rFonts w:hint="eastAsia"/>
          <w:bCs/>
          <w:color w:val="auto"/>
          <w:kern w:val="0"/>
          <w:sz w:val="24"/>
          <w:highlight w:val="none"/>
          <w:lang w:val="en-US" w:eastAsia="zh-CN"/>
        </w:rPr>
        <w:t>%</w:t>
      </w:r>
      <w:r>
        <w:rPr>
          <w:rFonts w:ascii="Times New Roman" w:hAnsi="Times New Roman"/>
          <w:bCs/>
          <w:color w:val="auto"/>
          <w:kern w:val="0"/>
          <w:sz w:val="24"/>
          <w:highlight w:val="none"/>
        </w:rPr>
        <w:t>（配套消纳地将沼液作为底肥和基肥使用使用量按总施肥量的75%计，其他肥料使用量按25%）；</w:t>
      </w:r>
    </w:p>
    <w:p>
      <w:pPr>
        <w:keepNext w:val="0"/>
        <w:keepLines w:val="0"/>
        <w:pageBreakBefore w:val="0"/>
        <w:widowControl/>
        <w:shd w:val="clear" w:color="auto" w:fill="FFFFFF"/>
        <w:kinsoku/>
        <w:wordWrap/>
        <w:overflowPunct/>
        <w:autoSpaceDE/>
        <w:autoSpaceDN/>
        <w:bidi w:val="0"/>
        <w:adjustRightInd/>
        <w:snapToGrid/>
        <w:spacing w:line="360" w:lineRule="auto"/>
        <w:ind w:left="0" w:leftChars="0" w:firstLine="480" w:firstLineChars="200"/>
        <w:jc w:val="both"/>
        <w:textAlignment w:val="auto"/>
        <w:rPr>
          <w:rFonts w:ascii="Times New Roman" w:hAnsi="Times New Roman"/>
          <w:bCs/>
          <w:color w:val="auto"/>
          <w:kern w:val="0"/>
          <w:sz w:val="24"/>
          <w:highlight w:val="none"/>
        </w:rPr>
      </w:pPr>
      <w:r>
        <w:rPr>
          <w:rFonts w:ascii="Times New Roman" w:hAnsi="Times New Roman"/>
          <w:bCs/>
          <w:color w:val="auto"/>
          <w:kern w:val="0"/>
          <w:sz w:val="24"/>
          <w:highlight w:val="none"/>
        </w:rPr>
        <w:t>粪肥当季利用率：25</w:t>
      </w:r>
      <w:r>
        <w:rPr>
          <w:rFonts w:hint="eastAsia"/>
          <w:bCs/>
          <w:color w:val="auto"/>
          <w:kern w:val="0"/>
          <w:sz w:val="24"/>
          <w:highlight w:val="none"/>
          <w:lang w:val="en-US" w:eastAsia="zh-CN"/>
        </w:rPr>
        <w:t>%</w:t>
      </w:r>
      <w:r>
        <w:rPr>
          <w:rFonts w:ascii="Times New Roman" w:hAnsi="Times New Roman"/>
          <w:bCs/>
          <w:color w:val="auto"/>
          <w:kern w:val="0"/>
          <w:sz w:val="24"/>
          <w:highlight w:val="none"/>
        </w:rPr>
        <w:t>（粪肥中氮素当季利用率推荐值为25%—30%，具体根据当地实际情况确定，本项目取25</w:t>
      </w:r>
      <w:r>
        <w:rPr>
          <w:rFonts w:hint="eastAsia"/>
          <w:bCs/>
          <w:color w:val="auto"/>
          <w:kern w:val="0"/>
          <w:sz w:val="24"/>
          <w:highlight w:val="none"/>
          <w:lang w:val="en-US" w:eastAsia="zh-CN"/>
        </w:rPr>
        <w:t>%</w:t>
      </w:r>
      <w:r>
        <w:rPr>
          <w:rFonts w:ascii="Times New Roman" w:hAnsi="Times New Roman"/>
          <w:bCs/>
          <w:color w:val="auto"/>
          <w:kern w:val="0"/>
          <w:sz w:val="24"/>
          <w:highlight w:val="none"/>
        </w:rPr>
        <w:t>）</w:t>
      </w:r>
    </w:p>
    <w:p>
      <w:pPr>
        <w:keepNext w:val="0"/>
        <w:keepLines w:val="0"/>
        <w:pageBreakBefore w:val="0"/>
        <w:widowControl/>
        <w:shd w:val="clear" w:color="auto" w:fill="FFFFFF"/>
        <w:kinsoku/>
        <w:wordWrap/>
        <w:overflowPunct/>
        <w:autoSpaceDE/>
        <w:autoSpaceDN/>
        <w:bidi w:val="0"/>
        <w:adjustRightInd/>
        <w:snapToGrid/>
        <w:spacing w:line="360" w:lineRule="auto"/>
        <w:ind w:left="0" w:leftChars="0" w:firstLine="480" w:firstLineChars="200"/>
        <w:jc w:val="both"/>
        <w:textAlignment w:val="auto"/>
        <w:rPr>
          <w:rFonts w:ascii="Times New Roman" w:hAnsi="Times New Roman"/>
          <w:bCs/>
          <w:color w:val="auto"/>
          <w:kern w:val="0"/>
          <w:sz w:val="24"/>
          <w:highlight w:val="none"/>
        </w:rPr>
      </w:pPr>
      <w:r>
        <w:rPr>
          <w:rFonts w:ascii="Times New Roman" w:hAnsi="Times New Roman"/>
          <w:bCs/>
          <w:color w:val="auto"/>
          <w:kern w:val="0"/>
          <w:sz w:val="24"/>
          <w:highlight w:val="none"/>
        </w:rPr>
        <w:t>则项目区土地种植小麦时单位土地粪肥养分需求量为20.25kg/亩；地种植玉米时单位土地粪肥养分需求量为18.63 kg/亩；</w:t>
      </w:r>
    </w:p>
    <w:p>
      <w:pPr>
        <w:keepNext w:val="0"/>
        <w:keepLines w:val="0"/>
        <w:pageBreakBefore w:val="0"/>
        <w:widowControl/>
        <w:kinsoku/>
        <w:wordWrap/>
        <w:overflowPunct/>
        <w:autoSpaceDE/>
        <w:autoSpaceDN/>
        <w:bidi w:val="0"/>
        <w:adjustRightInd/>
        <w:snapToGrid/>
        <w:spacing w:line="360" w:lineRule="auto"/>
        <w:ind w:left="0" w:leftChars="0" w:firstLine="480"/>
        <w:jc w:val="both"/>
        <w:textAlignment w:val="auto"/>
        <w:rPr>
          <w:rFonts w:ascii="Times New Roman" w:hAnsi="Times New Roman"/>
          <w:bCs/>
          <w:color w:val="auto"/>
          <w:sz w:val="24"/>
          <w:highlight w:val="none"/>
        </w:rPr>
      </w:pPr>
      <w:r>
        <w:rPr>
          <w:rFonts w:ascii="Times New Roman" w:hAnsi="Times New Roman"/>
          <w:bCs/>
          <w:color w:val="auto"/>
          <w:sz w:val="24"/>
          <w:highlight w:val="none"/>
        </w:rPr>
        <w:t>则项目区单位土地全年粪肥养分需求量为38.88 kg/亩</w:t>
      </w:r>
      <w:r>
        <w:rPr>
          <w:rFonts w:hint="eastAsia"/>
          <w:bCs/>
          <w:color w:val="auto"/>
          <w:sz w:val="24"/>
          <w:highlight w:val="none"/>
          <w:lang w:eastAsia="zh-CN"/>
        </w:rPr>
        <w:t>；</w:t>
      </w:r>
      <w:r>
        <w:rPr>
          <w:rFonts w:ascii="Times New Roman" w:hAnsi="Times New Roman"/>
          <w:bCs/>
          <w:color w:val="auto"/>
          <w:sz w:val="24"/>
          <w:highlight w:val="none"/>
        </w:rPr>
        <w:t>因此本项目配套消纳地面积约为</w:t>
      </w:r>
      <w:r>
        <w:rPr>
          <w:rFonts w:hint="eastAsia"/>
          <w:bCs/>
          <w:color w:val="auto"/>
          <w:sz w:val="24"/>
          <w:highlight w:val="none"/>
          <w:lang w:val="en-US" w:eastAsia="zh-CN"/>
        </w:rPr>
        <w:t>2931</w:t>
      </w:r>
      <w:r>
        <w:rPr>
          <w:rFonts w:ascii="Times New Roman" w:hAnsi="Times New Roman"/>
          <w:bCs/>
          <w:color w:val="auto"/>
          <w:sz w:val="24"/>
          <w:highlight w:val="none"/>
        </w:rPr>
        <w:t>亩。</w:t>
      </w:r>
    </w:p>
    <w:p>
      <w:pPr>
        <w:keepNext w:val="0"/>
        <w:keepLines w:val="0"/>
        <w:pageBreakBefore w:val="0"/>
        <w:widowControl/>
        <w:kinsoku/>
        <w:wordWrap/>
        <w:overflowPunct/>
        <w:autoSpaceDE/>
        <w:autoSpaceDN/>
        <w:bidi w:val="0"/>
        <w:adjustRightInd/>
        <w:snapToGrid/>
        <w:spacing w:line="360" w:lineRule="auto"/>
        <w:ind w:left="0" w:leftChars="0" w:firstLine="480" w:firstLineChars="200"/>
        <w:jc w:val="both"/>
        <w:textAlignment w:val="auto"/>
        <w:rPr>
          <w:rFonts w:ascii="Times New Roman" w:hAnsi="Times New Roman"/>
          <w:bCs/>
          <w:color w:val="auto"/>
          <w:kern w:val="0"/>
          <w:sz w:val="24"/>
          <w:highlight w:val="none"/>
        </w:rPr>
      </w:pPr>
      <w:r>
        <w:rPr>
          <w:rFonts w:hint="eastAsia"/>
          <w:bCs/>
          <w:color w:val="auto"/>
          <w:sz w:val="24"/>
          <w:highlight w:val="none"/>
          <w:lang w:eastAsia="zh-CN"/>
        </w:rPr>
        <w:t>平舆</w:t>
      </w:r>
      <w:r>
        <w:rPr>
          <w:rFonts w:ascii="Times New Roman" w:hAnsi="Times New Roman"/>
          <w:bCs/>
          <w:color w:val="auto"/>
          <w:sz w:val="24"/>
          <w:highlight w:val="none"/>
        </w:rPr>
        <w:t>牧原农牧有限公司和</w:t>
      </w:r>
      <w:r>
        <w:rPr>
          <w:rFonts w:ascii="Times New Roman" w:hAnsi="Times New Roman"/>
          <w:bCs/>
          <w:color w:val="auto"/>
          <w:kern w:val="0"/>
          <w:sz w:val="24"/>
          <w:szCs w:val="21"/>
          <w:highlight w:val="none"/>
        </w:rPr>
        <w:t>周边</w:t>
      </w:r>
      <w:r>
        <w:rPr>
          <w:rFonts w:ascii="Times New Roman" w:hAnsi="Times New Roman"/>
          <w:bCs/>
          <w:color w:val="auto"/>
          <w:sz w:val="24"/>
          <w:highlight w:val="none"/>
        </w:rPr>
        <w:t>村民委员会签订沼液综合利用协议（见附件</w:t>
      </w:r>
      <w:r>
        <w:rPr>
          <w:rFonts w:hint="eastAsia"/>
          <w:bCs/>
          <w:color w:val="auto"/>
          <w:sz w:val="24"/>
          <w:highlight w:val="none"/>
          <w:lang w:eastAsia="zh-CN"/>
        </w:rPr>
        <w:t>七</w:t>
      </w:r>
      <w:r>
        <w:rPr>
          <w:rFonts w:ascii="Times New Roman" w:hAnsi="Times New Roman"/>
          <w:bCs/>
          <w:color w:val="auto"/>
          <w:sz w:val="24"/>
          <w:highlight w:val="none"/>
        </w:rPr>
        <w:t>），共利用</w:t>
      </w:r>
      <w:r>
        <w:rPr>
          <w:rFonts w:hint="eastAsia"/>
          <w:bCs/>
          <w:color w:val="auto"/>
          <w:sz w:val="24"/>
          <w:highlight w:val="none"/>
          <w:lang w:val="en-US" w:eastAsia="zh-CN"/>
        </w:rPr>
        <w:t>4800</w:t>
      </w:r>
      <w:r>
        <w:rPr>
          <w:rFonts w:ascii="Times New Roman" w:hAnsi="Times New Roman"/>
          <w:bCs/>
          <w:color w:val="auto"/>
          <w:sz w:val="24"/>
          <w:highlight w:val="none"/>
        </w:rPr>
        <w:t>亩农田，位于项目东侧和南侧，消纳项目产生的沼液。消纳地由当地农民根据需要自己种植作物，公司负责无偿将沼液输送管网铺设至田间地头，并定期派出管理和技术人员指导农户合理施用沼液。</w:t>
      </w:r>
    </w:p>
    <w:p>
      <w:pPr>
        <w:keepNext w:val="0"/>
        <w:keepLines w:val="0"/>
        <w:pageBreakBefore w:val="0"/>
        <w:widowControl/>
        <w:kinsoku/>
        <w:wordWrap/>
        <w:overflowPunct/>
        <w:autoSpaceDE/>
        <w:autoSpaceDN/>
        <w:bidi w:val="0"/>
        <w:adjustRightInd/>
        <w:snapToGrid/>
        <w:spacing w:line="360" w:lineRule="auto"/>
        <w:ind w:left="0" w:leftChars="0" w:firstLine="480"/>
        <w:jc w:val="both"/>
        <w:textAlignment w:val="auto"/>
        <w:rPr>
          <w:rFonts w:ascii="Times New Roman" w:hAnsi="Times New Roman"/>
          <w:bCs/>
          <w:color w:val="auto"/>
          <w:sz w:val="24"/>
          <w:highlight w:val="none"/>
        </w:rPr>
      </w:pPr>
      <w:r>
        <w:rPr>
          <w:rFonts w:ascii="Times New Roman" w:hAnsi="Times New Roman"/>
          <w:bCs/>
          <w:color w:val="auto"/>
          <w:sz w:val="24"/>
          <w:highlight w:val="none"/>
        </w:rPr>
        <w:t>综上，用于本项目沼液消纳地面积为</w:t>
      </w:r>
      <w:r>
        <w:rPr>
          <w:rFonts w:hint="eastAsia"/>
          <w:bCs/>
          <w:color w:val="auto"/>
          <w:sz w:val="24"/>
          <w:highlight w:val="none"/>
          <w:lang w:val="en-US" w:eastAsia="zh-CN"/>
        </w:rPr>
        <w:t>4800</w:t>
      </w:r>
      <w:r>
        <w:rPr>
          <w:rFonts w:ascii="Times New Roman" w:hAnsi="Times New Roman"/>
          <w:bCs/>
          <w:color w:val="auto"/>
          <w:sz w:val="24"/>
          <w:highlight w:val="none"/>
        </w:rPr>
        <w:t>亩，大于计算得出的</w:t>
      </w:r>
      <w:r>
        <w:rPr>
          <w:rFonts w:hint="eastAsia"/>
          <w:bCs/>
          <w:color w:val="auto"/>
          <w:sz w:val="24"/>
          <w:highlight w:val="none"/>
          <w:lang w:val="en-US" w:eastAsia="zh-CN"/>
        </w:rPr>
        <w:t>2931</w:t>
      </w:r>
      <w:r>
        <w:rPr>
          <w:rFonts w:ascii="Times New Roman" w:hAnsi="Times New Roman"/>
          <w:bCs/>
          <w:color w:val="auto"/>
          <w:sz w:val="24"/>
          <w:highlight w:val="none"/>
        </w:rPr>
        <w:t>亩，因此本项目沼液消纳地可以消纳项目产生的全部沼液。</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ascii="Times New Roman" w:hAnsi="Times New Roman"/>
          <w:bCs/>
          <w:color w:val="auto"/>
          <w:sz w:val="24"/>
          <w:highlight w:val="none"/>
        </w:rPr>
      </w:pPr>
      <w:r>
        <w:rPr>
          <w:rFonts w:ascii="Times New Roman" w:hAnsi="Times New Roman"/>
          <w:bCs/>
          <w:color w:val="auto"/>
          <w:sz w:val="24"/>
          <w:highlight w:val="none"/>
        </w:rPr>
        <w:t>（3）沼液利用的现实操作性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color w:val="auto"/>
          <w:sz w:val="24"/>
          <w:highlight w:val="none"/>
        </w:rPr>
      </w:pPr>
      <w:r>
        <w:rPr>
          <w:rFonts w:ascii="Times New Roman" w:hAnsi="Times New Roman"/>
          <w:bCs/>
          <w:color w:val="auto"/>
          <w:sz w:val="24"/>
          <w:highlight w:val="none"/>
        </w:rPr>
        <w:t>根据当地的种植规律及施肥规律，对于小麦和玉米均为施基肥两次，因此本评价建议沼液储存的储存时间按</w:t>
      </w:r>
      <w:r>
        <w:rPr>
          <w:rFonts w:hint="eastAsia"/>
          <w:bCs/>
          <w:color w:val="auto"/>
          <w:sz w:val="24"/>
          <w:highlight w:val="none"/>
          <w:lang w:val="en-US" w:eastAsia="zh-CN"/>
        </w:rPr>
        <w:t>120</w:t>
      </w:r>
      <w:r>
        <w:rPr>
          <w:rFonts w:ascii="Times New Roman" w:hAnsi="Times New Roman"/>
          <w:bCs/>
          <w:color w:val="auto"/>
          <w:sz w:val="24"/>
          <w:highlight w:val="none"/>
        </w:rPr>
        <w:t>天计。</w:t>
      </w:r>
    </w:p>
    <w:p>
      <w:pPr>
        <w:keepNext w:val="0"/>
        <w:keepLines w:val="0"/>
        <w:pageBreakBefore w:val="0"/>
        <w:widowControl/>
        <w:kinsoku/>
        <w:wordWrap/>
        <w:overflowPunct/>
        <w:topLinePunct/>
        <w:autoSpaceDE/>
        <w:autoSpaceDN/>
        <w:bidi w:val="0"/>
        <w:adjustRightInd/>
        <w:snapToGrid/>
        <w:spacing w:line="360" w:lineRule="auto"/>
        <w:ind w:firstLine="480" w:firstLineChars="200"/>
        <w:jc w:val="both"/>
        <w:textAlignment w:val="auto"/>
        <w:rPr>
          <w:rFonts w:ascii="Times New Roman" w:hAnsi="Times New Roman"/>
          <w:bCs/>
          <w:color w:val="auto"/>
          <w:sz w:val="24"/>
          <w:highlight w:val="none"/>
        </w:rPr>
      </w:pPr>
      <w:r>
        <w:rPr>
          <w:rFonts w:ascii="Times New Roman" w:hAnsi="Times New Roman"/>
          <w:bCs/>
          <w:color w:val="auto"/>
          <w:sz w:val="24"/>
          <w:highlight w:val="none"/>
        </w:rPr>
        <w:t>沼液储存池的容积：</w:t>
      </w:r>
      <w:r>
        <w:rPr>
          <w:rFonts w:hint="eastAsia" w:ascii="Times New Roman" w:hAnsi="Times New Roman"/>
          <w:bCs/>
          <w:color w:val="auto"/>
          <w:sz w:val="24"/>
          <w:highlight w:val="none"/>
        </w:rPr>
        <w:t>沼液储存池的容积根据《畜禽养殖污水贮存设施设计要求》（GB/T26624-2011）确定的，总容积应为养殖污水量、降雨量和预留体积之和。结合相关法规、牧原养殖场产污水实际及当地农业施肥实际要求，项目实际沼液储存池设计为能够容纳1</w:t>
      </w:r>
      <w:r>
        <w:rPr>
          <w:rFonts w:hint="eastAsia"/>
          <w:bCs/>
          <w:color w:val="auto"/>
          <w:sz w:val="24"/>
          <w:highlight w:val="none"/>
          <w:lang w:val="en-US" w:eastAsia="zh-CN"/>
        </w:rPr>
        <w:t>20</w:t>
      </w:r>
      <w:r>
        <w:rPr>
          <w:rFonts w:hint="eastAsia" w:ascii="Times New Roman" w:hAnsi="Times New Roman"/>
          <w:bCs/>
          <w:color w:val="auto"/>
          <w:sz w:val="24"/>
          <w:highlight w:val="none"/>
        </w:rPr>
        <w:t>天以上的沼液量。根据《畜禽养殖污水贮存设施设计要求》（GB/T26624-2011）中要求，宜预留0.9m高的空间，预留体积按照设施的实际长和宽以及预留高度进行计算，并且池体高度或深度不能超过6m。根据牧原公司设计资料，工程设一个沼液储存池，沼液储存池占地面积</w:t>
      </w:r>
      <w:r>
        <w:rPr>
          <w:rFonts w:hint="eastAsia"/>
          <w:bCs/>
          <w:color w:val="auto"/>
          <w:sz w:val="24"/>
          <w:highlight w:val="none"/>
          <w:lang w:val="en-US" w:eastAsia="zh-CN"/>
        </w:rPr>
        <w:t>10080</w:t>
      </w:r>
      <w:r>
        <w:rPr>
          <w:rFonts w:hint="eastAsia" w:ascii="Times New Roman" w:hAnsi="Times New Roman"/>
          <w:bCs/>
          <w:color w:val="auto"/>
          <w:sz w:val="24"/>
          <w:highlight w:val="none"/>
        </w:rPr>
        <w:t>m</w:t>
      </w:r>
      <w:r>
        <w:rPr>
          <w:rFonts w:hint="eastAsia" w:ascii="Times New Roman" w:hAnsi="Times New Roman"/>
          <w:bCs/>
          <w:color w:val="auto"/>
          <w:sz w:val="24"/>
          <w:highlight w:val="none"/>
          <w:vertAlign w:val="superscript"/>
        </w:rPr>
        <w:t>2</w:t>
      </w:r>
      <w:r>
        <w:rPr>
          <w:rFonts w:hint="eastAsia" w:ascii="Times New Roman" w:hAnsi="Times New Roman"/>
          <w:bCs/>
          <w:color w:val="auto"/>
          <w:sz w:val="24"/>
          <w:highlight w:val="none"/>
        </w:rPr>
        <w:t>，深6m，则有效池容深度为5.1m，所建沼液储存池总容积为</w:t>
      </w:r>
      <w:r>
        <w:rPr>
          <w:rFonts w:hint="eastAsia"/>
          <w:bCs/>
          <w:color w:val="auto"/>
          <w:sz w:val="24"/>
          <w:highlight w:val="none"/>
          <w:lang w:val="en-US" w:eastAsia="zh-CN"/>
        </w:rPr>
        <w:t>60480</w:t>
      </w:r>
      <w:r>
        <w:rPr>
          <w:rFonts w:hint="eastAsia" w:ascii="Times New Roman" w:hAnsi="Times New Roman"/>
          <w:bCs/>
          <w:color w:val="auto"/>
          <w:sz w:val="24"/>
          <w:highlight w:val="none"/>
        </w:rPr>
        <w:t>m</w:t>
      </w:r>
      <w:r>
        <w:rPr>
          <w:rFonts w:hint="eastAsia" w:ascii="Times New Roman" w:hAnsi="Times New Roman"/>
          <w:bCs/>
          <w:color w:val="auto"/>
          <w:sz w:val="24"/>
          <w:highlight w:val="none"/>
          <w:vertAlign w:val="superscript"/>
        </w:rPr>
        <w:t>3</w:t>
      </w:r>
      <w:r>
        <w:rPr>
          <w:rFonts w:hint="eastAsia" w:ascii="Times New Roman" w:hAnsi="Times New Roman"/>
          <w:bCs/>
          <w:color w:val="auto"/>
          <w:sz w:val="24"/>
          <w:highlight w:val="none"/>
        </w:rPr>
        <w:t>，有效容积为</w:t>
      </w:r>
      <w:r>
        <w:rPr>
          <w:rFonts w:hint="eastAsia"/>
          <w:bCs/>
          <w:color w:val="auto"/>
          <w:sz w:val="24"/>
          <w:highlight w:val="none"/>
          <w:lang w:val="en-US" w:eastAsia="zh-CN"/>
        </w:rPr>
        <w:t>51408</w:t>
      </w:r>
      <w:r>
        <w:rPr>
          <w:rFonts w:hint="eastAsia" w:ascii="Times New Roman" w:hAnsi="Times New Roman"/>
          <w:bCs/>
          <w:color w:val="auto"/>
          <w:sz w:val="24"/>
          <w:highlight w:val="none"/>
        </w:rPr>
        <w:t>m</w:t>
      </w:r>
      <w:r>
        <w:rPr>
          <w:rFonts w:hint="eastAsia" w:ascii="Times New Roman" w:hAnsi="Times New Roman"/>
          <w:bCs/>
          <w:color w:val="auto"/>
          <w:sz w:val="24"/>
          <w:highlight w:val="none"/>
          <w:vertAlign w:val="superscript"/>
        </w:rPr>
        <w:t>3</w:t>
      </w:r>
      <w:r>
        <w:rPr>
          <w:rFonts w:hint="eastAsia" w:ascii="Times New Roman" w:hAnsi="Times New Roman"/>
          <w:bCs/>
          <w:color w:val="auto"/>
          <w:sz w:val="24"/>
          <w:highlight w:val="none"/>
        </w:rPr>
        <w:t>。工程夏季最大沼液量为355.982m</w:t>
      </w:r>
      <w:r>
        <w:rPr>
          <w:rFonts w:hint="eastAsia" w:ascii="Times New Roman" w:hAnsi="Times New Roman"/>
          <w:bCs/>
          <w:color w:val="auto"/>
          <w:sz w:val="24"/>
          <w:highlight w:val="none"/>
          <w:vertAlign w:val="superscript"/>
        </w:rPr>
        <w:t>3</w:t>
      </w:r>
      <w:r>
        <w:rPr>
          <w:rFonts w:hint="eastAsia" w:ascii="Times New Roman" w:hAnsi="Times New Roman"/>
          <w:bCs/>
          <w:color w:val="auto"/>
          <w:sz w:val="24"/>
          <w:highlight w:val="none"/>
        </w:rPr>
        <w:t>/d，另外考虑到预留雨水量，历年小时最大暴雨量取历年最大日降水量的10%，</w:t>
      </w:r>
      <w:r>
        <w:rPr>
          <w:rFonts w:hint="eastAsia"/>
          <w:bCs/>
          <w:color w:val="auto"/>
          <w:sz w:val="24"/>
          <w:highlight w:val="none"/>
          <w:lang w:eastAsia="zh-CN"/>
        </w:rPr>
        <w:t>平舆</w:t>
      </w:r>
      <w:r>
        <w:rPr>
          <w:rFonts w:hint="eastAsia" w:ascii="Times New Roman" w:hAnsi="Times New Roman"/>
          <w:bCs/>
          <w:color w:val="auto"/>
          <w:sz w:val="24"/>
          <w:highlight w:val="none"/>
        </w:rPr>
        <w:t>县历年最大日降雨量为</w:t>
      </w:r>
      <w:r>
        <w:rPr>
          <w:rFonts w:hint="eastAsia"/>
          <w:bCs/>
          <w:color w:val="auto"/>
          <w:sz w:val="24"/>
          <w:highlight w:val="none"/>
          <w:lang w:val="en-US" w:eastAsia="zh-CN"/>
        </w:rPr>
        <w:t>147.3</w:t>
      </w:r>
      <w:r>
        <w:rPr>
          <w:rFonts w:hint="eastAsia" w:ascii="Times New Roman" w:hAnsi="Times New Roman"/>
          <w:bCs/>
          <w:color w:val="auto"/>
          <w:sz w:val="24"/>
          <w:highlight w:val="none"/>
        </w:rPr>
        <w:t>mm/h，降雨时间按2h</w:t>
      </w:r>
      <w:r>
        <w:rPr>
          <w:rFonts w:hint="eastAsia"/>
          <w:bCs/>
          <w:color w:val="auto"/>
          <w:sz w:val="24"/>
          <w:highlight w:val="none"/>
          <w:lang w:eastAsia="zh-CN"/>
        </w:rPr>
        <w:t>，</w:t>
      </w:r>
      <w:r>
        <w:rPr>
          <w:rFonts w:hint="eastAsia" w:ascii="Times New Roman" w:hAnsi="Times New Roman"/>
          <w:bCs/>
          <w:color w:val="auto"/>
          <w:sz w:val="24"/>
          <w:highlight w:val="none"/>
        </w:rPr>
        <w:t>沼液池表面积为</w:t>
      </w:r>
      <w:r>
        <w:rPr>
          <w:rFonts w:hint="eastAsia"/>
          <w:bCs/>
          <w:color w:val="auto"/>
          <w:sz w:val="24"/>
          <w:highlight w:val="none"/>
          <w:lang w:val="en-US" w:eastAsia="zh-CN"/>
        </w:rPr>
        <w:t>1008</w:t>
      </w:r>
      <w:r>
        <w:rPr>
          <w:rFonts w:hint="eastAsia" w:ascii="Times New Roman" w:hAnsi="Times New Roman"/>
          <w:bCs/>
          <w:color w:val="auto"/>
          <w:sz w:val="24"/>
          <w:highlight w:val="none"/>
        </w:rPr>
        <w:t>0m</w:t>
      </w:r>
      <w:r>
        <w:rPr>
          <w:rFonts w:hint="eastAsia" w:ascii="Times New Roman" w:hAnsi="Times New Roman"/>
          <w:bCs/>
          <w:color w:val="auto"/>
          <w:sz w:val="24"/>
          <w:highlight w:val="none"/>
          <w:vertAlign w:val="superscript"/>
        </w:rPr>
        <w:t>2</w:t>
      </w:r>
      <w:r>
        <w:rPr>
          <w:rFonts w:hint="eastAsia" w:ascii="Times New Roman" w:hAnsi="Times New Roman"/>
          <w:bCs/>
          <w:color w:val="auto"/>
          <w:sz w:val="24"/>
          <w:highlight w:val="none"/>
        </w:rPr>
        <w:t>，所占有效容积为2</w:t>
      </w:r>
      <w:r>
        <w:rPr>
          <w:rFonts w:hint="eastAsia"/>
          <w:bCs/>
          <w:color w:val="auto"/>
          <w:sz w:val="24"/>
          <w:highlight w:val="none"/>
          <w:lang w:val="en-US" w:eastAsia="zh-CN"/>
        </w:rPr>
        <w:t>969.57</w:t>
      </w:r>
      <w:r>
        <w:rPr>
          <w:rFonts w:hint="eastAsia" w:ascii="Times New Roman" w:hAnsi="Times New Roman"/>
          <w:bCs/>
          <w:color w:val="auto"/>
          <w:sz w:val="24"/>
          <w:highlight w:val="none"/>
        </w:rPr>
        <w:t>m</w:t>
      </w:r>
      <w:r>
        <w:rPr>
          <w:rFonts w:hint="eastAsia" w:ascii="Times New Roman" w:hAnsi="Times New Roman"/>
          <w:bCs/>
          <w:color w:val="auto"/>
          <w:sz w:val="24"/>
          <w:highlight w:val="none"/>
          <w:vertAlign w:val="superscript"/>
        </w:rPr>
        <w:t>3</w:t>
      </w:r>
      <w:r>
        <w:rPr>
          <w:rFonts w:hint="eastAsia" w:ascii="Times New Roman" w:hAnsi="Times New Roman"/>
          <w:bCs/>
          <w:color w:val="auto"/>
          <w:sz w:val="24"/>
          <w:highlight w:val="none"/>
        </w:rPr>
        <w:t>，剩余有效容积</w:t>
      </w:r>
      <w:r>
        <w:rPr>
          <w:rFonts w:hint="eastAsia"/>
          <w:bCs/>
          <w:color w:val="auto"/>
          <w:sz w:val="24"/>
          <w:highlight w:val="none"/>
          <w:lang w:val="en-US" w:eastAsia="zh-CN"/>
        </w:rPr>
        <w:t>48438.432</w:t>
      </w:r>
      <w:r>
        <w:rPr>
          <w:rFonts w:hint="eastAsia" w:ascii="Times New Roman" w:hAnsi="Times New Roman"/>
          <w:bCs/>
          <w:color w:val="auto"/>
          <w:sz w:val="24"/>
          <w:highlight w:val="none"/>
        </w:rPr>
        <w:t>m</w:t>
      </w:r>
      <w:r>
        <w:rPr>
          <w:rFonts w:hint="eastAsia" w:ascii="Times New Roman" w:hAnsi="Times New Roman"/>
          <w:bCs/>
          <w:color w:val="auto"/>
          <w:sz w:val="24"/>
          <w:highlight w:val="none"/>
          <w:vertAlign w:val="superscript"/>
        </w:rPr>
        <w:t>3</w:t>
      </w:r>
      <w:r>
        <w:rPr>
          <w:rFonts w:hint="eastAsia" w:ascii="Times New Roman" w:hAnsi="Times New Roman"/>
          <w:bCs/>
          <w:color w:val="auto"/>
          <w:sz w:val="24"/>
          <w:highlight w:val="none"/>
        </w:rPr>
        <w:t>，本项目1</w:t>
      </w:r>
      <w:r>
        <w:rPr>
          <w:rFonts w:hint="eastAsia"/>
          <w:bCs/>
          <w:color w:val="auto"/>
          <w:sz w:val="24"/>
          <w:highlight w:val="none"/>
          <w:lang w:val="en-US" w:eastAsia="zh-CN"/>
        </w:rPr>
        <w:t>20</w:t>
      </w:r>
      <w:r>
        <w:rPr>
          <w:rFonts w:hint="eastAsia" w:ascii="Times New Roman" w:hAnsi="Times New Roman"/>
          <w:bCs/>
          <w:color w:val="auto"/>
          <w:sz w:val="24"/>
          <w:highlight w:val="none"/>
        </w:rPr>
        <w:t>天废水量为42717.84m</w:t>
      </w:r>
      <w:r>
        <w:rPr>
          <w:rFonts w:hint="eastAsia" w:ascii="Times New Roman" w:hAnsi="Times New Roman"/>
          <w:bCs/>
          <w:color w:val="auto"/>
          <w:sz w:val="24"/>
          <w:highlight w:val="none"/>
          <w:vertAlign w:val="superscript"/>
        </w:rPr>
        <w:t>3</w:t>
      </w:r>
      <w:r>
        <w:rPr>
          <w:rFonts w:hint="eastAsia" w:ascii="Times New Roman" w:hAnsi="Times New Roman"/>
          <w:bCs/>
          <w:color w:val="auto"/>
          <w:sz w:val="24"/>
          <w:highlight w:val="none"/>
        </w:rPr>
        <w:t>，项目沼液暂存池可以满足工程1</w:t>
      </w:r>
      <w:r>
        <w:rPr>
          <w:rFonts w:hint="eastAsia"/>
          <w:bCs/>
          <w:color w:val="auto"/>
          <w:sz w:val="24"/>
          <w:highlight w:val="none"/>
          <w:lang w:val="en-US" w:eastAsia="zh-CN"/>
        </w:rPr>
        <w:t>20</w:t>
      </w:r>
      <w:r>
        <w:rPr>
          <w:rFonts w:hint="eastAsia" w:ascii="Times New Roman" w:hAnsi="Times New Roman"/>
          <w:bCs/>
          <w:color w:val="auto"/>
          <w:sz w:val="24"/>
          <w:highlight w:val="none"/>
        </w:rPr>
        <w:t>天以上的沼液量。</w:t>
      </w:r>
    </w:p>
    <w:p>
      <w:pPr>
        <w:keepNext w:val="0"/>
        <w:keepLines w:val="0"/>
        <w:pageBreakBefore w:val="0"/>
        <w:widowControl/>
        <w:kinsoku/>
        <w:wordWrap/>
        <w:overflowPunct/>
        <w:topLinePunct/>
        <w:autoSpaceDE/>
        <w:autoSpaceDN/>
        <w:bidi w:val="0"/>
        <w:adjustRightInd/>
        <w:snapToGrid/>
        <w:spacing w:line="360" w:lineRule="auto"/>
        <w:ind w:firstLine="480" w:firstLineChars="200"/>
        <w:jc w:val="both"/>
        <w:textAlignment w:val="auto"/>
        <w:rPr>
          <w:rFonts w:ascii="Times New Roman" w:hAnsi="Times New Roman"/>
          <w:bCs/>
          <w:color w:val="auto"/>
          <w:sz w:val="24"/>
          <w:highlight w:val="none"/>
        </w:rPr>
      </w:pPr>
      <w:r>
        <w:rPr>
          <w:rFonts w:ascii="Times New Roman" w:hAnsi="Times New Roman"/>
          <w:bCs/>
          <w:color w:val="auto"/>
          <w:sz w:val="24"/>
          <w:highlight w:val="none"/>
        </w:rPr>
        <w:t>根据走访调研，当地群众施肥规律，本评价提出沼液施肥方式为每年两次基肥。</w:t>
      </w:r>
    </w:p>
    <w:p>
      <w:pPr>
        <w:keepNext w:val="0"/>
        <w:keepLines w:val="0"/>
        <w:pageBreakBefore w:val="0"/>
        <w:widowControl/>
        <w:shd w:val="clear" w:color="auto" w:fill="FFFFFF"/>
        <w:tabs>
          <w:tab w:val="right" w:leader="dot" w:pos="8647"/>
        </w:tabs>
        <w:kinsoku/>
        <w:wordWrap/>
        <w:overflowPunct/>
        <w:autoSpaceDE/>
        <w:autoSpaceDN/>
        <w:bidi w:val="0"/>
        <w:adjustRightInd/>
        <w:snapToGrid/>
        <w:spacing w:line="360" w:lineRule="auto"/>
        <w:ind w:firstLine="480" w:firstLineChars="200"/>
        <w:jc w:val="both"/>
        <w:textAlignment w:val="auto"/>
        <w:rPr>
          <w:rFonts w:ascii="Times New Roman" w:hAnsi="Times New Roman"/>
          <w:bCs/>
          <w:color w:val="auto"/>
          <w:sz w:val="24"/>
          <w:highlight w:val="none"/>
        </w:rPr>
      </w:pPr>
      <w:r>
        <w:rPr>
          <w:rFonts w:hint="eastAsia"/>
          <w:bCs/>
          <w:color w:val="auto"/>
          <w:sz w:val="24"/>
          <w:highlight w:val="none"/>
          <w:lang w:eastAsia="zh-CN"/>
        </w:rPr>
        <w:t>平舆</w:t>
      </w:r>
      <w:r>
        <w:rPr>
          <w:rFonts w:ascii="Times New Roman" w:hAnsi="Times New Roman"/>
          <w:bCs/>
          <w:color w:val="auto"/>
          <w:sz w:val="24"/>
          <w:highlight w:val="none"/>
        </w:rPr>
        <w:t>牧原农牧有限公司在沼液消纳区无偿建设沼液输送管网，并合理设置预留口。</w:t>
      </w:r>
    </w:p>
    <w:p>
      <w:pPr>
        <w:keepNext w:val="0"/>
        <w:keepLines w:val="0"/>
        <w:pageBreakBefore w:val="0"/>
        <w:widowControl/>
        <w:shd w:val="clear" w:color="auto" w:fill="FFFFFF"/>
        <w:tabs>
          <w:tab w:val="right" w:leader="dot" w:pos="8647"/>
        </w:tabs>
        <w:kinsoku/>
        <w:wordWrap/>
        <w:overflowPunct/>
        <w:autoSpaceDE/>
        <w:autoSpaceDN/>
        <w:bidi w:val="0"/>
        <w:adjustRightInd/>
        <w:snapToGrid/>
        <w:spacing w:line="360" w:lineRule="auto"/>
        <w:ind w:firstLine="480" w:firstLineChars="200"/>
        <w:jc w:val="both"/>
        <w:textAlignment w:val="auto"/>
        <w:rPr>
          <w:rFonts w:ascii="Times New Roman" w:hAnsi="Times New Roman"/>
          <w:bCs/>
          <w:color w:val="auto"/>
          <w:kern w:val="0"/>
          <w:sz w:val="24"/>
          <w:highlight w:val="none"/>
        </w:rPr>
      </w:pPr>
      <w:r>
        <w:rPr>
          <w:rFonts w:ascii="Times New Roman" w:hAnsi="Times New Roman"/>
          <w:bCs/>
          <w:color w:val="auto"/>
          <w:kern w:val="0"/>
          <w:sz w:val="24"/>
          <w:highlight w:val="none"/>
        </w:rPr>
        <w:t>沼液施肥系统包括：动力系统、沼液泵、管道安全装置、电器保护装置。泵站设计应充分考虑灌区的覆盖面积、扬程。沼液泵必须满足抽提含有纤维或其它悬浮物的高粘稠液体的要求，泵、管网及管件具抗腐蚀性。</w:t>
      </w:r>
    </w:p>
    <w:p>
      <w:pPr>
        <w:keepNext w:val="0"/>
        <w:keepLines w:val="0"/>
        <w:pageBreakBefore w:val="0"/>
        <w:widowControl/>
        <w:tabs>
          <w:tab w:val="right" w:leader="dot" w:pos="8647"/>
        </w:tabs>
        <w:kinsoku/>
        <w:wordWrap/>
        <w:overflowPunct/>
        <w:autoSpaceDE/>
        <w:autoSpaceDN/>
        <w:bidi w:val="0"/>
        <w:adjustRightInd/>
        <w:snapToGrid/>
        <w:spacing w:line="360" w:lineRule="auto"/>
        <w:ind w:firstLine="480"/>
        <w:jc w:val="both"/>
        <w:textAlignment w:val="auto"/>
        <w:rPr>
          <w:rFonts w:ascii="Times New Roman" w:hAnsi="Times New Roman"/>
          <w:bCs/>
          <w:color w:val="auto"/>
          <w:sz w:val="24"/>
          <w:highlight w:val="none"/>
        </w:rPr>
      </w:pPr>
      <w:r>
        <w:rPr>
          <w:rFonts w:ascii="Times New Roman" w:hAnsi="Times New Roman"/>
          <w:bCs/>
          <w:color w:val="auto"/>
          <w:sz w:val="24"/>
          <w:highlight w:val="none"/>
        </w:rPr>
        <w:t>安装管道安全装置、电器保护装置的设计应根据抽提扬程、出液量，实现管道自动调压抗爆、排堵防蚀和过载保护，满足普通UPVC等廉价管材在沼液提灌中不堵塞、不爆管，接口不拉裂、不滴漏的需要，降低建造和运行成本。</w:t>
      </w:r>
    </w:p>
    <w:p>
      <w:pPr>
        <w:keepNext w:val="0"/>
        <w:keepLines w:val="0"/>
        <w:pageBreakBefore w:val="0"/>
        <w:widowControl/>
        <w:shd w:val="clear" w:color="auto" w:fill="FFFFFF"/>
        <w:tabs>
          <w:tab w:val="right" w:leader="dot" w:pos="8647"/>
        </w:tabs>
        <w:kinsoku/>
        <w:wordWrap/>
        <w:overflowPunct/>
        <w:autoSpaceDE/>
        <w:autoSpaceDN/>
        <w:bidi w:val="0"/>
        <w:adjustRightInd/>
        <w:snapToGrid/>
        <w:spacing w:line="360" w:lineRule="auto"/>
        <w:ind w:firstLine="480" w:firstLineChars="200"/>
        <w:jc w:val="both"/>
        <w:textAlignment w:val="auto"/>
        <w:rPr>
          <w:rFonts w:ascii="Times New Roman" w:hAnsi="Times New Roman"/>
          <w:bCs/>
          <w:color w:val="auto"/>
          <w:kern w:val="0"/>
          <w:sz w:val="24"/>
          <w:highlight w:val="none"/>
        </w:rPr>
      </w:pPr>
      <w:r>
        <w:rPr>
          <w:rFonts w:ascii="Times New Roman" w:hAnsi="Times New Roman"/>
          <w:bCs/>
          <w:color w:val="auto"/>
          <w:kern w:val="0"/>
          <w:sz w:val="24"/>
          <w:highlight w:val="none"/>
        </w:rPr>
        <w:t>沼液施肥管网必须具有自动防爆抗堵等安全功能，具有效防止管道沼液二次产气爆管，沼渣、厌氧菌落群生长和化学沉淀物、鸟粪石等堵管的处置设计和工艺装置，具有迅速发现和确定管道堵塞位置的监测装置。安装的防爆裂、防堵塞安全装置能够保证UPVC、PVC、PE等塑料管材在沼液管道灌溉中不出现堵塞、爆裂，接口拉裂、漏水等质量安全问题，保证沼液施肥管网的长期使用和安全运行。</w:t>
      </w:r>
    </w:p>
    <w:p>
      <w:pPr>
        <w:keepNext w:val="0"/>
        <w:keepLines w:val="0"/>
        <w:pageBreakBefore w:val="0"/>
        <w:widowControl/>
        <w:tabs>
          <w:tab w:val="right" w:leader="dot" w:pos="8647"/>
        </w:tabs>
        <w:kinsoku/>
        <w:wordWrap/>
        <w:overflowPunct/>
        <w:autoSpaceDE/>
        <w:autoSpaceDN/>
        <w:bidi w:val="0"/>
        <w:adjustRightInd/>
        <w:snapToGrid/>
        <w:spacing w:line="360" w:lineRule="auto"/>
        <w:ind w:firstLine="480"/>
        <w:jc w:val="both"/>
        <w:textAlignment w:val="auto"/>
        <w:rPr>
          <w:rFonts w:ascii="Times New Roman" w:hAnsi="Times New Roman"/>
          <w:bCs/>
          <w:color w:val="auto"/>
          <w:sz w:val="24"/>
          <w:highlight w:val="none"/>
        </w:rPr>
      </w:pPr>
      <w:r>
        <w:rPr>
          <w:rFonts w:ascii="Times New Roman" w:hAnsi="Times New Roman"/>
          <w:bCs/>
          <w:color w:val="auto"/>
          <w:sz w:val="24"/>
          <w:highlight w:val="none"/>
        </w:rPr>
        <w:t>各种管线应全面安排，用不同颜色加以区别，要避免迂回曲折和相互干扰，沼液输送管道与管件必须具防腐性，管线布置应尽量减少管道弯头，减少能量损耗和便于清通。主要管网宜采用埋设，距管顶深度≧40cm，裸露部分应选用抗老化材料或进行防老化处理。长距离直线管道要设计防热胀冷缩的构造。</w:t>
      </w:r>
    </w:p>
    <w:p>
      <w:pPr>
        <w:keepNext w:val="0"/>
        <w:keepLines w:val="0"/>
        <w:pageBreakBefore w:val="0"/>
        <w:widowControl/>
        <w:kinsoku/>
        <w:wordWrap/>
        <w:overflowPunct/>
        <w:autoSpaceDE/>
        <w:autoSpaceDN/>
        <w:bidi w:val="0"/>
        <w:adjustRightInd/>
        <w:snapToGrid/>
        <w:spacing w:line="360" w:lineRule="auto"/>
        <w:ind w:firstLine="480"/>
        <w:jc w:val="both"/>
        <w:textAlignment w:val="auto"/>
        <w:rPr>
          <w:rFonts w:ascii="Times New Roman" w:hAnsi="Times New Roman"/>
          <w:bCs/>
          <w:color w:val="auto"/>
          <w:sz w:val="24"/>
          <w:highlight w:val="none"/>
        </w:rPr>
      </w:pPr>
      <w:r>
        <w:rPr>
          <w:rFonts w:ascii="Times New Roman" w:hAnsi="Times New Roman"/>
          <w:bCs/>
          <w:color w:val="auto"/>
          <w:sz w:val="24"/>
          <w:highlight w:val="none"/>
        </w:rPr>
        <w:t>针对本项目，由场区沼液储存池引至施肥农田沼液输送管网长度为</w:t>
      </w:r>
      <w:r>
        <w:rPr>
          <w:rFonts w:hint="eastAsia"/>
          <w:bCs/>
          <w:color w:val="auto"/>
          <w:sz w:val="24"/>
          <w:highlight w:val="none"/>
          <w:lang w:val="en-US" w:eastAsia="zh-CN"/>
        </w:rPr>
        <w:t>10672</w:t>
      </w:r>
      <w:r>
        <w:rPr>
          <w:rFonts w:ascii="Times New Roman" w:hAnsi="Times New Roman"/>
          <w:bCs/>
          <w:color w:val="auto"/>
          <w:sz w:val="24"/>
          <w:highlight w:val="none"/>
        </w:rPr>
        <w:t>m，其中干管长度</w:t>
      </w:r>
      <w:r>
        <w:rPr>
          <w:rFonts w:hint="eastAsia"/>
          <w:bCs/>
          <w:color w:val="auto"/>
          <w:sz w:val="24"/>
          <w:highlight w:val="none"/>
          <w:lang w:val="en-US" w:eastAsia="zh-CN"/>
        </w:rPr>
        <w:t>3200</w:t>
      </w:r>
      <w:r>
        <w:rPr>
          <w:rFonts w:ascii="Times New Roman" w:hAnsi="Times New Roman"/>
          <w:bCs/>
          <w:color w:val="auto"/>
          <w:sz w:val="24"/>
          <w:highlight w:val="none"/>
        </w:rPr>
        <w:t>m，支管</w:t>
      </w:r>
      <w:r>
        <w:rPr>
          <w:rFonts w:hint="eastAsia"/>
          <w:bCs/>
          <w:color w:val="auto"/>
          <w:sz w:val="24"/>
          <w:highlight w:val="none"/>
          <w:lang w:val="en-US" w:eastAsia="zh-CN"/>
        </w:rPr>
        <w:t>7472</w:t>
      </w:r>
      <w:r>
        <w:rPr>
          <w:rFonts w:ascii="Times New Roman" w:hAnsi="Times New Roman"/>
          <w:bCs/>
          <w:color w:val="auto"/>
          <w:sz w:val="24"/>
          <w:highlight w:val="none"/>
        </w:rPr>
        <w:t>m；主干管直径为110mm，支管直径为75mm。施肥期经流进沼液主干管，再从主干管流入支管，在支管的末端设置有阀门，方便农户自主选择使用。</w:t>
      </w:r>
    </w:p>
    <w:p>
      <w:pPr>
        <w:keepNext w:val="0"/>
        <w:keepLines w:val="0"/>
        <w:pageBreakBefore w:val="0"/>
        <w:widowControl/>
        <w:kinsoku/>
        <w:wordWrap/>
        <w:overflowPunct/>
        <w:autoSpaceDE/>
        <w:autoSpaceDN/>
        <w:bidi w:val="0"/>
        <w:adjustRightInd/>
        <w:snapToGrid/>
        <w:spacing w:line="360" w:lineRule="auto"/>
        <w:ind w:firstLine="480"/>
        <w:jc w:val="both"/>
        <w:textAlignment w:val="auto"/>
        <w:rPr>
          <w:rFonts w:ascii="Times New Roman" w:hAnsi="Times New Roman"/>
          <w:bCs/>
          <w:color w:val="auto"/>
          <w:sz w:val="24"/>
          <w:highlight w:val="none"/>
        </w:rPr>
      </w:pPr>
      <w:r>
        <w:rPr>
          <w:rFonts w:ascii="Times New Roman" w:hAnsi="Times New Roman"/>
          <w:bCs/>
          <w:color w:val="auto"/>
          <w:sz w:val="24"/>
          <w:highlight w:val="none"/>
        </w:rPr>
        <w:t>根据沼液综合利用协议可知，牧原公司根据农民土地位置设计并负责铺设沼液输送管网等综合利用配套设施，在每个施肥口设有阀门，每两个施肥口间隔50-60m。农肥利用季节农民根据自身需要进行使用。当地群众只需通过软管和预留口连接，在田间采用喷灌的方式对农田进行施肥。</w:t>
      </w:r>
    </w:p>
    <w:p>
      <w:pPr>
        <w:keepNext w:val="0"/>
        <w:keepLines w:val="0"/>
        <w:pageBreakBefore w:val="0"/>
        <w:widowControl/>
        <w:kinsoku/>
        <w:wordWrap/>
        <w:overflowPunct/>
        <w:autoSpaceDE/>
        <w:autoSpaceDN/>
        <w:bidi w:val="0"/>
        <w:adjustRightInd/>
        <w:snapToGrid/>
        <w:spacing w:line="360" w:lineRule="auto"/>
        <w:ind w:firstLine="480" w:firstLineChars="200"/>
        <w:jc w:val="both"/>
        <w:textAlignment w:val="auto"/>
        <w:rPr>
          <w:rFonts w:ascii="Times New Roman" w:hAnsi="Times New Roman"/>
          <w:bCs/>
          <w:color w:val="auto"/>
          <w:sz w:val="24"/>
          <w:highlight w:val="none"/>
        </w:rPr>
      </w:pPr>
      <w:r>
        <w:rPr>
          <w:rFonts w:ascii="Times New Roman" w:hAnsi="Times New Roman"/>
          <w:bCs/>
          <w:color w:val="auto"/>
          <w:sz w:val="24"/>
          <w:highlight w:val="none"/>
        </w:rPr>
        <w:t>沼液输送管线，做好防腐工作，定期进行检修，一旦发现滴漏，沼液排入沼液储存池，待维护完毕后方可输送；</w:t>
      </w:r>
    </w:p>
    <w:p>
      <w:pPr>
        <w:keepNext w:val="0"/>
        <w:keepLines w:val="0"/>
        <w:pageBreakBefore w:val="0"/>
        <w:widowControl/>
        <w:kinsoku/>
        <w:wordWrap/>
        <w:overflowPunct/>
        <w:autoSpaceDE/>
        <w:autoSpaceDN/>
        <w:bidi w:val="0"/>
        <w:adjustRightInd/>
        <w:snapToGrid/>
        <w:spacing w:line="360" w:lineRule="auto"/>
        <w:ind w:firstLine="480" w:firstLineChars="200"/>
        <w:jc w:val="both"/>
        <w:textAlignment w:val="auto"/>
        <w:rPr>
          <w:rFonts w:ascii="Times New Roman" w:hAnsi="Times New Roman"/>
          <w:bCs/>
          <w:color w:val="auto"/>
          <w:sz w:val="24"/>
          <w:highlight w:val="none"/>
        </w:rPr>
      </w:pPr>
      <w:r>
        <w:rPr>
          <w:rFonts w:ascii="Times New Roman" w:hAnsi="Times New Roman"/>
          <w:bCs/>
          <w:color w:val="auto"/>
          <w:sz w:val="24"/>
          <w:highlight w:val="none"/>
        </w:rPr>
        <w:t>消纳区根据地形进行单元划分，分单元进行开沟施肥，支管阀门间隔50-60m，防止农田施肥不匀引起的地下水污染问题；</w:t>
      </w:r>
    </w:p>
    <w:p>
      <w:pPr>
        <w:keepNext w:val="0"/>
        <w:keepLines w:val="0"/>
        <w:pageBreakBefore w:val="0"/>
        <w:widowControl/>
        <w:kinsoku/>
        <w:wordWrap/>
        <w:overflowPunct/>
        <w:autoSpaceDE/>
        <w:autoSpaceDN/>
        <w:bidi w:val="0"/>
        <w:adjustRightInd/>
        <w:snapToGrid/>
        <w:spacing w:line="360" w:lineRule="auto"/>
        <w:ind w:firstLine="480" w:firstLineChars="200"/>
        <w:jc w:val="both"/>
        <w:textAlignment w:val="auto"/>
        <w:rPr>
          <w:rFonts w:ascii="Times New Roman" w:hAnsi="Times New Roman"/>
          <w:bCs/>
          <w:color w:val="auto"/>
          <w:sz w:val="24"/>
          <w:highlight w:val="none"/>
        </w:rPr>
      </w:pPr>
      <w:r>
        <w:rPr>
          <w:rFonts w:ascii="Times New Roman" w:hAnsi="Times New Roman"/>
          <w:bCs/>
          <w:color w:val="auto"/>
          <w:sz w:val="24"/>
          <w:highlight w:val="none"/>
        </w:rPr>
        <w:t>严格根据评价要求，控制施肥量，严禁突击施肥，在非施肥季节及雨季，沼液由沼液储存池暂存。</w:t>
      </w:r>
    </w:p>
    <w:p>
      <w:pPr>
        <w:keepNext w:val="0"/>
        <w:keepLines w:val="0"/>
        <w:pageBreakBefore w:val="0"/>
        <w:widowControl/>
        <w:kinsoku/>
        <w:wordWrap/>
        <w:overflowPunct/>
        <w:autoSpaceDE/>
        <w:autoSpaceDN/>
        <w:bidi w:val="0"/>
        <w:adjustRightInd/>
        <w:snapToGrid/>
        <w:spacing w:line="360" w:lineRule="auto"/>
        <w:ind w:firstLine="480" w:firstLineChars="200"/>
        <w:jc w:val="both"/>
        <w:textAlignment w:val="auto"/>
        <w:rPr>
          <w:rFonts w:ascii="Times New Roman" w:hAnsi="Times New Roman"/>
          <w:bCs/>
          <w:color w:val="auto"/>
          <w:sz w:val="24"/>
          <w:highlight w:val="none"/>
        </w:rPr>
      </w:pPr>
      <w:r>
        <w:rPr>
          <w:rFonts w:ascii="Times New Roman" w:hAnsi="Times New Roman"/>
          <w:bCs/>
          <w:color w:val="auto"/>
          <w:sz w:val="24"/>
          <w:highlight w:val="none"/>
        </w:rPr>
        <w:t>对沼液施肥农田区域定期进行观测，场外农田区设置地下水观测井，建议</w:t>
      </w:r>
      <w:r>
        <w:rPr>
          <w:rFonts w:ascii="Times New Roman" w:hAnsi="Times New Roman"/>
          <w:bCs/>
          <w:color w:val="auto"/>
          <w:sz w:val="24"/>
          <w:szCs w:val="21"/>
          <w:highlight w:val="none"/>
        </w:rPr>
        <w:t>在配套农田西南和东北方向各设置1口地下水观测井，</w:t>
      </w:r>
      <w:r>
        <w:rPr>
          <w:rFonts w:ascii="Times New Roman" w:hAnsi="Times New Roman"/>
          <w:bCs/>
          <w:color w:val="auto"/>
          <w:sz w:val="24"/>
          <w:highlight w:val="none"/>
        </w:rPr>
        <w:t>观察沼液长期施肥对地下水的累积性影响。</w:t>
      </w:r>
    </w:p>
    <w:p>
      <w:pPr>
        <w:pStyle w:val="2"/>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asciiTheme="minorEastAsia" w:hAnsiTheme="minorEastAsia" w:eastAsiaTheme="minorEastAsia" w:cstheme="minorEastAsia"/>
          <w:bCs/>
          <w:color w:val="auto"/>
          <w:sz w:val="24"/>
          <w:highlight w:val="none"/>
          <w:lang w:eastAsia="zh-CN"/>
        </w:rPr>
      </w:pPr>
      <w:r>
        <w:rPr>
          <w:rFonts w:hint="eastAsia" w:asciiTheme="minorEastAsia" w:hAnsiTheme="minorEastAsia" w:eastAsiaTheme="minorEastAsia" w:cstheme="minorEastAsia"/>
          <w:bCs/>
          <w:color w:val="auto"/>
          <w:sz w:val="24"/>
          <w:highlight w:val="none"/>
          <w:lang w:eastAsia="zh-CN"/>
        </w:rPr>
        <w:t>（</w:t>
      </w:r>
      <w:r>
        <w:rPr>
          <w:rFonts w:hint="default" w:ascii="Times New Roman" w:hAnsi="Times New Roman" w:cs="Times New Roman" w:eastAsiaTheme="minorEastAsia"/>
          <w:bCs/>
          <w:color w:val="auto"/>
          <w:sz w:val="24"/>
          <w:highlight w:val="none"/>
          <w:lang w:val="en-US" w:eastAsia="zh-CN"/>
        </w:rPr>
        <w:t>4</w:t>
      </w:r>
      <w:r>
        <w:rPr>
          <w:rFonts w:hint="eastAsia" w:asciiTheme="minorEastAsia" w:hAnsiTheme="minorEastAsia" w:eastAsiaTheme="minorEastAsia" w:cstheme="minorEastAsia"/>
          <w:bCs/>
          <w:color w:val="auto"/>
          <w:sz w:val="24"/>
          <w:highlight w:val="none"/>
          <w:lang w:eastAsia="zh-CN"/>
        </w:rPr>
        <w:t>）沼液利用工程的管理要求</w:t>
      </w:r>
    </w:p>
    <w:p>
      <w:pPr>
        <w:pStyle w:val="2"/>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asciiTheme="minorEastAsia" w:hAnsiTheme="minorEastAsia" w:eastAsiaTheme="minorEastAsia" w:cstheme="minorEastAsia"/>
          <w:bCs/>
          <w:color w:val="auto"/>
          <w:sz w:val="24"/>
          <w:highlight w:val="none"/>
          <w:lang w:eastAsia="zh-CN"/>
        </w:rPr>
      </w:pPr>
      <w:r>
        <w:rPr>
          <w:rFonts w:hint="eastAsia" w:asciiTheme="minorEastAsia" w:hAnsiTheme="minorEastAsia" w:eastAsiaTheme="minorEastAsia" w:cstheme="minorEastAsia"/>
          <w:bCs/>
          <w:color w:val="auto"/>
          <w:sz w:val="24"/>
          <w:highlight w:val="none"/>
          <w:lang w:eastAsia="zh-CN"/>
        </w:rPr>
        <w:t>①基本要求</w:t>
      </w:r>
    </w:p>
    <w:p>
      <w:pPr>
        <w:pStyle w:val="2"/>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asciiTheme="minorEastAsia" w:hAnsiTheme="minorEastAsia" w:eastAsiaTheme="minorEastAsia" w:cstheme="minorEastAsia"/>
          <w:bCs/>
          <w:color w:val="auto"/>
          <w:sz w:val="24"/>
          <w:highlight w:val="none"/>
          <w:lang w:eastAsia="zh-CN"/>
        </w:rPr>
      </w:pPr>
      <w:r>
        <w:rPr>
          <w:rFonts w:hint="eastAsia" w:asciiTheme="minorEastAsia" w:hAnsiTheme="minorEastAsia" w:eastAsiaTheme="minorEastAsia" w:cstheme="minorEastAsia"/>
          <w:bCs/>
          <w:color w:val="auto"/>
          <w:sz w:val="24"/>
          <w:highlight w:val="none"/>
          <w:lang w:eastAsia="zh-CN"/>
        </w:rPr>
        <w:t>企业必须确定或建立相应的管理机构，安排专人管理，落实足够的运行管理经费，制定切实可行的管理规章和工程维修养护制度，并对管理人员进行技术培训和岗位考核。同时做到对沼液利用工程进行经常性的维护、季节性的整修和临时性的抢修以及系统运行效果和有害重金属的监测与处理。</w:t>
      </w:r>
    </w:p>
    <w:p>
      <w:pPr>
        <w:pStyle w:val="2"/>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asciiTheme="minorEastAsia" w:hAnsiTheme="minorEastAsia" w:eastAsiaTheme="minorEastAsia" w:cstheme="minorEastAsia"/>
          <w:bCs/>
          <w:color w:val="auto"/>
          <w:sz w:val="24"/>
          <w:highlight w:val="none"/>
          <w:lang w:eastAsia="zh-CN"/>
        </w:rPr>
      </w:pPr>
      <w:r>
        <w:rPr>
          <w:rFonts w:hint="eastAsia" w:asciiTheme="minorEastAsia" w:hAnsiTheme="minorEastAsia" w:eastAsiaTheme="minorEastAsia" w:cstheme="minorEastAsia"/>
          <w:bCs/>
          <w:color w:val="auto"/>
          <w:sz w:val="24"/>
          <w:highlight w:val="none"/>
          <w:lang w:eastAsia="zh-CN"/>
        </w:rPr>
        <w:t>②管道养护</w:t>
      </w:r>
    </w:p>
    <w:p>
      <w:pPr>
        <w:pStyle w:val="2"/>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asciiTheme="minorEastAsia" w:hAnsiTheme="minorEastAsia" w:eastAsiaTheme="minorEastAsia" w:cstheme="minorEastAsia"/>
          <w:bCs/>
          <w:color w:val="auto"/>
          <w:sz w:val="24"/>
          <w:highlight w:val="none"/>
          <w:lang w:eastAsia="zh-CN"/>
        </w:rPr>
      </w:pPr>
      <w:r>
        <w:rPr>
          <w:rFonts w:hint="eastAsia" w:asciiTheme="minorEastAsia" w:hAnsiTheme="minorEastAsia" w:eastAsiaTheme="minorEastAsia" w:cstheme="minorEastAsia"/>
          <w:bCs/>
          <w:color w:val="auto"/>
          <w:sz w:val="24"/>
          <w:highlight w:val="none"/>
          <w:lang w:eastAsia="zh-CN"/>
        </w:rPr>
        <w:t>要经常对管道进行巡查维护，发现管道漏水、爆裂及时修补，发现沼液出水明显减少，要及时监测、疏通污物收集装置，确保沼液输送通畅和设施完好、运行正常。</w:t>
      </w:r>
    </w:p>
    <w:p>
      <w:pPr>
        <w:pStyle w:val="2"/>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asciiTheme="minorEastAsia" w:hAnsiTheme="minorEastAsia" w:eastAsiaTheme="minorEastAsia" w:cstheme="minorEastAsia"/>
          <w:bCs/>
          <w:color w:val="auto"/>
          <w:sz w:val="24"/>
          <w:highlight w:val="none"/>
          <w:lang w:eastAsia="zh-CN"/>
        </w:rPr>
      </w:pPr>
      <w:r>
        <w:rPr>
          <w:rFonts w:hint="eastAsia" w:asciiTheme="minorEastAsia" w:hAnsiTheme="minorEastAsia" w:eastAsiaTheme="minorEastAsia" w:cstheme="minorEastAsia"/>
          <w:bCs/>
          <w:color w:val="auto"/>
          <w:sz w:val="24"/>
          <w:highlight w:val="none"/>
          <w:lang w:eastAsia="zh-CN"/>
        </w:rPr>
        <w:t>③设施维修保养</w:t>
      </w:r>
    </w:p>
    <w:p>
      <w:pPr>
        <w:pStyle w:val="2"/>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rFonts w:hint="eastAsia" w:asciiTheme="minorEastAsia" w:hAnsiTheme="minorEastAsia" w:eastAsiaTheme="minorEastAsia" w:cstheme="minorEastAsia"/>
          <w:bCs/>
          <w:color w:val="auto"/>
          <w:sz w:val="24"/>
          <w:highlight w:val="none"/>
          <w:lang w:eastAsia="zh-CN"/>
        </w:rPr>
      </w:pPr>
      <w:r>
        <w:rPr>
          <w:rFonts w:hint="eastAsia" w:asciiTheme="minorEastAsia" w:hAnsiTheme="minorEastAsia" w:eastAsiaTheme="minorEastAsia" w:cstheme="minorEastAsia"/>
          <w:bCs/>
          <w:color w:val="auto"/>
          <w:sz w:val="24"/>
          <w:highlight w:val="none"/>
          <w:lang w:eastAsia="zh-CN"/>
        </w:rPr>
        <w:t>建立处理、储液、暂存池等主要建筑结构和管网、机电设备的检修制度或维修养护办法，确保各类设施设备完整，做到无损、无漏、无裂，闸门启闭灵活。安装的沼液泵、动力设备与电气设备应每年全面检修一次，确保安全运行。及时清除泵站前池、污物收集装置、储存池中的各种杂质淤泥。</w:t>
      </w:r>
    </w:p>
    <w:p>
      <w:pPr>
        <w:pStyle w:val="5"/>
        <w:spacing w:before="66"/>
        <w:ind w:firstLine="482"/>
        <w:rPr>
          <w:color w:val="auto"/>
          <w:highlight w:val="none"/>
        </w:rPr>
      </w:pPr>
      <w:r>
        <w:rPr>
          <w:rFonts w:hint="eastAsia"/>
          <w:color w:val="auto"/>
          <w:highlight w:val="none"/>
          <w:lang w:val="en-US" w:eastAsia="zh-CN"/>
        </w:rPr>
        <w:t>5</w:t>
      </w:r>
      <w:r>
        <w:rPr>
          <w:rFonts w:hint="eastAsia"/>
          <w:color w:val="auto"/>
          <w:highlight w:val="none"/>
        </w:rPr>
        <w:t>.2.</w:t>
      </w:r>
      <w:r>
        <w:rPr>
          <w:rFonts w:hint="eastAsia"/>
          <w:color w:val="auto"/>
          <w:highlight w:val="none"/>
          <w:lang w:val="en-US" w:eastAsia="zh-CN"/>
        </w:rPr>
        <w:t>6</w:t>
      </w:r>
      <w:r>
        <w:rPr>
          <w:rFonts w:hint="eastAsia"/>
          <w:color w:val="auto"/>
          <w:highlight w:val="none"/>
        </w:rPr>
        <w:t>地下水</w:t>
      </w:r>
      <w:r>
        <w:rPr>
          <w:color w:val="auto"/>
          <w:highlight w:val="none"/>
        </w:rPr>
        <w:t>保护措施及其可行性分析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highlight w:val="none"/>
        </w:rPr>
      </w:pPr>
      <w:r>
        <w:rPr>
          <w:rFonts w:ascii="Times New Roman" w:hAnsi="Times New Roman"/>
          <w:bCs/>
          <w:color w:val="auto"/>
          <w:sz w:val="24"/>
          <w:highlight w:val="none"/>
        </w:rPr>
        <w:t>（1）源头控制措施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highlight w:val="none"/>
        </w:rPr>
      </w:pPr>
      <w:r>
        <w:rPr>
          <w:rFonts w:ascii="Times New Roman" w:hAnsi="Times New Roman"/>
          <w:bCs/>
          <w:color w:val="auto"/>
          <w:sz w:val="24"/>
          <w:highlight w:val="none"/>
        </w:rPr>
        <w:t>本项目运营期对地下水环境影响的主要渠道为猪舍、沼液储存池、沼气工程、发酵区等以上污染因素如不加以管理，各区污水下渗将污染地下水；猪粪、沼渣若乱堆乱放，可能转入环境空气或地表水体，并通过下渗影响到地下水环境。因此评价要求首先在源头进行控制，具体防控措施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highlight w:val="none"/>
        </w:rPr>
      </w:pPr>
      <w:r>
        <w:rPr>
          <w:rFonts w:ascii="Times New Roman" w:hAnsi="Times New Roman"/>
          <w:bCs/>
          <w:color w:val="auto"/>
          <w:sz w:val="24"/>
          <w:highlight w:val="none"/>
        </w:rPr>
        <w:fldChar w:fldCharType="begin"/>
      </w:r>
      <w:r>
        <w:rPr>
          <w:rFonts w:ascii="Times New Roman" w:hAnsi="Times New Roman"/>
          <w:bCs/>
          <w:color w:val="auto"/>
          <w:sz w:val="24"/>
          <w:highlight w:val="none"/>
        </w:rPr>
        <w:instrText xml:space="preserve"> = 1 \* GB3 </w:instrText>
      </w:r>
      <w:r>
        <w:rPr>
          <w:rFonts w:ascii="Times New Roman" w:hAnsi="Times New Roman"/>
          <w:bCs/>
          <w:color w:val="auto"/>
          <w:sz w:val="24"/>
          <w:highlight w:val="none"/>
        </w:rPr>
        <w:fldChar w:fldCharType="separate"/>
      </w:r>
      <w:r>
        <w:rPr>
          <w:rFonts w:ascii="Times New Roman" w:hAnsi="Times New Roman"/>
          <w:bCs/>
          <w:color w:val="auto"/>
          <w:sz w:val="24"/>
          <w:highlight w:val="none"/>
        </w:rPr>
        <w:t>①</w:t>
      </w:r>
      <w:r>
        <w:rPr>
          <w:rFonts w:ascii="Times New Roman" w:hAnsi="Times New Roman"/>
          <w:bCs/>
          <w:color w:val="auto"/>
          <w:sz w:val="24"/>
          <w:highlight w:val="none"/>
        </w:rPr>
        <w:fldChar w:fldCharType="end"/>
      </w:r>
      <w:r>
        <w:rPr>
          <w:rFonts w:ascii="Times New Roman" w:hAnsi="Times New Roman"/>
          <w:bCs/>
          <w:color w:val="auto"/>
          <w:sz w:val="24"/>
          <w:highlight w:val="none"/>
        </w:rPr>
        <w:t>猪舍采用限位饮水器，减少水资源不必要的流失，猪舍内部底部采取混凝土进行防渗减少污染物的跑、冒、滴、漏；</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highlight w:val="none"/>
        </w:rPr>
      </w:pPr>
      <w:r>
        <w:rPr>
          <w:rFonts w:ascii="Times New Roman" w:hAnsi="Times New Roman"/>
          <w:bCs/>
          <w:color w:val="auto"/>
          <w:sz w:val="24"/>
          <w:highlight w:val="none"/>
        </w:rPr>
        <w:fldChar w:fldCharType="begin"/>
      </w:r>
      <w:r>
        <w:rPr>
          <w:rFonts w:ascii="Times New Roman" w:hAnsi="Times New Roman"/>
          <w:bCs/>
          <w:color w:val="auto"/>
          <w:sz w:val="24"/>
          <w:highlight w:val="none"/>
        </w:rPr>
        <w:instrText xml:space="preserve"> = 2 \* GB3 </w:instrText>
      </w:r>
      <w:r>
        <w:rPr>
          <w:rFonts w:ascii="Times New Roman" w:hAnsi="Times New Roman"/>
          <w:bCs/>
          <w:color w:val="auto"/>
          <w:sz w:val="24"/>
          <w:highlight w:val="none"/>
        </w:rPr>
        <w:fldChar w:fldCharType="separate"/>
      </w:r>
      <w:r>
        <w:rPr>
          <w:rFonts w:ascii="Times New Roman" w:hAnsi="Times New Roman"/>
          <w:bCs/>
          <w:color w:val="auto"/>
          <w:sz w:val="24"/>
          <w:highlight w:val="none"/>
        </w:rPr>
        <w:t>②</w:t>
      </w:r>
      <w:r>
        <w:rPr>
          <w:rFonts w:ascii="Times New Roman" w:hAnsi="Times New Roman"/>
          <w:bCs/>
          <w:color w:val="auto"/>
          <w:sz w:val="24"/>
          <w:highlight w:val="none"/>
        </w:rPr>
        <w:fldChar w:fldCharType="end"/>
      </w:r>
      <w:r>
        <w:rPr>
          <w:rFonts w:ascii="Times New Roman" w:hAnsi="Times New Roman"/>
          <w:bCs/>
          <w:color w:val="auto"/>
          <w:sz w:val="24"/>
          <w:highlight w:val="none"/>
        </w:rPr>
        <w:t>沼液储存池，容积不小于</w:t>
      </w:r>
      <w:r>
        <w:rPr>
          <w:rFonts w:hint="eastAsia"/>
          <w:bCs/>
          <w:color w:val="auto"/>
          <w:sz w:val="24"/>
          <w:highlight w:val="none"/>
          <w:lang w:val="en-US" w:eastAsia="zh-CN"/>
        </w:rPr>
        <w:t>120</w:t>
      </w:r>
      <w:r>
        <w:rPr>
          <w:rFonts w:ascii="Times New Roman" w:hAnsi="Times New Roman"/>
          <w:bCs/>
          <w:color w:val="auto"/>
          <w:sz w:val="24"/>
          <w:highlight w:val="none"/>
        </w:rPr>
        <w:t>天的废水产生量；沼液储存池池壁及池底在清场夯压的基础上采用铺设1.5mmHDPE防渗膜进行防渗；</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highlight w:val="none"/>
        </w:rPr>
      </w:pPr>
      <w:r>
        <w:rPr>
          <w:rFonts w:ascii="Times New Roman" w:hAnsi="Times New Roman"/>
          <w:bCs/>
          <w:color w:val="auto"/>
          <w:sz w:val="24"/>
          <w:highlight w:val="none"/>
        </w:rPr>
        <w:fldChar w:fldCharType="begin"/>
      </w:r>
      <w:r>
        <w:rPr>
          <w:rFonts w:ascii="Times New Roman" w:hAnsi="Times New Roman"/>
          <w:bCs/>
          <w:color w:val="auto"/>
          <w:sz w:val="24"/>
          <w:highlight w:val="none"/>
        </w:rPr>
        <w:instrText xml:space="preserve"> = 3 \* GB3 </w:instrText>
      </w:r>
      <w:r>
        <w:rPr>
          <w:rFonts w:ascii="Times New Roman" w:hAnsi="Times New Roman"/>
          <w:bCs/>
          <w:color w:val="auto"/>
          <w:sz w:val="24"/>
          <w:highlight w:val="none"/>
        </w:rPr>
        <w:fldChar w:fldCharType="separate"/>
      </w:r>
      <w:r>
        <w:rPr>
          <w:rFonts w:ascii="Times New Roman" w:hAnsi="Times New Roman"/>
          <w:bCs/>
          <w:color w:val="auto"/>
          <w:sz w:val="24"/>
          <w:highlight w:val="none"/>
        </w:rPr>
        <w:t>③</w:t>
      </w:r>
      <w:r>
        <w:rPr>
          <w:rFonts w:ascii="Times New Roman" w:hAnsi="Times New Roman"/>
          <w:bCs/>
          <w:color w:val="auto"/>
          <w:sz w:val="24"/>
          <w:highlight w:val="none"/>
        </w:rPr>
        <w:fldChar w:fldCharType="end"/>
      </w:r>
      <w:r>
        <w:rPr>
          <w:rFonts w:hint="eastAsia" w:ascii="Times New Roman" w:hAnsi="Times New Roman"/>
          <w:bCs/>
          <w:color w:val="auto"/>
          <w:sz w:val="24"/>
          <w:highlight w:val="none"/>
          <w:lang w:eastAsia="zh-CN"/>
        </w:rPr>
        <w:t>黑膜</w:t>
      </w:r>
      <w:r>
        <w:rPr>
          <w:rFonts w:ascii="Times New Roman" w:hAnsi="Times New Roman"/>
          <w:bCs/>
          <w:color w:val="auto"/>
          <w:sz w:val="24"/>
          <w:highlight w:val="none"/>
        </w:rPr>
        <w:t>沼气池采用HDPE膜防渗；</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highlight w:val="none"/>
        </w:rPr>
      </w:pPr>
      <w:r>
        <w:rPr>
          <w:rFonts w:ascii="Times New Roman" w:hAnsi="Times New Roman"/>
          <w:bCs/>
          <w:color w:val="auto"/>
          <w:sz w:val="24"/>
          <w:highlight w:val="none"/>
        </w:rPr>
        <w:fldChar w:fldCharType="begin"/>
      </w:r>
      <w:r>
        <w:rPr>
          <w:rFonts w:ascii="Times New Roman" w:hAnsi="Times New Roman"/>
          <w:bCs/>
          <w:color w:val="auto"/>
          <w:sz w:val="24"/>
          <w:highlight w:val="none"/>
        </w:rPr>
        <w:instrText xml:space="preserve"> = 4 \* GB3 </w:instrText>
      </w:r>
      <w:r>
        <w:rPr>
          <w:rFonts w:ascii="Times New Roman" w:hAnsi="Times New Roman"/>
          <w:bCs/>
          <w:color w:val="auto"/>
          <w:sz w:val="24"/>
          <w:highlight w:val="none"/>
        </w:rPr>
        <w:fldChar w:fldCharType="separate"/>
      </w:r>
      <w:r>
        <w:rPr>
          <w:rFonts w:ascii="Times New Roman" w:hAnsi="Times New Roman"/>
          <w:bCs/>
          <w:color w:val="auto"/>
          <w:sz w:val="24"/>
          <w:highlight w:val="none"/>
        </w:rPr>
        <w:t>④</w:t>
      </w:r>
      <w:r>
        <w:rPr>
          <w:rFonts w:ascii="Times New Roman" w:hAnsi="Times New Roman"/>
          <w:bCs/>
          <w:color w:val="auto"/>
          <w:sz w:val="24"/>
          <w:highlight w:val="none"/>
        </w:rPr>
        <w:fldChar w:fldCharType="end"/>
      </w:r>
      <w:r>
        <w:rPr>
          <w:rFonts w:ascii="Times New Roman" w:hAnsi="Times New Roman"/>
          <w:bCs/>
          <w:color w:val="auto"/>
          <w:sz w:val="24"/>
          <w:highlight w:val="none"/>
        </w:rPr>
        <w:t>固粪处理区，地面混凝土进行防渗，其上搭建顶棚，周边设置1m高围挡；</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highlight w:val="none"/>
        </w:rPr>
      </w:pPr>
      <w:r>
        <w:rPr>
          <w:rFonts w:ascii="Times New Roman" w:hAnsi="Times New Roman"/>
          <w:bCs/>
          <w:color w:val="auto"/>
          <w:sz w:val="24"/>
          <w:highlight w:val="none"/>
        </w:rPr>
        <w:fldChar w:fldCharType="begin"/>
      </w:r>
      <w:r>
        <w:rPr>
          <w:rFonts w:ascii="Times New Roman" w:hAnsi="Times New Roman"/>
          <w:bCs/>
          <w:color w:val="auto"/>
          <w:sz w:val="24"/>
          <w:highlight w:val="none"/>
        </w:rPr>
        <w:instrText xml:space="preserve"> = 5 \* GB3 </w:instrText>
      </w:r>
      <w:r>
        <w:rPr>
          <w:rFonts w:ascii="Times New Roman" w:hAnsi="Times New Roman"/>
          <w:bCs/>
          <w:color w:val="auto"/>
          <w:sz w:val="24"/>
          <w:highlight w:val="none"/>
        </w:rPr>
        <w:fldChar w:fldCharType="separate"/>
      </w:r>
      <w:r>
        <w:rPr>
          <w:rFonts w:ascii="Times New Roman" w:hAnsi="Times New Roman"/>
          <w:bCs/>
          <w:color w:val="auto"/>
          <w:sz w:val="24"/>
          <w:highlight w:val="none"/>
        </w:rPr>
        <w:t>⑤</w:t>
      </w:r>
      <w:r>
        <w:rPr>
          <w:rFonts w:ascii="Times New Roman" w:hAnsi="Times New Roman"/>
          <w:bCs/>
          <w:color w:val="auto"/>
          <w:sz w:val="24"/>
          <w:highlight w:val="none"/>
        </w:rPr>
        <w:fldChar w:fldCharType="end"/>
      </w:r>
      <w:r>
        <w:rPr>
          <w:rFonts w:ascii="Times New Roman" w:hAnsi="Times New Roman"/>
          <w:bCs/>
          <w:color w:val="auto"/>
          <w:sz w:val="24"/>
          <w:highlight w:val="none"/>
        </w:rPr>
        <w:t>雨污分流，净脏道分离合理设置厂区内净道和脏道，净道、脏道地区硬化防渗处理。</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highlight w:val="none"/>
        </w:rPr>
      </w:pPr>
      <w:r>
        <w:rPr>
          <w:rFonts w:ascii="Times New Roman" w:hAnsi="Times New Roman"/>
          <w:bCs/>
          <w:color w:val="auto"/>
          <w:sz w:val="24"/>
          <w:highlight w:val="none"/>
        </w:rPr>
        <w:t>（2）分区防控措施</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ascii="Times New Roman" w:hAnsi="Times New Roman"/>
          <w:bCs/>
          <w:color w:val="auto"/>
          <w:sz w:val="24"/>
          <w:highlight w:val="none"/>
        </w:rPr>
      </w:pPr>
      <w:r>
        <w:rPr>
          <w:rFonts w:ascii="Times New Roman" w:hAnsi="Times New Roman"/>
          <w:bCs/>
          <w:color w:val="auto"/>
          <w:sz w:val="24"/>
          <w:highlight w:val="none"/>
        </w:rPr>
        <w:t>结合地下水环境影响评价结果根据《环境影响评价技术导则 地下水环境》（HJ610-2016）中表5及表</w:t>
      </w:r>
      <w:r>
        <w:rPr>
          <w:rFonts w:hint="eastAsia"/>
          <w:bCs/>
          <w:color w:val="auto"/>
          <w:sz w:val="24"/>
          <w:highlight w:val="none"/>
          <w:lang w:val="en-US" w:eastAsia="zh-CN"/>
        </w:rPr>
        <w:t>6</w:t>
      </w:r>
      <w:r>
        <w:rPr>
          <w:rFonts w:ascii="Times New Roman" w:hAnsi="Times New Roman"/>
          <w:bCs/>
          <w:color w:val="auto"/>
          <w:sz w:val="24"/>
          <w:highlight w:val="none"/>
        </w:rPr>
        <w:t>进行判定，具体判定内容见表5</w:t>
      </w:r>
      <w:r>
        <w:rPr>
          <w:rFonts w:hint="eastAsia"/>
          <w:bCs/>
          <w:color w:val="auto"/>
          <w:sz w:val="24"/>
          <w:highlight w:val="none"/>
          <w:lang w:val="en-US" w:eastAsia="zh-CN"/>
        </w:rPr>
        <w:t>.2-6</w:t>
      </w:r>
      <w:r>
        <w:rPr>
          <w:rFonts w:ascii="Times New Roman" w:hAnsi="Times New Roman"/>
          <w:bCs/>
          <w:color w:val="auto"/>
          <w:sz w:val="24"/>
          <w:highlight w:val="none"/>
        </w:rPr>
        <w:t>及表</w:t>
      </w:r>
      <w:r>
        <w:rPr>
          <w:rFonts w:hint="eastAsia"/>
          <w:bCs/>
          <w:color w:val="auto"/>
          <w:sz w:val="24"/>
          <w:highlight w:val="none"/>
          <w:lang w:val="en-US" w:eastAsia="zh-CN"/>
        </w:rPr>
        <w:t>5.2-7</w:t>
      </w:r>
      <w:r>
        <w:rPr>
          <w:rFonts w:ascii="Times New Roman" w:hAnsi="Times New Roman"/>
          <w:bCs/>
          <w:color w:val="auto"/>
          <w:sz w:val="24"/>
          <w:highlight w:val="none"/>
        </w:rPr>
        <w:t>。</w:t>
      </w:r>
    </w:p>
    <w:p>
      <w:pPr>
        <w:pStyle w:val="40"/>
        <w:rPr>
          <w:rFonts w:hint="eastAsia" w:cs="Times New Roman"/>
          <w:color w:val="auto"/>
          <w:highlight w:val="none"/>
          <w:lang w:val="en-US" w:eastAsia="zh-CN"/>
        </w:rPr>
      </w:pPr>
      <w:r>
        <w:rPr>
          <w:rFonts w:hint="eastAsia" w:cs="Times New Roman"/>
          <w:color w:val="auto"/>
          <w:highlight w:val="none"/>
          <w:lang w:val="en-US" w:eastAsia="zh-CN"/>
        </w:rPr>
        <w:t>表5.2-6 污染控制难易程度分级参照表</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81"/>
        <w:gridCol w:w="65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63" w:type="pct"/>
            <w:noWrap w:val="0"/>
            <w:vAlign w:val="center"/>
          </w:tcPr>
          <w:p>
            <w:pPr>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污染控制难易程度</w:t>
            </w:r>
          </w:p>
        </w:tc>
        <w:tc>
          <w:tcPr>
            <w:tcW w:w="3836" w:type="pct"/>
            <w:noWrap w:val="0"/>
            <w:vAlign w:val="center"/>
          </w:tcPr>
          <w:p>
            <w:pPr>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主要特征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63" w:type="pct"/>
            <w:noWrap w:val="0"/>
            <w:vAlign w:val="center"/>
          </w:tcPr>
          <w:p>
            <w:pPr>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难</w:t>
            </w:r>
          </w:p>
        </w:tc>
        <w:tc>
          <w:tcPr>
            <w:tcW w:w="3836" w:type="pct"/>
            <w:noWrap w:val="0"/>
            <w:vAlign w:val="center"/>
          </w:tcPr>
          <w:p>
            <w:pPr>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对地下水环境有污染的物料及污染物泄漏后，不能及时发现和处理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63" w:type="pct"/>
            <w:noWrap w:val="0"/>
            <w:vAlign w:val="center"/>
          </w:tcPr>
          <w:p>
            <w:pPr>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易</w:t>
            </w:r>
          </w:p>
        </w:tc>
        <w:tc>
          <w:tcPr>
            <w:tcW w:w="3836" w:type="pct"/>
            <w:noWrap w:val="0"/>
            <w:vAlign w:val="center"/>
          </w:tcPr>
          <w:p>
            <w:pPr>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对地下水环境有污染的物料及污染物泄漏后，能及时发现和处理</w:t>
            </w:r>
          </w:p>
        </w:tc>
      </w:tr>
    </w:tbl>
    <w:p>
      <w:pPr>
        <w:pStyle w:val="40"/>
        <w:rPr>
          <w:rFonts w:hint="eastAsia" w:cs="Times New Roman"/>
          <w:color w:val="auto"/>
          <w:highlight w:val="none"/>
          <w:lang w:val="en-US" w:eastAsia="zh-CN"/>
        </w:rPr>
      </w:pPr>
      <w:r>
        <w:rPr>
          <w:rFonts w:hint="eastAsia" w:cs="Times New Roman"/>
          <w:color w:val="auto"/>
          <w:highlight w:val="none"/>
          <w:lang w:val="en-US" w:eastAsia="zh-CN"/>
        </w:rPr>
        <w:t>表5.2-7 天然包气带防污性能分级参照表</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7"/>
        <w:gridCol w:w="77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1"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分级</w:t>
            </w:r>
          </w:p>
        </w:tc>
        <w:tc>
          <w:tcPr>
            <w:tcW w:w="4578" w:type="pct"/>
            <w:noWrap w:val="0"/>
            <w:vAlign w:val="center"/>
          </w:tcPr>
          <w:p>
            <w:pPr>
              <w:spacing w:line="240" w:lineRule="auto"/>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主要特征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1"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强</w:t>
            </w:r>
          </w:p>
        </w:tc>
        <w:tc>
          <w:tcPr>
            <w:tcW w:w="4578" w:type="pct"/>
            <w:noWrap w:val="0"/>
            <w:vAlign w:val="center"/>
          </w:tcPr>
          <w:p>
            <w:pPr>
              <w:spacing w:line="240" w:lineRule="auto"/>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岩（土）层单层厚度Mb≥1.0，渗透系数K≤1×10</w:t>
            </w:r>
            <w:r>
              <w:rPr>
                <w:rFonts w:ascii="Times New Roman" w:hAnsi="Times New Roman"/>
                <w:bCs/>
                <w:color w:val="auto"/>
                <w:sz w:val="21"/>
                <w:szCs w:val="21"/>
                <w:highlight w:val="none"/>
                <w:vertAlign w:val="superscript"/>
              </w:rPr>
              <w:t>-6</w:t>
            </w:r>
            <w:r>
              <w:rPr>
                <w:rFonts w:ascii="Times New Roman" w:hAnsi="Times New Roman"/>
                <w:bCs/>
                <w:color w:val="auto"/>
                <w:sz w:val="21"/>
                <w:szCs w:val="21"/>
                <w:highlight w:val="none"/>
              </w:rPr>
              <w:t>cm/s，且分布连续、稳定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1"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中</w:t>
            </w:r>
          </w:p>
        </w:tc>
        <w:tc>
          <w:tcPr>
            <w:tcW w:w="457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岩（土）层单层厚度0.5m≤Mb﹤1.0，渗透系数K≤1×10</w:t>
            </w:r>
            <w:r>
              <w:rPr>
                <w:rFonts w:ascii="Times New Roman" w:hAnsi="Times New Roman"/>
                <w:bCs/>
                <w:color w:val="auto"/>
                <w:sz w:val="21"/>
                <w:szCs w:val="21"/>
                <w:highlight w:val="none"/>
                <w:vertAlign w:val="superscript"/>
              </w:rPr>
              <w:t>-6</w:t>
            </w:r>
            <w:r>
              <w:rPr>
                <w:rFonts w:ascii="Times New Roman" w:hAnsi="Times New Roman"/>
                <w:bCs/>
                <w:color w:val="auto"/>
                <w:sz w:val="21"/>
                <w:szCs w:val="21"/>
                <w:highlight w:val="none"/>
              </w:rPr>
              <w:t>cm/s，且分布连续、稳定</w:t>
            </w:r>
          </w:p>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岩（土）层单层厚度Mb≥1.0，渗透系数1×10</w:t>
            </w:r>
            <w:r>
              <w:rPr>
                <w:rFonts w:ascii="Times New Roman" w:hAnsi="Times New Roman"/>
                <w:bCs/>
                <w:color w:val="auto"/>
                <w:sz w:val="21"/>
                <w:szCs w:val="21"/>
                <w:highlight w:val="none"/>
                <w:vertAlign w:val="superscript"/>
              </w:rPr>
              <w:t>-6</w:t>
            </w:r>
            <w:r>
              <w:rPr>
                <w:rFonts w:ascii="Times New Roman" w:hAnsi="Times New Roman"/>
                <w:bCs/>
                <w:color w:val="auto"/>
                <w:sz w:val="21"/>
                <w:szCs w:val="21"/>
                <w:highlight w:val="none"/>
              </w:rPr>
              <w:t>cm/s﹤K≤1×10</w:t>
            </w:r>
            <w:r>
              <w:rPr>
                <w:rFonts w:ascii="Times New Roman" w:hAnsi="Times New Roman"/>
                <w:bCs/>
                <w:color w:val="auto"/>
                <w:sz w:val="21"/>
                <w:szCs w:val="21"/>
                <w:highlight w:val="none"/>
                <w:vertAlign w:val="superscript"/>
              </w:rPr>
              <w:t>-4</w:t>
            </w:r>
            <w:r>
              <w:rPr>
                <w:rFonts w:ascii="Times New Roman" w:hAnsi="Times New Roman"/>
                <w:bCs/>
                <w:color w:val="auto"/>
                <w:sz w:val="21"/>
                <w:szCs w:val="21"/>
                <w:highlight w:val="none"/>
              </w:rPr>
              <w:t>cm/s，且分布连续、稳定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1"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弱</w:t>
            </w:r>
          </w:p>
        </w:tc>
        <w:tc>
          <w:tcPr>
            <w:tcW w:w="4578" w:type="pct"/>
            <w:noWrap w:val="0"/>
            <w:vAlign w:val="center"/>
          </w:tcPr>
          <w:p>
            <w:pPr>
              <w:spacing w:line="240" w:lineRule="auto"/>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岩（土）层不满足上述</w:t>
            </w:r>
            <w:r>
              <w:rPr>
                <w:rFonts w:hint="eastAsia" w:asciiTheme="minorEastAsia" w:hAnsiTheme="minorEastAsia" w:eastAsiaTheme="minorEastAsia" w:cstheme="minorEastAsia"/>
                <w:bCs/>
                <w:color w:val="auto"/>
                <w:sz w:val="21"/>
                <w:szCs w:val="21"/>
                <w:highlight w:val="none"/>
              </w:rPr>
              <w:t>“强”和“中”的条件</w:t>
            </w:r>
          </w:p>
        </w:tc>
      </w:tr>
    </w:tbl>
    <w:p>
      <w:pPr>
        <w:widowControl/>
        <w:spacing w:line="520" w:lineRule="exact"/>
        <w:ind w:firstLine="480" w:firstLineChars="200"/>
        <w:rPr>
          <w:rFonts w:ascii="Times New Roman" w:hAnsi="Times New Roman"/>
          <w:color w:val="auto"/>
          <w:sz w:val="24"/>
          <w:highlight w:val="none"/>
        </w:rPr>
      </w:pPr>
      <w:r>
        <w:rPr>
          <w:rFonts w:ascii="Times New Roman" w:hAnsi="Times New Roman"/>
          <w:bCs/>
          <w:color w:val="auto"/>
          <w:sz w:val="24"/>
          <w:highlight w:val="none"/>
        </w:rPr>
        <w:t>项目区域土壤层以砂姜黑土为主，沼液消纳区的渗透系数一般在5.79×10</w:t>
      </w:r>
      <w:r>
        <w:rPr>
          <w:rFonts w:ascii="Times New Roman" w:hAnsi="Times New Roman"/>
          <w:bCs/>
          <w:color w:val="auto"/>
          <w:sz w:val="24"/>
          <w:highlight w:val="none"/>
          <w:vertAlign w:val="superscript"/>
        </w:rPr>
        <w:t>-5</w:t>
      </w:r>
      <w:r>
        <w:rPr>
          <w:rFonts w:ascii="Times New Roman" w:hAnsi="Times New Roman"/>
          <w:bCs/>
          <w:color w:val="auto"/>
          <w:sz w:val="24"/>
          <w:highlight w:val="none"/>
        </w:rPr>
        <w:t>cm/s，天然包气带防污性能属于中，因项目将设置地下水监控系统，能够及时发现和处理对地下水有污染的污染物，固污染控制难易程度为易，综合以上两点结合《环境影响评价技术导则 地下水环境》（HJ610-2016）地下水污染防渗分区参照表，具体见表5</w:t>
      </w:r>
      <w:r>
        <w:rPr>
          <w:rFonts w:hint="eastAsia"/>
          <w:bCs/>
          <w:color w:val="auto"/>
          <w:sz w:val="24"/>
          <w:highlight w:val="none"/>
          <w:lang w:val="en-US" w:eastAsia="zh-CN"/>
        </w:rPr>
        <w:t>.2</w:t>
      </w:r>
      <w:r>
        <w:rPr>
          <w:rFonts w:ascii="Times New Roman" w:hAnsi="Times New Roman"/>
          <w:bCs/>
          <w:color w:val="auto"/>
          <w:sz w:val="24"/>
          <w:highlight w:val="none"/>
        </w:rPr>
        <w:t>-</w:t>
      </w:r>
      <w:r>
        <w:rPr>
          <w:rFonts w:hint="eastAsia"/>
          <w:bCs/>
          <w:color w:val="auto"/>
          <w:sz w:val="24"/>
          <w:highlight w:val="none"/>
          <w:lang w:val="en-US" w:eastAsia="zh-CN"/>
        </w:rPr>
        <w:t>8</w:t>
      </w:r>
      <w:r>
        <w:rPr>
          <w:rFonts w:ascii="Times New Roman" w:hAnsi="Times New Roman"/>
          <w:bCs/>
          <w:color w:val="auto"/>
          <w:sz w:val="24"/>
          <w:highlight w:val="none"/>
        </w:rPr>
        <w:t>：</w:t>
      </w:r>
    </w:p>
    <w:p>
      <w:pPr>
        <w:pStyle w:val="40"/>
        <w:rPr>
          <w:rFonts w:hint="eastAsia" w:cs="Times New Roman"/>
          <w:color w:val="auto"/>
          <w:highlight w:val="none"/>
          <w:lang w:val="en-US" w:eastAsia="zh-CN"/>
        </w:rPr>
      </w:pPr>
      <w:r>
        <w:rPr>
          <w:rFonts w:hint="eastAsia" w:cs="Times New Roman"/>
          <w:color w:val="auto"/>
          <w:highlight w:val="none"/>
          <w:lang w:val="en-US" w:eastAsia="zh-CN"/>
        </w:rPr>
        <w:t>表5.2-8 地下水污染防渗分区参照表</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91"/>
        <w:gridCol w:w="1187"/>
        <w:gridCol w:w="1087"/>
        <w:gridCol w:w="2032"/>
        <w:gridCol w:w="34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465"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防渗分区</w:t>
            </w:r>
          </w:p>
        </w:tc>
        <w:tc>
          <w:tcPr>
            <w:tcW w:w="697"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天然包气带防污性能</w:t>
            </w:r>
          </w:p>
        </w:tc>
        <w:tc>
          <w:tcPr>
            <w:tcW w:w="63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污染控制难易程度</w:t>
            </w:r>
          </w:p>
        </w:tc>
        <w:tc>
          <w:tcPr>
            <w:tcW w:w="1193"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污染物类型</w:t>
            </w:r>
          </w:p>
        </w:tc>
        <w:tc>
          <w:tcPr>
            <w:tcW w:w="2006" w:type="pct"/>
            <w:noWrap w:val="0"/>
            <w:vAlign w:val="center"/>
          </w:tcPr>
          <w:p>
            <w:pPr>
              <w:spacing w:line="240" w:lineRule="auto"/>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防渗技术要求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vMerge w:val="restar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重点防渗区</w:t>
            </w:r>
          </w:p>
        </w:tc>
        <w:tc>
          <w:tcPr>
            <w:tcW w:w="697"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弱</w:t>
            </w:r>
          </w:p>
        </w:tc>
        <w:tc>
          <w:tcPr>
            <w:tcW w:w="63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难</w:t>
            </w:r>
          </w:p>
        </w:tc>
        <w:tc>
          <w:tcPr>
            <w:tcW w:w="1193" w:type="pct"/>
            <w:vMerge w:val="restar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重金属、持久性有机物污染物</w:t>
            </w:r>
          </w:p>
        </w:tc>
        <w:tc>
          <w:tcPr>
            <w:tcW w:w="2006" w:type="pct"/>
            <w:vMerge w:val="restart"/>
            <w:noWrap w:val="0"/>
            <w:vAlign w:val="center"/>
          </w:tcPr>
          <w:p>
            <w:pPr>
              <w:spacing w:line="240" w:lineRule="auto"/>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等效黏土防渗层Mb≥6.0m，渗透系数K≤1×10</w:t>
            </w:r>
            <w:r>
              <w:rPr>
                <w:rFonts w:ascii="Times New Roman" w:hAnsi="Times New Roman"/>
                <w:bCs/>
                <w:color w:val="auto"/>
                <w:sz w:val="21"/>
                <w:szCs w:val="21"/>
                <w:highlight w:val="none"/>
                <w:vertAlign w:val="superscript"/>
              </w:rPr>
              <w:t>-7</w:t>
            </w:r>
            <w:r>
              <w:rPr>
                <w:rFonts w:ascii="Times New Roman" w:hAnsi="Times New Roman"/>
                <w:bCs/>
                <w:color w:val="auto"/>
                <w:sz w:val="21"/>
                <w:szCs w:val="21"/>
                <w:highlight w:val="none"/>
              </w:rPr>
              <w:t>cm/s；或参照GB189100执行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c>
          <w:tcPr>
            <w:tcW w:w="697"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中-强</w:t>
            </w:r>
          </w:p>
        </w:tc>
        <w:tc>
          <w:tcPr>
            <w:tcW w:w="63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难</w:t>
            </w:r>
          </w:p>
        </w:tc>
        <w:tc>
          <w:tcPr>
            <w:tcW w:w="1193"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c>
          <w:tcPr>
            <w:tcW w:w="2006" w:type="pct"/>
            <w:vMerge w:val="continue"/>
            <w:noWrap w:val="0"/>
            <w:vAlign w:val="center"/>
          </w:tcPr>
          <w:p>
            <w:pPr>
              <w:spacing w:line="240" w:lineRule="auto"/>
              <w:jc w:val="center"/>
              <w:rPr>
                <w:rFonts w:ascii="Times New Roman" w:hAnsi="Times New Roman"/>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c>
          <w:tcPr>
            <w:tcW w:w="697"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弱</w:t>
            </w:r>
          </w:p>
        </w:tc>
        <w:tc>
          <w:tcPr>
            <w:tcW w:w="63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易</w:t>
            </w:r>
          </w:p>
        </w:tc>
        <w:tc>
          <w:tcPr>
            <w:tcW w:w="1193"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c>
          <w:tcPr>
            <w:tcW w:w="2006" w:type="pct"/>
            <w:vMerge w:val="continue"/>
            <w:noWrap w:val="0"/>
            <w:vAlign w:val="center"/>
          </w:tcPr>
          <w:p>
            <w:pPr>
              <w:spacing w:line="240" w:lineRule="auto"/>
              <w:jc w:val="center"/>
              <w:rPr>
                <w:rFonts w:ascii="Times New Roman" w:hAnsi="Times New Roman"/>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vMerge w:val="restar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一般防渗区</w:t>
            </w:r>
          </w:p>
        </w:tc>
        <w:tc>
          <w:tcPr>
            <w:tcW w:w="697"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弱</w:t>
            </w:r>
          </w:p>
        </w:tc>
        <w:tc>
          <w:tcPr>
            <w:tcW w:w="63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易-难</w:t>
            </w:r>
          </w:p>
        </w:tc>
        <w:tc>
          <w:tcPr>
            <w:tcW w:w="1193" w:type="pct"/>
            <w:vMerge w:val="restar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其他类型</w:t>
            </w:r>
          </w:p>
        </w:tc>
        <w:tc>
          <w:tcPr>
            <w:tcW w:w="2006" w:type="pct"/>
            <w:vMerge w:val="restart"/>
            <w:noWrap w:val="0"/>
            <w:vAlign w:val="center"/>
          </w:tcPr>
          <w:p>
            <w:pPr>
              <w:spacing w:line="240" w:lineRule="auto"/>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等效黏土防渗层Mb≥1.5m，渗透系数K≤1×10</w:t>
            </w:r>
            <w:r>
              <w:rPr>
                <w:rFonts w:ascii="Times New Roman" w:hAnsi="Times New Roman"/>
                <w:bCs/>
                <w:color w:val="auto"/>
                <w:sz w:val="21"/>
                <w:szCs w:val="21"/>
                <w:highlight w:val="none"/>
                <w:vertAlign w:val="superscript"/>
              </w:rPr>
              <w:t>-7</w:t>
            </w:r>
            <w:r>
              <w:rPr>
                <w:rFonts w:ascii="Times New Roman" w:hAnsi="Times New Roman"/>
                <w:bCs/>
                <w:color w:val="auto"/>
                <w:sz w:val="21"/>
                <w:szCs w:val="21"/>
                <w:highlight w:val="none"/>
              </w:rPr>
              <w:t>cm/s；或参照GB16889执行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c>
          <w:tcPr>
            <w:tcW w:w="697"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中-强</w:t>
            </w:r>
          </w:p>
        </w:tc>
        <w:tc>
          <w:tcPr>
            <w:tcW w:w="63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难</w:t>
            </w:r>
          </w:p>
        </w:tc>
        <w:tc>
          <w:tcPr>
            <w:tcW w:w="1193"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c>
          <w:tcPr>
            <w:tcW w:w="2006" w:type="pct"/>
            <w:vMerge w:val="continue"/>
            <w:noWrap w:val="0"/>
            <w:vAlign w:val="center"/>
          </w:tcPr>
          <w:p>
            <w:pPr>
              <w:spacing w:line="240" w:lineRule="auto"/>
              <w:jc w:val="center"/>
              <w:rPr>
                <w:rFonts w:ascii="Times New Roman" w:hAnsi="Times New Roman"/>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c>
          <w:tcPr>
            <w:tcW w:w="697"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中</w:t>
            </w:r>
          </w:p>
        </w:tc>
        <w:tc>
          <w:tcPr>
            <w:tcW w:w="63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易</w:t>
            </w:r>
          </w:p>
        </w:tc>
        <w:tc>
          <w:tcPr>
            <w:tcW w:w="1193" w:type="pct"/>
            <w:vMerge w:val="restar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重金属、持久性有机物污染物</w:t>
            </w:r>
          </w:p>
        </w:tc>
        <w:tc>
          <w:tcPr>
            <w:tcW w:w="2006" w:type="pct"/>
            <w:vMerge w:val="continue"/>
            <w:noWrap w:val="0"/>
            <w:vAlign w:val="center"/>
          </w:tcPr>
          <w:p>
            <w:pPr>
              <w:spacing w:line="240" w:lineRule="auto"/>
              <w:jc w:val="center"/>
              <w:rPr>
                <w:rFonts w:ascii="Times New Roman" w:hAnsi="Times New Roman"/>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c>
          <w:tcPr>
            <w:tcW w:w="697"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强</w:t>
            </w:r>
          </w:p>
        </w:tc>
        <w:tc>
          <w:tcPr>
            <w:tcW w:w="63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易</w:t>
            </w:r>
          </w:p>
        </w:tc>
        <w:tc>
          <w:tcPr>
            <w:tcW w:w="1193"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c>
          <w:tcPr>
            <w:tcW w:w="2006" w:type="pct"/>
            <w:vMerge w:val="continue"/>
            <w:noWrap w:val="0"/>
            <w:vAlign w:val="center"/>
          </w:tcPr>
          <w:p>
            <w:pPr>
              <w:spacing w:line="240" w:lineRule="auto"/>
              <w:jc w:val="center"/>
              <w:rPr>
                <w:rFonts w:ascii="Times New Roman" w:hAnsi="Times New Roman"/>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65"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简单防渗区</w:t>
            </w:r>
          </w:p>
        </w:tc>
        <w:tc>
          <w:tcPr>
            <w:tcW w:w="697"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中-强</w:t>
            </w:r>
          </w:p>
        </w:tc>
        <w:tc>
          <w:tcPr>
            <w:tcW w:w="63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易</w:t>
            </w:r>
          </w:p>
        </w:tc>
        <w:tc>
          <w:tcPr>
            <w:tcW w:w="1193"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其他类型</w:t>
            </w:r>
          </w:p>
        </w:tc>
        <w:tc>
          <w:tcPr>
            <w:tcW w:w="2006" w:type="pct"/>
            <w:noWrap w:val="0"/>
            <w:vAlign w:val="center"/>
          </w:tcPr>
          <w:p>
            <w:pPr>
              <w:spacing w:line="240" w:lineRule="auto"/>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一般地面硬化</w:t>
            </w:r>
          </w:p>
        </w:tc>
      </w:tr>
    </w:tbl>
    <w:p>
      <w:pPr>
        <w:keepNext w:val="0"/>
        <w:keepLines w:val="0"/>
        <w:pageBreakBefore w:val="0"/>
        <w:widowControl/>
        <w:kinsoku/>
        <w:wordWrap/>
        <w:overflowPunct/>
        <w:topLinePunct w:val="0"/>
        <w:autoSpaceDE/>
        <w:autoSpaceDN/>
        <w:bidi w:val="0"/>
        <w:adjustRightInd/>
        <w:snapToGrid/>
        <w:spacing w:line="360" w:lineRule="auto"/>
        <w:ind w:firstLine="360" w:firstLineChars="150"/>
        <w:textAlignment w:val="auto"/>
        <w:rPr>
          <w:rFonts w:ascii="Times New Roman" w:hAnsi="Times New Roman"/>
          <w:bCs/>
          <w:color w:val="auto"/>
          <w:sz w:val="24"/>
          <w:highlight w:val="none"/>
        </w:rPr>
      </w:pPr>
      <w:r>
        <w:rPr>
          <w:rFonts w:ascii="Times New Roman" w:hAnsi="Times New Roman"/>
          <w:bCs/>
          <w:color w:val="auto"/>
          <w:sz w:val="24"/>
          <w:highlight w:val="none"/>
        </w:rPr>
        <w:t>根据表5</w:t>
      </w:r>
      <w:r>
        <w:rPr>
          <w:rFonts w:hint="eastAsia"/>
          <w:bCs/>
          <w:color w:val="auto"/>
          <w:sz w:val="24"/>
          <w:highlight w:val="none"/>
          <w:lang w:val="en-US" w:eastAsia="zh-CN"/>
        </w:rPr>
        <w:t>.2</w:t>
      </w:r>
      <w:r>
        <w:rPr>
          <w:rFonts w:ascii="Times New Roman" w:hAnsi="Times New Roman"/>
          <w:bCs/>
          <w:color w:val="auto"/>
          <w:sz w:val="24"/>
          <w:highlight w:val="none"/>
        </w:rPr>
        <w:t>-</w:t>
      </w:r>
      <w:r>
        <w:rPr>
          <w:rFonts w:hint="eastAsia"/>
          <w:bCs/>
          <w:color w:val="auto"/>
          <w:sz w:val="24"/>
          <w:highlight w:val="none"/>
          <w:lang w:val="en-US" w:eastAsia="zh-CN"/>
        </w:rPr>
        <w:t>8</w:t>
      </w:r>
      <w:r>
        <w:rPr>
          <w:rFonts w:ascii="Times New Roman" w:hAnsi="Times New Roman"/>
          <w:bCs/>
          <w:color w:val="auto"/>
          <w:sz w:val="24"/>
          <w:highlight w:val="none"/>
        </w:rPr>
        <w:t>判定，项目属于简单防渗区，防渗技术要求为一般地面硬化，结合建设单位以往建设的养殖场的分区防治的情况，本项目各功能区防渗措施具体见表5</w:t>
      </w:r>
      <w:r>
        <w:rPr>
          <w:rFonts w:hint="eastAsia"/>
          <w:bCs/>
          <w:color w:val="auto"/>
          <w:sz w:val="24"/>
          <w:highlight w:val="none"/>
          <w:lang w:val="en-US" w:eastAsia="zh-CN"/>
        </w:rPr>
        <w:t>.2</w:t>
      </w:r>
      <w:r>
        <w:rPr>
          <w:rFonts w:ascii="Times New Roman" w:hAnsi="Times New Roman"/>
          <w:bCs/>
          <w:color w:val="auto"/>
          <w:sz w:val="24"/>
          <w:highlight w:val="none"/>
        </w:rPr>
        <w:t>-</w:t>
      </w:r>
      <w:r>
        <w:rPr>
          <w:rFonts w:hint="eastAsia"/>
          <w:bCs/>
          <w:color w:val="auto"/>
          <w:sz w:val="24"/>
          <w:highlight w:val="none"/>
          <w:lang w:val="en-US" w:eastAsia="zh-CN"/>
        </w:rPr>
        <w:t>9</w:t>
      </w:r>
      <w:r>
        <w:rPr>
          <w:rFonts w:ascii="Times New Roman" w:hAnsi="Times New Roman"/>
          <w:bCs/>
          <w:color w:val="auto"/>
          <w:sz w:val="24"/>
          <w:highlight w:val="none"/>
        </w:rPr>
        <w:t>。</w:t>
      </w:r>
    </w:p>
    <w:p>
      <w:pPr>
        <w:pStyle w:val="40"/>
        <w:rPr>
          <w:rFonts w:hint="eastAsia" w:cs="Times New Roman"/>
          <w:color w:val="auto"/>
          <w:highlight w:val="none"/>
          <w:lang w:val="en-US" w:eastAsia="zh-CN"/>
        </w:rPr>
      </w:pPr>
      <w:r>
        <w:rPr>
          <w:rFonts w:hint="eastAsia" w:cs="Times New Roman"/>
          <w:color w:val="auto"/>
          <w:highlight w:val="none"/>
          <w:lang w:val="en-US" w:eastAsia="zh-CN"/>
        </w:rPr>
        <w:t>表5.2-9 本项目污染地下水防治措施一览表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06"/>
        <w:gridCol w:w="1259"/>
        <w:gridCol w:w="3705"/>
        <w:gridCol w:w="28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04" w:type="pct"/>
            <w:noWrap w:val="0"/>
            <w:tcMar>
              <w:left w:w="0" w:type="dxa"/>
              <w:right w:w="0" w:type="dxa"/>
            </w:tcMar>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序号</w:t>
            </w:r>
          </w:p>
        </w:tc>
        <w:tc>
          <w:tcPr>
            <w:tcW w:w="756" w:type="pct"/>
            <w:noWrap w:val="0"/>
            <w:tcMar>
              <w:left w:w="0" w:type="dxa"/>
              <w:right w:w="0" w:type="dxa"/>
            </w:tcMar>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项目</w:t>
            </w:r>
          </w:p>
        </w:tc>
        <w:tc>
          <w:tcPr>
            <w:tcW w:w="2224" w:type="pct"/>
            <w:noWrap w:val="0"/>
            <w:tcMar>
              <w:left w:w="0" w:type="dxa"/>
              <w:right w:w="0" w:type="dxa"/>
            </w:tcMar>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保护措施</w:t>
            </w:r>
          </w:p>
        </w:tc>
        <w:tc>
          <w:tcPr>
            <w:tcW w:w="1715" w:type="pct"/>
            <w:noWrap w:val="0"/>
            <w:tcMar>
              <w:left w:w="0" w:type="dxa"/>
              <w:right w:w="0" w:type="dxa"/>
            </w:tcMar>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达到效果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4" w:type="pct"/>
            <w:noWrap w:val="0"/>
            <w:tcMar>
              <w:left w:w="0" w:type="dxa"/>
              <w:right w:w="0" w:type="dxa"/>
            </w:tcMar>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1</w:t>
            </w:r>
          </w:p>
        </w:tc>
        <w:tc>
          <w:tcPr>
            <w:tcW w:w="756" w:type="pct"/>
            <w:noWrap w:val="0"/>
            <w:tcMar>
              <w:left w:w="0" w:type="dxa"/>
              <w:right w:w="0" w:type="dxa"/>
            </w:tcMar>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猪舍内部</w:t>
            </w:r>
          </w:p>
        </w:tc>
        <w:tc>
          <w:tcPr>
            <w:tcW w:w="2224" w:type="pct"/>
            <w:noWrap w:val="0"/>
            <w:tcMar>
              <w:left w:w="0" w:type="dxa"/>
              <w:right w:w="0" w:type="dxa"/>
            </w:tcMar>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底部混凝土进行防渗，渗透系数达到1.0×10</w:t>
            </w:r>
            <w:r>
              <w:rPr>
                <w:rFonts w:ascii="Times New Roman" w:hAnsi="Times New Roman"/>
                <w:bCs/>
                <w:color w:val="auto"/>
                <w:sz w:val="21"/>
                <w:szCs w:val="21"/>
                <w:highlight w:val="none"/>
                <w:vertAlign w:val="superscript"/>
              </w:rPr>
              <w:t>-7</w:t>
            </w:r>
            <w:r>
              <w:rPr>
                <w:rFonts w:ascii="Times New Roman" w:hAnsi="Times New Roman"/>
                <w:bCs/>
                <w:color w:val="auto"/>
                <w:sz w:val="21"/>
                <w:szCs w:val="21"/>
                <w:highlight w:val="none"/>
              </w:rPr>
              <w:t>cm/s，减少污染物的跑、冒、滴、漏，将污染物泄漏的环境风险事故降到最低限度</w:t>
            </w:r>
          </w:p>
        </w:tc>
        <w:tc>
          <w:tcPr>
            <w:tcW w:w="1715" w:type="pct"/>
            <w:vMerge w:val="restart"/>
            <w:noWrap w:val="0"/>
            <w:tcMar>
              <w:left w:w="0" w:type="dxa"/>
              <w:right w:w="0" w:type="dxa"/>
            </w:tcMar>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各构筑物符合《规模化畜禽养殖场沼气工程设计规范》（NY/T1222）和《混凝土结构设计规范》（GB50010）的要求，具备</w:t>
            </w:r>
            <w:r>
              <w:rPr>
                <w:rFonts w:hint="eastAsia" w:asciiTheme="minorEastAsia" w:hAnsiTheme="minorEastAsia" w:eastAsiaTheme="minorEastAsia" w:cstheme="minorEastAsia"/>
                <w:bCs/>
                <w:color w:val="auto"/>
                <w:sz w:val="21"/>
                <w:szCs w:val="21"/>
                <w:highlight w:val="none"/>
              </w:rPr>
              <w:t>“防渗、防雨、防溢”的三防措施；畜禽粪便的贮存相关要求，应具备防渗、防风、防雨的“三防”措施，</w:t>
            </w:r>
            <w:r>
              <w:rPr>
                <w:rFonts w:ascii="Times New Roman" w:hAnsi="Times New Roman"/>
                <w:bCs/>
                <w:color w:val="auto"/>
                <w:sz w:val="21"/>
                <w:szCs w:val="21"/>
                <w:highlight w:val="none"/>
              </w:rPr>
              <w:t>雨污分流。</w:t>
            </w:r>
          </w:p>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满足《畜禽养殖业污染防治技术规范》（HJ/T81~2001）要求</w:t>
            </w:r>
          </w:p>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满足《畜禽养殖业污染源总量减排技术指导意见（试行）》（豫环文（2012）99号文）要求</w:t>
            </w:r>
          </w:p>
          <w:p>
            <w:pPr>
              <w:spacing w:line="240" w:lineRule="auto"/>
              <w:ind w:left="0" w:leftChars="0" w:firstLine="0" w:firstLineChars="0"/>
              <w:jc w:val="center"/>
              <w:rPr>
                <w:rFonts w:ascii="Times New Roman" w:hAnsi="Times New Roman"/>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4" w:type="pct"/>
            <w:noWrap w:val="0"/>
            <w:tcMar>
              <w:left w:w="0" w:type="dxa"/>
              <w:right w:w="0" w:type="dxa"/>
            </w:tcMar>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2</w:t>
            </w:r>
          </w:p>
        </w:tc>
        <w:tc>
          <w:tcPr>
            <w:tcW w:w="756" w:type="pct"/>
            <w:noWrap w:val="0"/>
            <w:tcMar>
              <w:left w:w="0" w:type="dxa"/>
              <w:right w:w="0" w:type="dxa"/>
            </w:tcMar>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沼液储存池</w:t>
            </w:r>
          </w:p>
        </w:tc>
        <w:tc>
          <w:tcPr>
            <w:tcW w:w="2224" w:type="pct"/>
            <w:noWrap w:val="0"/>
            <w:tcMar>
              <w:left w:w="0" w:type="dxa"/>
              <w:right w:w="0" w:type="dxa"/>
            </w:tcMar>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沼液储存池为满足农闲期沼液产生量，容积不小于</w:t>
            </w:r>
            <w:r>
              <w:rPr>
                <w:rFonts w:hint="eastAsia"/>
                <w:bCs/>
                <w:color w:val="auto"/>
                <w:sz w:val="21"/>
                <w:szCs w:val="21"/>
                <w:highlight w:val="none"/>
                <w:lang w:val="en-US" w:eastAsia="zh-CN"/>
              </w:rPr>
              <w:t>120</w:t>
            </w:r>
            <w:r>
              <w:rPr>
                <w:rFonts w:ascii="Times New Roman" w:hAnsi="Times New Roman"/>
                <w:bCs/>
                <w:color w:val="auto"/>
                <w:sz w:val="21"/>
                <w:szCs w:val="21"/>
                <w:highlight w:val="none"/>
              </w:rPr>
              <w:t>天的废水产生量，池容设计为</w:t>
            </w:r>
            <w:r>
              <w:rPr>
                <w:rFonts w:hint="eastAsia"/>
                <w:bCs/>
                <w:color w:val="auto"/>
                <w:sz w:val="21"/>
                <w:szCs w:val="21"/>
                <w:highlight w:val="none"/>
                <w:lang w:val="en-US" w:eastAsia="zh-CN"/>
              </w:rPr>
              <w:t>60480</w:t>
            </w:r>
            <w:r>
              <w:rPr>
                <w:rFonts w:ascii="Times New Roman" w:hAnsi="Times New Roman"/>
                <w:bCs/>
                <w:color w:val="auto"/>
                <w:sz w:val="21"/>
                <w:szCs w:val="21"/>
                <w:highlight w:val="none"/>
              </w:rPr>
              <w:t>m</w:t>
            </w:r>
            <w:r>
              <w:rPr>
                <w:rFonts w:ascii="Times New Roman" w:hAnsi="Times New Roman"/>
                <w:bCs/>
                <w:color w:val="auto"/>
                <w:sz w:val="21"/>
                <w:szCs w:val="21"/>
                <w:highlight w:val="none"/>
                <w:vertAlign w:val="superscript"/>
              </w:rPr>
              <w:t>3</w:t>
            </w:r>
            <w:r>
              <w:rPr>
                <w:rFonts w:ascii="Times New Roman" w:hAnsi="Times New Roman"/>
                <w:bCs/>
                <w:color w:val="auto"/>
                <w:sz w:val="21"/>
                <w:szCs w:val="21"/>
                <w:highlight w:val="none"/>
              </w:rPr>
              <w:t>；沼液储存池池壁在清场夯压的基础上采用铺设HDPE膜进行防渗，渗透系数达到1.0×10</w:t>
            </w:r>
            <w:r>
              <w:rPr>
                <w:rFonts w:ascii="Times New Roman" w:hAnsi="Times New Roman"/>
                <w:bCs/>
                <w:color w:val="auto"/>
                <w:sz w:val="21"/>
                <w:szCs w:val="21"/>
                <w:highlight w:val="none"/>
                <w:vertAlign w:val="superscript"/>
              </w:rPr>
              <w:t>-10</w:t>
            </w:r>
            <w:r>
              <w:rPr>
                <w:rFonts w:ascii="Times New Roman" w:hAnsi="Times New Roman"/>
                <w:bCs/>
                <w:color w:val="auto"/>
                <w:sz w:val="21"/>
                <w:szCs w:val="21"/>
                <w:highlight w:val="none"/>
              </w:rPr>
              <w:t>cm/s</w:t>
            </w:r>
          </w:p>
        </w:tc>
        <w:tc>
          <w:tcPr>
            <w:tcW w:w="1715" w:type="pct"/>
            <w:vMerge w:val="continue"/>
            <w:noWrap w:val="0"/>
            <w:tcMar>
              <w:left w:w="0" w:type="dxa"/>
              <w:right w:w="0" w:type="dxa"/>
            </w:tcMar>
            <w:vAlign w:val="center"/>
          </w:tcPr>
          <w:p>
            <w:pPr>
              <w:adjustRightInd w:val="0"/>
              <w:snapToGrid w:val="0"/>
              <w:jc w:val="left"/>
              <w:rPr>
                <w:rFonts w:ascii="Times New Roman" w:hAnsi="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4" w:type="pct"/>
            <w:noWrap w:val="0"/>
            <w:tcMar>
              <w:left w:w="0" w:type="dxa"/>
              <w:right w:w="0" w:type="dxa"/>
            </w:tcMar>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3</w:t>
            </w:r>
          </w:p>
        </w:tc>
        <w:tc>
          <w:tcPr>
            <w:tcW w:w="756" w:type="pct"/>
            <w:noWrap w:val="0"/>
            <w:tcMar>
              <w:left w:w="0" w:type="dxa"/>
              <w:right w:w="0" w:type="dxa"/>
            </w:tcMar>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污水处理系统</w:t>
            </w:r>
          </w:p>
        </w:tc>
        <w:tc>
          <w:tcPr>
            <w:tcW w:w="2224" w:type="pct"/>
            <w:noWrap w:val="0"/>
            <w:tcMar>
              <w:left w:w="0" w:type="dxa"/>
              <w:right w:w="0" w:type="dxa"/>
            </w:tcMar>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hint="eastAsia" w:ascii="Times New Roman" w:hAnsi="Times New Roman"/>
                <w:bCs/>
                <w:color w:val="auto"/>
                <w:sz w:val="21"/>
                <w:szCs w:val="21"/>
                <w:highlight w:val="none"/>
                <w:lang w:eastAsia="zh-CN"/>
              </w:rPr>
              <w:t>黑膜</w:t>
            </w:r>
            <w:r>
              <w:rPr>
                <w:rFonts w:ascii="Times New Roman" w:hAnsi="Times New Roman"/>
                <w:bCs/>
                <w:color w:val="auto"/>
                <w:sz w:val="21"/>
                <w:szCs w:val="21"/>
                <w:highlight w:val="none"/>
              </w:rPr>
              <w:t>沼气池采用HDPE膜防渗</w:t>
            </w:r>
          </w:p>
        </w:tc>
        <w:tc>
          <w:tcPr>
            <w:tcW w:w="1715" w:type="pct"/>
            <w:vMerge w:val="continue"/>
            <w:noWrap w:val="0"/>
            <w:tcMar>
              <w:left w:w="0" w:type="dxa"/>
              <w:right w:w="0" w:type="dxa"/>
            </w:tcMar>
            <w:vAlign w:val="center"/>
          </w:tcPr>
          <w:p>
            <w:pPr>
              <w:adjustRightInd w:val="0"/>
              <w:snapToGrid w:val="0"/>
              <w:jc w:val="left"/>
              <w:rPr>
                <w:rFonts w:ascii="Times New Roman" w:hAnsi="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4" w:type="pct"/>
            <w:noWrap w:val="0"/>
            <w:tcMar>
              <w:left w:w="0" w:type="dxa"/>
              <w:right w:w="0" w:type="dxa"/>
            </w:tcMar>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4</w:t>
            </w:r>
          </w:p>
        </w:tc>
        <w:tc>
          <w:tcPr>
            <w:tcW w:w="756" w:type="pct"/>
            <w:noWrap w:val="0"/>
            <w:tcMar>
              <w:left w:w="0" w:type="dxa"/>
              <w:right w:w="0" w:type="dxa"/>
            </w:tcMar>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固粪处理区</w:t>
            </w:r>
          </w:p>
        </w:tc>
        <w:tc>
          <w:tcPr>
            <w:tcW w:w="2224" w:type="pct"/>
            <w:noWrap w:val="0"/>
            <w:tcMar>
              <w:left w:w="0" w:type="dxa"/>
              <w:right w:w="0" w:type="dxa"/>
            </w:tcMar>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地面混凝土进行防渗，渗透系数达到1.0×10</w:t>
            </w:r>
            <w:r>
              <w:rPr>
                <w:rFonts w:ascii="Times New Roman" w:hAnsi="Times New Roman"/>
                <w:bCs/>
                <w:color w:val="auto"/>
                <w:sz w:val="21"/>
                <w:szCs w:val="21"/>
                <w:highlight w:val="none"/>
                <w:vertAlign w:val="superscript"/>
              </w:rPr>
              <w:t>-7</w:t>
            </w:r>
            <w:r>
              <w:rPr>
                <w:rFonts w:ascii="Times New Roman" w:hAnsi="Times New Roman"/>
                <w:bCs/>
                <w:color w:val="auto"/>
                <w:sz w:val="21"/>
                <w:szCs w:val="21"/>
                <w:highlight w:val="none"/>
              </w:rPr>
              <w:t>cm/s，其上搭建顶棚</w:t>
            </w:r>
          </w:p>
        </w:tc>
        <w:tc>
          <w:tcPr>
            <w:tcW w:w="1715" w:type="pct"/>
            <w:vMerge w:val="continue"/>
            <w:noWrap w:val="0"/>
            <w:tcMar>
              <w:left w:w="0" w:type="dxa"/>
              <w:right w:w="0" w:type="dxa"/>
            </w:tcMar>
            <w:vAlign w:val="center"/>
          </w:tcPr>
          <w:p>
            <w:pPr>
              <w:adjustRightInd w:val="0"/>
              <w:snapToGrid w:val="0"/>
              <w:jc w:val="left"/>
              <w:rPr>
                <w:rFonts w:ascii="Times New Roman" w:hAnsi="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4" w:type="pct"/>
            <w:noWrap w:val="0"/>
            <w:tcMar>
              <w:left w:w="0" w:type="dxa"/>
              <w:right w:w="0" w:type="dxa"/>
            </w:tcMar>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5</w:t>
            </w:r>
          </w:p>
        </w:tc>
        <w:tc>
          <w:tcPr>
            <w:tcW w:w="756" w:type="pct"/>
            <w:noWrap w:val="0"/>
            <w:tcMar>
              <w:left w:w="0" w:type="dxa"/>
              <w:right w:w="0" w:type="dxa"/>
            </w:tcMar>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场区雨、污管网</w:t>
            </w:r>
          </w:p>
        </w:tc>
        <w:tc>
          <w:tcPr>
            <w:tcW w:w="2224" w:type="pct"/>
            <w:noWrap w:val="0"/>
            <w:tcMar>
              <w:left w:w="0" w:type="dxa"/>
              <w:right w:w="0" w:type="dxa"/>
            </w:tcMar>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雨污分流、按照畜禽养殖业污染防治技术规范要求进行建设</w:t>
            </w:r>
          </w:p>
        </w:tc>
        <w:tc>
          <w:tcPr>
            <w:tcW w:w="1715" w:type="pct"/>
            <w:vMerge w:val="continue"/>
            <w:noWrap w:val="0"/>
            <w:tcMar>
              <w:left w:w="0" w:type="dxa"/>
              <w:right w:w="0" w:type="dxa"/>
            </w:tcMar>
            <w:vAlign w:val="center"/>
          </w:tcPr>
          <w:p>
            <w:pPr>
              <w:adjustRightInd w:val="0"/>
              <w:snapToGrid w:val="0"/>
              <w:jc w:val="left"/>
              <w:rPr>
                <w:rFonts w:ascii="Times New Roman" w:hAnsi="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4" w:type="pct"/>
            <w:noWrap w:val="0"/>
            <w:tcMar>
              <w:left w:w="0" w:type="dxa"/>
              <w:right w:w="0" w:type="dxa"/>
            </w:tcMar>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6</w:t>
            </w:r>
          </w:p>
        </w:tc>
        <w:tc>
          <w:tcPr>
            <w:tcW w:w="756" w:type="pct"/>
            <w:noWrap w:val="0"/>
            <w:tcMar>
              <w:left w:w="0" w:type="dxa"/>
              <w:right w:w="0" w:type="dxa"/>
            </w:tcMar>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场区内净道与脏道设置</w:t>
            </w:r>
          </w:p>
        </w:tc>
        <w:tc>
          <w:tcPr>
            <w:tcW w:w="2224" w:type="pct"/>
            <w:noWrap w:val="0"/>
            <w:tcMar>
              <w:left w:w="0" w:type="dxa"/>
              <w:right w:w="0" w:type="dxa"/>
            </w:tcMar>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合理设置厂区内净道和脏道，脏道地区硬化防渗处理，渗透系数≤1.0×10</w:t>
            </w:r>
            <w:r>
              <w:rPr>
                <w:rFonts w:ascii="Times New Roman" w:hAnsi="Times New Roman"/>
                <w:bCs/>
                <w:color w:val="auto"/>
                <w:sz w:val="21"/>
                <w:szCs w:val="21"/>
                <w:highlight w:val="none"/>
                <w:vertAlign w:val="superscript"/>
              </w:rPr>
              <w:t>-7</w:t>
            </w:r>
            <w:r>
              <w:rPr>
                <w:rFonts w:ascii="Times New Roman" w:hAnsi="Times New Roman"/>
                <w:bCs/>
                <w:color w:val="auto"/>
                <w:sz w:val="21"/>
                <w:szCs w:val="21"/>
                <w:highlight w:val="none"/>
              </w:rPr>
              <w:t>cm/s。路两边设置路沿石，人行道采用透水方砖或植草砖铺设，下面用透水材料铺垫，孔隙间种植草本植物，增加雨水下渗量，可有效减缓地面硬化对地下水涵养产生的不利影响（净道的渗透系数≤1.0×10</w:t>
            </w:r>
            <w:r>
              <w:rPr>
                <w:rFonts w:ascii="Times New Roman" w:hAnsi="Times New Roman"/>
                <w:bCs/>
                <w:color w:val="auto"/>
                <w:sz w:val="21"/>
                <w:szCs w:val="21"/>
                <w:highlight w:val="none"/>
                <w:vertAlign w:val="superscript"/>
              </w:rPr>
              <w:t>-5</w:t>
            </w:r>
            <w:r>
              <w:rPr>
                <w:rFonts w:ascii="Times New Roman" w:hAnsi="Times New Roman"/>
                <w:bCs/>
                <w:color w:val="auto"/>
                <w:sz w:val="21"/>
                <w:szCs w:val="21"/>
                <w:highlight w:val="none"/>
              </w:rPr>
              <w:t>cm/s）</w:t>
            </w:r>
          </w:p>
        </w:tc>
        <w:tc>
          <w:tcPr>
            <w:tcW w:w="1715" w:type="pct"/>
            <w:vMerge w:val="continue"/>
            <w:noWrap w:val="0"/>
            <w:tcMar>
              <w:left w:w="0" w:type="dxa"/>
              <w:right w:w="0" w:type="dxa"/>
            </w:tcMar>
            <w:vAlign w:val="center"/>
          </w:tcPr>
          <w:p>
            <w:pPr>
              <w:adjustRightInd w:val="0"/>
              <w:snapToGrid w:val="0"/>
              <w:jc w:val="left"/>
              <w:rPr>
                <w:rFonts w:ascii="Times New Roman" w:hAnsi="Times New Roman"/>
                <w:color w:val="auto"/>
                <w:sz w:val="21"/>
                <w:szCs w:val="21"/>
                <w:highlight w:val="none"/>
              </w:rPr>
            </w:pP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ascii="Times New Roman" w:hAnsi="Times New Roman"/>
          <w:bCs/>
          <w:color w:val="auto"/>
          <w:sz w:val="24"/>
          <w:highlight w:val="none"/>
        </w:rPr>
      </w:pPr>
      <w:r>
        <w:rPr>
          <w:rFonts w:ascii="Times New Roman" w:hAnsi="Times New Roman"/>
          <w:bCs/>
          <w:color w:val="auto"/>
          <w:sz w:val="24"/>
          <w:highlight w:val="none"/>
        </w:rPr>
        <w:t>（3）预防地下水污染物的要求及环境管理建议</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color w:val="auto"/>
          <w:sz w:val="24"/>
          <w:highlight w:val="none"/>
        </w:rPr>
      </w:pPr>
      <w:r>
        <w:rPr>
          <w:rFonts w:ascii="Times New Roman" w:hAnsi="Times New Roman"/>
          <w:bCs/>
          <w:color w:val="auto"/>
          <w:sz w:val="24"/>
          <w:highlight w:val="none"/>
        </w:rPr>
        <w:t>项目在施工阶段，应充分做好排污管道的防渗处理，杜绝污水渗漏，确保污水收集处理系统衔接良好，严格用水管理，防止污水</w:t>
      </w:r>
      <w:r>
        <w:rPr>
          <w:rFonts w:hint="eastAsia" w:asciiTheme="minorEastAsia" w:hAnsiTheme="minorEastAsia" w:eastAsiaTheme="minorEastAsia" w:cstheme="minorEastAsia"/>
          <w:bCs/>
          <w:color w:val="auto"/>
          <w:sz w:val="24"/>
          <w:highlight w:val="none"/>
        </w:rPr>
        <w:t>“跑、冒、滴、漏”现象的发生，这样可以保证项目区内产生的全部废水汇集到沼气工程集中处理，可</w:t>
      </w:r>
      <w:r>
        <w:rPr>
          <w:rFonts w:ascii="Times New Roman" w:hAnsi="Times New Roman"/>
          <w:bCs/>
          <w:color w:val="auto"/>
          <w:sz w:val="24"/>
          <w:highlight w:val="none"/>
        </w:rPr>
        <w:t>以很大程度的消除污染物排放对周边地区地下水环境的影响。运营期环境建议严格按照以下要求进行管理：</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color w:val="auto"/>
          <w:sz w:val="24"/>
          <w:highlight w:val="none"/>
        </w:rPr>
      </w:pPr>
      <w:r>
        <w:rPr>
          <w:rFonts w:ascii="Times New Roman" w:hAnsi="Times New Roman"/>
          <w:bCs/>
          <w:color w:val="auto"/>
          <w:sz w:val="24"/>
          <w:highlight w:val="none"/>
        </w:rPr>
        <w:t>①《畜禽养殖业污染防治技术规范》（HJ/T81－2001）规定，养殖场的排水系统应实施雨水和污水收集输送系统分离，在场区内设置的污水收集输送系统，不得采用明沟布设。排水沟应采取水泥硬化防渗措施或采用水泥排水管进行输送，防止随处溢流和下渗污染。</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color w:val="auto"/>
          <w:sz w:val="24"/>
          <w:highlight w:val="none"/>
        </w:rPr>
      </w:pPr>
      <w:r>
        <w:rPr>
          <w:rFonts w:ascii="Times New Roman" w:hAnsi="Times New Roman"/>
          <w:bCs/>
          <w:color w:val="auto"/>
          <w:sz w:val="24"/>
          <w:highlight w:val="none"/>
        </w:rPr>
        <w:t>②猪舍、粪污处理及储存设施等应采取有效的防渗处理工艺，防止废水、粪便淋滤液污染地下水。</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color w:val="auto"/>
          <w:sz w:val="44"/>
          <w:szCs w:val="44"/>
          <w:highlight w:val="none"/>
        </w:rPr>
      </w:pPr>
      <w:r>
        <w:rPr>
          <w:rFonts w:ascii="Times New Roman" w:hAnsi="Times New Roman"/>
          <w:bCs/>
          <w:color w:val="auto"/>
          <w:sz w:val="24"/>
          <w:highlight w:val="none"/>
        </w:rPr>
        <w:t>本项目建成后全场分为重点防渗区和一般防渗区。重点污染防渗区主要包括：猪舍、污水处理区、固粪处理区、危险废物暂存</w:t>
      </w:r>
      <w:r>
        <w:rPr>
          <w:rFonts w:hint="eastAsia"/>
          <w:bCs/>
          <w:color w:val="auto"/>
          <w:sz w:val="24"/>
          <w:highlight w:val="none"/>
          <w:lang w:eastAsia="zh-CN"/>
        </w:rPr>
        <w:t>间</w:t>
      </w:r>
      <w:r>
        <w:rPr>
          <w:rFonts w:ascii="Times New Roman" w:hAnsi="Times New Roman"/>
          <w:bCs/>
          <w:color w:val="auto"/>
          <w:sz w:val="24"/>
          <w:highlight w:val="none"/>
        </w:rPr>
        <w:t>等；一般污染防渗区主要包括：一般固废暂存区、猪舍周围地面等。分区防渗示意图见附图</w:t>
      </w:r>
      <w:r>
        <w:rPr>
          <w:rFonts w:hint="eastAsia"/>
          <w:bCs/>
          <w:color w:val="auto"/>
          <w:sz w:val="24"/>
          <w:highlight w:val="none"/>
          <w:lang w:eastAsia="zh-CN"/>
        </w:rPr>
        <w:t>六</w:t>
      </w:r>
      <w:r>
        <w:rPr>
          <w:rFonts w:ascii="Times New Roman" w:hAnsi="Times New Roman"/>
          <w:bCs/>
          <w:color w:val="auto"/>
          <w:sz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color w:val="auto"/>
          <w:sz w:val="24"/>
          <w:highlight w:val="none"/>
        </w:rPr>
      </w:pPr>
      <w:r>
        <w:rPr>
          <w:rFonts w:ascii="Times New Roman" w:hAnsi="Times New Roman"/>
          <w:bCs/>
          <w:color w:val="auto"/>
          <w:sz w:val="24"/>
          <w:highlight w:val="none"/>
        </w:rPr>
        <w:t>●一般防渗区：评价建议对该区域采取粘土铺底，再在上层铺10～15cm的水泥进行硬化。通过上述措施可使一般防渗区各单元防渗层渗透系数≤10</w:t>
      </w:r>
      <w:r>
        <w:rPr>
          <w:rFonts w:ascii="Times New Roman" w:hAnsi="Times New Roman"/>
          <w:bCs/>
          <w:color w:val="auto"/>
          <w:sz w:val="24"/>
          <w:highlight w:val="none"/>
          <w:vertAlign w:val="superscript"/>
        </w:rPr>
        <w:t>-7</w:t>
      </w:r>
      <w:r>
        <w:rPr>
          <w:rFonts w:ascii="Times New Roman" w:hAnsi="Times New Roman"/>
          <w:bCs/>
          <w:color w:val="auto"/>
          <w:sz w:val="24"/>
          <w:highlight w:val="none"/>
        </w:rPr>
        <w:t>cm/s。</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color w:val="auto"/>
          <w:sz w:val="24"/>
          <w:highlight w:val="none"/>
        </w:rPr>
      </w:pPr>
      <w:r>
        <w:rPr>
          <w:rFonts w:ascii="Times New Roman" w:hAnsi="Times New Roman"/>
          <w:bCs/>
          <w:color w:val="auto"/>
          <w:sz w:val="24"/>
          <w:highlight w:val="none"/>
        </w:rPr>
        <w:t>●重点防渗区：重点防渗区在清场夯压的基础上采用铺设HDPE膜进行防渗，污水处理区、养殖区、堆肥场等用混凝土进行防渗，</w:t>
      </w:r>
      <w:r>
        <w:rPr>
          <w:rFonts w:hint="eastAsia" w:ascii="Times New Roman" w:hAnsi="Times New Roman"/>
          <w:color w:val="auto"/>
          <w:sz w:val="21"/>
          <w:szCs w:val="21"/>
          <w:highlight w:val="none"/>
          <w:lang w:eastAsia="zh-CN"/>
        </w:rPr>
        <w:t>黑膜</w:t>
      </w:r>
      <w:r>
        <w:rPr>
          <w:rFonts w:ascii="Times New Roman" w:hAnsi="Times New Roman"/>
          <w:bCs/>
          <w:color w:val="auto"/>
          <w:sz w:val="24"/>
          <w:highlight w:val="none"/>
        </w:rPr>
        <w:t>沼气池采用HDPE膜防渗；HDPE膜抗渗能力比较强，混凝土的抗渗标号为P6，渗透系数能够达到1.0×10</w:t>
      </w:r>
      <w:r>
        <w:rPr>
          <w:rFonts w:ascii="Times New Roman" w:hAnsi="Times New Roman"/>
          <w:bCs/>
          <w:color w:val="auto"/>
          <w:sz w:val="24"/>
          <w:highlight w:val="none"/>
          <w:vertAlign w:val="superscript"/>
        </w:rPr>
        <w:t>-10</w:t>
      </w:r>
      <w:r>
        <w:rPr>
          <w:rFonts w:ascii="Times New Roman" w:hAnsi="Times New Roman"/>
          <w:bCs/>
          <w:color w:val="auto"/>
          <w:sz w:val="24"/>
          <w:highlight w:val="none"/>
        </w:rPr>
        <w:t>cm/s，以防止污染地下水，同时各废水输送管道应做到防泄露、跑冒等。</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color w:val="auto"/>
          <w:sz w:val="24"/>
          <w:highlight w:val="none"/>
        </w:rPr>
      </w:pPr>
      <w:r>
        <w:rPr>
          <w:rFonts w:ascii="Times New Roman" w:hAnsi="Times New Roman"/>
          <w:bCs/>
          <w:color w:val="auto"/>
          <w:sz w:val="24"/>
          <w:highlight w:val="none"/>
        </w:rPr>
        <w:t>根据《畜禽养殖业污染源总量减排技术指导意见（试行）》（豫环文（2012）99号文）中的相关要求，粪便堆放场（本项目为发酵区）应采取有效的防雨、防渗漏、防溢流措施。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color w:val="auto"/>
          <w:sz w:val="24"/>
          <w:highlight w:val="none"/>
        </w:rPr>
      </w:pPr>
      <w:r>
        <w:rPr>
          <w:rFonts w:ascii="Times New Roman" w:hAnsi="Times New Roman"/>
          <w:bCs/>
          <w:color w:val="auto"/>
          <w:sz w:val="24"/>
          <w:highlight w:val="none"/>
        </w:rPr>
        <w:t>③做好排水沟的防渗工作，应充分考虑农作期间影响和雨季影响，能够保证有足够的容量以容纳养殖场产生的废水。</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color w:val="auto"/>
          <w:sz w:val="24"/>
          <w:highlight w:val="none"/>
        </w:rPr>
      </w:pPr>
      <w:r>
        <w:rPr>
          <w:rFonts w:ascii="Times New Roman" w:hAnsi="Times New Roman"/>
          <w:bCs/>
          <w:color w:val="auto"/>
          <w:sz w:val="24"/>
          <w:highlight w:val="none"/>
        </w:rPr>
        <w:fldChar w:fldCharType="begin"/>
      </w:r>
      <w:r>
        <w:rPr>
          <w:rFonts w:ascii="Times New Roman" w:hAnsi="Times New Roman"/>
          <w:bCs/>
          <w:color w:val="auto"/>
          <w:sz w:val="24"/>
          <w:highlight w:val="none"/>
        </w:rPr>
        <w:instrText xml:space="preserve"> = 4 \* GB3 </w:instrText>
      </w:r>
      <w:r>
        <w:rPr>
          <w:rFonts w:ascii="Times New Roman" w:hAnsi="Times New Roman"/>
          <w:bCs/>
          <w:color w:val="auto"/>
          <w:sz w:val="24"/>
          <w:highlight w:val="none"/>
        </w:rPr>
        <w:fldChar w:fldCharType="separate"/>
      </w:r>
      <w:r>
        <w:rPr>
          <w:rFonts w:ascii="Times New Roman" w:hAnsi="Times New Roman"/>
          <w:bCs/>
          <w:color w:val="auto"/>
          <w:sz w:val="24"/>
          <w:highlight w:val="none"/>
        </w:rPr>
        <w:t>④</w:t>
      </w:r>
      <w:r>
        <w:rPr>
          <w:rFonts w:ascii="Times New Roman" w:hAnsi="Times New Roman"/>
          <w:bCs/>
          <w:color w:val="auto"/>
          <w:sz w:val="24"/>
          <w:highlight w:val="none"/>
        </w:rPr>
        <w:fldChar w:fldCharType="end"/>
      </w:r>
      <w:r>
        <w:rPr>
          <w:rFonts w:ascii="Times New Roman" w:hAnsi="Times New Roman"/>
          <w:bCs/>
          <w:color w:val="auto"/>
          <w:sz w:val="24"/>
          <w:highlight w:val="none"/>
        </w:rPr>
        <w:t xml:space="preserve">肥水适当施用，由企业结合天气状况、当地土地消纳能力、当地农田施肥规律等定时定量合理施肥，防止过度施肥而影响地下水环境。并且，防止在雨天进行施肥，以避免肥水随雨水垂直径流进入地下水体，造成污染。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bCs/>
          <w:color w:val="auto"/>
          <w:sz w:val="24"/>
          <w:highlight w:val="none"/>
        </w:rPr>
      </w:pPr>
      <w:r>
        <w:rPr>
          <w:rFonts w:ascii="Times New Roman" w:hAnsi="Times New Roman"/>
          <w:bCs/>
          <w:color w:val="auto"/>
          <w:sz w:val="24"/>
          <w:highlight w:val="none"/>
        </w:rPr>
        <w:t>（4）管理措施</w:t>
      </w:r>
    </w:p>
    <w:p>
      <w:pPr>
        <w:keepNext w:val="0"/>
        <w:keepLines w:val="0"/>
        <w:pageBreakBefore w:val="0"/>
        <w:widowControl/>
        <w:kinsoku/>
        <w:wordWrap/>
        <w:overflowPunct/>
        <w:topLinePunct w:val="0"/>
        <w:autoSpaceDE/>
        <w:autoSpaceDN/>
        <w:bidi w:val="0"/>
        <w:adjustRightInd/>
        <w:snapToGrid/>
        <w:spacing w:line="360" w:lineRule="auto"/>
        <w:ind w:firstLine="573"/>
        <w:jc w:val="both"/>
        <w:textAlignment w:val="auto"/>
        <w:outlineLvl w:val="9"/>
        <w:rPr>
          <w:rFonts w:ascii="Times New Roman" w:hAnsi="Times New Roman"/>
          <w:bCs/>
          <w:color w:val="auto"/>
          <w:sz w:val="24"/>
          <w:highlight w:val="none"/>
        </w:rPr>
      </w:pPr>
      <w:r>
        <w:rPr>
          <w:rFonts w:ascii="Times New Roman" w:hAnsi="Times New Roman"/>
          <w:bCs/>
          <w:color w:val="auto"/>
          <w:sz w:val="24"/>
          <w:highlight w:val="none"/>
        </w:rPr>
        <w:t>成立事故处理组织，一旦发生废水事故排放，应立即组织人力、物力和财力加紧对设备进行维修，同时对废水进行回收、拦截，以防止污染地下水；建设单位建立了科学合理的沼液利用制度，沼液适当施用，由企业结合农业技术部门根据天气情况、当地土地消纳能力、农田施肥及灌溉规律定时定量施肥，防治过度施肥而影响地下水环境。</w:t>
      </w:r>
    </w:p>
    <w:p>
      <w:pPr>
        <w:keepNext w:val="0"/>
        <w:keepLines w:val="0"/>
        <w:pageBreakBefore w:val="0"/>
        <w:widowControl/>
        <w:kinsoku/>
        <w:wordWrap/>
        <w:overflowPunct/>
        <w:topLinePunct w:val="0"/>
        <w:autoSpaceDE/>
        <w:autoSpaceDN/>
        <w:bidi w:val="0"/>
        <w:adjustRightInd/>
        <w:snapToGrid/>
        <w:spacing w:line="360" w:lineRule="auto"/>
        <w:ind w:firstLine="573"/>
        <w:jc w:val="both"/>
        <w:textAlignment w:val="auto"/>
        <w:rPr>
          <w:rFonts w:ascii="Times New Roman" w:hAnsi="Times New Roman"/>
          <w:bCs/>
          <w:color w:val="auto"/>
          <w:sz w:val="24"/>
          <w:highlight w:val="none"/>
        </w:rPr>
      </w:pPr>
      <w:r>
        <w:rPr>
          <w:rFonts w:ascii="Times New Roman" w:hAnsi="Times New Roman"/>
          <w:bCs/>
          <w:color w:val="auto"/>
          <w:sz w:val="24"/>
          <w:highlight w:val="none"/>
        </w:rPr>
        <w:t>综上，在落实好各项防渗、防污措施后，本项目污染物能得到有效处理，对地下水水质影响较小，项目的建设不会产生其他环境地质问题，因此对地下水环境质量影响较小。</w:t>
      </w:r>
    </w:p>
    <w:p>
      <w:pPr>
        <w:pStyle w:val="5"/>
        <w:spacing w:before="66"/>
        <w:ind w:firstLine="482"/>
        <w:rPr>
          <w:color w:val="auto"/>
          <w:highlight w:val="none"/>
        </w:rPr>
      </w:pPr>
      <w:r>
        <w:rPr>
          <w:rFonts w:hint="eastAsia"/>
          <w:color w:val="auto"/>
          <w:highlight w:val="none"/>
          <w:lang w:val="en-US" w:eastAsia="zh-CN"/>
        </w:rPr>
        <w:t>5</w:t>
      </w:r>
      <w:r>
        <w:rPr>
          <w:rFonts w:hint="eastAsia"/>
          <w:color w:val="auto"/>
          <w:highlight w:val="none"/>
        </w:rPr>
        <w:t>.2.</w:t>
      </w:r>
      <w:r>
        <w:rPr>
          <w:rFonts w:hint="eastAsia"/>
          <w:color w:val="auto"/>
          <w:highlight w:val="none"/>
          <w:lang w:val="en-US" w:eastAsia="zh-CN"/>
        </w:rPr>
        <w:t>7</w:t>
      </w:r>
      <w:r>
        <w:rPr>
          <w:color w:val="auto"/>
          <w:highlight w:val="none"/>
        </w:rPr>
        <w:t>噪声环境保护措施及其可行性分析</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cs="Times New Roman"/>
          <w:color w:val="auto"/>
          <w:highlight w:val="none"/>
        </w:rPr>
      </w:pPr>
      <w:r>
        <w:rPr>
          <w:rFonts w:hint="eastAsia"/>
          <w:color w:val="auto"/>
          <w:highlight w:val="none"/>
        </w:rPr>
        <w:t>项目营运期噪声主要来源于</w:t>
      </w:r>
      <w:r>
        <w:rPr>
          <w:rFonts w:ascii="Times New Roman" w:hAnsi="Times New Roman"/>
          <w:color w:val="auto"/>
          <w:sz w:val="24"/>
          <w:szCs w:val="24"/>
          <w:highlight w:val="none"/>
        </w:rPr>
        <w:t>猪叫声、清洗猪舍时高压水枪配套空压机、猪舍降温配套风机、粪污处理设施水泵、固液分离机、翻抛机等设备运行时产生的噪声，根据类比调查，其源强为</w:t>
      </w:r>
      <w:r>
        <w:rPr>
          <w:rFonts w:hint="eastAsia"/>
          <w:color w:val="auto"/>
          <w:sz w:val="24"/>
          <w:szCs w:val="24"/>
          <w:highlight w:val="none"/>
          <w:lang w:val="en-US" w:eastAsia="zh-CN"/>
        </w:rPr>
        <w:t>70</w:t>
      </w:r>
      <w:r>
        <w:rPr>
          <w:rFonts w:ascii="Times New Roman" w:hAnsi="Times New Roman"/>
          <w:color w:val="auto"/>
          <w:sz w:val="24"/>
          <w:szCs w:val="24"/>
          <w:highlight w:val="none"/>
        </w:rPr>
        <w:t>～90dB(A)</w:t>
      </w:r>
      <w:r>
        <w:rPr>
          <w:rFonts w:hint="eastAsia" w:cs="Times New Roman"/>
          <w:color w:val="auto"/>
          <w:highlight w:val="none"/>
        </w:rPr>
        <w:t>，本项目采取的降噪措施有：</w:t>
      </w:r>
    </w:p>
    <w:p>
      <w:pPr>
        <w:keepNext w:val="0"/>
        <w:keepLines w:val="0"/>
        <w:pageBreakBefore w:val="0"/>
        <w:widowControl/>
        <w:kinsoku/>
        <w:wordWrap/>
        <w:overflowPunct/>
        <w:topLinePunct w:val="0"/>
        <w:autoSpaceDE/>
        <w:autoSpaceDN/>
        <w:bidi w:val="0"/>
        <w:adjustRightInd/>
        <w:snapToGrid/>
        <w:spacing w:line="360" w:lineRule="auto"/>
        <w:ind w:firstLine="57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（1）企业在设备选型上，应选择低噪声风机、空压机、水泵设备，以防止项目运营期间产生的噪声源叠加，对区域环境产生较大影响。</w:t>
      </w:r>
    </w:p>
    <w:p>
      <w:pPr>
        <w:keepNext w:val="0"/>
        <w:keepLines w:val="0"/>
        <w:pageBreakBefore w:val="0"/>
        <w:widowControl/>
        <w:kinsoku/>
        <w:wordWrap/>
        <w:overflowPunct/>
        <w:topLinePunct w:val="0"/>
        <w:autoSpaceDE/>
        <w:autoSpaceDN/>
        <w:bidi w:val="0"/>
        <w:adjustRightInd/>
        <w:snapToGrid/>
        <w:spacing w:line="360" w:lineRule="auto"/>
        <w:ind w:firstLine="57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（2）对风机、水泵设备安装减振垫进行设备基础减振处理，根据噪声衰减规律分析：</w:t>
      </w:r>
      <w:r>
        <w:rPr>
          <w:rFonts w:ascii="Times New Roman" w:hAnsi="Times New Roman"/>
          <w:bCs/>
          <w:color w:val="auto"/>
          <w:sz w:val="24"/>
          <w:szCs w:val="24"/>
          <w:highlight w:val="none"/>
        </w:rPr>
        <w:t>经基础减振（减轻振动及不固定配件摆动噪声）及隔声措施噪声衰减可以达到</w:t>
      </w:r>
      <w:r>
        <w:rPr>
          <w:rFonts w:hint="eastAsia"/>
          <w:bCs/>
          <w:color w:val="auto"/>
          <w:sz w:val="24"/>
          <w:szCs w:val="24"/>
          <w:highlight w:val="none"/>
          <w:lang w:val="en-US" w:eastAsia="zh-CN"/>
        </w:rPr>
        <w:t>15</w:t>
      </w:r>
      <w:r>
        <w:rPr>
          <w:rFonts w:ascii="Times New Roman" w:hAnsi="Times New Roman"/>
          <w:bCs/>
          <w:color w:val="auto"/>
          <w:sz w:val="24"/>
          <w:szCs w:val="24"/>
          <w:highlight w:val="none"/>
        </w:rPr>
        <w:t>～</w:t>
      </w:r>
      <w:r>
        <w:rPr>
          <w:rFonts w:hint="eastAsia"/>
          <w:bCs/>
          <w:color w:val="auto"/>
          <w:sz w:val="24"/>
          <w:szCs w:val="24"/>
          <w:highlight w:val="none"/>
          <w:lang w:val="en-US" w:eastAsia="zh-CN"/>
        </w:rPr>
        <w:t>2</w:t>
      </w:r>
      <w:r>
        <w:rPr>
          <w:rFonts w:ascii="Times New Roman" w:hAnsi="Times New Roman"/>
          <w:bCs/>
          <w:color w:val="auto"/>
          <w:sz w:val="24"/>
          <w:szCs w:val="24"/>
          <w:highlight w:val="none"/>
        </w:rPr>
        <w:t>0dB(A)</w:t>
      </w:r>
      <w:r>
        <w:rPr>
          <w:rFonts w:ascii="Times New Roman" w:hAnsi="Times New Roman"/>
          <w:color w:val="auto"/>
          <w:sz w:val="24"/>
          <w:szCs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3）在场区周围及场内加强绿化，充分利用建筑的边角空隙土地及不规则土地进行绿化；场区绿化应结合场区与猪舍之间的隔离、遮荫及防风需要进行。可根据当地实际种植能美化环境、净化空气的树种和花草，不宜种植有毒、有刺、飞絮的植物，其噪声源强可衰减约5dB(A)。</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（4）评价要求噪声源强较高的设备，尽量往场区内部布置，因距离的原因实现噪声衰减。</w:t>
      </w:r>
    </w:p>
    <w:p>
      <w:pPr>
        <w:keepNext w:val="0"/>
        <w:keepLines w:val="0"/>
        <w:pageBreakBefore w:val="0"/>
        <w:widowControl/>
        <w:kinsoku/>
        <w:wordWrap/>
        <w:overflowPunct/>
        <w:topLinePunct w:val="0"/>
        <w:autoSpaceDE/>
        <w:autoSpaceDN/>
        <w:bidi w:val="0"/>
        <w:adjustRightInd/>
        <w:snapToGrid/>
        <w:ind w:firstLine="480"/>
        <w:textAlignment w:val="auto"/>
        <w:rPr>
          <w:rFonts w:hAnsi="宋体"/>
          <w:color w:val="auto"/>
          <w:kern w:val="0"/>
          <w:highlight w:val="none"/>
          <w:lang w:val="zh-CN"/>
        </w:rPr>
      </w:pPr>
      <w:r>
        <w:rPr>
          <w:rFonts w:hint="eastAsia"/>
          <w:color w:val="auto"/>
          <w:highlight w:val="none"/>
          <w:lang w:val="zh-CN"/>
        </w:rPr>
        <w:t>本项目噪声经过上述防治措施和自然衰减后厂界噪声</w:t>
      </w:r>
      <w:r>
        <w:rPr>
          <w:color w:val="auto"/>
          <w:highlight w:val="none"/>
          <w:lang w:val="zh-CN"/>
        </w:rPr>
        <w:t>均能满足《工业企业厂界环境噪声排放标准》（GB12348-2008）中</w:t>
      </w:r>
      <w:r>
        <w:rPr>
          <w:rFonts w:hint="eastAsia"/>
          <w:color w:val="auto"/>
          <w:highlight w:val="none"/>
          <w:lang w:val="en-US" w:eastAsia="zh-CN"/>
        </w:rPr>
        <w:t>2</w:t>
      </w:r>
      <w:r>
        <w:rPr>
          <w:color w:val="auto"/>
          <w:highlight w:val="none"/>
          <w:lang w:val="zh-CN"/>
        </w:rPr>
        <w:t>类标准的要求</w:t>
      </w:r>
      <w:r>
        <w:rPr>
          <w:rFonts w:hint="eastAsia"/>
          <w:color w:val="auto"/>
          <w:highlight w:val="none"/>
          <w:lang w:val="zh-CN"/>
        </w:rPr>
        <w:t>，且采取的噪声防治措施是较为常用的技术，技术成熟，降噪效果明显，因此噪声防治措施可行。</w:t>
      </w:r>
    </w:p>
    <w:p>
      <w:pPr>
        <w:pStyle w:val="5"/>
        <w:spacing w:before="66"/>
        <w:ind w:firstLine="482"/>
        <w:rPr>
          <w:color w:val="auto"/>
          <w:highlight w:val="none"/>
        </w:rPr>
      </w:pPr>
      <w:r>
        <w:rPr>
          <w:rFonts w:hint="eastAsia"/>
          <w:color w:val="auto"/>
          <w:highlight w:val="none"/>
          <w:lang w:val="en-US" w:eastAsia="zh-CN"/>
        </w:rPr>
        <w:t>5</w:t>
      </w:r>
      <w:r>
        <w:rPr>
          <w:rFonts w:hint="eastAsia"/>
          <w:color w:val="auto"/>
          <w:highlight w:val="none"/>
        </w:rPr>
        <w:t>.2.</w:t>
      </w:r>
      <w:r>
        <w:rPr>
          <w:rFonts w:hint="eastAsia"/>
          <w:color w:val="auto"/>
          <w:highlight w:val="none"/>
          <w:lang w:val="en-US" w:eastAsia="zh-CN"/>
        </w:rPr>
        <w:t>8</w:t>
      </w:r>
      <w:r>
        <w:rPr>
          <w:rFonts w:hint="eastAsia"/>
          <w:color w:val="auto"/>
          <w:highlight w:val="none"/>
        </w:rPr>
        <w:t>固废环境保护措施及其可行性分析</w:t>
      </w:r>
    </w:p>
    <w:p>
      <w:pPr>
        <w:pStyle w:val="6"/>
        <w:ind w:firstLine="482"/>
        <w:rPr>
          <w:rFonts w:hint="eastAsia"/>
          <w:color w:val="auto"/>
          <w:highlight w:val="none"/>
        </w:rPr>
      </w:pPr>
      <w:r>
        <w:rPr>
          <w:rFonts w:hint="eastAsia"/>
          <w:color w:val="auto"/>
          <w:highlight w:val="none"/>
          <w:lang w:val="en-US" w:eastAsia="zh-CN"/>
        </w:rPr>
        <w:t>5</w:t>
      </w:r>
      <w:r>
        <w:rPr>
          <w:color w:val="auto"/>
          <w:highlight w:val="none"/>
        </w:rPr>
        <w:t>.2.</w:t>
      </w:r>
      <w:r>
        <w:rPr>
          <w:rFonts w:hint="eastAsia"/>
          <w:color w:val="auto"/>
          <w:highlight w:val="none"/>
          <w:lang w:val="en-US" w:eastAsia="zh-CN"/>
        </w:rPr>
        <w:t>8</w:t>
      </w:r>
      <w:r>
        <w:rPr>
          <w:rFonts w:hint="eastAsia"/>
          <w:color w:val="auto"/>
          <w:highlight w:val="none"/>
        </w:rPr>
        <w:t>.</w:t>
      </w:r>
      <w:r>
        <w:rPr>
          <w:rFonts w:hint="eastAsia"/>
          <w:color w:val="auto"/>
          <w:highlight w:val="none"/>
          <w:lang w:val="en-US" w:eastAsia="zh-CN"/>
        </w:rPr>
        <w:t>1</w:t>
      </w:r>
      <w:r>
        <w:rPr>
          <w:rFonts w:hint="eastAsia"/>
          <w:color w:val="auto"/>
          <w:highlight w:val="none"/>
        </w:rPr>
        <w:t>固体废物处置措施</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color w:val="auto"/>
          <w:highlight w:val="none"/>
        </w:rPr>
      </w:pPr>
      <w:r>
        <w:rPr>
          <w:color w:val="auto"/>
          <w:highlight w:val="none"/>
        </w:rPr>
        <w:t>本项目产生的固体废物</w:t>
      </w:r>
      <w:r>
        <w:rPr>
          <w:rFonts w:hint="eastAsia" w:cs="Times New Roman"/>
          <w:color w:val="auto"/>
          <w:highlight w:val="none"/>
        </w:rPr>
        <w:t>主要包括猪粪固形物、厌氧发酵后的沼渣、疾病防疫产生的医疗废物、职工生活垃圾、废脱硫剂</w:t>
      </w:r>
      <w:r>
        <w:rPr>
          <w:rFonts w:hint="eastAsia" w:cs="Times New Roman"/>
          <w:color w:val="auto"/>
          <w:highlight w:val="none"/>
          <w:lang w:eastAsia="zh-CN"/>
        </w:rPr>
        <w:t>、废导热油</w:t>
      </w:r>
      <w:r>
        <w:rPr>
          <w:rFonts w:hint="eastAsia" w:cs="Times New Roman"/>
          <w:color w:val="auto"/>
          <w:highlight w:val="none"/>
        </w:rPr>
        <w:t>等</w:t>
      </w:r>
      <w:r>
        <w:rPr>
          <w:color w:val="auto"/>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项目猪粪和沼渣用于制成有机肥基肥，</w:t>
      </w:r>
      <w:r>
        <w:rPr>
          <w:rFonts w:ascii="Times New Roman" w:hAnsi="Times New Roman"/>
          <w:bCs/>
          <w:color w:val="auto"/>
          <w:sz w:val="24"/>
          <w:highlight w:val="none"/>
        </w:rPr>
        <w:t>猪粪便堆肥处理生产的有机肥基肥中砷、镉、铅、汞等重金属均能满足《有机肥料》（NY525-2011）表2有机肥中重金属限量指标的要求。</w:t>
      </w:r>
      <w:r>
        <w:rPr>
          <w:rFonts w:ascii="Times New Roman" w:hAnsi="Times New Roman"/>
          <w:color w:val="auto"/>
          <w:sz w:val="24"/>
          <w:highlight w:val="none"/>
        </w:rPr>
        <w:t>固废污染产生及防治措施见表5</w:t>
      </w:r>
      <w:r>
        <w:rPr>
          <w:rFonts w:hint="eastAsia"/>
          <w:color w:val="auto"/>
          <w:sz w:val="24"/>
          <w:highlight w:val="none"/>
          <w:lang w:val="en-US" w:eastAsia="zh-CN"/>
        </w:rPr>
        <w:t>.2</w:t>
      </w:r>
      <w:r>
        <w:rPr>
          <w:rFonts w:ascii="Times New Roman" w:hAnsi="Times New Roman"/>
          <w:color w:val="auto"/>
          <w:sz w:val="24"/>
          <w:highlight w:val="none"/>
        </w:rPr>
        <w:t>-1</w:t>
      </w:r>
      <w:r>
        <w:rPr>
          <w:rFonts w:hint="eastAsia"/>
          <w:color w:val="auto"/>
          <w:sz w:val="24"/>
          <w:highlight w:val="none"/>
          <w:lang w:val="en-US" w:eastAsia="zh-CN"/>
        </w:rPr>
        <w:t>0</w:t>
      </w:r>
      <w:r>
        <w:rPr>
          <w:rFonts w:ascii="Times New Roman" w:hAnsi="Times New Roman"/>
          <w:color w:val="auto"/>
          <w:sz w:val="24"/>
          <w:highlight w:val="none"/>
        </w:rPr>
        <w:t>。</w:t>
      </w:r>
    </w:p>
    <w:p>
      <w:pPr>
        <w:pStyle w:val="40"/>
        <w:rPr>
          <w:rFonts w:hint="eastAsia" w:cs="Times New Roman"/>
          <w:color w:val="auto"/>
          <w:highlight w:val="none"/>
          <w:lang w:val="en-US" w:eastAsia="zh-CN"/>
        </w:rPr>
      </w:pPr>
      <w:r>
        <w:rPr>
          <w:rFonts w:hint="eastAsia" w:cs="Times New Roman"/>
          <w:color w:val="auto"/>
          <w:highlight w:val="none"/>
          <w:lang w:val="en-US" w:eastAsia="zh-CN"/>
        </w:rPr>
        <w:t>表5.2-10 固体废物产排情况及处置措施一览表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2"/>
        <w:gridCol w:w="1165"/>
        <w:gridCol w:w="831"/>
        <w:gridCol w:w="833"/>
        <w:gridCol w:w="833"/>
        <w:gridCol w:w="1708"/>
        <w:gridCol w:w="24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序号</w:t>
            </w:r>
          </w:p>
        </w:tc>
        <w:tc>
          <w:tcPr>
            <w:tcW w:w="684"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名称</w:t>
            </w:r>
          </w:p>
        </w:tc>
        <w:tc>
          <w:tcPr>
            <w:tcW w:w="488"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属性</w:t>
            </w:r>
          </w:p>
        </w:tc>
        <w:tc>
          <w:tcPr>
            <w:tcW w:w="489"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产生工序</w:t>
            </w:r>
          </w:p>
        </w:tc>
        <w:tc>
          <w:tcPr>
            <w:tcW w:w="489"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形态</w:t>
            </w:r>
          </w:p>
        </w:tc>
        <w:tc>
          <w:tcPr>
            <w:tcW w:w="1003"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产生量（t/a）</w:t>
            </w:r>
          </w:p>
        </w:tc>
        <w:tc>
          <w:tcPr>
            <w:tcW w:w="1421"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处理（处置）措施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1</w:t>
            </w:r>
          </w:p>
        </w:tc>
        <w:tc>
          <w:tcPr>
            <w:tcW w:w="684" w:type="pct"/>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猪粪</w:t>
            </w:r>
          </w:p>
        </w:tc>
        <w:tc>
          <w:tcPr>
            <w:tcW w:w="488" w:type="pct"/>
            <w:vMerge w:val="restar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一般固废</w:t>
            </w:r>
          </w:p>
        </w:tc>
        <w:tc>
          <w:tcPr>
            <w:tcW w:w="489" w:type="pct"/>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养殖</w:t>
            </w:r>
          </w:p>
        </w:tc>
        <w:tc>
          <w:tcPr>
            <w:tcW w:w="489"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固态</w:t>
            </w:r>
          </w:p>
        </w:tc>
        <w:tc>
          <w:tcPr>
            <w:tcW w:w="1003"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5890.3</w:t>
            </w:r>
          </w:p>
        </w:tc>
        <w:tc>
          <w:tcPr>
            <w:tcW w:w="1421"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发酵处理后作为有机肥基料外售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684" w:type="pct"/>
            <w:vAlign w:val="center"/>
          </w:tcPr>
          <w:p>
            <w:pPr>
              <w:spacing w:line="240" w:lineRule="auto"/>
              <w:ind w:firstLine="0" w:firstLineChars="0"/>
              <w:jc w:val="center"/>
              <w:rPr>
                <w:rFonts w:hint="eastAsia" w:cs="Times New Roman"/>
                <w:color w:val="auto"/>
                <w:sz w:val="21"/>
                <w:szCs w:val="21"/>
                <w:highlight w:val="none"/>
                <w:lang w:eastAsia="zh-CN"/>
              </w:rPr>
            </w:pPr>
            <w:r>
              <w:rPr>
                <w:rFonts w:ascii="Times New Roman" w:hAnsi="Times New Roman"/>
                <w:color w:val="auto"/>
                <w:sz w:val="21"/>
                <w:szCs w:val="21"/>
                <w:highlight w:val="none"/>
              </w:rPr>
              <w:t>沼渣</w:t>
            </w:r>
          </w:p>
        </w:tc>
        <w:tc>
          <w:tcPr>
            <w:tcW w:w="488" w:type="pct"/>
            <w:vMerge w:val="continue"/>
            <w:vAlign w:val="center"/>
          </w:tcPr>
          <w:p>
            <w:pPr>
              <w:spacing w:line="240" w:lineRule="auto"/>
              <w:ind w:firstLine="0" w:firstLineChars="0"/>
              <w:jc w:val="center"/>
              <w:rPr>
                <w:rFonts w:cs="Times New Roman"/>
                <w:color w:val="auto"/>
                <w:sz w:val="21"/>
                <w:szCs w:val="21"/>
                <w:highlight w:val="none"/>
              </w:rPr>
            </w:pPr>
          </w:p>
        </w:tc>
        <w:tc>
          <w:tcPr>
            <w:tcW w:w="489" w:type="pct"/>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厌氧发酵</w:t>
            </w:r>
          </w:p>
        </w:tc>
        <w:tc>
          <w:tcPr>
            <w:tcW w:w="489"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固态</w:t>
            </w:r>
          </w:p>
        </w:tc>
        <w:tc>
          <w:tcPr>
            <w:tcW w:w="1003"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4124.5</w:t>
            </w:r>
          </w:p>
        </w:tc>
        <w:tc>
          <w:tcPr>
            <w:tcW w:w="1421" w:type="pct"/>
            <w:vAlign w:val="center"/>
          </w:tcPr>
          <w:p>
            <w:pPr>
              <w:spacing w:line="240" w:lineRule="auto"/>
              <w:ind w:firstLine="0" w:firstLineChars="0"/>
              <w:jc w:val="center"/>
              <w:rPr>
                <w:rFonts w:hint="eastAsia" w:cs="Times New Roman"/>
                <w:color w:val="auto"/>
                <w:sz w:val="21"/>
                <w:szCs w:val="21"/>
                <w:highlight w:val="none"/>
              </w:rPr>
            </w:pPr>
            <w:r>
              <w:rPr>
                <w:rFonts w:cs="Times New Roman"/>
                <w:color w:val="auto"/>
                <w:sz w:val="21"/>
                <w:szCs w:val="21"/>
                <w:highlight w:val="none"/>
              </w:rPr>
              <w:t>发酵处理后作为有机肥基料外售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3</w:t>
            </w:r>
          </w:p>
        </w:tc>
        <w:tc>
          <w:tcPr>
            <w:tcW w:w="684" w:type="pc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生活垃圾</w:t>
            </w:r>
          </w:p>
        </w:tc>
        <w:tc>
          <w:tcPr>
            <w:tcW w:w="488" w:type="pct"/>
            <w:vMerge w:val="continue"/>
            <w:vAlign w:val="center"/>
          </w:tcPr>
          <w:p>
            <w:pPr>
              <w:spacing w:line="240" w:lineRule="auto"/>
              <w:ind w:firstLine="0" w:firstLineChars="0"/>
              <w:jc w:val="center"/>
              <w:rPr>
                <w:rFonts w:cs="Times New Roman"/>
                <w:color w:val="auto"/>
                <w:sz w:val="21"/>
                <w:szCs w:val="21"/>
                <w:highlight w:val="none"/>
              </w:rPr>
            </w:pPr>
          </w:p>
        </w:tc>
        <w:tc>
          <w:tcPr>
            <w:tcW w:w="489"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员工生活</w:t>
            </w:r>
          </w:p>
        </w:tc>
        <w:tc>
          <w:tcPr>
            <w:tcW w:w="489"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固态</w:t>
            </w:r>
          </w:p>
        </w:tc>
        <w:tc>
          <w:tcPr>
            <w:tcW w:w="1003"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17.52</w:t>
            </w:r>
          </w:p>
        </w:tc>
        <w:tc>
          <w:tcPr>
            <w:tcW w:w="1421" w:type="pct"/>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cs="Times New Roman"/>
                <w:color w:val="auto"/>
                <w:sz w:val="21"/>
                <w:szCs w:val="21"/>
                <w:highlight w:val="none"/>
              </w:rPr>
              <w:t>环卫部门定期</w:t>
            </w:r>
            <w:r>
              <w:rPr>
                <w:rFonts w:hint="eastAsia" w:cs="Times New Roman"/>
                <w:color w:val="auto"/>
                <w:sz w:val="21"/>
                <w:szCs w:val="21"/>
                <w:highlight w:val="none"/>
                <w:lang w:eastAsia="zh-CN"/>
              </w:rPr>
              <w:t>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684" w:type="pct"/>
            <w:vAlign w:val="center"/>
          </w:tcPr>
          <w:p>
            <w:pPr>
              <w:spacing w:line="240" w:lineRule="auto"/>
              <w:ind w:firstLine="0" w:firstLineChars="0"/>
              <w:jc w:val="center"/>
              <w:rPr>
                <w:rFonts w:hint="eastAsia" w:cs="Times New Roman"/>
                <w:color w:val="auto"/>
                <w:sz w:val="21"/>
                <w:szCs w:val="21"/>
                <w:highlight w:val="none"/>
              </w:rPr>
            </w:pPr>
            <w:r>
              <w:rPr>
                <w:rFonts w:ascii="Times New Roman" w:hAnsi="Times New Roman"/>
                <w:color w:val="auto"/>
                <w:sz w:val="21"/>
                <w:szCs w:val="21"/>
                <w:highlight w:val="none"/>
              </w:rPr>
              <w:t>废脱硫剂</w:t>
            </w:r>
          </w:p>
        </w:tc>
        <w:tc>
          <w:tcPr>
            <w:tcW w:w="488" w:type="pct"/>
            <w:vMerge w:val="continue"/>
            <w:vAlign w:val="center"/>
          </w:tcPr>
          <w:p>
            <w:pPr>
              <w:spacing w:line="240" w:lineRule="auto"/>
              <w:ind w:firstLine="0" w:firstLineChars="0"/>
              <w:jc w:val="center"/>
              <w:rPr>
                <w:rFonts w:cs="Times New Roman"/>
                <w:color w:val="auto"/>
                <w:sz w:val="21"/>
                <w:szCs w:val="21"/>
                <w:highlight w:val="none"/>
              </w:rPr>
            </w:pPr>
          </w:p>
        </w:tc>
        <w:tc>
          <w:tcPr>
            <w:tcW w:w="489" w:type="pct"/>
            <w:vAlign w:val="center"/>
          </w:tcPr>
          <w:p>
            <w:pPr>
              <w:spacing w:line="240" w:lineRule="auto"/>
              <w:ind w:firstLine="0" w:firstLineChars="0"/>
              <w:jc w:val="center"/>
              <w:rPr>
                <w:rFonts w:hint="eastAsia" w:cs="Times New Roman"/>
                <w:color w:val="auto"/>
                <w:sz w:val="21"/>
                <w:szCs w:val="21"/>
                <w:highlight w:val="none"/>
                <w:lang w:eastAsia="zh-CN"/>
              </w:rPr>
            </w:pPr>
            <w:r>
              <w:rPr>
                <w:rFonts w:hint="eastAsia" w:cs="Times New Roman"/>
                <w:color w:val="auto"/>
                <w:sz w:val="21"/>
                <w:szCs w:val="21"/>
                <w:highlight w:val="none"/>
                <w:lang w:val="en-US" w:eastAsia="zh-CN"/>
              </w:rPr>
              <w:t>沼气脱硫装置</w:t>
            </w:r>
          </w:p>
        </w:tc>
        <w:tc>
          <w:tcPr>
            <w:tcW w:w="489" w:type="pct"/>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固态</w:t>
            </w:r>
          </w:p>
        </w:tc>
        <w:tc>
          <w:tcPr>
            <w:tcW w:w="1003" w:type="pct"/>
            <w:vAlign w:val="center"/>
          </w:tcPr>
          <w:p>
            <w:pPr>
              <w:spacing w:line="240" w:lineRule="auto"/>
              <w:ind w:firstLine="0" w:firstLineChars="0"/>
              <w:jc w:val="center"/>
              <w:rPr>
                <w:rFonts w:hint="default" w:cs="Times New Roman"/>
                <w:color w:val="auto"/>
                <w:sz w:val="21"/>
                <w:szCs w:val="21"/>
                <w:highlight w:val="none"/>
                <w:lang w:val="en-US"/>
              </w:rPr>
            </w:pPr>
            <w:r>
              <w:rPr>
                <w:rFonts w:hint="eastAsia" w:cs="Times New Roman"/>
                <w:color w:val="auto"/>
                <w:sz w:val="21"/>
                <w:szCs w:val="21"/>
                <w:highlight w:val="none"/>
                <w:lang w:val="en-US" w:eastAsia="zh-CN"/>
              </w:rPr>
              <w:t>2.6</w:t>
            </w:r>
          </w:p>
        </w:tc>
        <w:tc>
          <w:tcPr>
            <w:tcW w:w="1421" w:type="pct"/>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生产厂家统一回收处置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5</w:t>
            </w:r>
          </w:p>
        </w:tc>
        <w:tc>
          <w:tcPr>
            <w:tcW w:w="684"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病死猪尸体</w:t>
            </w:r>
          </w:p>
        </w:tc>
        <w:tc>
          <w:tcPr>
            <w:tcW w:w="488" w:type="pct"/>
            <w:vMerge w:val="continue"/>
            <w:vAlign w:val="center"/>
          </w:tcPr>
          <w:p>
            <w:pPr>
              <w:spacing w:line="240" w:lineRule="auto"/>
              <w:ind w:firstLine="0" w:firstLineChars="0"/>
              <w:jc w:val="center"/>
              <w:rPr>
                <w:rFonts w:cs="Times New Roman"/>
                <w:color w:val="auto"/>
                <w:sz w:val="21"/>
                <w:szCs w:val="21"/>
                <w:highlight w:val="none"/>
              </w:rPr>
            </w:pPr>
          </w:p>
        </w:tc>
        <w:tc>
          <w:tcPr>
            <w:tcW w:w="489"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lang w:eastAsia="zh-CN"/>
              </w:rPr>
              <w:t>养殖</w:t>
            </w:r>
          </w:p>
        </w:tc>
        <w:tc>
          <w:tcPr>
            <w:tcW w:w="489"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固态</w:t>
            </w:r>
          </w:p>
        </w:tc>
        <w:tc>
          <w:tcPr>
            <w:tcW w:w="1003"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23.5</w:t>
            </w:r>
          </w:p>
        </w:tc>
        <w:tc>
          <w:tcPr>
            <w:tcW w:w="1421"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送</w:t>
            </w:r>
            <w:r>
              <w:rPr>
                <w:rFonts w:hint="eastAsia" w:cs="Times New Roman"/>
                <w:color w:val="auto"/>
                <w:sz w:val="21"/>
                <w:szCs w:val="21"/>
                <w:highlight w:val="none"/>
                <w:lang w:eastAsia="zh-CN"/>
              </w:rPr>
              <w:t>本厂自建的</w:t>
            </w:r>
            <w:r>
              <w:rPr>
                <w:rFonts w:hint="eastAsia" w:cs="Times New Roman"/>
                <w:color w:val="auto"/>
                <w:sz w:val="21"/>
                <w:szCs w:val="21"/>
                <w:highlight w:val="none"/>
              </w:rPr>
              <w:t>无害化处理车间处置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6</w:t>
            </w:r>
          </w:p>
        </w:tc>
        <w:tc>
          <w:tcPr>
            <w:tcW w:w="684"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医疗废物</w:t>
            </w:r>
          </w:p>
        </w:tc>
        <w:tc>
          <w:tcPr>
            <w:tcW w:w="488" w:type="pct"/>
            <w:vMerge w:val="restart"/>
            <w:vAlign w:val="center"/>
          </w:tcPr>
          <w:p>
            <w:pPr>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危废</w:t>
            </w:r>
          </w:p>
        </w:tc>
        <w:tc>
          <w:tcPr>
            <w:tcW w:w="489" w:type="pct"/>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防疫</w:t>
            </w:r>
          </w:p>
        </w:tc>
        <w:tc>
          <w:tcPr>
            <w:tcW w:w="489"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固态</w:t>
            </w:r>
          </w:p>
        </w:tc>
        <w:tc>
          <w:tcPr>
            <w:tcW w:w="1003"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rPr>
              <w:t>0.</w:t>
            </w:r>
            <w:r>
              <w:rPr>
                <w:rFonts w:hint="eastAsia" w:cs="Times New Roman"/>
                <w:color w:val="auto"/>
                <w:sz w:val="21"/>
                <w:szCs w:val="21"/>
                <w:highlight w:val="none"/>
                <w:lang w:val="en-US" w:eastAsia="zh-CN"/>
              </w:rPr>
              <w:t>344</w:t>
            </w:r>
          </w:p>
        </w:tc>
        <w:tc>
          <w:tcPr>
            <w:tcW w:w="1421" w:type="pct"/>
            <w:vAlign w:val="center"/>
          </w:tcPr>
          <w:p>
            <w:pPr>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交由新蔡县中绿环保有限公司处置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424" w:type="pct"/>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684" w:type="pct"/>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废导热油</w:t>
            </w:r>
          </w:p>
        </w:tc>
        <w:tc>
          <w:tcPr>
            <w:tcW w:w="488" w:type="pct"/>
            <w:vMerge w:val="continue"/>
            <w:vAlign w:val="center"/>
          </w:tcPr>
          <w:p>
            <w:pPr>
              <w:spacing w:line="240" w:lineRule="auto"/>
              <w:ind w:firstLine="0" w:firstLineChars="0"/>
              <w:jc w:val="center"/>
              <w:rPr>
                <w:rFonts w:cs="Times New Roman"/>
                <w:color w:val="auto"/>
                <w:sz w:val="21"/>
                <w:szCs w:val="21"/>
                <w:highlight w:val="none"/>
              </w:rPr>
            </w:pPr>
          </w:p>
        </w:tc>
        <w:tc>
          <w:tcPr>
            <w:tcW w:w="833" w:type="dxa"/>
            <w:vAlign w:val="center"/>
          </w:tcPr>
          <w:p>
            <w:pPr>
              <w:spacing w:line="240" w:lineRule="auto"/>
              <w:ind w:firstLine="0" w:firstLineChars="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无害化</w:t>
            </w:r>
          </w:p>
        </w:tc>
        <w:tc>
          <w:tcPr>
            <w:tcW w:w="833" w:type="dxa"/>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lang w:eastAsia="zh-CN"/>
              </w:rPr>
              <w:t>液态</w:t>
            </w:r>
          </w:p>
        </w:tc>
        <w:tc>
          <w:tcPr>
            <w:tcW w:w="1003" w:type="pct"/>
            <w:vAlign w:val="center"/>
          </w:tcPr>
          <w:p>
            <w:pPr>
              <w:spacing w:line="240" w:lineRule="auto"/>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1421" w:type="pct"/>
            <w:vAlign w:val="center"/>
          </w:tcPr>
          <w:p>
            <w:pPr>
              <w:spacing w:line="240" w:lineRule="auto"/>
              <w:ind w:firstLine="0" w:firstLineChars="0"/>
              <w:jc w:val="center"/>
              <w:rPr>
                <w:rFonts w:hint="eastAsia" w:cs="Times New Roman"/>
                <w:color w:val="auto"/>
                <w:sz w:val="21"/>
                <w:szCs w:val="21"/>
                <w:highlight w:val="none"/>
              </w:rPr>
            </w:pPr>
            <w:r>
              <w:rPr>
                <w:rFonts w:hint="eastAsia" w:cs="Times New Roman"/>
                <w:color w:val="auto"/>
                <w:sz w:val="21"/>
                <w:szCs w:val="21"/>
                <w:highlight w:val="none"/>
              </w:rPr>
              <w:t>危险废物暂存间暂存，定期交有相应危废类别处理资质的单位安全处置</w:t>
            </w:r>
          </w:p>
        </w:tc>
      </w:tr>
    </w:tbl>
    <w:p>
      <w:pPr>
        <w:pStyle w:val="6"/>
        <w:ind w:firstLine="482"/>
        <w:rPr>
          <w:rFonts w:hint="eastAsia"/>
          <w:color w:val="auto"/>
          <w:highlight w:val="none"/>
        </w:rPr>
      </w:pPr>
      <w:r>
        <w:rPr>
          <w:rFonts w:hint="eastAsia"/>
          <w:color w:val="auto"/>
          <w:highlight w:val="none"/>
          <w:lang w:val="en-US" w:eastAsia="zh-CN"/>
        </w:rPr>
        <w:t>5</w:t>
      </w:r>
      <w:r>
        <w:rPr>
          <w:color w:val="auto"/>
          <w:highlight w:val="none"/>
        </w:rPr>
        <w:t>.2.</w:t>
      </w:r>
      <w:r>
        <w:rPr>
          <w:rFonts w:hint="eastAsia"/>
          <w:color w:val="auto"/>
          <w:highlight w:val="none"/>
          <w:lang w:val="en-US" w:eastAsia="zh-CN"/>
        </w:rPr>
        <w:t>8</w:t>
      </w:r>
      <w:r>
        <w:rPr>
          <w:rFonts w:hint="eastAsia"/>
          <w:color w:val="auto"/>
          <w:highlight w:val="none"/>
        </w:rPr>
        <w:t>.</w:t>
      </w:r>
      <w:r>
        <w:rPr>
          <w:rFonts w:hint="eastAsia"/>
          <w:color w:val="auto"/>
          <w:highlight w:val="none"/>
          <w:lang w:val="en-US" w:eastAsia="zh-CN"/>
        </w:rPr>
        <w:t>2</w:t>
      </w:r>
      <w:r>
        <w:rPr>
          <w:rFonts w:hint="eastAsia"/>
          <w:color w:val="auto"/>
          <w:highlight w:val="none"/>
        </w:rPr>
        <w:t>固体废物暂存措施</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color w:val="auto"/>
          <w:highlight w:val="none"/>
        </w:rPr>
      </w:pPr>
      <w:r>
        <w:rPr>
          <w:rFonts w:hint="eastAsia" w:cs="Times New Roman"/>
          <w:color w:val="auto"/>
          <w:highlight w:val="none"/>
        </w:rPr>
        <w:t>本项目产生的固体废物主要是一般工业固体废物和危险固体废物。固体废物的暂存措施如下：</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color w:val="auto"/>
          <w:highlight w:val="none"/>
        </w:rPr>
      </w:pPr>
      <w:r>
        <w:rPr>
          <w:rFonts w:hint="eastAsia" w:cs="Times New Roman"/>
          <w:color w:val="auto"/>
          <w:highlight w:val="none"/>
        </w:rPr>
        <w:t>（1）一般工业固体废物</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color w:val="auto"/>
          <w:highlight w:val="none"/>
        </w:rPr>
      </w:pPr>
      <w:r>
        <w:rPr>
          <w:rFonts w:hint="eastAsia" w:cs="Times New Roman"/>
          <w:color w:val="auto"/>
          <w:highlight w:val="none"/>
        </w:rPr>
        <w:t>根据《中华人民共和国固体废物污染环境防治法》要求，评价建议对一般固体废物设置规范的临时堆存间，用以暂存废脱硫剂和生活垃圾，按照《一般工业固体废物贮存、处置场污染控制标准》（GB18599-2001）中相应规定，必须采取防扬撒、防流失、防渗漏等三防措施，进行地面硬化，设顶棚和围挡，避免雨水进入，地基加高10cm</w:t>
      </w:r>
      <w:r>
        <w:rPr>
          <w:rFonts w:hint="eastAsia" w:cs="Times New Roman"/>
          <w:color w:val="auto"/>
          <w:highlight w:val="none"/>
          <w:lang w:eastAsia="zh-CN"/>
        </w:rPr>
        <w:t>，</w:t>
      </w:r>
      <w:r>
        <w:rPr>
          <w:rFonts w:hint="eastAsia" w:cs="Times New Roman"/>
          <w:color w:val="auto"/>
          <w:highlight w:val="none"/>
        </w:rPr>
        <w:t>达到三防要求。</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color w:val="auto"/>
          <w:highlight w:val="none"/>
        </w:rPr>
      </w:pPr>
      <w:r>
        <w:rPr>
          <w:rFonts w:hint="eastAsia" w:cs="Times New Roman"/>
          <w:color w:val="auto"/>
          <w:highlight w:val="none"/>
        </w:rPr>
        <w:t>（2）危险固体废物</w:t>
      </w:r>
      <w:r>
        <w:rPr>
          <w:rFonts w:hint="eastAsia" w:cs="Times New Roman"/>
          <w:color w:val="auto"/>
          <w:highlight w:val="none"/>
        </w:rPr>
        <w:tab/>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color w:val="auto"/>
          <w:highlight w:val="none"/>
        </w:rPr>
      </w:pPr>
      <w:r>
        <w:rPr>
          <w:rFonts w:hint="eastAsia" w:cs="Times New Roman"/>
          <w:color w:val="auto"/>
          <w:highlight w:val="none"/>
        </w:rPr>
        <w:t>本项目在病死猪处理区内设置1个危废暂存间，占地面积</w:t>
      </w:r>
      <w:r>
        <w:rPr>
          <w:rFonts w:hint="eastAsia" w:cs="Times New Roman"/>
          <w:color w:val="auto"/>
          <w:highlight w:val="none"/>
          <w:lang w:val="en-US" w:eastAsia="zh-CN"/>
        </w:rPr>
        <w:t>19</w:t>
      </w:r>
      <w:r>
        <w:rPr>
          <w:rFonts w:hint="eastAsia" w:cs="Times New Roman"/>
          <w:color w:val="auto"/>
          <w:highlight w:val="none"/>
        </w:rPr>
        <w:t>m</w:t>
      </w:r>
      <w:r>
        <w:rPr>
          <w:rFonts w:hint="eastAsia" w:cs="Times New Roman"/>
          <w:color w:val="auto"/>
          <w:highlight w:val="none"/>
          <w:vertAlign w:val="superscript"/>
        </w:rPr>
        <w:t>2</w:t>
      </w:r>
      <w:r>
        <w:rPr>
          <w:rFonts w:hint="eastAsia" w:cs="Times New Roman"/>
          <w:color w:val="auto"/>
          <w:highlight w:val="none"/>
        </w:rPr>
        <w:t>，用于收集、暂存养猪过程产生的医疗废物，危废暂存</w:t>
      </w:r>
      <w:r>
        <w:rPr>
          <w:rFonts w:hint="eastAsia" w:cs="Times New Roman"/>
          <w:color w:val="auto"/>
          <w:highlight w:val="none"/>
          <w:lang w:eastAsia="zh-CN"/>
        </w:rPr>
        <w:t>间</w:t>
      </w:r>
      <w:r>
        <w:rPr>
          <w:rFonts w:hint="eastAsia" w:cs="Times New Roman"/>
          <w:color w:val="auto"/>
          <w:highlight w:val="none"/>
        </w:rPr>
        <w:t>须满足《危险废物贮存污染控制标准》（GB18597-2001）要求：危废暂存间的混凝土基础做防渗处理，防渗层采用2mm厚的防渗材料，保证渗透系数≤10</w:t>
      </w:r>
      <w:r>
        <w:rPr>
          <w:rFonts w:hint="eastAsia" w:cs="Times New Roman"/>
          <w:color w:val="auto"/>
          <w:highlight w:val="none"/>
          <w:vertAlign w:val="superscript"/>
        </w:rPr>
        <w:t>-10</w:t>
      </w:r>
      <w:r>
        <w:rPr>
          <w:rFonts w:hint="eastAsia" w:cs="Times New Roman"/>
          <w:color w:val="auto"/>
          <w:highlight w:val="none"/>
        </w:rPr>
        <w:t>cm/s，并采用环氧漆做防腐防渗处理；危废的贮存场所设置明显标志；贮存场所内禁止混放不相溶危险废物；危废的转移执行国家环保总局第5号令《危险废物转移联单管理办法》。</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color w:val="auto"/>
          <w:highlight w:val="none"/>
        </w:rPr>
      </w:pPr>
      <w:r>
        <w:rPr>
          <w:rFonts w:hint="eastAsia" w:cs="Times New Roman"/>
          <w:color w:val="auto"/>
          <w:highlight w:val="none"/>
        </w:rPr>
        <w:t>在日常管理中，应设置专人加强对危废暂存间的管理，出现问题及时解决，避免形成二次污染，对工作人员应进行专业培训，熟知各项固废知识。</w:t>
      </w:r>
    </w:p>
    <w:p>
      <w:pPr>
        <w:keepNext w:val="0"/>
        <w:keepLines w:val="0"/>
        <w:pageBreakBefore w:val="0"/>
        <w:widowControl/>
        <w:kinsoku/>
        <w:wordWrap/>
        <w:overflowPunct/>
        <w:topLinePunct w:val="0"/>
        <w:autoSpaceDE/>
        <w:autoSpaceDN/>
        <w:bidi w:val="0"/>
        <w:adjustRightInd/>
        <w:snapToGrid/>
        <w:ind w:firstLine="480"/>
        <w:textAlignment w:val="auto"/>
        <w:rPr>
          <w:rFonts w:hint="eastAsia" w:cs="Times New Roman"/>
          <w:color w:val="auto"/>
          <w:highlight w:val="none"/>
        </w:rPr>
      </w:pPr>
      <w:r>
        <w:rPr>
          <w:rFonts w:hint="eastAsia" w:cs="Times New Roman"/>
          <w:color w:val="auto"/>
          <w:highlight w:val="none"/>
        </w:rPr>
        <w:t>经采取上述措施，固体废物均得到合理处置，不会对环境造成二次污染，措施可行。</w:t>
      </w:r>
    </w:p>
    <w:p>
      <w:pPr>
        <w:pStyle w:val="6"/>
        <w:ind w:firstLine="482"/>
        <w:rPr>
          <w:rFonts w:hint="eastAsia"/>
          <w:color w:val="auto"/>
          <w:highlight w:val="none"/>
        </w:rPr>
      </w:pPr>
      <w:r>
        <w:rPr>
          <w:rFonts w:hint="eastAsia"/>
          <w:color w:val="auto"/>
          <w:highlight w:val="none"/>
          <w:lang w:val="en-US" w:eastAsia="zh-CN"/>
        </w:rPr>
        <w:t>5</w:t>
      </w:r>
      <w:r>
        <w:rPr>
          <w:rFonts w:hint="eastAsia"/>
          <w:color w:val="auto"/>
          <w:highlight w:val="none"/>
        </w:rPr>
        <w:t>.2.</w:t>
      </w:r>
      <w:r>
        <w:rPr>
          <w:rFonts w:hint="eastAsia"/>
          <w:color w:val="auto"/>
          <w:highlight w:val="none"/>
          <w:lang w:val="en-US" w:eastAsia="zh-CN"/>
        </w:rPr>
        <w:t>8</w:t>
      </w:r>
      <w:r>
        <w:rPr>
          <w:rFonts w:hint="eastAsia"/>
          <w:color w:val="auto"/>
          <w:highlight w:val="none"/>
        </w:rPr>
        <w:t>.</w:t>
      </w:r>
      <w:r>
        <w:rPr>
          <w:rFonts w:hint="eastAsia"/>
          <w:color w:val="auto"/>
          <w:highlight w:val="none"/>
          <w:lang w:val="en-US" w:eastAsia="zh-CN"/>
        </w:rPr>
        <w:t>3</w:t>
      </w:r>
      <w:r>
        <w:rPr>
          <w:rFonts w:hint="eastAsia"/>
          <w:color w:val="auto"/>
          <w:highlight w:val="none"/>
        </w:rPr>
        <w:t>粪便综合利用措施分析</w:t>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b w:val="0"/>
          <w:bCs/>
          <w:color w:val="auto"/>
          <w:sz w:val="24"/>
          <w:highlight w:val="none"/>
        </w:rPr>
      </w:pPr>
      <w:r>
        <w:rPr>
          <w:rFonts w:ascii="Times New Roman" w:hAnsi="Times New Roman"/>
          <w:b w:val="0"/>
          <w:bCs/>
          <w:color w:val="auto"/>
          <w:kern w:val="0"/>
          <w:sz w:val="24"/>
          <w:highlight w:val="none"/>
        </w:rPr>
        <w:t>（1）猪粪发酵生产有机肥基肥工艺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根据《畜禽养殖业污染防治技术规范》（HJ/T81－2001）规定，养殖场猪粪可采取堆肥发酵法、干燥法等。结合项目特点，猪粪、沼渣等拟采取堆肥发酵后，全部外售，作有机肥还田利用，符</w:t>
      </w:r>
      <w:r>
        <w:rPr>
          <w:rFonts w:hint="eastAsia" w:asciiTheme="minorEastAsia" w:hAnsiTheme="minorEastAsia" w:eastAsiaTheme="minorEastAsia" w:cstheme="minorEastAsia"/>
          <w:color w:val="auto"/>
          <w:sz w:val="24"/>
          <w:highlight w:val="none"/>
        </w:rPr>
        <w:t>合畜禽粪便“无害化、减量化、资源化”相</w:t>
      </w:r>
      <w:r>
        <w:rPr>
          <w:rFonts w:ascii="Times New Roman" w:hAnsi="Times New Roman"/>
          <w:color w:val="auto"/>
          <w:sz w:val="24"/>
          <w:highlight w:val="none"/>
        </w:rPr>
        <w:t>关要求。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猪粪及沼渣含有丰富的有机质和氮、磷、钾元素，具有优良改良土壤的作用。其养份含量见表5</w:t>
      </w:r>
      <w:r>
        <w:rPr>
          <w:rFonts w:hint="eastAsia"/>
          <w:color w:val="auto"/>
          <w:sz w:val="24"/>
          <w:highlight w:val="none"/>
          <w:lang w:val="en-US" w:eastAsia="zh-CN"/>
        </w:rPr>
        <w:t>.2</w:t>
      </w:r>
      <w:r>
        <w:rPr>
          <w:rFonts w:ascii="Times New Roman" w:hAnsi="Times New Roman"/>
          <w:color w:val="auto"/>
          <w:sz w:val="24"/>
          <w:highlight w:val="none"/>
        </w:rPr>
        <w:t>-1</w:t>
      </w:r>
      <w:r>
        <w:rPr>
          <w:rFonts w:hint="eastAsia"/>
          <w:color w:val="auto"/>
          <w:sz w:val="24"/>
          <w:highlight w:val="none"/>
          <w:lang w:val="en-US" w:eastAsia="zh-CN"/>
        </w:rPr>
        <w:t>1</w:t>
      </w:r>
      <w:r>
        <w:rPr>
          <w:rFonts w:ascii="Times New Roman" w:hAnsi="Times New Roman"/>
          <w:color w:val="auto"/>
          <w:sz w:val="24"/>
          <w:highlight w:val="none"/>
        </w:rPr>
        <w:t>。</w:t>
      </w:r>
    </w:p>
    <w:p>
      <w:pPr>
        <w:pStyle w:val="40"/>
        <w:rPr>
          <w:rFonts w:hint="eastAsia" w:cs="Times New Roman"/>
          <w:color w:val="auto"/>
          <w:highlight w:val="none"/>
          <w:lang w:val="en-US" w:eastAsia="zh-CN"/>
        </w:rPr>
      </w:pPr>
      <w:r>
        <w:rPr>
          <w:rFonts w:hint="eastAsia" w:cs="Times New Roman"/>
          <w:color w:val="auto"/>
          <w:highlight w:val="none"/>
          <w:lang w:val="en-US" w:eastAsia="zh-CN"/>
        </w:rPr>
        <w:t>表5.2-11 猪粪、沼渣的养份含量表   单位：%</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1022"/>
        <w:gridCol w:w="1361"/>
        <w:gridCol w:w="1022"/>
        <w:gridCol w:w="1362"/>
        <w:gridCol w:w="1023"/>
        <w:gridCol w:w="13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9" w:type="pct"/>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有机质</w:t>
            </w:r>
          </w:p>
        </w:tc>
        <w:tc>
          <w:tcPr>
            <w:tcW w:w="600" w:type="pct"/>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全氮</w:t>
            </w:r>
          </w:p>
        </w:tc>
        <w:tc>
          <w:tcPr>
            <w:tcW w:w="799" w:type="pct"/>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速效氮</w:t>
            </w:r>
          </w:p>
        </w:tc>
        <w:tc>
          <w:tcPr>
            <w:tcW w:w="600" w:type="pct"/>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全磷</w:t>
            </w:r>
          </w:p>
        </w:tc>
        <w:tc>
          <w:tcPr>
            <w:tcW w:w="799" w:type="pct"/>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速效磷</w:t>
            </w:r>
          </w:p>
        </w:tc>
        <w:tc>
          <w:tcPr>
            <w:tcW w:w="600" w:type="pct"/>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全钾</w:t>
            </w:r>
          </w:p>
        </w:tc>
        <w:tc>
          <w:tcPr>
            <w:tcW w:w="799" w:type="pct"/>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速效钾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9" w:type="pct"/>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28.62</w:t>
            </w:r>
          </w:p>
        </w:tc>
        <w:tc>
          <w:tcPr>
            <w:tcW w:w="600" w:type="pct"/>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1.92</w:t>
            </w:r>
          </w:p>
        </w:tc>
        <w:tc>
          <w:tcPr>
            <w:tcW w:w="799" w:type="pct"/>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0.27</w:t>
            </w:r>
          </w:p>
        </w:tc>
        <w:tc>
          <w:tcPr>
            <w:tcW w:w="600" w:type="pct"/>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2.94</w:t>
            </w:r>
          </w:p>
        </w:tc>
        <w:tc>
          <w:tcPr>
            <w:tcW w:w="799" w:type="pct"/>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1.39</w:t>
            </w:r>
          </w:p>
        </w:tc>
        <w:tc>
          <w:tcPr>
            <w:tcW w:w="600" w:type="pct"/>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0.39</w:t>
            </w:r>
          </w:p>
        </w:tc>
        <w:tc>
          <w:tcPr>
            <w:tcW w:w="799" w:type="pct"/>
            <w:noWrap w:val="0"/>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0.22</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▲堆肥发酵工艺比选</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堆肥是在微生物作用下通过发酵使有机物矿质化、腐殖化和无害化而变成腐熟肥料的过程，根据生物处理过程中起作用的微生物对氧气需求不同，可以把固体废物堆肥分为好氧堆肥和厌氧堆肥。</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好氧堆肥技术：好氧堆肥是在有氧条件下，依靠好氧微生物（主要是好氧细菌）作用来进行的，在堆肥过程中，有机废物种的可溶性有机物，渗入细胞。微生物通过自身的生物代谢活动，对一部分有机物进行分解代谢，即氧化分解以获得生物生长、活动所需能量，把另一部分有机物转化合成新的细胞物质，使微生物生长繁殖，产生更多的生物体。好氧堆肥温度高，一般在50-65℃，故亦称为高温堆肥，高温堆肥技术成熟投资较小可以最大限度地杀灭病原菌，同时对有机质的降解速度快。现代化的堆肥生产一般采用采用好氧堆肥工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厌氧堆肥技术：厌氧堆肥是在无氧条件下，借助厌氧微生物（主要是厌氧细菌）将有机质进行分解，被分解的有机碳化物中的能量大部分转化储存在甲烷中，仅一小部分有机碳化物转化为二氧化碳，释放的能量供微生物生命活动需要，在这一分解过程中，仅积储少量的微生物。厌氧发酵工艺有机物分解缓慢，发酵周期4～6个月。</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厌氧发酵工艺肥效好，但一次性投资较高，且发酵周期较长，与厌氧发酵工艺相比，好氧发酵具有投资小、发酵周期短、技术应用比较广泛的优点，另外，根据《畜禽养殖业污染治理工程技术规范》（HJ497－2009），固体畜禽粪便宜采用好氧堆肥技术进行无害化处理。因此本次推荐采用好氧堆肥工艺，场区内建设具备“防渗漏、防雨、防溢流”三防措施的堆肥场，猪粪、粪渣混合，好氧堆肥发酵后，制成固体有机肥</w:t>
      </w:r>
      <w:r>
        <w:rPr>
          <w:rFonts w:hint="eastAsia" w:ascii="Times New Roman" w:hAnsi="Times New Roman"/>
          <w:color w:val="auto"/>
          <w:sz w:val="24"/>
          <w:highlight w:val="none"/>
        </w:rPr>
        <w:t>基</w:t>
      </w:r>
      <w:r>
        <w:rPr>
          <w:rFonts w:hint="eastAsia"/>
          <w:color w:val="auto"/>
          <w:sz w:val="24"/>
          <w:highlight w:val="none"/>
          <w:lang w:eastAsia="zh-CN"/>
        </w:rPr>
        <w:t>肥</w:t>
      </w:r>
      <w:r>
        <w:rPr>
          <w:rFonts w:ascii="Times New Roman" w:hAnsi="Times New Roman"/>
          <w:color w:val="auto"/>
          <w:sz w:val="24"/>
          <w:highlight w:val="none"/>
        </w:rPr>
        <w:t>外售。</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▲猪粪、沼渣综合利用措施可行性分析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猪粪有机质腐熟后形成腐殖质储存在土壤中，对改良土壤、培养地力有明显效果。因此，家畜粪便在保持和提高土壤肥力的效果上远远超过化肥。化肥中的磷酸钙会与土壤中的石灰质、铁反映形成沉淀物，大大降低磷的利用率。有机肥料中的磷是有机磷，肥效优于磷酸钙，被固定的可能性小，相对提高了磷肥肥效。同时畜粪中的有机质在积肥、施肥过程中，经过微生物的加工分解以至重新合成，最后形成腐殖质储存在土壤中。腐殖质对改良土壤、培养地力的作用是多方面的：它能调节土壤水分、温度、空气和肥效，适时满足作物生长发育的需要；能调节土壤的酸碱度，形成土壤的团粒结构；能延长和增进肥效，促进水分迅速进入植物体，并有催芽、促进根系发育和保温等作用。同时有机质腐熟后，形成较高量的胡敏酸，具有典型的亲水胶体性，能把细小的土壤粘结起来形成较大的团粒，构成土壤的团粒结构，同时在转化过程中释放能量，能刺激作物根系多吸收养分，改良土壤提高产量。</w:t>
      </w:r>
    </w:p>
    <w:p>
      <w:pPr>
        <w:pStyle w:val="6"/>
        <w:ind w:firstLine="482"/>
        <w:rPr>
          <w:rFonts w:hint="eastAsia"/>
          <w:color w:val="auto"/>
          <w:highlight w:val="none"/>
        </w:rPr>
      </w:pPr>
      <w:r>
        <w:rPr>
          <w:rFonts w:hint="eastAsia"/>
          <w:color w:val="auto"/>
          <w:highlight w:val="none"/>
          <w:lang w:val="en-US" w:eastAsia="zh-CN"/>
        </w:rPr>
        <w:t>5</w:t>
      </w:r>
      <w:r>
        <w:rPr>
          <w:rFonts w:hint="eastAsia"/>
          <w:color w:val="auto"/>
          <w:highlight w:val="none"/>
        </w:rPr>
        <w:t>.2.</w:t>
      </w:r>
      <w:r>
        <w:rPr>
          <w:rFonts w:hint="eastAsia"/>
          <w:color w:val="auto"/>
          <w:highlight w:val="none"/>
          <w:lang w:val="en-US" w:eastAsia="zh-CN"/>
        </w:rPr>
        <w:t>8</w:t>
      </w:r>
      <w:r>
        <w:rPr>
          <w:rFonts w:hint="eastAsia"/>
          <w:color w:val="auto"/>
          <w:highlight w:val="none"/>
        </w:rPr>
        <w:t>.4 养殖场防疫、病死畜禽尸体处置措施分析</w:t>
      </w:r>
    </w:p>
    <w:p>
      <w:pPr>
        <w:keepNext w:val="0"/>
        <w:keepLines w:val="0"/>
        <w:pageBreakBefore w:val="0"/>
        <w:widowControl/>
        <w:kinsoku/>
        <w:wordWrap/>
        <w:overflowPunct/>
        <w:topLinePunct w:val="0"/>
        <w:autoSpaceDE/>
        <w:autoSpaceDN/>
        <w:bidi w:val="0"/>
        <w:adjustRightInd/>
        <w:snapToGrid/>
        <w:spacing w:line="360" w:lineRule="auto"/>
        <w:ind w:firstLine="573"/>
        <w:textAlignment w:val="auto"/>
        <w:rPr>
          <w:rFonts w:ascii="Times New Roman" w:hAnsi="Times New Roman"/>
          <w:b w:val="0"/>
          <w:bCs w:val="0"/>
          <w:color w:val="auto"/>
          <w:kern w:val="0"/>
          <w:sz w:val="24"/>
          <w:highlight w:val="none"/>
        </w:rPr>
      </w:pPr>
      <w:r>
        <w:rPr>
          <w:rFonts w:ascii="Times New Roman" w:hAnsi="Times New Roman"/>
          <w:b w:val="0"/>
          <w:bCs w:val="0"/>
          <w:color w:val="auto"/>
          <w:kern w:val="0"/>
          <w:sz w:val="24"/>
          <w:highlight w:val="none"/>
        </w:rPr>
        <w:t>（1）养殖场防疫</w:t>
      </w:r>
    </w:p>
    <w:p>
      <w:pPr>
        <w:keepNext w:val="0"/>
        <w:keepLines w:val="0"/>
        <w:pageBreakBefore w:val="0"/>
        <w:widowControl/>
        <w:kinsoku/>
        <w:wordWrap/>
        <w:overflowPunct/>
        <w:topLinePunct w:val="0"/>
        <w:autoSpaceDE/>
        <w:autoSpaceDN/>
        <w:bidi w:val="0"/>
        <w:adjustRightInd/>
        <w:snapToGrid/>
        <w:spacing w:line="360" w:lineRule="auto"/>
        <w:ind w:firstLine="573"/>
        <w:textAlignment w:val="auto"/>
        <w:rPr>
          <w:rFonts w:hint="eastAsia" w:asciiTheme="minorEastAsia" w:hAnsiTheme="minorEastAsia" w:eastAsiaTheme="minorEastAsia" w:cstheme="minorEastAsia"/>
          <w:color w:val="auto"/>
          <w:sz w:val="24"/>
          <w:highlight w:val="none"/>
        </w:rPr>
      </w:pPr>
      <w:r>
        <w:rPr>
          <w:rFonts w:ascii="Times New Roman" w:hAnsi="Times New Roman"/>
          <w:color w:val="auto"/>
          <w:kern w:val="0"/>
          <w:sz w:val="24"/>
          <w:highlight w:val="none"/>
        </w:rPr>
        <w:t>畜禽传染病是畜牧业的大敌，它制约了畜牧业的发展，还有一些人畜共患病和寄生虫病（如狂犬病、炭疽、结核、布氏杆菌病、牛囊尾蚴病、旋毛虫病）还会</w:t>
      </w:r>
      <w:r>
        <w:rPr>
          <w:rFonts w:hint="eastAsia" w:asciiTheme="minorEastAsia" w:hAnsiTheme="minorEastAsia" w:eastAsiaTheme="minorEastAsia" w:cstheme="minorEastAsia"/>
          <w:color w:val="auto"/>
          <w:kern w:val="0"/>
          <w:sz w:val="24"/>
          <w:highlight w:val="none"/>
        </w:rPr>
        <w:t>给人们健康带来威胁，因此控制疫病对于畜牧业生产和保护人民健康都具有重要的意义。国家颁布了《动物防疫法》、《家畜家禽防疫条例》等法律法规，规定了“预防为主”的畜禽防疫方针。项目拟采取有如下防疫卫生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hint="eastAsia" w:asciiTheme="minorEastAsia" w:hAnsiTheme="minorEastAsia" w:eastAsiaTheme="minorEastAsia" w:cstheme="minorEastAsia"/>
          <w:color w:val="auto"/>
          <w:kern w:val="0"/>
          <w:sz w:val="24"/>
          <w:highlight w:val="none"/>
        </w:rPr>
        <w:t>①严格了“三区分离”制度，生活区、养殖区</w:t>
      </w:r>
      <w:r>
        <w:rPr>
          <w:rFonts w:ascii="Times New Roman" w:hAnsi="Times New Roman"/>
          <w:color w:val="auto"/>
          <w:kern w:val="0"/>
          <w:sz w:val="24"/>
          <w:highlight w:val="none"/>
        </w:rPr>
        <w:t>和粪污处理处置区，实现了分区建设，有效避免了交叉污染。</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kern w:val="0"/>
          <w:sz w:val="24"/>
          <w:highlight w:val="none"/>
        </w:rPr>
        <w:t>②养殖区有明确的净道与脏道，并能够保证物流畅通，净道主要运输饲料和由饲养员和兽医等通行；脏道主要作为粪污运输通道。</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kern w:val="0"/>
          <w:sz w:val="24"/>
          <w:highlight w:val="none"/>
        </w:rPr>
        <w:t>③进入养殖区各出入口设置有消毒池，出入车辆须经消毒池进行消毒处理，消毒池设置门楼和防水堰，防止雨水进入导致消毒液外溢污染；主厂区门口设置消毒室，设置有脚踏消毒槽、洗手盆。入区人员包括饲养员、兽医、管理员及一切外来人员必须经消毒室进行消毒处理。</w:t>
      </w:r>
    </w:p>
    <w:p>
      <w:pPr>
        <w:keepNext w:val="0"/>
        <w:keepLines w:val="0"/>
        <w:pageBreakBefore w:val="0"/>
        <w:widowControl/>
        <w:kinsoku/>
        <w:wordWrap/>
        <w:overflowPunct/>
        <w:topLinePunct w:val="0"/>
        <w:autoSpaceDE/>
        <w:autoSpaceDN/>
        <w:bidi w:val="0"/>
        <w:adjustRightInd/>
        <w:snapToGrid/>
        <w:spacing w:line="360" w:lineRule="auto"/>
        <w:ind w:firstLine="573"/>
        <w:textAlignment w:val="auto"/>
        <w:rPr>
          <w:rFonts w:ascii="Times New Roman" w:hAnsi="Times New Roman"/>
          <w:color w:val="auto"/>
          <w:sz w:val="24"/>
          <w:highlight w:val="none"/>
        </w:rPr>
      </w:pPr>
      <w:r>
        <w:rPr>
          <w:rFonts w:ascii="Times New Roman" w:hAnsi="Times New Roman"/>
          <w:color w:val="auto"/>
          <w:kern w:val="0"/>
          <w:sz w:val="24"/>
          <w:highlight w:val="none"/>
        </w:rPr>
        <w:t>④进场人员不得携带任何肉类及肉类制品，对于随身所带物品，小件物品须经紫外线照射消毒20min，大件物品须经熏蒸消毒后方可带入；场内所有人员不准饲养犬、猫及其它动物；人员进场后必须在生活区隔离48h，并保证进场前48h内没有去过屠宰厂、疾病诊断实验室等类似场所。</w:t>
      </w:r>
    </w:p>
    <w:p>
      <w:pPr>
        <w:keepNext w:val="0"/>
        <w:keepLines w:val="0"/>
        <w:pageBreakBefore w:val="0"/>
        <w:widowControl/>
        <w:kinsoku/>
        <w:wordWrap/>
        <w:overflowPunct/>
        <w:topLinePunct w:val="0"/>
        <w:autoSpaceDE/>
        <w:autoSpaceDN/>
        <w:bidi w:val="0"/>
        <w:adjustRightInd/>
        <w:snapToGrid/>
        <w:spacing w:line="360" w:lineRule="auto"/>
        <w:ind w:firstLine="573"/>
        <w:textAlignment w:val="auto"/>
        <w:rPr>
          <w:rFonts w:ascii="Times New Roman" w:hAnsi="Times New Roman"/>
          <w:color w:val="auto"/>
          <w:sz w:val="24"/>
          <w:highlight w:val="none"/>
        </w:rPr>
      </w:pPr>
      <w:r>
        <w:rPr>
          <w:rFonts w:ascii="Times New Roman" w:hAnsi="Times New Roman"/>
          <w:color w:val="auto"/>
          <w:kern w:val="0"/>
          <w:sz w:val="24"/>
          <w:highlight w:val="none"/>
        </w:rPr>
        <w:t>⑤生活区工作人员一般情况下不准进入生产区，确需进入时，须经批准，在更衣消毒间经更衣、淋浴、消毒后方可进入；生产区工作人员不准穿工作服随意出入生产区，工作完毕后要把工作靴刷洗干净。处理</w:t>
      </w:r>
      <w:r>
        <w:rPr>
          <w:rFonts w:hint="eastAsia"/>
          <w:color w:val="auto"/>
          <w:kern w:val="0"/>
          <w:sz w:val="24"/>
          <w:highlight w:val="none"/>
          <w:lang w:eastAsia="zh-CN"/>
        </w:rPr>
        <w:t>病</w:t>
      </w:r>
      <w:r>
        <w:rPr>
          <w:rFonts w:ascii="Times New Roman" w:hAnsi="Times New Roman"/>
          <w:color w:val="auto"/>
          <w:kern w:val="0"/>
          <w:sz w:val="24"/>
          <w:highlight w:val="none"/>
        </w:rPr>
        <w:t>死猪的工作人员不得再返回猪舍工作，所穿衣、靴须经专门消毒后再用。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kern w:val="0"/>
          <w:sz w:val="24"/>
          <w:highlight w:val="none"/>
        </w:rPr>
        <w:t>企业采取有严格的畜禽规范化管理措施，其疾病控制能力大大提高。企业专门聘请具有规模化养殖经验的人员，有较高科学管理水平。因此，评价分析认为其出现重大疾病传播的可能性很小。</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kern w:val="0"/>
          <w:sz w:val="24"/>
          <w:highlight w:val="none"/>
        </w:rPr>
      </w:pPr>
      <w:r>
        <w:rPr>
          <w:rFonts w:ascii="Times New Roman" w:hAnsi="Times New Roman"/>
          <w:color w:val="auto"/>
          <w:sz w:val="24"/>
          <w:highlight w:val="none"/>
        </w:rPr>
        <w:t>（2）病死畜禽尸体</w:t>
      </w:r>
      <w:r>
        <w:rPr>
          <w:rFonts w:ascii="Times New Roman" w:hAnsi="Times New Roman"/>
          <w:color w:val="auto"/>
          <w:kern w:val="0"/>
          <w:sz w:val="24"/>
          <w:highlight w:val="none"/>
        </w:rPr>
        <w:t>处置措施分析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《根据《畜禽养殖业污染防治技术规范》（HJ/T81－2001）第9条规定：</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◆病死畜禽尸体要及时处理，严禁随意丢弃，严禁出售或作为饲料再利用。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◆病死禽畜尸体处理应采用焚烧炉焚烧的方法，在养殖场比较集中的地区，应集中设置焚烧设施；同时焚烧产生的烟气应采取有效的净化措施，防止烟尘、一氧化碳、恶臭等对周围大气环境的污染。</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不具备焚烧条件的养殖场应设置两个以上安全填埋井，填埋井应为混凝提结构，深度大于2m，直径大于1m，井口加盖密封。进行填埋时，在每次投入畜禽尸体后，应覆盖一层厚度大于10cm的熟石灰，井填满后，须用粘土填埋压实并封口。</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highlight w:val="none"/>
        </w:rPr>
      </w:pPr>
      <w:r>
        <w:rPr>
          <w:rFonts w:ascii="Times New Roman" w:hAnsi="Times New Roman"/>
          <w:bCs/>
          <w:color w:val="auto"/>
          <w:sz w:val="24"/>
          <w:highlight w:val="none"/>
        </w:rPr>
        <w:t>本项目病死猪产生量为</w:t>
      </w:r>
      <w:r>
        <w:rPr>
          <w:rFonts w:hint="eastAsia"/>
          <w:bCs/>
          <w:color w:val="auto"/>
          <w:sz w:val="24"/>
          <w:highlight w:val="none"/>
          <w:lang w:val="en-US" w:eastAsia="zh-CN"/>
        </w:rPr>
        <w:t>23.5</w:t>
      </w:r>
      <w:r>
        <w:rPr>
          <w:rFonts w:ascii="Times New Roman" w:hAnsi="Times New Roman"/>
          <w:bCs/>
          <w:color w:val="auto"/>
          <w:sz w:val="24"/>
          <w:highlight w:val="none"/>
        </w:rPr>
        <w:t>t/a，送至</w:t>
      </w:r>
      <w:r>
        <w:rPr>
          <w:rFonts w:hint="eastAsia"/>
          <w:bCs/>
          <w:color w:val="auto"/>
          <w:sz w:val="24"/>
          <w:highlight w:val="none"/>
          <w:lang w:eastAsia="zh-CN"/>
        </w:rPr>
        <w:t>本厂自建的</w:t>
      </w:r>
      <w:r>
        <w:rPr>
          <w:rFonts w:ascii="Times New Roman" w:hAnsi="Times New Roman"/>
          <w:bCs/>
          <w:color w:val="auto"/>
          <w:sz w:val="24"/>
          <w:highlight w:val="none"/>
        </w:rPr>
        <w:t>无害化处理车间处理。</w:t>
      </w:r>
    </w:p>
    <w:p>
      <w:pPr>
        <w:pStyle w:val="6"/>
        <w:ind w:firstLine="482"/>
        <w:rPr>
          <w:rFonts w:hint="eastAsia"/>
          <w:color w:val="auto"/>
          <w:highlight w:val="none"/>
          <w:lang w:val="en-US" w:eastAsia="zh-CN"/>
        </w:rPr>
      </w:pPr>
      <w:r>
        <w:rPr>
          <w:rFonts w:hint="eastAsia"/>
          <w:color w:val="auto"/>
          <w:highlight w:val="none"/>
          <w:lang w:val="en-US" w:eastAsia="zh-CN"/>
        </w:rPr>
        <w:t>5.2.8.5医疗废物的处理与处置</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highlight w:val="none"/>
        </w:rPr>
      </w:pPr>
      <w:r>
        <w:rPr>
          <w:rFonts w:ascii="Times New Roman" w:hAnsi="Times New Roman"/>
          <w:bCs/>
          <w:color w:val="auto"/>
          <w:sz w:val="24"/>
          <w:highlight w:val="none"/>
        </w:rPr>
        <w:t>母猪在生长过程接种免疫或发病期接受治疗将产生医疗废物</w:t>
      </w:r>
      <w:r>
        <w:rPr>
          <w:rFonts w:hint="eastAsia"/>
          <w:bCs/>
          <w:color w:val="auto"/>
          <w:sz w:val="24"/>
          <w:highlight w:val="none"/>
          <w:lang w:eastAsia="zh-CN"/>
        </w:rPr>
        <w:t>，</w:t>
      </w:r>
      <w:r>
        <w:rPr>
          <w:rFonts w:ascii="Times New Roman" w:hAnsi="Times New Roman"/>
          <w:bCs/>
          <w:color w:val="auto"/>
          <w:sz w:val="24"/>
          <w:highlight w:val="none"/>
        </w:rPr>
        <w:t>类比其它企业实际生产情况，每头猪防疫产生医疗</w:t>
      </w:r>
      <w:r>
        <w:rPr>
          <w:rFonts w:hint="eastAsia"/>
          <w:bCs/>
          <w:color w:val="auto"/>
          <w:sz w:val="24"/>
          <w:highlight w:val="none"/>
          <w:lang w:eastAsia="zh-CN"/>
        </w:rPr>
        <w:t>废物</w:t>
      </w:r>
      <w:r>
        <w:rPr>
          <w:rFonts w:ascii="Times New Roman" w:hAnsi="Times New Roman"/>
          <w:bCs/>
          <w:color w:val="auto"/>
          <w:sz w:val="24"/>
          <w:highlight w:val="none"/>
        </w:rPr>
        <w:t>量约为0.005kg/a，全场产生量约为</w:t>
      </w:r>
      <w:r>
        <w:rPr>
          <w:rFonts w:hint="eastAsia"/>
          <w:color w:val="auto"/>
          <w:sz w:val="24"/>
          <w:szCs w:val="24"/>
          <w:highlight w:val="none"/>
          <w:lang w:val="en-US" w:eastAsia="zh-CN"/>
        </w:rPr>
        <w:t>0.344</w:t>
      </w:r>
      <w:r>
        <w:rPr>
          <w:rFonts w:ascii="Times New Roman" w:hAnsi="Times New Roman"/>
          <w:bCs/>
          <w:color w:val="auto"/>
          <w:sz w:val="24"/>
          <w:highlight w:val="none"/>
        </w:rPr>
        <w:t>t/a，定期交</w:t>
      </w:r>
      <w:r>
        <w:rPr>
          <w:rFonts w:ascii="Times New Roman" w:hAnsi="Times New Roman"/>
          <w:color w:val="auto"/>
          <w:sz w:val="24"/>
          <w:highlight w:val="none"/>
        </w:rPr>
        <w:t>有资质的单位处置</w:t>
      </w:r>
      <w:r>
        <w:rPr>
          <w:rFonts w:ascii="Times New Roman" w:hAnsi="Times New Roman"/>
          <w:bCs/>
          <w:color w:val="auto"/>
          <w:sz w:val="24"/>
          <w:highlight w:val="none"/>
        </w:rPr>
        <w:t>。本项目医疗废物需按照《</w:t>
      </w:r>
      <w:r>
        <w:rPr>
          <w:rFonts w:ascii="Times New Roman" w:hAnsi="Times New Roman"/>
          <w:color w:val="auto"/>
          <w:highlight w:val="none"/>
        </w:rPr>
        <w:fldChar w:fldCharType="begin"/>
      </w:r>
      <w:r>
        <w:rPr>
          <w:rFonts w:ascii="Times New Roman" w:hAnsi="Times New Roman"/>
          <w:color w:val="auto"/>
          <w:highlight w:val="none"/>
        </w:rPr>
        <w:instrText xml:space="preserve">HYPERLINK "http://baike.haosou.com/doc/4948882-5170156.html" \t "_blank"</w:instrText>
      </w:r>
      <w:r>
        <w:rPr>
          <w:rFonts w:ascii="Times New Roman" w:hAnsi="Times New Roman"/>
          <w:color w:val="auto"/>
          <w:highlight w:val="none"/>
        </w:rPr>
        <w:fldChar w:fldCharType="separate"/>
      </w:r>
      <w:r>
        <w:rPr>
          <w:rFonts w:ascii="Times New Roman" w:hAnsi="Times New Roman"/>
          <w:color w:val="auto"/>
          <w:sz w:val="24"/>
          <w:highlight w:val="none"/>
          <w:shd w:val="clear" w:color="auto" w:fill="FFFFFF"/>
        </w:rPr>
        <w:t>医疗废物</w:t>
      </w:r>
      <w:r>
        <w:rPr>
          <w:rFonts w:ascii="Times New Roman" w:hAnsi="Times New Roman"/>
          <w:color w:val="auto"/>
          <w:highlight w:val="none"/>
        </w:rPr>
        <w:fldChar w:fldCharType="end"/>
      </w:r>
      <w:r>
        <w:rPr>
          <w:rFonts w:ascii="Times New Roman" w:hAnsi="Times New Roman"/>
          <w:color w:val="auto"/>
          <w:sz w:val="24"/>
          <w:highlight w:val="none"/>
          <w:shd w:val="clear" w:color="auto" w:fill="FFFFFF"/>
        </w:rPr>
        <w:t>管理条例</w:t>
      </w:r>
      <w:r>
        <w:rPr>
          <w:rFonts w:ascii="Times New Roman" w:hAnsi="Times New Roman"/>
          <w:bCs/>
          <w:color w:val="auto"/>
          <w:sz w:val="24"/>
          <w:highlight w:val="none"/>
        </w:rPr>
        <w:t>》中相应规定收集、</w:t>
      </w:r>
      <w:r>
        <w:rPr>
          <w:rFonts w:ascii="Times New Roman" w:hAnsi="Times New Roman"/>
          <w:color w:val="auto"/>
          <w:highlight w:val="none"/>
        </w:rPr>
        <w:fldChar w:fldCharType="begin"/>
      </w:r>
      <w:r>
        <w:rPr>
          <w:rFonts w:ascii="Times New Roman" w:hAnsi="Times New Roman"/>
          <w:color w:val="auto"/>
          <w:highlight w:val="none"/>
        </w:rPr>
        <w:instrText xml:space="preserve">HYPERLINK "http://baike.haosou.com/doc/824185-871698.html" \t "_blank"</w:instrText>
      </w:r>
      <w:r>
        <w:rPr>
          <w:rFonts w:ascii="Times New Roman" w:hAnsi="Times New Roman"/>
          <w:color w:val="auto"/>
          <w:highlight w:val="none"/>
        </w:rPr>
        <w:fldChar w:fldCharType="separate"/>
      </w:r>
      <w:r>
        <w:rPr>
          <w:rFonts w:ascii="Times New Roman" w:hAnsi="Times New Roman"/>
          <w:bCs/>
          <w:color w:val="auto"/>
          <w:sz w:val="24"/>
          <w:highlight w:val="none"/>
        </w:rPr>
        <w:t>运送</w:t>
      </w:r>
      <w:r>
        <w:rPr>
          <w:rFonts w:ascii="Times New Roman" w:hAnsi="Times New Roman"/>
          <w:color w:val="auto"/>
          <w:highlight w:val="none"/>
        </w:rPr>
        <w:fldChar w:fldCharType="end"/>
      </w:r>
      <w:r>
        <w:rPr>
          <w:rFonts w:ascii="Times New Roman" w:hAnsi="Times New Roman"/>
          <w:bCs/>
          <w:color w:val="auto"/>
          <w:sz w:val="24"/>
          <w:highlight w:val="none"/>
        </w:rPr>
        <w:t>、</w:t>
      </w:r>
      <w:r>
        <w:rPr>
          <w:rFonts w:ascii="Times New Roman" w:hAnsi="Times New Roman"/>
          <w:color w:val="auto"/>
          <w:highlight w:val="none"/>
        </w:rPr>
        <w:fldChar w:fldCharType="begin"/>
      </w:r>
      <w:r>
        <w:rPr>
          <w:rFonts w:ascii="Times New Roman" w:hAnsi="Times New Roman"/>
          <w:color w:val="auto"/>
          <w:highlight w:val="none"/>
        </w:rPr>
        <w:instrText xml:space="preserve">HYPERLINK "http://baike.haosou.com/doc/1866520-1974147.html" \t "_blank"</w:instrText>
      </w:r>
      <w:r>
        <w:rPr>
          <w:rFonts w:ascii="Times New Roman" w:hAnsi="Times New Roman"/>
          <w:color w:val="auto"/>
          <w:highlight w:val="none"/>
        </w:rPr>
        <w:fldChar w:fldCharType="separate"/>
      </w:r>
      <w:r>
        <w:rPr>
          <w:rFonts w:ascii="Times New Roman" w:hAnsi="Times New Roman"/>
          <w:bCs/>
          <w:color w:val="auto"/>
          <w:sz w:val="24"/>
          <w:highlight w:val="none"/>
        </w:rPr>
        <w:t>贮存</w:t>
      </w:r>
      <w:r>
        <w:rPr>
          <w:rFonts w:ascii="Times New Roman" w:hAnsi="Times New Roman"/>
          <w:color w:val="auto"/>
          <w:highlight w:val="none"/>
        </w:rPr>
        <w:fldChar w:fldCharType="end"/>
      </w:r>
      <w:r>
        <w:rPr>
          <w:rFonts w:ascii="Times New Roman" w:hAnsi="Times New Roman"/>
          <w:bCs/>
          <w:color w:val="auto"/>
          <w:sz w:val="24"/>
          <w:highlight w:val="none"/>
        </w:rPr>
        <w:t>、</w:t>
      </w:r>
      <w:r>
        <w:rPr>
          <w:rFonts w:ascii="Times New Roman" w:hAnsi="Times New Roman"/>
          <w:color w:val="auto"/>
          <w:highlight w:val="none"/>
        </w:rPr>
        <w:fldChar w:fldCharType="begin"/>
      </w:r>
      <w:r>
        <w:rPr>
          <w:rFonts w:ascii="Times New Roman" w:hAnsi="Times New Roman"/>
          <w:color w:val="auto"/>
          <w:highlight w:val="none"/>
        </w:rPr>
        <w:instrText xml:space="preserve">HYPERLINK "http://baike.haosou.com/doc/5584939-5797533.html" \t "_blank"</w:instrText>
      </w:r>
      <w:r>
        <w:rPr>
          <w:rFonts w:ascii="Times New Roman" w:hAnsi="Times New Roman"/>
          <w:color w:val="auto"/>
          <w:highlight w:val="none"/>
        </w:rPr>
        <w:fldChar w:fldCharType="separate"/>
      </w:r>
      <w:r>
        <w:rPr>
          <w:rFonts w:ascii="Times New Roman" w:hAnsi="Times New Roman"/>
          <w:bCs/>
          <w:color w:val="auto"/>
          <w:sz w:val="24"/>
          <w:highlight w:val="none"/>
        </w:rPr>
        <w:t>处置</w:t>
      </w:r>
      <w:r>
        <w:rPr>
          <w:rFonts w:ascii="Times New Roman" w:hAnsi="Times New Roman"/>
          <w:color w:val="auto"/>
          <w:highlight w:val="none"/>
        </w:rPr>
        <w:fldChar w:fldCharType="end"/>
      </w:r>
      <w:r>
        <w:rPr>
          <w:rFonts w:ascii="Times New Roman" w:hAnsi="Times New Roman"/>
          <w:bCs/>
          <w:color w:val="auto"/>
          <w:sz w:val="24"/>
          <w:highlight w:val="none"/>
        </w:rPr>
        <w:t>，不得露天存放。本项目医疗废物定期交</w:t>
      </w:r>
      <w:r>
        <w:rPr>
          <w:rFonts w:ascii="Times New Roman" w:hAnsi="Times New Roman"/>
          <w:color w:val="auto"/>
          <w:sz w:val="24"/>
          <w:highlight w:val="none"/>
        </w:rPr>
        <w:t>由有资质的单位</w:t>
      </w:r>
      <w:r>
        <w:rPr>
          <w:rFonts w:ascii="Times New Roman" w:hAnsi="Times New Roman"/>
          <w:bCs/>
          <w:color w:val="auto"/>
          <w:sz w:val="24"/>
          <w:highlight w:val="none"/>
        </w:rPr>
        <w:t>处置（处置协议见附件</w:t>
      </w:r>
      <w:r>
        <w:rPr>
          <w:rFonts w:hint="eastAsia"/>
          <w:bCs/>
          <w:color w:val="auto"/>
          <w:sz w:val="24"/>
          <w:highlight w:val="none"/>
          <w:lang w:eastAsia="zh-CN"/>
        </w:rPr>
        <w:t>八</w:t>
      </w:r>
      <w:r>
        <w:rPr>
          <w:rFonts w:ascii="Times New Roman" w:hAnsi="Times New Roman"/>
          <w:bCs/>
          <w:color w:val="auto"/>
          <w:sz w:val="24"/>
          <w:highlight w:val="none"/>
        </w:rPr>
        <w:t xml:space="preserve">）。 </w:t>
      </w:r>
    </w:p>
    <w:p>
      <w:pPr>
        <w:keepNext w:val="0"/>
        <w:keepLines w:val="0"/>
        <w:pageBreakBefore w:val="0"/>
        <w:widowControl/>
        <w:tabs>
          <w:tab w:val="right" w:leader="dot" w:pos="8647"/>
        </w:tabs>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本项目场区内设置</w:t>
      </w:r>
      <w:r>
        <w:rPr>
          <w:rFonts w:hint="eastAsia"/>
          <w:color w:val="auto"/>
          <w:sz w:val="24"/>
          <w:highlight w:val="none"/>
          <w:lang w:eastAsia="zh-CN"/>
        </w:rPr>
        <w:t>医疗废物</w:t>
      </w:r>
      <w:r>
        <w:rPr>
          <w:rFonts w:ascii="Times New Roman" w:hAnsi="Times New Roman"/>
          <w:color w:val="auto"/>
          <w:sz w:val="24"/>
          <w:highlight w:val="none"/>
        </w:rPr>
        <w:t>暂存间，共1个，占地面积</w:t>
      </w:r>
      <w:r>
        <w:rPr>
          <w:rFonts w:hint="eastAsia"/>
          <w:color w:val="auto"/>
          <w:sz w:val="24"/>
          <w:highlight w:val="none"/>
          <w:lang w:val="en-US" w:eastAsia="zh-CN"/>
        </w:rPr>
        <w:t>30</w:t>
      </w:r>
      <w:r>
        <w:rPr>
          <w:rFonts w:ascii="Times New Roman" w:hAnsi="Times New Roman"/>
          <w:color w:val="auto"/>
          <w:sz w:val="24"/>
          <w:highlight w:val="none"/>
        </w:rPr>
        <w:t>m</w:t>
      </w:r>
      <w:r>
        <w:rPr>
          <w:rFonts w:ascii="Times New Roman" w:hAnsi="Times New Roman"/>
          <w:color w:val="auto"/>
          <w:sz w:val="24"/>
          <w:highlight w:val="none"/>
          <w:vertAlign w:val="superscript"/>
        </w:rPr>
        <w:t>2</w:t>
      </w:r>
      <w:r>
        <w:rPr>
          <w:rFonts w:ascii="Times New Roman" w:hAnsi="Times New Roman"/>
          <w:color w:val="auto"/>
          <w:sz w:val="24"/>
          <w:highlight w:val="none"/>
        </w:rPr>
        <w:t>，用于收集、贮存养猪过程产生的医疗废物，危废暂存间须满足《危险废物贮存污染控制标准》（GB18597-2001）要求：危废临时贮存间的混凝土基础做防渗处理，防渗层采用2mm厚的防渗材料，保证渗透系数≤10</w:t>
      </w:r>
      <w:r>
        <w:rPr>
          <w:rFonts w:ascii="Times New Roman" w:hAnsi="Times New Roman"/>
          <w:color w:val="auto"/>
          <w:sz w:val="24"/>
          <w:highlight w:val="none"/>
          <w:vertAlign w:val="superscript"/>
        </w:rPr>
        <w:t>-10</w:t>
      </w:r>
      <w:r>
        <w:rPr>
          <w:rFonts w:ascii="Times New Roman" w:hAnsi="Times New Roman"/>
          <w:color w:val="auto"/>
          <w:sz w:val="24"/>
          <w:highlight w:val="none"/>
        </w:rPr>
        <w:t>cm/s，并采用环氧漆做防腐防渗处理；根据</w:t>
      </w:r>
      <w:r>
        <w:rPr>
          <w:rFonts w:ascii="Times New Roman" w:hAnsi="Times New Roman"/>
          <w:bCs/>
          <w:color w:val="auto"/>
          <w:sz w:val="24"/>
          <w:highlight w:val="none"/>
        </w:rPr>
        <w:t>农业部“关于印发《病死动物无害化处理技术规范》的通知”农医发〔2013〕34号，</w:t>
      </w:r>
      <w:r>
        <w:rPr>
          <w:rFonts w:ascii="Times New Roman" w:hAnsi="Times New Roman"/>
          <w:color w:val="auto"/>
          <w:sz w:val="24"/>
          <w:highlight w:val="none"/>
        </w:rPr>
        <w:t>暂存场所应易于清洗和消毒，并定期清洗消毒；危废的贮存场所设置明显标志；贮存场所内禁止混放不相溶危险废物；危废的转移执行国家环保总局第5号令《危险废物转移联单管理办法》，转运病死猪的槽车车厢四壁及底部应使用耐腐蚀材料，并采取防渗措施；车辆驶离暂存、养殖等场所前，应对车轮及车厢外部进行消毒；运载车辆应尽量避免进入人口密集区；卸载后，应对运输车辆及相关工具等进行彻底清洗、消毒。</w:t>
      </w:r>
    </w:p>
    <w:p>
      <w:pPr>
        <w:keepNext w:val="0"/>
        <w:keepLines w:val="0"/>
        <w:pageBreakBefore w:val="0"/>
        <w:widowControl/>
        <w:tabs>
          <w:tab w:val="right" w:leader="dot" w:pos="8647"/>
        </w:tabs>
        <w:kinsoku/>
        <w:wordWrap/>
        <w:overflowPunct/>
        <w:topLinePunct w:val="0"/>
        <w:autoSpaceDE/>
        <w:autoSpaceDN/>
        <w:bidi w:val="0"/>
        <w:adjustRightInd/>
        <w:snapToGrid/>
        <w:spacing w:line="360" w:lineRule="auto"/>
        <w:ind w:firstLine="480" w:firstLineChars="200"/>
        <w:textAlignment w:val="auto"/>
        <w:rPr>
          <w:rFonts w:hint="eastAsia" w:cs="Times New Roman"/>
          <w:color w:val="auto"/>
          <w:highlight w:val="none"/>
        </w:rPr>
      </w:pPr>
      <w:r>
        <w:rPr>
          <w:rFonts w:ascii="Times New Roman" w:hAnsi="Times New Roman"/>
          <w:color w:val="auto"/>
          <w:sz w:val="24"/>
          <w:highlight w:val="none"/>
        </w:rPr>
        <w:t>在日常管理中，应设置专人加强对危废暂存间的管理，出现问题及时解决，避免形成二次污染，对工作人员应进行专业培训，熟知各项固废知识</w:t>
      </w:r>
      <w:r>
        <w:rPr>
          <w:rFonts w:hint="eastAsia" w:cs="Times New Roman"/>
          <w:color w:val="auto"/>
          <w:highlight w:val="none"/>
        </w:rPr>
        <w:t>。</w:t>
      </w:r>
    </w:p>
    <w:p>
      <w:pPr>
        <w:pStyle w:val="5"/>
        <w:spacing w:before="66"/>
        <w:ind w:firstLine="482"/>
        <w:rPr>
          <w:rFonts w:hint="eastAsia"/>
          <w:color w:val="auto"/>
          <w:highlight w:val="none"/>
        </w:rPr>
      </w:pPr>
      <w:r>
        <w:rPr>
          <w:rFonts w:hint="eastAsia"/>
          <w:color w:val="auto"/>
          <w:highlight w:val="none"/>
          <w:lang w:val="en-US" w:eastAsia="zh-CN"/>
        </w:rPr>
        <w:t>5</w:t>
      </w:r>
      <w:r>
        <w:rPr>
          <w:rFonts w:hint="eastAsia"/>
          <w:color w:val="auto"/>
          <w:highlight w:val="none"/>
        </w:rPr>
        <w:t>.2.</w:t>
      </w:r>
      <w:r>
        <w:rPr>
          <w:rFonts w:hint="eastAsia"/>
          <w:color w:val="auto"/>
          <w:highlight w:val="none"/>
          <w:lang w:val="en-US" w:eastAsia="zh-CN"/>
        </w:rPr>
        <w:t>9</w:t>
      </w:r>
      <w:r>
        <w:rPr>
          <w:rFonts w:hint="eastAsia"/>
          <w:color w:val="auto"/>
          <w:highlight w:val="none"/>
        </w:rPr>
        <w:t>雨污分流、粪便及废水处置设施“三防”措施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根据《畜禽养殖业污染防治技术规范》（HJ/T81－2001）规定：</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（1）养殖场的排水系统应实行雨水和污水收集输送系统分离，在场区内外设置的污水收集输送系统，不得采取明沟布设。</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（2）贮存设施应采取有效的防渗处理工艺，防止畜禽粪便污染地下水。</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（3）贮存设施应采取设置顶盖或围挡等防止降雨(水)进入的措施。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sz w:val="24"/>
          <w:highlight w:val="none"/>
        </w:rPr>
        <w:t>因此，企业必须建设雨、污分流管网，雨水管网建设时，沟深约20～30cm即可。排污沟应采取暗沟形式，同时应具备防止淤集以利于定期清理的条件，排污沟应采取硬化措施。</w:t>
      </w:r>
    </w:p>
    <w:p>
      <w:pPr>
        <w:keepNext w:val="0"/>
        <w:keepLines w:val="0"/>
        <w:pageBreakBefore w:val="0"/>
        <w:widowControl/>
        <w:kinsoku/>
        <w:wordWrap/>
        <w:overflowPunct/>
        <w:topLinePunct w:val="0"/>
        <w:autoSpaceDE/>
        <w:autoSpaceDN/>
        <w:bidi w:val="0"/>
        <w:adjustRightInd/>
        <w:snapToGrid/>
        <w:spacing w:line="360" w:lineRule="auto"/>
        <w:ind w:firstLine="561"/>
        <w:textAlignment w:val="auto"/>
        <w:rPr>
          <w:rFonts w:ascii="Times New Roman" w:hAnsi="Times New Roman"/>
          <w:color w:val="auto"/>
          <w:sz w:val="24"/>
          <w:highlight w:val="none"/>
        </w:rPr>
      </w:pPr>
      <w:r>
        <w:rPr>
          <w:rFonts w:ascii="Times New Roman" w:hAnsi="Times New Roman"/>
          <w:color w:val="auto"/>
          <w:sz w:val="24"/>
          <w:highlight w:val="none"/>
        </w:rPr>
        <w:t>根据本项目特点，评价要求以下设施应具备</w:t>
      </w:r>
      <w:r>
        <w:rPr>
          <w:rFonts w:hint="eastAsia" w:ascii="Times New Roman" w:hAnsi="Times New Roman"/>
          <w:color w:val="auto"/>
          <w:sz w:val="24"/>
          <w:highlight w:val="none"/>
          <w:lang w:eastAsia="zh-CN"/>
        </w:rPr>
        <w:t>“</w:t>
      </w:r>
      <w:r>
        <w:rPr>
          <w:rFonts w:hint="eastAsia" w:asciiTheme="minorEastAsia" w:hAnsiTheme="minorEastAsia" w:eastAsiaTheme="minorEastAsia" w:cstheme="minorEastAsia"/>
          <w:color w:val="auto"/>
          <w:sz w:val="24"/>
          <w:highlight w:val="none"/>
        </w:rPr>
        <w:t>三防</w:t>
      </w:r>
      <w:r>
        <w:rPr>
          <w:rFonts w:hint="eastAsia" w:ascii="Times New Roman" w:hAnsi="Times New Roman"/>
          <w:color w:val="auto"/>
          <w:sz w:val="24"/>
          <w:highlight w:val="none"/>
          <w:lang w:eastAsia="zh-CN"/>
        </w:rPr>
        <w:t>”</w:t>
      </w:r>
      <w:r>
        <w:rPr>
          <w:rFonts w:ascii="Times New Roman" w:hAnsi="Times New Roman"/>
          <w:color w:val="auto"/>
          <w:sz w:val="24"/>
          <w:highlight w:val="none"/>
        </w:rPr>
        <w:t>措施：</w:t>
      </w:r>
    </w:p>
    <w:p>
      <w:pPr>
        <w:pStyle w:val="40"/>
        <w:rPr>
          <w:rFonts w:hint="eastAsia" w:cs="Times New Roman"/>
          <w:color w:val="auto"/>
          <w:highlight w:val="none"/>
          <w:lang w:val="en-US" w:eastAsia="zh-CN"/>
        </w:rPr>
      </w:pPr>
      <w:r>
        <w:rPr>
          <w:rFonts w:hint="eastAsia" w:cs="Times New Roman"/>
          <w:color w:val="auto"/>
          <w:highlight w:val="none"/>
          <w:lang w:val="en-US" w:eastAsia="zh-CN"/>
        </w:rPr>
        <w:t>表5.2-12 项目雨污分流、粪便及废水处置设施“三防”措施一览表</w:t>
      </w:r>
    </w:p>
    <w:tbl>
      <w:tblPr>
        <w:tblStyle w:val="24"/>
        <w:tblW w:w="503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1750"/>
        <w:gridCol w:w="3109"/>
        <w:gridCol w:w="30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03" w:type="pct"/>
            <w:noWrap w:val="0"/>
            <w:tcMar>
              <w:left w:w="0" w:type="dxa"/>
              <w:right w:w="0" w:type="dxa"/>
            </w:tcMar>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序号</w:t>
            </w:r>
          </w:p>
        </w:tc>
        <w:tc>
          <w:tcPr>
            <w:tcW w:w="1043" w:type="pct"/>
            <w:noWrap w:val="0"/>
            <w:tcMar>
              <w:left w:w="0" w:type="dxa"/>
              <w:right w:w="0" w:type="dxa"/>
            </w:tcMar>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项目</w:t>
            </w:r>
          </w:p>
        </w:tc>
        <w:tc>
          <w:tcPr>
            <w:tcW w:w="1853" w:type="pct"/>
            <w:noWrap w:val="0"/>
            <w:tcMar>
              <w:left w:w="0" w:type="dxa"/>
              <w:right w:w="0" w:type="dxa"/>
            </w:tcMar>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保护措施</w:t>
            </w:r>
          </w:p>
        </w:tc>
        <w:tc>
          <w:tcPr>
            <w:tcW w:w="1799" w:type="pct"/>
            <w:noWrap w:val="0"/>
            <w:tcMar>
              <w:left w:w="0" w:type="dxa"/>
              <w:right w:w="0" w:type="dxa"/>
            </w:tcMar>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达到效果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 w:type="pct"/>
            <w:noWrap w:val="0"/>
            <w:tcMar>
              <w:left w:w="0" w:type="dxa"/>
              <w:right w:w="0" w:type="dxa"/>
            </w:tcMar>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043" w:type="pct"/>
            <w:noWrap w:val="0"/>
            <w:tcMar>
              <w:left w:w="0" w:type="dxa"/>
              <w:right w:w="0" w:type="dxa"/>
            </w:tcMar>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配套消纳地施肥</w:t>
            </w:r>
          </w:p>
        </w:tc>
        <w:tc>
          <w:tcPr>
            <w:tcW w:w="1853" w:type="pct"/>
            <w:noWrap w:val="0"/>
            <w:tcMar>
              <w:left w:w="0" w:type="dxa"/>
              <w:right w:w="0" w:type="dxa"/>
            </w:tcMar>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合理控制施肥频次和施肥量</w:t>
            </w:r>
          </w:p>
        </w:tc>
        <w:tc>
          <w:tcPr>
            <w:tcW w:w="1799" w:type="pct"/>
            <w:vMerge w:val="restart"/>
            <w:noWrap w:val="0"/>
            <w:tcMar>
              <w:left w:w="0" w:type="dxa"/>
              <w:right w:w="0" w:type="dxa"/>
            </w:tcMar>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各反应池符合《规模化畜禽养殖场沼气工程设计规范》（NY/T1222）和《混凝土结构设计规范》（GB50010）的要求，具备“防渗、防雨、防溢”的三防措施；畜禽粪便的贮存相关要求，应具备防渗、防风、防雨的“三防”措施，雨污分流</w:t>
            </w:r>
          </w:p>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满足《畜禽养殖业污染防治技术规范》（HJ/T81－2001）要求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 w:type="pct"/>
            <w:noWrap w:val="0"/>
            <w:tcMar>
              <w:left w:w="0" w:type="dxa"/>
              <w:right w:w="0" w:type="dxa"/>
            </w:tcMar>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043" w:type="pct"/>
            <w:noWrap w:val="0"/>
            <w:tcMar>
              <w:left w:w="0" w:type="dxa"/>
              <w:right w:w="0" w:type="dxa"/>
            </w:tcMar>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污水处理系统</w:t>
            </w:r>
          </w:p>
        </w:tc>
        <w:tc>
          <w:tcPr>
            <w:tcW w:w="1853" w:type="pct"/>
            <w:noWrap w:val="0"/>
            <w:tcMar>
              <w:left w:w="0" w:type="dxa"/>
              <w:right w:w="0" w:type="dxa"/>
            </w:tcMar>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评价要求黑膜沼气池严格做好防渗措施</w:t>
            </w:r>
          </w:p>
        </w:tc>
        <w:tc>
          <w:tcPr>
            <w:tcW w:w="1799" w:type="pct"/>
            <w:vMerge w:val="continue"/>
            <w:noWrap w:val="0"/>
            <w:tcMar>
              <w:left w:w="0" w:type="dxa"/>
              <w:right w:w="0" w:type="dxa"/>
            </w:tcMar>
            <w:vAlign w:val="center"/>
          </w:tcPr>
          <w:p>
            <w:pPr>
              <w:spacing w:line="240" w:lineRule="auto"/>
              <w:ind w:firstLine="0" w:firstLineChars="0"/>
              <w:jc w:val="center"/>
              <w:rPr>
                <w:rFonts w:hint="eastAsia"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 w:type="pct"/>
            <w:noWrap w:val="0"/>
            <w:tcMar>
              <w:left w:w="0" w:type="dxa"/>
              <w:right w:w="0" w:type="dxa"/>
            </w:tcMar>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043" w:type="pct"/>
            <w:noWrap w:val="0"/>
            <w:tcMar>
              <w:left w:w="0" w:type="dxa"/>
              <w:right w:w="0" w:type="dxa"/>
            </w:tcMar>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固粪处理区</w:t>
            </w:r>
          </w:p>
        </w:tc>
        <w:tc>
          <w:tcPr>
            <w:tcW w:w="1853" w:type="pct"/>
            <w:noWrap w:val="0"/>
            <w:tcMar>
              <w:left w:w="0" w:type="dxa"/>
              <w:right w:w="0" w:type="dxa"/>
            </w:tcMar>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地面进行硬化，三面设置约不低于1米的围挡，加盖顶棚</w:t>
            </w:r>
          </w:p>
        </w:tc>
        <w:tc>
          <w:tcPr>
            <w:tcW w:w="1799" w:type="pct"/>
            <w:vMerge w:val="continue"/>
            <w:noWrap w:val="0"/>
            <w:tcMar>
              <w:left w:w="0" w:type="dxa"/>
              <w:right w:w="0" w:type="dxa"/>
            </w:tcMar>
            <w:vAlign w:val="center"/>
          </w:tcPr>
          <w:p>
            <w:pPr>
              <w:spacing w:line="240" w:lineRule="auto"/>
              <w:ind w:firstLine="0" w:firstLineChars="0"/>
              <w:jc w:val="center"/>
              <w:rPr>
                <w:rFonts w:hint="eastAsia"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 w:type="pct"/>
            <w:noWrap w:val="0"/>
            <w:tcMar>
              <w:left w:w="0" w:type="dxa"/>
              <w:right w:w="0" w:type="dxa"/>
            </w:tcMar>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1043" w:type="pct"/>
            <w:noWrap w:val="0"/>
            <w:tcMar>
              <w:left w:w="0" w:type="dxa"/>
              <w:right w:w="0" w:type="dxa"/>
            </w:tcMar>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场区雨、污管网</w:t>
            </w:r>
          </w:p>
        </w:tc>
        <w:tc>
          <w:tcPr>
            <w:tcW w:w="1853" w:type="pct"/>
            <w:noWrap w:val="0"/>
            <w:tcMar>
              <w:left w:w="0" w:type="dxa"/>
              <w:right w:w="0" w:type="dxa"/>
            </w:tcMar>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雨污分流、按照畜禽养殖业污染防治技术规范要求进行建设</w:t>
            </w:r>
          </w:p>
        </w:tc>
        <w:tc>
          <w:tcPr>
            <w:tcW w:w="1799" w:type="pct"/>
            <w:vMerge w:val="continue"/>
            <w:noWrap w:val="0"/>
            <w:tcMar>
              <w:left w:w="0" w:type="dxa"/>
              <w:right w:w="0" w:type="dxa"/>
            </w:tcMar>
            <w:vAlign w:val="center"/>
          </w:tcPr>
          <w:p>
            <w:pPr>
              <w:spacing w:line="240" w:lineRule="auto"/>
              <w:ind w:firstLine="0" w:firstLineChars="0"/>
              <w:jc w:val="center"/>
              <w:rPr>
                <w:rFonts w:hint="eastAsia"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 w:type="pct"/>
            <w:noWrap w:val="0"/>
            <w:tcMar>
              <w:left w:w="0" w:type="dxa"/>
              <w:right w:w="0" w:type="dxa"/>
            </w:tcMar>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043" w:type="pct"/>
            <w:noWrap w:val="0"/>
            <w:tcMar>
              <w:left w:w="0" w:type="dxa"/>
              <w:right w:w="0" w:type="dxa"/>
            </w:tcMar>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场区内净道与脏道设置</w:t>
            </w:r>
          </w:p>
        </w:tc>
        <w:tc>
          <w:tcPr>
            <w:tcW w:w="1853" w:type="pct"/>
            <w:noWrap w:val="0"/>
            <w:tcMar>
              <w:left w:w="0" w:type="dxa"/>
              <w:right w:w="0" w:type="dxa"/>
            </w:tcMar>
            <w:vAlign w:val="center"/>
          </w:tcPr>
          <w:p>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合理设置厂区内净道和脏道，脏道地区硬化防渗处理，人行道采用透水方砖或植草砖铺设，下面用透水材料铺垫</w:t>
            </w:r>
          </w:p>
        </w:tc>
        <w:tc>
          <w:tcPr>
            <w:tcW w:w="1799" w:type="pct"/>
            <w:vMerge w:val="continue"/>
            <w:noWrap w:val="0"/>
            <w:tcMar>
              <w:left w:w="0" w:type="dxa"/>
              <w:right w:w="0" w:type="dxa"/>
            </w:tcMar>
            <w:vAlign w:val="center"/>
          </w:tcPr>
          <w:p>
            <w:pPr>
              <w:adjustRightInd w:val="0"/>
              <w:snapToGrid w:val="0"/>
              <w:ind w:left="0" w:leftChars="0" w:firstLine="0" w:firstLineChars="0"/>
              <w:jc w:val="center"/>
              <w:rPr>
                <w:rFonts w:ascii="Times New Roman" w:hAnsi="Times New Roman"/>
                <w:color w:val="auto"/>
                <w:sz w:val="21"/>
                <w:szCs w:val="21"/>
                <w:highlight w:val="none"/>
              </w:rPr>
            </w:pPr>
          </w:p>
        </w:tc>
      </w:tr>
    </w:tbl>
    <w:p>
      <w:pPr>
        <w:pStyle w:val="5"/>
        <w:spacing w:before="66"/>
        <w:ind w:firstLine="482"/>
        <w:rPr>
          <w:rFonts w:hint="eastAsia"/>
          <w:color w:val="auto"/>
          <w:highlight w:val="none"/>
        </w:rPr>
      </w:pPr>
      <w:r>
        <w:rPr>
          <w:rFonts w:hint="eastAsia"/>
          <w:color w:val="auto"/>
          <w:highlight w:val="none"/>
          <w:lang w:val="en-US" w:eastAsia="zh-CN"/>
        </w:rPr>
        <w:t>5</w:t>
      </w:r>
      <w:r>
        <w:rPr>
          <w:rFonts w:hint="eastAsia"/>
          <w:color w:val="auto"/>
          <w:highlight w:val="none"/>
        </w:rPr>
        <w:t>.2.</w:t>
      </w:r>
      <w:r>
        <w:rPr>
          <w:rFonts w:hint="eastAsia"/>
          <w:color w:val="auto"/>
          <w:highlight w:val="none"/>
          <w:lang w:val="en-US" w:eastAsia="zh-CN"/>
        </w:rPr>
        <w:t>10</w:t>
      </w:r>
      <w:r>
        <w:rPr>
          <w:rFonts w:hint="eastAsia"/>
          <w:color w:val="auto"/>
          <w:highlight w:val="none"/>
        </w:rPr>
        <w:t>绿化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eastAsia="宋体"/>
          <w:color w:val="auto"/>
          <w:highlight w:val="none"/>
          <w:lang w:val="en-US" w:eastAsia="zh-CN"/>
        </w:rPr>
      </w:pPr>
      <w:r>
        <w:rPr>
          <w:rFonts w:hint="eastAsia"/>
          <w:color w:val="auto"/>
          <w:highlight w:val="none"/>
          <w:lang w:val="en-US" w:eastAsia="zh-CN"/>
        </w:rPr>
        <w:t>1、原则要求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（1）在规划设计前要对猪场的自然条件、生产性质、规模、污染状况等进行充分的调查。要从保护环境的观点出发，合理规划。合理地设置猪场饲养猪的类型、头数，从而优化猪场本身的生态条件。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（2）猪场的绿化规划是总体规划的有机组成部分，要在猪场建设总规划的同时进行绿化规划。要本着统一安排、统一布局的原则进行，规划时既要有长远考虑，又要有近期安排，要与全场的建设协调一致。</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（3）绿化规划设计布局要合理，以保证安全生产。绿化时不能影响地下、地上管线和车间生产的采光。</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4）在进行绿化苗木选择时要考虑各功能区特点、地形、土质特点、环境污染等情况。为了达到良好的绿化美化效果，树种的选择，除考虑其满足绿化设计功能、易生长、抗病害等因素外，还要考虑其具有较强的抗污染和净化空气的功能。在满足各项功能要求的前提下，还可适当结合猪场生产，种植一些经济植物，以充分合理地利用土地，提高整场的经济效益。</w:t>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Times New Roman" w:hAnsi="Times New Roman"/>
          <w:b w:val="0"/>
          <w:bCs w:val="0"/>
          <w:color w:val="auto"/>
          <w:sz w:val="24"/>
          <w:szCs w:val="24"/>
          <w:highlight w:val="none"/>
        </w:rPr>
      </w:pPr>
      <w:r>
        <w:rPr>
          <w:rFonts w:hint="eastAsia" w:ascii="Times New Roman" w:hAnsi="Times New Roman"/>
          <w:b w:val="0"/>
          <w:bCs w:val="0"/>
          <w:color w:val="auto"/>
          <w:sz w:val="24"/>
          <w:szCs w:val="24"/>
          <w:highlight w:val="none"/>
          <w:lang w:val="en-US" w:eastAsia="zh-CN"/>
        </w:rPr>
        <w:t>2、</w:t>
      </w:r>
      <w:r>
        <w:rPr>
          <w:rFonts w:ascii="Times New Roman" w:hAnsi="Times New Roman"/>
          <w:b w:val="0"/>
          <w:bCs w:val="0"/>
          <w:color w:val="auto"/>
          <w:sz w:val="24"/>
          <w:szCs w:val="24"/>
          <w:highlight w:val="none"/>
        </w:rPr>
        <w:t>绿化措施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kern w:val="0"/>
          <w:sz w:val="24"/>
          <w:highlight w:val="none"/>
        </w:rPr>
        <w:t>（1）场区隔离带的设计：场内各区，如养殖区、生活区</w:t>
      </w:r>
      <w:r>
        <w:rPr>
          <w:rFonts w:hint="eastAsia"/>
          <w:color w:val="auto"/>
          <w:kern w:val="0"/>
          <w:sz w:val="24"/>
          <w:highlight w:val="none"/>
          <w:lang w:eastAsia="zh-CN"/>
        </w:rPr>
        <w:t>、固粪处理</w:t>
      </w:r>
      <w:r>
        <w:rPr>
          <w:rFonts w:ascii="Times New Roman" w:hAnsi="Times New Roman"/>
          <w:color w:val="auto"/>
          <w:kern w:val="0"/>
          <w:sz w:val="24"/>
          <w:highlight w:val="none"/>
        </w:rPr>
        <w:t>区的四周，都应设置隔离林带，以起到防疫、隔离、安全等作用。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kern w:val="0"/>
          <w:sz w:val="24"/>
          <w:highlight w:val="none"/>
        </w:rPr>
      </w:pPr>
      <w:r>
        <w:rPr>
          <w:rFonts w:ascii="Times New Roman" w:hAnsi="Times New Roman"/>
          <w:color w:val="auto"/>
          <w:kern w:val="0"/>
          <w:sz w:val="24"/>
          <w:highlight w:val="none"/>
        </w:rPr>
        <w:t>（2）场区道路绿化：宜采用乔木为主，乔、灌木搭配种植。</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kern w:val="0"/>
          <w:sz w:val="24"/>
          <w:highlight w:val="none"/>
        </w:rPr>
        <w:t>（3）对于养殖区内的猪舍，不宜在其四周密植成片的树林，而应多种植低矮的花卉或草坪，以利于通风，便于有害气体扩散。</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kern w:val="0"/>
          <w:sz w:val="24"/>
          <w:highlight w:val="none"/>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r>
        <w:rPr>
          <w:rFonts w:ascii="Times New Roman" w:hAnsi="Times New Roman"/>
          <w:color w:val="auto"/>
          <w:kern w:val="0"/>
          <w:sz w:val="24"/>
          <w:highlight w:val="none"/>
        </w:rPr>
        <w:t>（4）生活区：该区是与外界社会接触和员工生活休息的主要区域。该区的环境绿化可以适当进行园林式的规划，提升企业的形象和优美员工的生活环境。为了丰富色彩，宜种植容易繁殖、栽培和管理的花卉灌木为主。</w:t>
      </w:r>
    </w:p>
    <w:p>
      <w:pPr>
        <w:pStyle w:val="3"/>
        <w:spacing w:before="166" w:after="166"/>
        <w:rPr>
          <w:color w:val="auto"/>
          <w:highlight w:val="none"/>
        </w:rPr>
      </w:pPr>
      <w:bookmarkStart w:id="48" w:name="_Toc21014"/>
      <w:r>
        <w:rPr>
          <w:rFonts w:hint="eastAsia"/>
          <w:color w:val="auto"/>
          <w:highlight w:val="none"/>
          <w:lang w:val="en-US" w:eastAsia="zh-CN"/>
        </w:rPr>
        <w:t>6</w:t>
      </w:r>
      <w:r>
        <w:rPr>
          <w:color w:val="auto"/>
          <w:highlight w:val="none"/>
        </w:rPr>
        <w:t>环境影响经济损益分析</w:t>
      </w:r>
      <w:bookmarkEnd w:id="48"/>
    </w:p>
    <w:p>
      <w:pPr>
        <w:pStyle w:val="4"/>
        <w:spacing w:before="132"/>
        <w:rPr>
          <w:color w:val="auto"/>
          <w:highlight w:val="none"/>
        </w:rPr>
      </w:pPr>
      <w:bookmarkStart w:id="49" w:name="_Toc368"/>
      <w:r>
        <w:rPr>
          <w:rFonts w:hint="eastAsia"/>
          <w:color w:val="auto"/>
          <w:highlight w:val="none"/>
          <w:lang w:val="en-US" w:eastAsia="zh-CN"/>
        </w:rPr>
        <w:t>6</w:t>
      </w:r>
      <w:r>
        <w:rPr>
          <w:rFonts w:hint="eastAsia"/>
          <w:color w:val="auto"/>
          <w:highlight w:val="none"/>
        </w:rPr>
        <w:t>.1环保投资估算</w:t>
      </w:r>
      <w:bookmarkEnd w:id="49"/>
    </w:p>
    <w:p>
      <w:pPr>
        <w:tabs>
          <w:tab w:val="left" w:pos="7180"/>
        </w:tabs>
        <w:ind w:firstLine="480"/>
        <w:rPr>
          <w:rFonts w:cs="Times New Roman"/>
          <w:color w:val="auto"/>
          <w:highlight w:val="none"/>
        </w:rPr>
      </w:pPr>
      <w:r>
        <w:rPr>
          <w:rFonts w:hint="eastAsia" w:cs="Times New Roman"/>
          <w:color w:val="auto"/>
          <w:highlight w:val="none"/>
        </w:rPr>
        <w:t>本工程总投资</w:t>
      </w:r>
      <w:r>
        <w:rPr>
          <w:rFonts w:hint="eastAsia" w:cs="Times New Roman"/>
          <w:color w:val="auto"/>
          <w:highlight w:val="none"/>
          <w:lang w:val="en-US" w:eastAsia="zh-CN"/>
        </w:rPr>
        <w:t>12026.4</w:t>
      </w:r>
      <w:r>
        <w:rPr>
          <w:rFonts w:hint="eastAsia" w:cs="Times New Roman"/>
          <w:color w:val="auto"/>
          <w:highlight w:val="none"/>
        </w:rPr>
        <w:t>万元，其中环保投资</w:t>
      </w:r>
      <w:r>
        <w:rPr>
          <w:rFonts w:hint="eastAsia" w:cs="Times New Roman"/>
          <w:color w:val="auto"/>
          <w:highlight w:val="none"/>
          <w:lang w:val="en-US" w:eastAsia="zh-CN"/>
        </w:rPr>
        <w:t>508</w:t>
      </w:r>
      <w:r>
        <w:rPr>
          <w:rFonts w:hint="eastAsia" w:cs="Times New Roman"/>
          <w:color w:val="auto"/>
          <w:highlight w:val="none"/>
        </w:rPr>
        <w:t>万元，占总投资的</w:t>
      </w:r>
      <w:r>
        <w:rPr>
          <w:rFonts w:hint="eastAsia" w:cs="Times New Roman"/>
          <w:color w:val="auto"/>
          <w:highlight w:val="none"/>
          <w:lang w:val="en-US" w:eastAsia="zh-CN"/>
        </w:rPr>
        <w:t>4.2</w:t>
      </w:r>
      <w:r>
        <w:rPr>
          <w:rFonts w:hint="eastAsia" w:cs="Times New Roman"/>
          <w:color w:val="auto"/>
          <w:highlight w:val="none"/>
        </w:rPr>
        <w:t>%。环保投资估算见表</w:t>
      </w:r>
      <w:r>
        <w:rPr>
          <w:rFonts w:hint="eastAsia" w:cs="Times New Roman"/>
          <w:color w:val="auto"/>
          <w:highlight w:val="none"/>
          <w:lang w:val="en-US" w:eastAsia="zh-CN"/>
        </w:rPr>
        <w:t>6</w:t>
      </w:r>
      <w:r>
        <w:rPr>
          <w:rFonts w:hint="eastAsia" w:cs="Times New Roman"/>
          <w:color w:val="auto"/>
          <w:highlight w:val="none"/>
        </w:rPr>
        <w:t>.1-1。</w:t>
      </w:r>
    </w:p>
    <w:p>
      <w:pPr>
        <w:pStyle w:val="40"/>
        <w:rPr>
          <w:rFonts w:hint="eastAsia" w:cs="Times New Roman"/>
          <w:color w:val="auto"/>
          <w:highlight w:val="none"/>
          <w:lang w:val="en-US" w:eastAsia="zh-CN"/>
        </w:rPr>
      </w:pPr>
      <w:r>
        <w:rPr>
          <w:rFonts w:hint="eastAsia" w:cs="Times New Roman"/>
          <w:color w:val="auto"/>
          <w:highlight w:val="none"/>
          <w:lang w:val="en-US" w:eastAsia="zh-CN"/>
        </w:rPr>
        <w:t>表6.1-1项目环保投资估算表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59"/>
        <w:gridCol w:w="1097"/>
        <w:gridCol w:w="1018"/>
        <w:gridCol w:w="4697"/>
        <w:gridCol w:w="10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87"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项目</w:t>
            </w:r>
          </w:p>
        </w:tc>
        <w:tc>
          <w:tcPr>
            <w:tcW w:w="1242" w:type="pct"/>
            <w:gridSpan w:val="2"/>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类别</w:t>
            </w:r>
          </w:p>
        </w:tc>
        <w:tc>
          <w:tcPr>
            <w:tcW w:w="275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措施内容</w:t>
            </w:r>
          </w:p>
        </w:tc>
        <w:tc>
          <w:tcPr>
            <w:tcW w:w="612"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投资（万元）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387" w:type="pct"/>
            <w:vMerge w:val="restar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废水</w:t>
            </w:r>
          </w:p>
        </w:tc>
        <w:tc>
          <w:tcPr>
            <w:tcW w:w="1242" w:type="pct"/>
            <w:gridSpan w:val="2"/>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生活污水</w:t>
            </w:r>
          </w:p>
        </w:tc>
        <w:tc>
          <w:tcPr>
            <w:tcW w:w="2758" w:type="pct"/>
            <w:vMerge w:val="restar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污水处理设施，工艺为</w:t>
            </w:r>
            <w:r>
              <w:rPr>
                <w:rFonts w:hint="eastAsia" w:asciiTheme="minorEastAsia" w:hAnsiTheme="minorEastAsia" w:eastAsiaTheme="minorEastAsia" w:cstheme="minorEastAsia"/>
                <w:bCs/>
                <w:color w:val="auto"/>
                <w:sz w:val="21"/>
                <w:szCs w:val="21"/>
                <w:highlight w:val="none"/>
              </w:rPr>
              <w:t>“</w:t>
            </w:r>
            <w:r>
              <w:rPr>
                <w:rFonts w:hint="eastAsia" w:asciiTheme="minorEastAsia" w:hAnsiTheme="minorEastAsia" w:eastAsiaTheme="minorEastAsia" w:cstheme="minorEastAsia"/>
                <w:bCs/>
                <w:color w:val="auto"/>
                <w:sz w:val="21"/>
                <w:szCs w:val="21"/>
                <w:highlight w:val="none"/>
                <w:lang w:eastAsia="zh-CN"/>
              </w:rPr>
              <w:t>固液分离</w:t>
            </w:r>
            <w:r>
              <w:rPr>
                <w:rFonts w:hint="eastAsia" w:asciiTheme="minorEastAsia" w:hAnsiTheme="minorEastAsia" w:eastAsiaTheme="minorEastAsia" w:cstheme="minorEastAsia"/>
                <w:bCs/>
                <w:color w:val="auto"/>
                <w:sz w:val="21"/>
                <w:szCs w:val="21"/>
                <w:highlight w:val="none"/>
              </w:rPr>
              <w:t>+</w:t>
            </w:r>
            <w:r>
              <w:rPr>
                <w:rFonts w:hint="eastAsia" w:asciiTheme="minorEastAsia" w:hAnsiTheme="minorEastAsia" w:eastAsiaTheme="minorEastAsia" w:cstheme="minorEastAsia"/>
                <w:bCs/>
                <w:color w:val="auto"/>
                <w:sz w:val="21"/>
                <w:szCs w:val="21"/>
                <w:highlight w:val="none"/>
                <w:lang w:eastAsia="zh-CN"/>
              </w:rPr>
              <w:t>黑膜</w:t>
            </w:r>
            <w:r>
              <w:rPr>
                <w:rFonts w:hint="eastAsia" w:asciiTheme="minorEastAsia" w:hAnsiTheme="minorEastAsia" w:eastAsiaTheme="minorEastAsia" w:cstheme="minorEastAsia"/>
                <w:bCs/>
                <w:color w:val="auto"/>
                <w:sz w:val="21"/>
                <w:szCs w:val="21"/>
                <w:highlight w:val="none"/>
              </w:rPr>
              <w:t>厌氧发酵”工艺；</w:t>
            </w:r>
            <w:r>
              <w:rPr>
                <w:rFonts w:hint="eastAsia" w:asciiTheme="minorEastAsia" w:hAnsiTheme="minorEastAsia" w:eastAsiaTheme="minorEastAsia" w:cstheme="minorEastAsia"/>
                <w:bCs/>
                <w:color w:val="auto"/>
                <w:sz w:val="21"/>
                <w:szCs w:val="21"/>
                <w:highlight w:val="none"/>
                <w:lang w:val="en-US" w:eastAsia="zh-CN"/>
              </w:rPr>
              <w:t>1</w:t>
            </w:r>
            <w:r>
              <w:rPr>
                <w:rFonts w:hint="eastAsia" w:asciiTheme="minorEastAsia" w:hAnsiTheme="minorEastAsia" w:eastAsiaTheme="minorEastAsia" w:cstheme="minorEastAsia"/>
                <w:bCs/>
                <w:color w:val="auto"/>
                <w:sz w:val="21"/>
                <w:szCs w:val="21"/>
                <w:highlight w:val="none"/>
              </w:rPr>
              <w:t>套沼气干法脱硫装置</w:t>
            </w:r>
            <w:r>
              <w:rPr>
                <w:rFonts w:ascii="Times New Roman" w:hAnsi="Times New Roman"/>
                <w:bCs/>
                <w:color w:val="auto"/>
                <w:sz w:val="21"/>
                <w:szCs w:val="21"/>
                <w:highlight w:val="none"/>
              </w:rPr>
              <w:t>；1座</w:t>
            </w:r>
            <w:r>
              <w:rPr>
                <w:rFonts w:hint="eastAsia"/>
                <w:bCs/>
                <w:color w:val="auto"/>
                <w:sz w:val="21"/>
                <w:szCs w:val="21"/>
                <w:highlight w:val="none"/>
                <w:lang w:eastAsia="zh-CN"/>
              </w:rPr>
              <w:t>黑膜</w:t>
            </w:r>
            <w:r>
              <w:rPr>
                <w:rFonts w:ascii="Times New Roman" w:hAnsi="Times New Roman"/>
                <w:bCs/>
                <w:color w:val="auto"/>
                <w:sz w:val="21"/>
                <w:szCs w:val="21"/>
                <w:highlight w:val="none"/>
              </w:rPr>
              <w:t>沼气池（容积为</w:t>
            </w:r>
            <w:r>
              <w:rPr>
                <w:rFonts w:hint="eastAsia"/>
                <w:bCs/>
                <w:color w:val="auto"/>
                <w:sz w:val="21"/>
                <w:szCs w:val="21"/>
                <w:highlight w:val="none"/>
                <w:lang w:val="en-US" w:eastAsia="zh-CN"/>
              </w:rPr>
              <w:t>10680</w:t>
            </w:r>
            <w:r>
              <w:rPr>
                <w:rFonts w:ascii="Times New Roman" w:hAnsi="Times New Roman"/>
                <w:bCs/>
                <w:color w:val="auto"/>
                <w:sz w:val="21"/>
                <w:szCs w:val="21"/>
                <w:highlight w:val="none"/>
              </w:rPr>
              <w:t>m</w:t>
            </w:r>
            <w:r>
              <w:rPr>
                <w:rFonts w:ascii="Times New Roman" w:hAnsi="Times New Roman"/>
                <w:bCs/>
                <w:color w:val="auto"/>
                <w:sz w:val="21"/>
                <w:szCs w:val="21"/>
                <w:highlight w:val="none"/>
                <w:vertAlign w:val="superscript"/>
              </w:rPr>
              <w:t>3</w:t>
            </w:r>
            <w:r>
              <w:rPr>
                <w:rFonts w:ascii="Times New Roman" w:hAnsi="Times New Roman"/>
                <w:bCs/>
                <w:color w:val="auto"/>
                <w:sz w:val="21"/>
                <w:szCs w:val="21"/>
                <w:highlight w:val="none"/>
              </w:rPr>
              <w:t>）</w:t>
            </w:r>
            <w:r>
              <w:rPr>
                <w:rFonts w:hint="eastAsia"/>
                <w:bCs/>
                <w:color w:val="auto"/>
                <w:sz w:val="21"/>
                <w:szCs w:val="21"/>
                <w:highlight w:val="none"/>
                <w:lang w:eastAsia="zh-CN"/>
              </w:rPr>
              <w:t>，</w:t>
            </w:r>
            <w:r>
              <w:rPr>
                <w:rFonts w:hint="eastAsia"/>
                <w:bCs/>
                <w:color w:val="auto"/>
                <w:sz w:val="21"/>
                <w:szCs w:val="21"/>
                <w:highlight w:val="none"/>
                <w:lang w:val="en-US" w:eastAsia="zh-CN"/>
              </w:rPr>
              <w:t>1座沼液储存池（</w:t>
            </w:r>
            <w:r>
              <w:rPr>
                <w:rFonts w:ascii="Times New Roman" w:hAnsi="Times New Roman"/>
                <w:bCs/>
                <w:color w:val="auto"/>
                <w:sz w:val="21"/>
                <w:szCs w:val="21"/>
                <w:highlight w:val="none"/>
              </w:rPr>
              <w:t>容积为</w:t>
            </w:r>
            <w:r>
              <w:rPr>
                <w:rFonts w:hint="eastAsia"/>
                <w:bCs/>
                <w:color w:val="auto"/>
                <w:sz w:val="21"/>
                <w:szCs w:val="21"/>
                <w:highlight w:val="none"/>
                <w:lang w:val="en-US" w:eastAsia="zh-CN"/>
              </w:rPr>
              <w:t>60480</w:t>
            </w:r>
            <w:r>
              <w:rPr>
                <w:rFonts w:ascii="Times New Roman" w:hAnsi="Times New Roman"/>
                <w:bCs/>
                <w:color w:val="auto"/>
                <w:sz w:val="21"/>
                <w:szCs w:val="21"/>
                <w:highlight w:val="none"/>
              </w:rPr>
              <w:t>m</w:t>
            </w:r>
            <w:r>
              <w:rPr>
                <w:rFonts w:ascii="Times New Roman" w:hAnsi="Times New Roman"/>
                <w:bCs/>
                <w:color w:val="auto"/>
                <w:sz w:val="21"/>
                <w:szCs w:val="21"/>
                <w:highlight w:val="none"/>
                <w:vertAlign w:val="superscript"/>
              </w:rPr>
              <w:t>3</w:t>
            </w:r>
            <w:r>
              <w:rPr>
                <w:rFonts w:hint="eastAsia"/>
                <w:bCs/>
                <w:color w:val="auto"/>
                <w:sz w:val="21"/>
                <w:szCs w:val="21"/>
                <w:highlight w:val="none"/>
                <w:lang w:val="en-US" w:eastAsia="zh-CN"/>
              </w:rPr>
              <w:t>），</w:t>
            </w:r>
            <w:r>
              <w:rPr>
                <w:rFonts w:ascii="Times New Roman" w:hAnsi="Times New Roman"/>
                <w:bCs/>
                <w:color w:val="auto"/>
                <w:sz w:val="21"/>
                <w:szCs w:val="21"/>
                <w:highlight w:val="none"/>
              </w:rPr>
              <w:t>雨污分流；防渗、防雨、防溢的</w:t>
            </w:r>
            <w:r>
              <w:rPr>
                <w:rFonts w:hint="eastAsia" w:asciiTheme="minorEastAsia" w:hAnsiTheme="minorEastAsia" w:eastAsiaTheme="minorEastAsia" w:cstheme="minorEastAsia"/>
                <w:bCs/>
                <w:color w:val="auto"/>
                <w:sz w:val="21"/>
                <w:szCs w:val="21"/>
                <w:highlight w:val="none"/>
              </w:rPr>
              <w:t>“三防”措施</w:t>
            </w:r>
          </w:p>
        </w:tc>
        <w:tc>
          <w:tcPr>
            <w:tcW w:w="612" w:type="pct"/>
            <w:vMerge w:val="restart"/>
            <w:noWrap w:val="0"/>
            <w:vAlign w:val="center"/>
          </w:tcPr>
          <w:p>
            <w:pPr>
              <w:spacing w:line="240" w:lineRule="auto"/>
              <w:ind w:left="0" w:leftChars="0" w:firstLine="0" w:firstLineChars="0"/>
              <w:jc w:val="center"/>
              <w:rPr>
                <w:rFonts w:hint="default" w:ascii="Times New Roman" w:hAnsi="Times New Roman" w:eastAsia="宋体"/>
                <w:bCs/>
                <w:color w:val="auto"/>
                <w:sz w:val="21"/>
                <w:szCs w:val="21"/>
                <w:highlight w:val="none"/>
                <w:lang w:val="en-US" w:eastAsia="zh-CN"/>
              </w:rPr>
            </w:pPr>
            <w:r>
              <w:rPr>
                <w:rFonts w:hint="eastAsia"/>
                <w:bCs/>
                <w:color w:val="auto"/>
                <w:sz w:val="21"/>
                <w:szCs w:val="21"/>
                <w:highlight w:val="none"/>
                <w:lang w:val="en-US" w:eastAsia="zh-CN"/>
              </w:rPr>
              <w:t>350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c>
          <w:tcPr>
            <w:tcW w:w="1242" w:type="pct"/>
            <w:gridSpan w:val="2"/>
            <w:noWrap w:val="0"/>
            <w:vAlign w:val="center"/>
          </w:tcPr>
          <w:p>
            <w:pPr>
              <w:spacing w:line="240" w:lineRule="auto"/>
              <w:ind w:left="0" w:leftChars="0" w:firstLine="0" w:firstLineChars="0"/>
              <w:jc w:val="center"/>
              <w:rPr>
                <w:rFonts w:hint="eastAsia" w:ascii="Times New Roman" w:hAnsi="Times New Roman" w:eastAsia="宋体"/>
                <w:bCs/>
                <w:color w:val="auto"/>
                <w:sz w:val="21"/>
                <w:szCs w:val="21"/>
                <w:highlight w:val="none"/>
                <w:lang w:eastAsia="zh-CN"/>
              </w:rPr>
            </w:pPr>
            <w:r>
              <w:rPr>
                <w:rFonts w:hint="eastAsia"/>
                <w:bCs/>
                <w:color w:val="auto"/>
                <w:sz w:val="21"/>
                <w:szCs w:val="21"/>
                <w:highlight w:val="none"/>
                <w:lang w:eastAsia="zh-CN"/>
              </w:rPr>
              <w:t>无害化处理车间废水</w:t>
            </w:r>
          </w:p>
        </w:tc>
        <w:tc>
          <w:tcPr>
            <w:tcW w:w="2758"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c>
          <w:tcPr>
            <w:tcW w:w="612"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养殖废水</w:t>
            </w:r>
          </w:p>
        </w:tc>
        <w:tc>
          <w:tcPr>
            <w:tcW w:w="2758"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c>
          <w:tcPr>
            <w:tcW w:w="612"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restar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废气</w:t>
            </w:r>
          </w:p>
        </w:tc>
        <w:tc>
          <w:tcPr>
            <w:tcW w:w="1242" w:type="pct"/>
            <w:gridSpan w:val="2"/>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猪舍臭气</w:t>
            </w:r>
          </w:p>
        </w:tc>
        <w:tc>
          <w:tcPr>
            <w:tcW w:w="2758" w:type="pct"/>
            <w:noWrap w:val="0"/>
            <w:vAlign w:val="center"/>
          </w:tcPr>
          <w:p>
            <w:pPr>
              <w:spacing w:line="240" w:lineRule="auto"/>
              <w:ind w:left="0" w:leftChars="0" w:firstLine="0" w:firstLineChars="0"/>
              <w:jc w:val="center"/>
              <w:rPr>
                <w:rFonts w:hint="eastAsia" w:ascii="Times New Roman" w:hAnsi="Times New Roman" w:eastAsia="宋体"/>
                <w:bCs/>
                <w:color w:val="auto"/>
                <w:sz w:val="21"/>
                <w:szCs w:val="21"/>
                <w:highlight w:val="none"/>
                <w:lang w:eastAsia="zh-CN"/>
              </w:rPr>
            </w:pPr>
            <w:r>
              <w:rPr>
                <w:rFonts w:ascii="Times New Roman" w:hAnsi="Times New Roman"/>
                <w:bCs/>
                <w:color w:val="auto"/>
                <w:sz w:val="21"/>
                <w:szCs w:val="21"/>
                <w:highlight w:val="none"/>
              </w:rPr>
              <w:t>控制饲养密度，采用节水型饮水器、全漏缝地板并及时清粪</w:t>
            </w:r>
            <w:r>
              <w:rPr>
                <w:rFonts w:hint="eastAsia"/>
                <w:bCs/>
                <w:color w:val="auto"/>
                <w:sz w:val="21"/>
                <w:szCs w:val="21"/>
                <w:highlight w:val="none"/>
                <w:lang w:eastAsia="zh-CN"/>
              </w:rPr>
              <w:t>，喷洒除臭剂，配备除臭墙</w:t>
            </w:r>
          </w:p>
        </w:tc>
        <w:tc>
          <w:tcPr>
            <w:tcW w:w="612" w:type="pct"/>
            <w:noWrap w:val="0"/>
            <w:vAlign w:val="center"/>
          </w:tcPr>
          <w:p>
            <w:pPr>
              <w:spacing w:line="240" w:lineRule="auto"/>
              <w:ind w:left="0" w:leftChars="0" w:firstLine="0" w:firstLineChars="0"/>
              <w:jc w:val="center"/>
              <w:rPr>
                <w:rFonts w:hint="default" w:ascii="Times New Roman" w:hAnsi="Times New Roman" w:eastAsia="宋体"/>
                <w:bCs/>
                <w:color w:val="auto"/>
                <w:sz w:val="21"/>
                <w:szCs w:val="21"/>
                <w:highlight w:val="none"/>
                <w:lang w:val="en-US" w:eastAsia="zh-CN"/>
              </w:rPr>
            </w:pPr>
            <w:r>
              <w:rPr>
                <w:rFonts w:hint="eastAsia"/>
                <w:bCs/>
                <w:color w:val="auto"/>
                <w:sz w:val="21"/>
                <w:szCs w:val="21"/>
                <w:highlight w:val="no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污水前处理工序</w:t>
            </w:r>
          </w:p>
        </w:tc>
        <w:tc>
          <w:tcPr>
            <w:tcW w:w="275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喷洒除臭剂（除臭剂的喷扫操作方式为人工喷洒，对操作人员强化培训，喷洒频率为：污水处理系统运营前连续喷洒3天每天喷洒一次，之后每隔5天喷洒一次），周边绿化</w:t>
            </w:r>
          </w:p>
        </w:tc>
        <w:tc>
          <w:tcPr>
            <w:tcW w:w="612" w:type="pct"/>
            <w:noWrap w:val="0"/>
            <w:vAlign w:val="center"/>
          </w:tcPr>
          <w:p>
            <w:pPr>
              <w:spacing w:line="240" w:lineRule="auto"/>
              <w:ind w:left="0" w:leftChars="0" w:firstLine="0" w:firstLineChars="0"/>
              <w:jc w:val="center"/>
              <w:rPr>
                <w:rFonts w:hint="default" w:ascii="Times New Roman" w:hAnsi="Times New Roman" w:eastAsia="宋体"/>
                <w:bCs/>
                <w:color w:val="auto"/>
                <w:sz w:val="21"/>
                <w:szCs w:val="21"/>
                <w:highlight w:val="none"/>
                <w:lang w:val="en-US" w:eastAsia="zh-CN"/>
              </w:rPr>
            </w:pPr>
            <w:r>
              <w:rPr>
                <w:rFonts w:hint="eastAsia"/>
                <w:bCs/>
                <w:color w:val="auto"/>
                <w:sz w:val="21"/>
                <w:szCs w:val="21"/>
                <w:highlight w:val="none"/>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固粪处置区</w:t>
            </w:r>
          </w:p>
        </w:tc>
        <w:tc>
          <w:tcPr>
            <w:tcW w:w="275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顶部有棚，三面设置不低于1m高围挡，喷洒除臭剂，</w:t>
            </w:r>
            <w:r>
              <w:rPr>
                <w:rFonts w:hint="eastAsia"/>
                <w:bCs/>
                <w:color w:val="auto"/>
                <w:sz w:val="21"/>
                <w:szCs w:val="21"/>
                <w:highlight w:val="none"/>
                <w:lang w:eastAsia="zh-CN"/>
              </w:rPr>
              <w:t>配备除臭墙</w:t>
            </w:r>
          </w:p>
        </w:tc>
        <w:tc>
          <w:tcPr>
            <w:tcW w:w="612" w:type="pct"/>
            <w:noWrap w:val="0"/>
            <w:vAlign w:val="center"/>
          </w:tcPr>
          <w:p>
            <w:pPr>
              <w:spacing w:line="240" w:lineRule="auto"/>
              <w:ind w:left="0" w:leftChars="0" w:firstLine="0" w:firstLineChars="0"/>
              <w:jc w:val="center"/>
              <w:rPr>
                <w:rFonts w:hint="eastAsia" w:ascii="Times New Roman" w:hAnsi="Times New Roman" w:eastAsia="宋体"/>
                <w:bCs/>
                <w:color w:val="auto"/>
                <w:sz w:val="21"/>
                <w:szCs w:val="21"/>
                <w:highlight w:val="none"/>
                <w:lang w:eastAsia="zh-CN"/>
              </w:rPr>
            </w:pPr>
            <w:r>
              <w:rPr>
                <w:rFonts w:hint="eastAsia"/>
                <w:bCs/>
                <w:color w:val="auto"/>
                <w:sz w:val="21"/>
                <w:szCs w:val="21"/>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c>
          <w:tcPr>
            <w:tcW w:w="1242" w:type="pct"/>
            <w:gridSpan w:val="2"/>
            <w:noWrap w:val="0"/>
            <w:vAlign w:val="center"/>
          </w:tcPr>
          <w:p>
            <w:pPr>
              <w:spacing w:line="240" w:lineRule="auto"/>
              <w:ind w:left="0" w:leftChars="0" w:firstLine="0" w:firstLineChars="0"/>
              <w:jc w:val="center"/>
              <w:rPr>
                <w:rFonts w:hint="eastAsia" w:ascii="Times New Roman" w:hAnsi="Times New Roman" w:eastAsia="宋体"/>
                <w:bCs/>
                <w:color w:val="auto"/>
                <w:sz w:val="21"/>
                <w:szCs w:val="21"/>
                <w:highlight w:val="none"/>
                <w:lang w:eastAsia="zh-CN"/>
              </w:rPr>
            </w:pPr>
            <w:r>
              <w:rPr>
                <w:rFonts w:hint="eastAsia"/>
                <w:bCs/>
                <w:color w:val="auto"/>
                <w:sz w:val="21"/>
                <w:szCs w:val="21"/>
                <w:highlight w:val="none"/>
                <w:lang w:eastAsia="zh-CN"/>
              </w:rPr>
              <w:t>无害化处理车间</w:t>
            </w:r>
          </w:p>
        </w:tc>
        <w:tc>
          <w:tcPr>
            <w:tcW w:w="275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hint="eastAsia"/>
                <w:color w:val="auto"/>
                <w:sz w:val="21"/>
                <w:szCs w:val="21"/>
                <w:highlight w:val="none"/>
                <w:lang w:eastAsia="zh-CN"/>
              </w:rPr>
              <w:t>喷洒除臭剂，</w:t>
            </w:r>
            <w:r>
              <w:rPr>
                <w:rFonts w:hint="eastAsia"/>
                <w:color w:val="auto"/>
                <w:sz w:val="21"/>
                <w:szCs w:val="21"/>
                <w:highlight w:val="none"/>
                <w:lang w:val="en-US" w:eastAsia="zh-CN"/>
              </w:rPr>
              <w:t>配备除臭墙除臭</w:t>
            </w:r>
          </w:p>
        </w:tc>
        <w:tc>
          <w:tcPr>
            <w:tcW w:w="612" w:type="pct"/>
            <w:noWrap w:val="0"/>
            <w:vAlign w:val="center"/>
          </w:tcPr>
          <w:p>
            <w:pPr>
              <w:spacing w:line="240" w:lineRule="auto"/>
              <w:ind w:left="0" w:leftChars="0" w:firstLine="0" w:firstLineChars="0"/>
              <w:jc w:val="center"/>
              <w:rPr>
                <w:rFonts w:hint="default"/>
                <w:bCs/>
                <w:color w:val="auto"/>
                <w:sz w:val="21"/>
                <w:szCs w:val="21"/>
                <w:highlight w:val="none"/>
                <w:lang w:val="en-US" w:eastAsia="zh-CN"/>
              </w:rPr>
            </w:pPr>
            <w:r>
              <w:rPr>
                <w:rFonts w:hint="eastAsia"/>
                <w:bCs/>
                <w:color w:val="auto"/>
                <w:sz w:val="21"/>
                <w:szCs w:val="21"/>
                <w:highlight w:val="no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c>
          <w:tcPr>
            <w:tcW w:w="1242" w:type="pct"/>
            <w:gridSpan w:val="2"/>
            <w:noWrap w:val="0"/>
            <w:vAlign w:val="center"/>
          </w:tcPr>
          <w:p>
            <w:pPr>
              <w:spacing w:line="240" w:lineRule="auto"/>
              <w:ind w:left="0" w:leftChars="0" w:firstLine="0" w:firstLineChars="0"/>
              <w:jc w:val="center"/>
              <w:rPr>
                <w:rFonts w:hint="eastAsia"/>
                <w:bCs/>
                <w:color w:val="auto"/>
                <w:sz w:val="21"/>
                <w:szCs w:val="21"/>
                <w:highlight w:val="none"/>
                <w:lang w:eastAsia="zh-CN"/>
              </w:rPr>
            </w:pPr>
            <w:r>
              <w:rPr>
                <w:rFonts w:hint="eastAsia"/>
                <w:bCs/>
                <w:color w:val="auto"/>
                <w:sz w:val="21"/>
                <w:szCs w:val="21"/>
                <w:highlight w:val="none"/>
                <w:lang w:eastAsia="zh-CN"/>
              </w:rPr>
              <w:t>沼气燃烧废气</w:t>
            </w:r>
          </w:p>
        </w:tc>
        <w:tc>
          <w:tcPr>
            <w:tcW w:w="2758" w:type="pct"/>
            <w:noWrap w:val="0"/>
            <w:vAlign w:val="center"/>
          </w:tcPr>
          <w:p>
            <w:pPr>
              <w:spacing w:line="240" w:lineRule="auto"/>
              <w:ind w:left="0" w:leftChars="0" w:firstLine="0" w:firstLineChars="0"/>
              <w:jc w:val="center"/>
              <w:rPr>
                <w:rFonts w:hint="eastAsia"/>
                <w:color w:val="auto"/>
                <w:sz w:val="21"/>
                <w:szCs w:val="21"/>
                <w:highlight w:val="none"/>
                <w:lang w:eastAsia="zh-CN"/>
              </w:rPr>
            </w:pPr>
            <w:r>
              <w:rPr>
                <w:rFonts w:hint="eastAsia"/>
                <w:color w:val="auto"/>
                <w:sz w:val="21"/>
                <w:szCs w:val="21"/>
                <w:highlight w:val="none"/>
                <w:lang w:eastAsia="zh-CN"/>
              </w:rPr>
              <w:t>高效低氮燃烧器+烟气二次燃烧技术+8m高排气筒排放</w:t>
            </w:r>
          </w:p>
        </w:tc>
        <w:tc>
          <w:tcPr>
            <w:tcW w:w="612" w:type="pct"/>
            <w:noWrap w:val="0"/>
            <w:vAlign w:val="center"/>
          </w:tcPr>
          <w:p>
            <w:pPr>
              <w:spacing w:line="240" w:lineRule="auto"/>
              <w:ind w:left="0" w:leftChars="0" w:firstLine="0" w:firstLineChars="0"/>
              <w:jc w:val="center"/>
              <w:rPr>
                <w:rFonts w:hint="default"/>
                <w:bCs/>
                <w:color w:val="auto"/>
                <w:sz w:val="21"/>
                <w:szCs w:val="21"/>
                <w:highlight w:val="none"/>
                <w:lang w:val="en-US" w:eastAsia="zh-CN"/>
              </w:rPr>
            </w:pPr>
            <w:r>
              <w:rPr>
                <w:rFonts w:hint="eastAsia"/>
                <w:bCs/>
                <w:color w:val="auto"/>
                <w:sz w:val="21"/>
                <w:szCs w:val="21"/>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食堂油烟</w:t>
            </w:r>
          </w:p>
        </w:tc>
        <w:tc>
          <w:tcPr>
            <w:tcW w:w="275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安装净化效率不低于90%的油烟净化装置一套</w:t>
            </w:r>
          </w:p>
        </w:tc>
        <w:tc>
          <w:tcPr>
            <w:tcW w:w="612"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restar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固废</w:t>
            </w:r>
          </w:p>
        </w:tc>
        <w:tc>
          <w:tcPr>
            <w:tcW w:w="1242" w:type="pct"/>
            <w:gridSpan w:val="2"/>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病死猪尸体</w:t>
            </w:r>
          </w:p>
        </w:tc>
        <w:tc>
          <w:tcPr>
            <w:tcW w:w="275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hint="eastAsia" w:ascii="Times New Roman" w:hAnsi="Times New Roman"/>
                <w:bCs/>
                <w:color w:val="auto"/>
                <w:sz w:val="21"/>
                <w:szCs w:val="21"/>
                <w:highlight w:val="none"/>
              </w:rPr>
              <w:t>在病死猪暂存间暂存，</w:t>
            </w:r>
            <w:r>
              <w:rPr>
                <w:rFonts w:ascii="Times New Roman" w:hAnsi="Times New Roman"/>
                <w:bCs/>
                <w:color w:val="auto"/>
                <w:sz w:val="21"/>
                <w:szCs w:val="21"/>
                <w:highlight w:val="none"/>
              </w:rPr>
              <w:t>送</w:t>
            </w:r>
            <w:r>
              <w:rPr>
                <w:rFonts w:hint="eastAsia"/>
                <w:bCs/>
                <w:color w:val="auto"/>
                <w:sz w:val="21"/>
                <w:szCs w:val="21"/>
                <w:highlight w:val="none"/>
                <w:lang w:eastAsia="zh-CN"/>
              </w:rPr>
              <w:t>本厂自建的</w:t>
            </w:r>
            <w:r>
              <w:rPr>
                <w:rFonts w:ascii="Times New Roman" w:hAnsi="Times New Roman"/>
                <w:bCs/>
                <w:color w:val="auto"/>
                <w:sz w:val="21"/>
                <w:szCs w:val="21"/>
                <w:highlight w:val="none"/>
              </w:rPr>
              <w:t>无害化处理</w:t>
            </w:r>
            <w:r>
              <w:rPr>
                <w:rFonts w:hint="eastAsia"/>
                <w:bCs/>
                <w:color w:val="auto"/>
                <w:sz w:val="21"/>
                <w:szCs w:val="21"/>
                <w:highlight w:val="none"/>
                <w:lang w:eastAsia="zh-CN"/>
              </w:rPr>
              <w:t>车间</w:t>
            </w:r>
            <w:r>
              <w:rPr>
                <w:rFonts w:ascii="Times New Roman" w:hAnsi="Times New Roman"/>
                <w:bCs/>
                <w:color w:val="auto"/>
                <w:sz w:val="21"/>
                <w:szCs w:val="21"/>
                <w:highlight w:val="none"/>
              </w:rPr>
              <w:t>处理</w:t>
            </w:r>
          </w:p>
        </w:tc>
        <w:tc>
          <w:tcPr>
            <w:tcW w:w="612" w:type="pct"/>
            <w:noWrap w:val="0"/>
            <w:vAlign w:val="center"/>
          </w:tcPr>
          <w:p>
            <w:pPr>
              <w:spacing w:line="240" w:lineRule="auto"/>
              <w:ind w:left="0" w:leftChars="0" w:firstLine="0" w:firstLineChars="0"/>
              <w:jc w:val="center"/>
              <w:rPr>
                <w:rFonts w:hint="eastAsia" w:ascii="Times New Roman" w:hAnsi="Times New Roman" w:eastAsia="宋体"/>
                <w:bCs/>
                <w:color w:val="auto"/>
                <w:sz w:val="21"/>
                <w:szCs w:val="21"/>
                <w:highlight w:val="none"/>
                <w:lang w:eastAsia="zh-CN"/>
              </w:rPr>
            </w:pPr>
            <w:r>
              <w:rPr>
                <w:rFonts w:hint="eastAsia"/>
                <w:bCs/>
                <w:color w:val="auto"/>
                <w:sz w:val="21"/>
                <w:szCs w:val="21"/>
                <w:highlight w:val="none"/>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c>
          <w:tcPr>
            <w:tcW w:w="1242" w:type="pct"/>
            <w:gridSpan w:val="2"/>
            <w:noWrap w:val="0"/>
            <w:vAlign w:val="center"/>
          </w:tcPr>
          <w:p>
            <w:pPr>
              <w:spacing w:line="240" w:lineRule="auto"/>
              <w:ind w:left="0" w:leftChars="0" w:firstLine="0" w:firstLineChars="0"/>
              <w:jc w:val="center"/>
              <w:rPr>
                <w:rFonts w:hint="eastAsia" w:ascii="Times New Roman" w:hAnsi="Times New Roman" w:eastAsia="宋体"/>
                <w:bCs/>
                <w:color w:val="auto"/>
                <w:sz w:val="21"/>
                <w:szCs w:val="21"/>
                <w:highlight w:val="none"/>
                <w:lang w:eastAsia="zh-CN"/>
              </w:rPr>
            </w:pPr>
            <w:r>
              <w:rPr>
                <w:rFonts w:ascii="Times New Roman" w:hAnsi="Times New Roman"/>
                <w:bCs/>
                <w:color w:val="auto"/>
                <w:sz w:val="21"/>
                <w:szCs w:val="21"/>
                <w:highlight w:val="none"/>
              </w:rPr>
              <w:t>疾病防疫产生的医疗废物</w:t>
            </w:r>
            <w:r>
              <w:rPr>
                <w:rFonts w:hint="eastAsia"/>
                <w:bCs/>
                <w:color w:val="auto"/>
                <w:sz w:val="21"/>
                <w:szCs w:val="21"/>
                <w:highlight w:val="none"/>
                <w:lang w:eastAsia="zh-CN"/>
              </w:rPr>
              <w:t>、废导热油</w:t>
            </w:r>
          </w:p>
        </w:tc>
        <w:tc>
          <w:tcPr>
            <w:tcW w:w="275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暂存于</w:t>
            </w:r>
            <w:r>
              <w:rPr>
                <w:rFonts w:hint="eastAsia"/>
                <w:bCs/>
                <w:color w:val="auto"/>
                <w:sz w:val="21"/>
                <w:szCs w:val="21"/>
                <w:highlight w:val="none"/>
                <w:lang w:eastAsia="zh-CN"/>
              </w:rPr>
              <w:t>危</w:t>
            </w:r>
            <w:r>
              <w:rPr>
                <w:rFonts w:ascii="Times New Roman" w:hAnsi="Times New Roman"/>
                <w:bCs/>
                <w:color w:val="auto"/>
                <w:sz w:val="21"/>
                <w:szCs w:val="21"/>
                <w:highlight w:val="none"/>
              </w:rPr>
              <w:t>废暂存</w:t>
            </w:r>
            <w:r>
              <w:rPr>
                <w:rFonts w:hint="eastAsia"/>
                <w:bCs/>
                <w:color w:val="auto"/>
                <w:sz w:val="21"/>
                <w:szCs w:val="21"/>
                <w:highlight w:val="none"/>
                <w:lang w:eastAsia="zh-CN"/>
              </w:rPr>
              <w:t>间</w:t>
            </w:r>
            <w:r>
              <w:rPr>
                <w:rFonts w:ascii="Times New Roman" w:hAnsi="Times New Roman"/>
                <w:bCs/>
                <w:color w:val="auto"/>
                <w:sz w:val="21"/>
                <w:szCs w:val="21"/>
                <w:highlight w:val="none"/>
              </w:rPr>
              <w:t>，设置危废暂存标志，定期交由有资质的单位处置</w:t>
            </w:r>
          </w:p>
        </w:tc>
        <w:tc>
          <w:tcPr>
            <w:tcW w:w="612" w:type="pct"/>
            <w:noWrap w:val="0"/>
            <w:vAlign w:val="center"/>
          </w:tcPr>
          <w:p>
            <w:pPr>
              <w:spacing w:line="240" w:lineRule="auto"/>
              <w:ind w:left="0" w:leftChars="0" w:firstLine="0" w:firstLineChars="0"/>
              <w:jc w:val="center"/>
              <w:rPr>
                <w:rFonts w:hint="eastAsia" w:ascii="Times New Roman" w:hAnsi="Times New Roman" w:eastAsia="宋体"/>
                <w:bCs/>
                <w:color w:val="auto"/>
                <w:sz w:val="21"/>
                <w:szCs w:val="21"/>
                <w:highlight w:val="none"/>
                <w:lang w:eastAsia="zh-CN"/>
              </w:rPr>
            </w:pPr>
            <w:r>
              <w:rPr>
                <w:rFonts w:hint="eastAsia"/>
                <w:bCs/>
                <w:color w:val="auto"/>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废脱硫剂</w:t>
            </w:r>
          </w:p>
        </w:tc>
        <w:tc>
          <w:tcPr>
            <w:tcW w:w="275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暂存于固废暂存间，由负责项目环保工程的施工单位统一回收处置</w:t>
            </w:r>
          </w:p>
        </w:tc>
        <w:tc>
          <w:tcPr>
            <w:tcW w:w="612" w:type="pct"/>
            <w:noWrap w:val="0"/>
            <w:vAlign w:val="center"/>
          </w:tcPr>
          <w:p>
            <w:pPr>
              <w:spacing w:line="240" w:lineRule="auto"/>
              <w:ind w:left="0" w:leftChars="0" w:firstLine="0" w:firstLineChars="0"/>
              <w:jc w:val="center"/>
              <w:rPr>
                <w:rFonts w:hint="eastAsia" w:ascii="Times New Roman" w:hAnsi="Times New Roman" w:eastAsia="宋体"/>
                <w:bCs/>
                <w:color w:val="auto"/>
                <w:sz w:val="21"/>
                <w:szCs w:val="21"/>
                <w:highlight w:val="none"/>
                <w:lang w:eastAsia="zh-CN"/>
              </w:rPr>
            </w:pPr>
            <w:r>
              <w:rPr>
                <w:rFonts w:hint="eastAsia"/>
                <w:bCs/>
                <w:color w:val="auto"/>
                <w:sz w:val="21"/>
                <w:szCs w:val="21"/>
                <w:highlight w:val="no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生活垃圾及厨余垃圾</w:t>
            </w:r>
          </w:p>
        </w:tc>
        <w:tc>
          <w:tcPr>
            <w:tcW w:w="275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垃圾桶若干，集中送环卫部门处理</w:t>
            </w:r>
          </w:p>
        </w:tc>
        <w:tc>
          <w:tcPr>
            <w:tcW w:w="612" w:type="pct"/>
            <w:noWrap w:val="0"/>
            <w:vAlign w:val="center"/>
          </w:tcPr>
          <w:p>
            <w:pPr>
              <w:spacing w:line="240" w:lineRule="auto"/>
              <w:ind w:left="0" w:leftChars="0" w:firstLine="0" w:firstLineChars="0"/>
              <w:jc w:val="center"/>
              <w:rPr>
                <w:rFonts w:hint="eastAsia" w:ascii="Times New Roman" w:hAnsi="Times New Roman" w:eastAsia="宋体"/>
                <w:bCs/>
                <w:color w:val="auto"/>
                <w:sz w:val="21"/>
                <w:szCs w:val="21"/>
                <w:highlight w:val="none"/>
                <w:lang w:val="en-US" w:eastAsia="zh-CN"/>
              </w:rPr>
            </w:pPr>
            <w:r>
              <w:rPr>
                <w:rFonts w:hint="eastAsia"/>
                <w:bCs/>
                <w:color w:val="auto"/>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猪粪和沼渣</w:t>
            </w:r>
          </w:p>
        </w:tc>
        <w:tc>
          <w:tcPr>
            <w:tcW w:w="275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粪便发酵制有机肥基肥外售、沼渣经脱水后做有机肥基肥外售</w:t>
            </w:r>
          </w:p>
        </w:tc>
        <w:tc>
          <w:tcPr>
            <w:tcW w:w="612" w:type="pct"/>
            <w:noWrap w:val="0"/>
            <w:vAlign w:val="center"/>
          </w:tcPr>
          <w:p>
            <w:pPr>
              <w:spacing w:line="240" w:lineRule="auto"/>
              <w:ind w:left="0" w:leftChars="0" w:firstLine="0" w:firstLineChars="0"/>
              <w:jc w:val="center"/>
              <w:rPr>
                <w:rFonts w:hint="eastAsia" w:ascii="Times New Roman" w:hAnsi="Times New Roman" w:eastAsia="宋体"/>
                <w:bCs/>
                <w:color w:val="auto"/>
                <w:sz w:val="21"/>
                <w:szCs w:val="21"/>
                <w:highlight w:val="none"/>
                <w:lang w:eastAsia="zh-CN"/>
              </w:rPr>
            </w:pPr>
            <w:r>
              <w:rPr>
                <w:rFonts w:hint="eastAsia"/>
                <w:bCs/>
                <w:color w:val="auto"/>
                <w:sz w:val="21"/>
                <w:szCs w:val="21"/>
                <w:highlight w:val="none"/>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噪声</w:t>
            </w:r>
          </w:p>
        </w:tc>
        <w:tc>
          <w:tcPr>
            <w:tcW w:w="1242" w:type="pct"/>
            <w:gridSpan w:val="2"/>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设备噪声</w:t>
            </w:r>
          </w:p>
        </w:tc>
        <w:tc>
          <w:tcPr>
            <w:tcW w:w="275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基础减振、隔声等措施</w:t>
            </w:r>
          </w:p>
        </w:tc>
        <w:tc>
          <w:tcPr>
            <w:tcW w:w="612" w:type="pct"/>
            <w:noWrap w:val="0"/>
            <w:vAlign w:val="center"/>
          </w:tcPr>
          <w:p>
            <w:pPr>
              <w:spacing w:line="240" w:lineRule="auto"/>
              <w:ind w:left="0" w:leftChars="0" w:firstLine="0" w:firstLineChars="0"/>
              <w:jc w:val="center"/>
              <w:rPr>
                <w:rFonts w:hint="eastAsia" w:ascii="Times New Roman" w:hAnsi="Times New Roman" w:eastAsia="宋体"/>
                <w:bCs/>
                <w:color w:val="auto"/>
                <w:sz w:val="21"/>
                <w:szCs w:val="21"/>
                <w:highlight w:val="none"/>
                <w:lang w:eastAsia="zh-CN"/>
              </w:rPr>
            </w:pPr>
            <w:r>
              <w:rPr>
                <w:rFonts w:hint="eastAsia"/>
                <w:bCs/>
                <w:color w:val="auto"/>
                <w:sz w:val="21"/>
                <w:szCs w:val="21"/>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restar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风险事故</w:t>
            </w:r>
          </w:p>
        </w:tc>
        <w:tc>
          <w:tcPr>
            <w:tcW w:w="1242" w:type="pct"/>
            <w:gridSpan w:val="2"/>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沼气泄漏</w:t>
            </w:r>
          </w:p>
        </w:tc>
        <w:tc>
          <w:tcPr>
            <w:tcW w:w="275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加强设备的维护，按规定定期对</w:t>
            </w:r>
            <w:r>
              <w:rPr>
                <w:rFonts w:hint="eastAsia"/>
                <w:bCs/>
                <w:color w:val="auto"/>
                <w:sz w:val="21"/>
                <w:szCs w:val="21"/>
                <w:highlight w:val="none"/>
                <w:lang w:eastAsia="zh-CN"/>
              </w:rPr>
              <w:t>黑膜</w:t>
            </w:r>
            <w:r>
              <w:rPr>
                <w:rFonts w:ascii="Times New Roman" w:hAnsi="Times New Roman"/>
                <w:bCs/>
                <w:color w:val="auto"/>
                <w:sz w:val="21"/>
                <w:szCs w:val="21"/>
                <w:highlight w:val="none"/>
              </w:rPr>
              <w:t>沼气池、管道系统进行密封性和压强测试；建立事故应急预案；加强操作人员的技术培训和岗位责任制教育</w:t>
            </w:r>
          </w:p>
        </w:tc>
        <w:tc>
          <w:tcPr>
            <w:tcW w:w="612" w:type="pct"/>
            <w:vMerge w:val="restart"/>
            <w:noWrap w:val="0"/>
            <w:vAlign w:val="center"/>
          </w:tcPr>
          <w:p>
            <w:pPr>
              <w:spacing w:line="240" w:lineRule="auto"/>
              <w:ind w:left="0" w:leftChars="0" w:firstLine="0" w:firstLineChars="0"/>
              <w:jc w:val="center"/>
              <w:rPr>
                <w:rFonts w:hint="eastAsia" w:ascii="Times New Roman" w:hAnsi="Times New Roman" w:eastAsia="宋体"/>
                <w:bCs/>
                <w:color w:val="auto"/>
                <w:sz w:val="21"/>
                <w:szCs w:val="21"/>
                <w:highlight w:val="none"/>
                <w:lang w:eastAsia="zh-CN"/>
              </w:rPr>
            </w:pPr>
            <w:r>
              <w:rPr>
                <w:rFonts w:hint="eastAsia"/>
                <w:bCs/>
                <w:color w:val="auto"/>
                <w:sz w:val="21"/>
                <w:szCs w:val="21"/>
                <w:highlight w:val="none"/>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消防器材</w:t>
            </w:r>
          </w:p>
        </w:tc>
        <w:tc>
          <w:tcPr>
            <w:tcW w:w="275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若干</w:t>
            </w:r>
          </w:p>
        </w:tc>
        <w:tc>
          <w:tcPr>
            <w:tcW w:w="612"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restar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辅助工程</w:t>
            </w:r>
          </w:p>
        </w:tc>
        <w:tc>
          <w:tcPr>
            <w:tcW w:w="1242" w:type="pct"/>
            <w:gridSpan w:val="2"/>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农田</w:t>
            </w:r>
          </w:p>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沼液施肥系统</w:t>
            </w:r>
          </w:p>
        </w:tc>
        <w:tc>
          <w:tcPr>
            <w:tcW w:w="275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做好防渗、防溢漏、防雨流入措施、周边设置防护栏等安全措施，避免农闲期无处消纳外排或外溢造成污染；沼液输送系统管网铺设</w:t>
            </w:r>
          </w:p>
        </w:tc>
        <w:tc>
          <w:tcPr>
            <w:tcW w:w="612" w:type="pct"/>
            <w:noWrap w:val="0"/>
            <w:vAlign w:val="center"/>
          </w:tcPr>
          <w:p>
            <w:pPr>
              <w:spacing w:line="240" w:lineRule="auto"/>
              <w:ind w:left="0" w:leftChars="0" w:firstLine="0" w:firstLineChars="0"/>
              <w:jc w:val="center"/>
              <w:rPr>
                <w:rFonts w:hint="default" w:ascii="Times New Roman" w:hAnsi="Times New Roman" w:eastAsia="宋体"/>
                <w:bCs/>
                <w:color w:val="auto"/>
                <w:sz w:val="21"/>
                <w:szCs w:val="21"/>
                <w:highlight w:val="none"/>
                <w:lang w:val="en-US" w:eastAsia="zh-CN"/>
              </w:rPr>
            </w:pPr>
            <w:r>
              <w:rPr>
                <w:rFonts w:hint="eastAsia"/>
                <w:bCs/>
                <w:color w:val="auto"/>
                <w:sz w:val="21"/>
                <w:szCs w:val="21"/>
                <w:highlight w:val="no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地下水监测</w:t>
            </w:r>
          </w:p>
        </w:tc>
        <w:tc>
          <w:tcPr>
            <w:tcW w:w="275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在沼液消纳地西北方位、东南方各设置1口地下水观测井</w:t>
            </w:r>
          </w:p>
        </w:tc>
        <w:tc>
          <w:tcPr>
            <w:tcW w:w="612"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生态保护</w:t>
            </w:r>
          </w:p>
        </w:tc>
        <w:tc>
          <w:tcPr>
            <w:tcW w:w="275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加强场区绿化</w:t>
            </w:r>
          </w:p>
        </w:tc>
        <w:tc>
          <w:tcPr>
            <w:tcW w:w="612" w:type="pct"/>
            <w:vMerge w:val="restart"/>
            <w:noWrap w:val="0"/>
            <w:vAlign w:val="center"/>
          </w:tcPr>
          <w:p>
            <w:pPr>
              <w:spacing w:line="240" w:lineRule="auto"/>
              <w:ind w:left="0" w:leftChars="0" w:firstLine="0" w:firstLineChars="0"/>
              <w:jc w:val="center"/>
              <w:rPr>
                <w:rFonts w:hint="default" w:ascii="Times New Roman" w:hAnsi="Times New Roman" w:eastAsia="宋体"/>
                <w:bCs/>
                <w:color w:val="auto"/>
                <w:sz w:val="21"/>
                <w:szCs w:val="21"/>
                <w:highlight w:val="none"/>
                <w:lang w:val="en-US" w:eastAsia="zh-CN"/>
              </w:rPr>
            </w:pPr>
            <w:r>
              <w:rPr>
                <w:rFonts w:hint="eastAsia"/>
                <w:bCs/>
                <w:color w:val="auto"/>
                <w:sz w:val="21"/>
                <w:szCs w:val="21"/>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水土保持</w:t>
            </w:r>
          </w:p>
        </w:tc>
        <w:tc>
          <w:tcPr>
            <w:tcW w:w="275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施工期设置导流沟，建筑材料及土方及时覆盖，场区地面硬化</w:t>
            </w:r>
          </w:p>
        </w:tc>
        <w:tc>
          <w:tcPr>
            <w:tcW w:w="612"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restar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防渗措施</w:t>
            </w:r>
          </w:p>
        </w:tc>
        <w:tc>
          <w:tcPr>
            <w:tcW w:w="1242" w:type="pct"/>
            <w:gridSpan w:val="2"/>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kern w:val="0"/>
                <w:sz w:val="21"/>
                <w:szCs w:val="21"/>
                <w:highlight w:val="none"/>
              </w:rPr>
              <w:t>沼液储存池</w:t>
            </w:r>
          </w:p>
        </w:tc>
        <w:tc>
          <w:tcPr>
            <w:tcW w:w="275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在清场夯压的基础上铺设HDPE膜防渗，周边设置防护栏等安全措施，保证能够容纳1</w:t>
            </w:r>
            <w:r>
              <w:rPr>
                <w:rFonts w:hint="eastAsia"/>
                <w:bCs/>
                <w:color w:val="auto"/>
                <w:sz w:val="21"/>
                <w:szCs w:val="21"/>
                <w:highlight w:val="none"/>
                <w:lang w:val="en-US" w:eastAsia="zh-CN"/>
              </w:rPr>
              <w:t>20</w:t>
            </w:r>
            <w:r>
              <w:rPr>
                <w:rFonts w:ascii="Times New Roman" w:hAnsi="Times New Roman"/>
                <w:bCs/>
                <w:color w:val="auto"/>
                <w:sz w:val="21"/>
                <w:szCs w:val="21"/>
                <w:highlight w:val="none"/>
              </w:rPr>
              <w:t>天以上的沼液产生量，避免农闲期无处消纳外排或外溢造成污染</w:t>
            </w:r>
          </w:p>
        </w:tc>
        <w:tc>
          <w:tcPr>
            <w:tcW w:w="612" w:type="pct"/>
            <w:vMerge w:val="restart"/>
            <w:noWrap w:val="0"/>
            <w:vAlign w:val="center"/>
          </w:tcPr>
          <w:p>
            <w:pPr>
              <w:spacing w:line="240" w:lineRule="auto"/>
              <w:ind w:left="0" w:leftChars="0" w:firstLine="0" w:firstLineChars="0"/>
              <w:jc w:val="center"/>
              <w:rPr>
                <w:rFonts w:hint="default" w:ascii="Times New Roman" w:hAnsi="Times New Roman" w:eastAsia="宋体"/>
                <w:bCs/>
                <w:color w:val="auto"/>
                <w:sz w:val="21"/>
                <w:szCs w:val="21"/>
                <w:highlight w:val="none"/>
                <w:lang w:val="en-US" w:eastAsia="zh-CN"/>
              </w:rPr>
            </w:pPr>
            <w:r>
              <w:rPr>
                <w:rFonts w:hint="eastAsia"/>
                <w:bCs/>
                <w:color w:val="auto"/>
                <w:sz w:val="21"/>
                <w:szCs w:val="21"/>
                <w:highlight w:val="none"/>
                <w:lang w:val="en-US" w:eastAsia="zh-CN"/>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c>
          <w:tcPr>
            <w:tcW w:w="1242" w:type="pct"/>
            <w:gridSpan w:val="2"/>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固粪处理区</w:t>
            </w:r>
          </w:p>
        </w:tc>
        <w:tc>
          <w:tcPr>
            <w:tcW w:w="275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地面在清场夯压的基础上混凝土防渗，设置顶棚和围挡，防止雨水进入造成下溢流污染</w:t>
            </w:r>
          </w:p>
        </w:tc>
        <w:tc>
          <w:tcPr>
            <w:tcW w:w="612"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1"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c>
          <w:tcPr>
            <w:tcW w:w="644" w:type="pct"/>
            <w:tcBorders>
              <w:right w:val="single" w:color="auto" w:sz="4" w:space="0"/>
            </w:tcBorders>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养殖区</w:t>
            </w:r>
          </w:p>
        </w:tc>
        <w:tc>
          <w:tcPr>
            <w:tcW w:w="597" w:type="pct"/>
            <w:tcBorders>
              <w:left w:val="single" w:color="auto" w:sz="4" w:space="0"/>
            </w:tcBorders>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场区、排污沟</w:t>
            </w:r>
          </w:p>
        </w:tc>
        <w:tc>
          <w:tcPr>
            <w:tcW w:w="275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猪舍底部在清场夯压的基础上混凝土防渗，采取暗沟形式，具备防止淤集以利于定期清理的条件</w:t>
            </w:r>
          </w:p>
        </w:tc>
        <w:tc>
          <w:tcPr>
            <w:tcW w:w="612" w:type="pct"/>
            <w:noWrap w:val="0"/>
            <w:vAlign w:val="center"/>
          </w:tcPr>
          <w:p>
            <w:pPr>
              <w:spacing w:line="240" w:lineRule="auto"/>
              <w:ind w:left="0" w:leftChars="0" w:firstLine="0" w:firstLineChars="0"/>
              <w:jc w:val="center"/>
              <w:rPr>
                <w:rFonts w:hint="default" w:ascii="Times New Roman" w:hAnsi="Times New Roman" w:eastAsia="宋体"/>
                <w:bCs/>
                <w:color w:val="auto"/>
                <w:sz w:val="21"/>
                <w:szCs w:val="21"/>
                <w:highlight w:val="none"/>
                <w:lang w:val="en-US" w:eastAsia="zh-CN"/>
              </w:rPr>
            </w:pPr>
            <w:r>
              <w:rPr>
                <w:rFonts w:hint="eastAsia"/>
                <w:bCs/>
                <w:color w:val="auto"/>
                <w:sz w:val="21"/>
                <w:szCs w:val="21"/>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7"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c>
          <w:tcPr>
            <w:tcW w:w="644" w:type="pct"/>
            <w:tcBorders>
              <w:right w:val="single" w:color="auto" w:sz="4" w:space="0"/>
            </w:tcBorders>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沼液消纳区</w:t>
            </w:r>
          </w:p>
        </w:tc>
        <w:tc>
          <w:tcPr>
            <w:tcW w:w="597" w:type="pct"/>
            <w:tcBorders>
              <w:left w:val="single" w:color="auto" w:sz="4" w:space="0"/>
            </w:tcBorders>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沼液输送管网</w:t>
            </w:r>
          </w:p>
        </w:tc>
        <w:tc>
          <w:tcPr>
            <w:tcW w:w="275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沼液输送管道与管件必须具有防腐性与防渗性</w:t>
            </w:r>
          </w:p>
        </w:tc>
        <w:tc>
          <w:tcPr>
            <w:tcW w:w="612" w:type="pct"/>
            <w:noWrap w:val="0"/>
            <w:vAlign w:val="center"/>
          </w:tcPr>
          <w:p>
            <w:pPr>
              <w:spacing w:line="240" w:lineRule="auto"/>
              <w:ind w:left="0" w:leftChars="0" w:firstLine="0" w:firstLineChars="0"/>
              <w:jc w:val="center"/>
              <w:rPr>
                <w:rFonts w:hint="default" w:ascii="Times New Roman" w:hAnsi="Times New Roman" w:eastAsia="宋体"/>
                <w:bCs/>
                <w:color w:val="auto"/>
                <w:sz w:val="21"/>
                <w:szCs w:val="21"/>
                <w:highlight w:val="none"/>
                <w:lang w:val="en-US" w:eastAsia="zh-CN"/>
              </w:rPr>
            </w:pPr>
            <w:r>
              <w:rPr>
                <w:rFonts w:hint="eastAsia"/>
                <w:bCs/>
                <w:color w:val="auto"/>
                <w:sz w:val="21"/>
                <w:szCs w:val="21"/>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29" w:type="pct"/>
            <w:gridSpan w:val="3"/>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卫生事故</w:t>
            </w:r>
          </w:p>
        </w:tc>
        <w:tc>
          <w:tcPr>
            <w:tcW w:w="275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加强场区内卫生防疫工作</w:t>
            </w:r>
          </w:p>
        </w:tc>
        <w:tc>
          <w:tcPr>
            <w:tcW w:w="612" w:type="pct"/>
            <w:vMerge w:val="restar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29" w:type="pct"/>
            <w:gridSpan w:val="3"/>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环境管理</w:t>
            </w:r>
          </w:p>
        </w:tc>
        <w:tc>
          <w:tcPr>
            <w:tcW w:w="275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制定环境管理体系，加强环境管理</w:t>
            </w:r>
          </w:p>
        </w:tc>
        <w:tc>
          <w:tcPr>
            <w:tcW w:w="612"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29" w:type="pct"/>
            <w:gridSpan w:val="3"/>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环境监测</w:t>
            </w:r>
          </w:p>
        </w:tc>
        <w:tc>
          <w:tcPr>
            <w:tcW w:w="2758" w:type="pct"/>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制定环境监测计划，定期监测</w:t>
            </w:r>
          </w:p>
        </w:tc>
        <w:tc>
          <w:tcPr>
            <w:tcW w:w="612" w:type="pct"/>
            <w:vMerge w:val="continue"/>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87" w:type="pct"/>
            <w:gridSpan w:val="4"/>
            <w:noWrap w:val="0"/>
            <w:vAlign w:val="center"/>
          </w:tcPr>
          <w:p>
            <w:pPr>
              <w:spacing w:line="240" w:lineRule="auto"/>
              <w:ind w:left="0" w:leftChars="0" w:firstLine="0" w:firstLineChars="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合  计</w:t>
            </w:r>
          </w:p>
        </w:tc>
        <w:tc>
          <w:tcPr>
            <w:tcW w:w="612" w:type="pct"/>
            <w:noWrap w:val="0"/>
            <w:vAlign w:val="center"/>
          </w:tcPr>
          <w:p>
            <w:pPr>
              <w:spacing w:line="240" w:lineRule="auto"/>
              <w:ind w:left="0" w:leftChars="0" w:firstLine="0" w:firstLineChars="0"/>
              <w:jc w:val="center"/>
              <w:rPr>
                <w:rFonts w:hint="default" w:ascii="Times New Roman" w:hAnsi="Times New Roman" w:eastAsia="宋体"/>
                <w:bCs/>
                <w:color w:val="auto"/>
                <w:sz w:val="21"/>
                <w:szCs w:val="21"/>
                <w:highlight w:val="none"/>
                <w:lang w:val="en-US" w:eastAsia="zh-CN"/>
              </w:rPr>
            </w:pPr>
            <w:r>
              <w:rPr>
                <w:rFonts w:hint="eastAsia"/>
                <w:bCs/>
                <w:color w:val="auto"/>
                <w:sz w:val="21"/>
                <w:szCs w:val="21"/>
                <w:highlight w:val="none"/>
                <w:lang w:val="en-US" w:eastAsia="zh-CN"/>
              </w:rPr>
              <w:t>508</w:t>
            </w:r>
          </w:p>
        </w:tc>
      </w:tr>
    </w:tbl>
    <w:p>
      <w:pPr>
        <w:pStyle w:val="4"/>
        <w:spacing w:before="132"/>
        <w:rPr>
          <w:rFonts w:hint="eastAsia"/>
          <w:color w:val="auto"/>
          <w:highlight w:val="none"/>
        </w:rPr>
      </w:pPr>
      <w:bookmarkStart w:id="50" w:name="_Toc2102"/>
      <w:r>
        <w:rPr>
          <w:rFonts w:hint="eastAsia"/>
          <w:color w:val="auto"/>
          <w:highlight w:val="none"/>
          <w:lang w:val="en-US" w:eastAsia="zh-CN"/>
        </w:rPr>
        <w:t>6</w:t>
      </w:r>
      <w:r>
        <w:rPr>
          <w:rFonts w:hint="eastAsia"/>
          <w:color w:val="auto"/>
          <w:highlight w:val="none"/>
        </w:rPr>
        <w:t>.2环境影响经济损益分析</w:t>
      </w:r>
      <w:bookmarkEnd w:id="50"/>
    </w:p>
    <w:p>
      <w:pPr>
        <w:pStyle w:val="5"/>
        <w:spacing w:before="66"/>
        <w:ind w:firstLine="482"/>
        <w:rPr>
          <w:rFonts w:hint="eastAsia"/>
          <w:color w:val="auto"/>
          <w:highlight w:val="none"/>
        </w:rPr>
      </w:pPr>
      <w:r>
        <w:rPr>
          <w:rFonts w:hint="eastAsia"/>
          <w:color w:val="auto"/>
          <w:highlight w:val="none"/>
          <w:lang w:val="en-US" w:eastAsia="zh-CN"/>
        </w:rPr>
        <w:t>6.2.1</w:t>
      </w:r>
      <w:r>
        <w:rPr>
          <w:rFonts w:hint="eastAsia"/>
          <w:color w:val="auto"/>
          <w:highlight w:val="none"/>
        </w:rPr>
        <w:t>噪声影响经济损失</w:t>
      </w:r>
    </w:p>
    <w:p>
      <w:pPr>
        <w:keepNext w:val="0"/>
        <w:keepLines w:val="0"/>
        <w:pageBreakBefore w:val="0"/>
        <w:widowControl/>
        <w:kinsoku/>
        <w:wordWrap/>
        <w:overflowPunct/>
        <w:topLinePunct w:val="0"/>
        <w:autoSpaceDE/>
        <w:autoSpaceDN/>
        <w:bidi w:val="0"/>
        <w:adjustRightInd/>
        <w:snapToGrid/>
        <w:ind w:firstLine="480"/>
        <w:textAlignment w:val="auto"/>
        <w:rPr>
          <w:rFonts w:hint="eastAsia" w:ascii="宋体" w:hAnsi="宋体"/>
          <w:color w:val="auto"/>
          <w:highlight w:val="none"/>
        </w:rPr>
      </w:pPr>
      <w:r>
        <w:rPr>
          <w:rFonts w:hint="eastAsia" w:cs="Times New Roman"/>
          <w:color w:val="auto"/>
          <w:highlight w:val="none"/>
        </w:rPr>
        <w:t>有关噪声影响的人群调查以及流行病学研究发现，在我国，生活在70dB（A）以上环境中居民的人均医疗费用比70dB（A）以下的同类地方高；噪声级在70dB（A）以上环境的居民有66.7%睡眠受到干扰，而睡眠受到干扰的职工会表现出生产效率有所下降。根据前面的噪声预测结果，在采取降噪措施前，本项目昼夜间噪声值均未达到70dB（A），因此本项目的建设不会引起噪声影响经济损失</w:t>
      </w:r>
      <w:r>
        <w:rPr>
          <w:rFonts w:hint="eastAsia" w:ascii="宋体" w:hAnsi="宋体"/>
          <w:color w:val="auto"/>
          <w:highlight w:val="none"/>
        </w:rPr>
        <w:t>。</w:t>
      </w:r>
    </w:p>
    <w:p>
      <w:pPr>
        <w:pStyle w:val="5"/>
        <w:spacing w:before="66"/>
        <w:ind w:firstLine="482"/>
        <w:rPr>
          <w:rFonts w:hint="eastAsia"/>
          <w:color w:val="auto"/>
          <w:highlight w:val="none"/>
        </w:rPr>
      </w:pPr>
      <w:r>
        <w:rPr>
          <w:rFonts w:hint="eastAsia"/>
          <w:color w:val="auto"/>
          <w:highlight w:val="none"/>
          <w:lang w:val="en-US" w:eastAsia="zh-CN"/>
        </w:rPr>
        <w:t>6.2.2</w:t>
      </w:r>
      <w:r>
        <w:rPr>
          <w:rFonts w:hint="eastAsia"/>
          <w:color w:val="auto"/>
          <w:highlight w:val="none"/>
        </w:rPr>
        <w:t>环境空气影响经济损失</w:t>
      </w:r>
    </w:p>
    <w:p>
      <w:pPr>
        <w:pStyle w:val="2"/>
        <w:keepNext w:val="0"/>
        <w:keepLines w:val="0"/>
        <w:pageBreakBefore w:val="0"/>
        <w:widowControl/>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营运期项目的环境空气影响主要表现在场区产生的恶臭气体使周围居民的空气环境质量有所下降，有可能对居民健康产生一定的影响。但是目前尚无环境空气影响经济损失的定量计算方法，环境空气影响造成的损失还难以直接用货币衡量，因此，以下将对环境空气影响损失进行定性分析。</w:t>
      </w:r>
    </w:p>
    <w:p>
      <w:pPr>
        <w:pStyle w:val="2"/>
        <w:keepNext w:val="0"/>
        <w:keepLines w:val="0"/>
        <w:pageBreakBefore w:val="0"/>
        <w:widowControl/>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恶臭的成分十分复杂，因家畜的种类、清粪方式、日粮组成、粪便和污水处理等不同而异，有机成分是硫醇类、胺类、吲哚、挥发性有机酸、酚类、醛类、酮类、醇类以及含氮杂环化合物等，无机成分主要是NH</w:t>
      </w:r>
      <w:r>
        <w:rPr>
          <w:rFonts w:hint="eastAsia"/>
          <w:color w:val="auto"/>
          <w:highlight w:val="none"/>
          <w:vertAlign w:val="subscript"/>
        </w:rPr>
        <w:t>3</w:t>
      </w:r>
      <w:r>
        <w:rPr>
          <w:rFonts w:hint="eastAsia"/>
          <w:color w:val="auto"/>
          <w:highlight w:val="none"/>
        </w:rPr>
        <w:t>和H</w:t>
      </w:r>
      <w:r>
        <w:rPr>
          <w:rFonts w:hint="eastAsia"/>
          <w:color w:val="auto"/>
          <w:highlight w:val="none"/>
          <w:vertAlign w:val="subscript"/>
        </w:rPr>
        <w:t>2</w:t>
      </w:r>
      <w:r>
        <w:rPr>
          <w:rFonts w:hint="eastAsia"/>
          <w:color w:val="auto"/>
          <w:highlight w:val="none"/>
        </w:rPr>
        <w:t>S。</w:t>
      </w:r>
    </w:p>
    <w:p>
      <w:pPr>
        <w:pStyle w:val="2"/>
        <w:keepNext w:val="0"/>
        <w:keepLines w:val="0"/>
        <w:pageBreakBefore w:val="0"/>
        <w:widowControl/>
        <w:kinsoku/>
        <w:wordWrap/>
        <w:overflowPunct/>
        <w:topLinePunct w:val="0"/>
        <w:autoSpaceDE/>
        <w:autoSpaceDN/>
        <w:bidi w:val="0"/>
        <w:adjustRightInd/>
        <w:snapToGrid/>
        <w:textAlignment w:val="auto"/>
        <w:rPr>
          <w:rFonts w:hint="eastAsia" w:eastAsia="宋体"/>
          <w:color w:val="auto"/>
          <w:highlight w:val="none"/>
          <w:lang w:eastAsia="zh-CN"/>
        </w:rPr>
      </w:pPr>
      <w:r>
        <w:rPr>
          <w:rFonts w:hint="eastAsia"/>
          <w:color w:val="auto"/>
          <w:highlight w:val="none"/>
        </w:rPr>
        <w:t>本项目建设后，猪舍养殖等过程会产生恶臭气体，通过注意场区卫生、及时冲洗、添加除臭剂等措施可最大限制的减少恶臭气体的排放，另外利用场区内绿化植物及场区外大面积的农田吸收，对周围环境的影响可降至最低，项目营运期间产生的恶臭对周围环境影响不大</w:t>
      </w:r>
      <w:r>
        <w:rPr>
          <w:rFonts w:hint="eastAsia"/>
          <w:color w:val="auto"/>
          <w:highlight w:val="none"/>
          <w:lang w:eastAsia="zh-CN"/>
        </w:rPr>
        <w:t>。</w:t>
      </w:r>
    </w:p>
    <w:p>
      <w:pPr>
        <w:pStyle w:val="5"/>
        <w:spacing w:before="66"/>
        <w:ind w:firstLine="482"/>
        <w:rPr>
          <w:rFonts w:hint="eastAsia"/>
          <w:color w:val="auto"/>
          <w:highlight w:val="none"/>
        </w:rPr>
      </w:pPr>
      <w:r>
        <w:rPr>
          <w:rFonts w:hint="eastAsia"/>
          <w:color w:val="auto"/>
          <w:highlight w:val="none"/>
          <w:lang w:val="en-US" w:eastAsia="zh-CN"/>
        </w:rPr>
        <w:t>6.2.3</w:t>
      </w:r>
      <w:r>
        <w:rPr>
          <w:rFonts w:hint="eastAsia"/>
          <w:color w:val="auto"/>
          <w:highlight w:val="none"/>
        </w:rPr>
        <w:t>水环境影响经济损失</w:t>
      </w:r>
    </w:p>
    <w:p>
      <w:pPr>
        <w:pStyle w:val="2"/>
        <w:rPr>
          <w:rFonts w:hint="eastAsia" w:eastAsia="宋体"/>
          <w:color w:val="auto"/>
          <w:highlight w:val="none"/>
          <w:lang w:eastAsia="zh-CN"/>
        </w:rPr>
      </w:pPr>
      <w:r>
        <w:rPr>
          <w:rFonts w:hint="eastAsia"/>
          <w:color w:val="auto"/>
          <w:highlight w:val="none"/>
        </w:rPr>
        <w:t>本项目营运期产生的污水主要是养殖废水和员工生活污水，全部通过管道输入</w:t>
      </w:r>
      <w:r>
        <w:rPr>
          <w:rFonts w:hint="eastAsia"/>
          <w:color w:val="auto"/>
          <w:highlight w:val="none"/>
          <w:lang w:eastAsia="zh-CN"/>
        </w:rPr>
        <w:t>黑膜</w:t>
      </w:r>
      <w:r>
        <w:rPr>
          <w:rFonts w:hint="eastAsia"/>
          <w:color w:val="auto"/>
          <w:highlight w:val="none"/>
        </w:rPr>
        <w:t>沼气池统一处理，之后作为农肥施用于周边农田，不外排，因此对环境的影响非常有限。在此，不再估算水污染造成的经济损失</w:t>
      </w:r>
      <w:r>
        <w:rPr>
          <w:rFonts w:hint="eastAsia"/>
          <w:color w:val="auto"/>
          <w:highlight w:val="none"/>
          <w:lang w:eastAsia="zh-CN"/>
        </w:rPr>
        <w:t>。</w:t>
      </w:r>
    </w:p>
    <w:p>
      <w:pPr>
        <w:pStyle w:val="5"/>
        <w:spacing w:before="66"/>
        <w:ind w:firstLine="482"/>
        <w:rPr>
          <w:rFonts w:hint="eastAsia"/>
          <w:color w:val="auto"/>
          <w:highlight w:val="none"/>
        </w:rPr>
      </w:pPr>
      <w:r>
        <w:rPr>
          <w:rFonts w:hint="eastAsia"/>
          <w:color w:val="auto"/>
          <w:highlight w:val="none"/>
          <w:lang w:val="en-US" w:eastAsia="zh-CN"/>
        </w:rPr>
        <w:t>6.2.4</w:t>
      </w:r>
      <w:r>
        <w:rPr>
          <w:rFonts w:hint="eastAsia"/>
          <w:color w:val="auto"/>
          <w:highlight w:val="none"/>
        </w:rPr>
        <w:t>生态环境影响经济损失</w:t>
      </w:r>
    </w:p>
    <w:p>
      <w:pPr>
        <w:pStyle w:val="2"/>
        <w:keepNext w:val="0"/>
        <w:keepLines w:val="0"/>
        <w:pageBreakBefore w:val="0"/>
        <w:widowControl/>
        <w:kinsoku/>
        <w:wordWrap/>
        <w:overflowPunct/>
        <w:topLinePunct w:val="0"/>
        <w:autoSpaceDE/>
        <w:autoSpaceDN/>
        <w:bidi w:val="0"/>
        <w:adjustRightInd/>
        <w:snapToGrid/>
        <w:textAlignment w:val="auto"/>
        <w:rPr>
          <w:color w:val="auto"/>
          <w:highlight w:val="none"/>
        </w:rPr>
      </w:pPr>
      <w:r>
        <w:rPr>
          <w:rFonts w:hint="eastAsia"/>
          <w:color w:val="auto"/>
          <w:highlight w:val="none"/>
        </w:rPr>
        <w:t>本项目的建设将破坏现有农田生态系统，铲除场区现有植被，使得现有植被的经济能力消失，但是项目建成后，新的系统会产生更好的经济效益，对原有生态环境的经济损失做出补偿。</w:t>
      </w:r>
    </w:p>
    <w:p>
      <w:pPr>
        <w:pStyle w:val="4"/>
        <w:spacing w:before="132"/>
        <w:rPr>
          <w:rFonts w:hint="eastAsia"/>
          <w:color w:val="auto"/>
          <w:highlight w:val="none"/>
          <w:lang w:eastAsia="zh-CN"/>
        </w:rPr>
      </w:pPr>
      <w:bookmarkStart w:id="51" w:name="_Toc3412"/>
      <w:r>
        <w:rPr>
          <w:rFonts w:hint="eastAsia"/>
          <w:color w:val="auto"/>
          <w:highlight w:val="none"/>
          <w:lang w:val="en-US" w:eastAsia="zh-CN"/>
        </w:rPr>
        <w:t>6</w:t>
      </w:r>
      <w:r>
        <w:rPr>
          <w:color w:val="auto"/>
          <w:highlight w:val="none"/>
        </w:rPr>
        <w:t>.3</w:t>
      </w:r>
      <w:r>
        <w:rPr>
          <w:rFonts w:hint="eastAsia"/>
          <w:color w:val="auto"/>
          <w:highlight w:val="none"/>
          <w:lang w:eastAsia="zh-CN"/>
        </w:rPr>
        <w:t>经济</w:t>
      </w:r>
      <w:r>
        <w:rPr>
          <w:color w:val="auto"/>
          <w:highlight w:val="none"/>
        </w:rPr>
        <w:t>效益</w:t>
      </w:r>
      <w:r>
        <w:rPr>
          <w:rFonts w:hint="eastAsia"/>
          <w:color w:val="auto"/>
          <w:highlight w:val="none"/>
          <w:lang w:eastAsia="zh-CN"/>
        </w:rPr>
        <w:t>分析</w:t>
      </w:r>
      <w:bookmarkEnd w:id="51"/>
    </w:p>
    <w:p>
      <w:pPr>
        <w:pStyle w:val="5"/>
        <w:spacing w:before="66"/>
        <w:ind w:firstLine="482"/>
        <w:rPr>
          <w:rFonts w:hint="eastAsia"/>
          <w:color w:val="auto"/>
          <w:highlight w:val="none"/>
        </w:rPr>
      </w:pPr>
      <w:r>
        <w:rPr>
          <w:rFonts w:hint="eastAsia"/>
          <w:color w:val="auto"/>
          <w:highlight w:val="none"/>
          <w:lang w:val="en-US" w:eastAsia="zh-CN"/>
        </w:rPr>
        <w:t>6.3.1</w:t>
      </w:r>
      <w:r>
        <w:rPr>
          <w:rFonts w:hint="eastAsia"/>
          <w:color w:val="auto"/>
          <w:highlight w:val="none"/>
        </w:rPr>
        <w:t>本项目经济技术指标</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highlight w:val="none"/>
        </w:rPr>
      </w:pPr>
      <w:r>
        <w:rPr>
          <w:rFonts w:ascii="Times New Roman" w:hAnsi="Times New Roman"/>
          <w:color w:val="auto"/>
          <w:kern w:val="0"/>
          <w:sz w:val="24"/>
          <w:highlight w:val="none"/>
        </w:rPr>
        <w:t>本项目为生猪养殖项目，总投资为</w:t>
      </w:r>
      <w:r>
        <w:rPr>
          <w:rFonts w:hint="eastAsia"/>
          <w:color w:val="auto"/>
          <w:kern w:val="0"/>
          <w:sz w:val="24"/>
          <w:highlight w:val="none"/>
          <w:lang w:val="en-US" w:eastAsia="zh-CN"/>
        </w:rPr>
        <w:t>12026.4</w:t>
      </w:r>
      <w:r>
        <w:rPr>
          <w:rFonts w:ascii="Times New Roman" w:hAnsi="Times New Roman"/>
          <w:color w:val="auto"/>
          <w:kern w:val="0"/>
          <w:sz w:val="24"/>
          <w:highlight w:val="none"/>
        </w:rPr>
        <w:t>万元，包括猪舍、污染治理工程及辅助生产设施等。项目主要技术经济指标表见表6</w:t>
      </w:r>
      <w:r>
        <w:rPr>
          <w:rFonts w:hint="eastAsia"/>
          <w:color w:val="auto"/>
          <w:kern w:val="0"/>
          <w:sz w:val="24"/>
          <w:highlight w:val="none"/>
          <w:lang w:val="en-US" w:eastAsia="zh-CN"/>
        </w:rPr>
        <w:t>.3</w:t>
      </w:r>
      <w:r>
        <w:rPr>
          <w:rFonts w:ascii="Times New Roman" w:hAnsi="Times New Roman"/>
          <w:color w:val="auto"/>
          <w:kern w:val="0"/>
          <w:sz w:val="24"/>
          <w:highlight w:val="none"/>
        </w:rPr>
        <w:t>-1。</w:t>
      </w:r>
    </w:p>
    <w:p>
      <w:pPr>
        <w:pStyle w:val="40"/>
        <w:rPr>
          <w:rFonts w:hint="eastAsia" w:cs="Times New Roman"/>
          <w:color w:val="auto"/>
          <w:highlight w:val="none"/>
          <w:lang w:val="en-US" w:eastAsia="zh-CN"/>
        </w:rPr>
      </w:pPr>
      <w:r>
        <w:rPr>
          <w:rFonts w:hint="eastAsia" w:cs="Times New Roman"/>
          <w:color w:val="auto"/>
          <w:highlight w:val="none"/>
          <w:lang w:val="en-US" w:eastAsia="zh-CN"/>
        </w:rPr>
        <w:t>表6.3-1 项目主要技术经济指标表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46"/>
        <w:gridCol w:w="2429"/>
        <w:gridCol w:w="1281"/>
        <w:gridCol w:w="1281"/>
        <w:gridCol w:w="24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序号</w:t>
            </w:r>
          </w:p>
        </w:tc>
        <w:tc>
          <w:tcPr>
            <w:tcW w:w="1426"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指标名称</w:t>
            </w:r>
          </w:p>
        </w:tc>
        <w:tc>
          <w:tcPr>
            <w:tcW w:w="752"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单位</w:t>
            </w:r>
          </w:p>
        </w:tc>
        <w:tc>
          <w:tcPr>
            <w:tcW w:w="752"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数量</w:t>
            </w:r>
          </w:p>
        </w:tc>
        <w:tc>
          <w:tcPr>
            <w:tcW w:w="1454"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w:t>
            </w:r>
          </w:p>
        </w:tc>
        <w:tc>
          <w:tcPr>
            <w:tcW w:w="1426"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项目总投资</w:t>
            </w:r>
          </w:p>
        </w:tc>
        <w:tc>
          <w:tcPr>
            <w:tcW w:w="752"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万元</w:t>
            </w:r>
          </w:p>
        </w:tc>
        <w:tc>
          <w:tcPr>
            <w:tcW w:w="752" w:type="pct"/>
            <w:tcBorders>
              <w:tl2br w:val="nil"/>
              <w:tr2bl w:val="nil"/>
            </w:tcBorders>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12026.4</w:t>
            </w:r>
          </w:p>
        </w:tc>
        <w:tc>
          <w:tcPr>
            <w:tcW w:w="1454"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w:t>
            </w:r>
          </w:p>
        </w:tc>
        <w:tc>
          <w:tcPr>
            <w:tcW w:w="1426"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年利润总额</w:t>
            </w:r>
          </w:p>
        </w:tc>
        <w:tc>
          <w:tcPr>
            <w:tcW w:w="752"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万元</w:t>
            </w:r>
          </w:p>
        </w:tc>
        <w:tc>
          <w:tcPr>
            <w:tcW w:w="752" w:type="pct"/>
            <w:tcBorders>
              <w:tl2br w:val="nil"/>
              <w:tr2bl w:val="nil"/>
            </w:tcBorders>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3000</w:t>
            </w:r>
          </w:p>
        </w:tc>
        <w:tc>
          <w:tcPr>
            <w:tcW w:w="1454"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以第七年为例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3</w:t>
            </w:r>
          </w:p>
        </w:tc>
        <w:tc>
          <w:tcPr>
            <w:tcW w:w="1426"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净现值</w:t>
            </w:r>
          </w:p>
        </w:tc>
        <w:tc>
          <w:tcPr>
            <w:tcW w:w="752"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万元</w:t>
            </w:r>
          </w:p>
        </w:tc>
        <w:tc>
          <w:tcPr>
            <w:tcW w:w="752" w:type="pct"/>
            <w:tcBorders>
              <w:tl2br w:val="nil"/>
              <w:tr2bl w:val="nil"/>
            </w:tcBorders>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3580</w:t>
            </w:r>
          </w:p>
        </w:tc>
        <w:tc>
          <w:tcPr>
            <w:tcW w:w="1454"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税后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4</w:t>
            </w:r>
          </w:p>
        </w:tc>
        <w:tc>
          <w:tcPr>
            <w:tcW w:w="1426"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内部收益率</w:t>
            </w:r>
          </w:p>
        </w:tc>
        <w:tc>
          <w:tcPr>
            <w:tcW w:w="752"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752" w:type="pct"/>
            <w:tcBorders>
              <w:tl2br w:val="nil"/>
              <w:tr2bl w:val="nil"/>
            </w:tcBorders>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28</w:t>
            </w:r>
          </w:p>
        </w:tc>
        <w:tc>
          <w:tcPr>
            <w:tcW w:w="1454"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5</w:t>
            </w:r>
          </w:p>
        </w:tc>
        <w:tc>
          <w:tcPr>
            <w:tcW w:w="1426"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全部投资回收期</w:t>
            </w:r>
          </w:p>
        </w:tc>
        <w:tc>
          <w:tcPr>
            <w:tcW w:w="752"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年</w:t>
            </w:r>
          </w:p>
        </w:tc>
        <w:tc>
          <w:tcPr>
            <w:tcW w:w="752" w:type="pct"/>
            <w:tcBorders>
              <w:tl2br w:val="nil"/>
              <w:tr2bl w:val="nil"/>
            </w:tcBorders>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4.1</w:t>
            </w:r>
          </w:p>
        </w:tc>
        <w:tc>
          <w:tcPr>
            <w:tcW w:w="1454" w:type="pct"/>
            <w:tcBorders>
              <w:tl2br w:val="nil"/>
              <w:tr2bl w:val="nil"/>
            </w:tcBorders>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税后，含建设期1年</w:t>
            </w:r>
          </w:p>
        </w:tc>
      </w:tr>
    </w:tbl>
    <w:p>
      <w:pPr>
        <w:pStyle w:val="5"/>
        <w:spacing w:before="66"/>
        <w:ind w:firstLine="482"/>
        <w:rPr>
          <w:rFonts w:hint="eastAsia"/>
          <w:color w:val="auto"/>
          <w:highlight w:val="none"/>
        </w:rPr>
      </w:pPr>
      <w:r>
        <w:rPr>
          <w:rFonts w:hint="eastAsia"/>
          <w:color w:val="auto"/>
          <w:highlight w:val="none"/>
          <w:lang w:val="en-US" w:eastAsia="zh-CN"/>
        </w:rPr>
        <w:t>6.3.2</w:t>
      </w:r>
      <w:r>
        <w:rPr>
          <w:rFonts w:hint="eastAsia"/>
          <w:color w:val="auto"/>
          <w:highlight w:val="none"/>
        </w:rPr>
        <w:t>环保措施运行费用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bCs/>
          <w:color w:val="auto"/>
          <w:sz w:val="24"/>
          <w:highlight w:val="none"/>
        </w:rPr>
      </w:pPr>
      <w:r>
        <w:rPr>
          <w:rFonts w:ascii="Times New Roman" w:hAnsi="Times New Roman"/>
          <w:bCs/>
          <w:color w:val="auto"/>
          <w:kern w:val="0"/>
          <w:sz w:val="24"/>
          <w:highlight w:val="none"/>
        </w:rPr>
        <w:t>环保设施运行费用主要包括：电费，环保人员工资及设备折旧、维护费用。</w:t>
      </w:r>
    </w:p>
    <w:p>
      <w:pPr>
        <w:pStyle w:val="40"/>
        <w:rPr>
          <w:rFonts w:hint="eastAsia" w:cs="Times New Roman"/>
          <w:color w:val="auto"/>
          <w:highlight w:val="none"/>
          <w:lang w:val="en-US" w:eastAsia="zh-CN"/>
        </w:rPr>
      </w:pPr>
      <w:r>
        <w:rPr>
          <w:rFonts w:hint="eastAsia" w:cs="Times New Roman"/>
          <w:color w:val="auto"/>
          <w:highlight w:val="none"/>
          <w:lang w:val="en-US" w:eastAsia="zh-CN"/>
        </w:rPr>
        <w:t>表6.3-2 本项目环保措施运行费用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1"/>
        <w:gridCol w:w="913"/>
        <w:gridCol w:w="1759"/>
        <w:gridCol w:w="1620"/>
        <w:gridCol w:w="35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394"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序号</w:t>
            </w:r>
          </w:p>
        </w:tc>
        <w:tc>
          <w:tcPr>
            <w:tcW w:w="1569" w:type="pct"/>
            <w:gridSpan w:val="2"/>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费用名称</w:t>
            </w:r>
          </w:p>
        </w:tc>
        <w:tc>
          <w:tcPr>
            <w:tcW w:w="951"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费用（万元/年）</w:t>
            </w:r>
          </w:p>
        </w:tc>
        <w:tc>
          <w:tcPr>
            <w:tcW w:w="2084"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394" w:type="pct"/>
            <w:vMerge w:val="restar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废气</w:t>
            </w:r>
          </w:p>
        </w:tc>
        <w:tc>
          <w:tcPr>
            <w:tcW w:w="536" w:type="pct"/>
            <w:vMerge w:val="restar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场区恶臭</w:t>
            </w:r>
          </w:p>
        </w:tc>
        <w:tc>
          <w:tcPr>
            <w:tcW w:w="1033"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除臭剂费用</w:t>
            </w:r>
          </w:p>
        </w:tc>
        <w:tc>
          <w:tcPr>
            <w:tcW w:w="951" w:type="pct"/>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5</w:t>
            </w:r>
          </w:p>
        </w:tc>
        <w:tc>
          <w:tcPr>
            <w:tcW w:w="2084"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394" w:type="pct"/>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536" w:type="pct"/>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1033"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除臭墙费用</w:t>
            </w:r>
          </w:p>
        </w:tc>
        <w:tc>
          <w:tcPr>
            <w:tcW w:w="951" w:type="pct"/>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2084" w:type="pct"/>
            <w:noWrap w:val="0"/>
            <w:vAlign w:val="center"/>
          </w:tcPr>
          <w:p>
            <w:pPr>
              <w:spacing w:line="240" w:lineRule="auto"/>
              <w:ind w:firstLine="0" w:firstLineChars="0"/>
              <w:jc w:val="center"/>
              <w:rPr>
                <w:rFonts w:hint="eastAsia"/>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394" w:type="pct"/>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536" w:type="pct"/>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1033"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环保人员工资</w:t>
            </w:r>
          </w:p>
        </w:tc>
        <w:tc>
          <w:tcPr>
            <w:tcW w:w="951"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3</w:t>
            </w:r>
          </w:p>
        </w:tc>
        <w:tc>
          <w:tcPr>
            <w:tcW w:w="2084"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1人，3万元/人</w:t>
            </w:r>
            <w:r>
              <w:rPr>
                <w:rFonts w:hint="default" w:ascii="Times New Roman" w:hAnsi="Times New Roman" w:eastAsia="宋体" w:cs="Times New Roman"/>
                <w:color w:val="auto"/>
                <w:sz w:val="21"/>
                <w:szCs w:val="21"/>
                <w:highlight w:val="none"/>
                <w:lang w:val="en-US" w:eastAsia="zh-CN"/>
              </w:rPr>
              <w:t>·</w:t>
            </w:r>
            <w:r>
              <w:rPr>
                <w:rFonts w:hint="eastAsia"/>
                <w:color w:val="auto"/>
                <w:sz w:val="21"/>
                <w:szCs w:val="21"/>
                <w:highlight w:val="none"/>
                <w:lang w:val="en-US" w:eastAsia="zh-CN"/>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 w:hRule="atLeast"/>
          <w:jc w:val="center"/>
        </w:trPr>
        <w:tc>
          <w:tcPr>
            <w:tcW w:w="394" w:type="pct"/>
            <w:vMerge w:val="restar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废水</w:t>
            </w:r>
          </w:p>
        </w:tc>
        <w:tc>
          <w:tcPr>
            <w:tcW w:w="536" w:type="pct"/>
            <w:vMerge w:val="restar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养殖及生活废水</w:t>
            </w:r>
          </w:p>
        </w:tc>
        <w:tc>
          <w:tcPr>
            <w:tcW w:w="1033"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折旧费</w:t>
            </w:r>
          </w:p>
        </w:tc>
        <w:tc>
          <w:tcPr>
            <w:tcW w:w="951" w:type="pct"/>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10</w:t>
            </w:r>
          </w:p>
        </w:tc>
        <w:tc>
          <w:tcPr>
            <w:tcW w:w="2084"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总投资200万元，按20年折旧期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 w:hRule="atLeast"/>
          <w:jc w:val="center"/>
        </w:trPr>
        <w:tc>
          <w:tcPr>
            <w:tcW w:w="394" w:type="pct"/>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536" w:type="pct"/>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1033"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电费</w:t>
            </w:r>
          </w:p>
        </w:tc>
        <w:tc>
          <w:tcPr>
            <w:tcW w:w="951" w:type="pct"/>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180</w:t>
            </w:r>
          </w:p>
        </w:tc>
        <w:tc>
          <w:tcPr>
            <w:tcW w:w="2084"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300万kW</w:t>
            </w:r>
            <w:r>
              <w:rPr>
                <w:rFonts w:hint="default" w:ascii="Times New Roman" w:hAnsi="Times New Roman" w:cs="Times New Roman"/>
                <w:color w:val="auto"/>
                <w:sz w:val="21"/>
                <w:szCs w:val="21"/>
                <w:highlight w:val="none"/>
                <w:lang w:val="en-US" w:eastAsia="zh-CN"/>
              </w:rPr>
              <w:t>·</w:t>
            </w:r>
            <w:r>
              <w:rPr>
                <w:rFonts w:hint="eastAsia"/>
                <w:color w:val="auto"/>
                <w:sz w:val="21"/>
                <w:szCs w:val="21"/>
                <w:highlight w:val="none"/>
                <w:lang w:val="en-US" w:eastAsia="zh-CN"/>
              </w:rPr>
              <w:t>h/年，单价0.6元/kW</w:t>
            </w:r>
            <w:r>
              <w:rPr>
                <w:rFonts w:hint="default" w:ascii="Times New Roman" w:hAnsi="Times New Roman" w:cs="Times New Roman"/>
                <w:color w:val="auto"/>
                <w:sz w:val="21"/>
                <w:szCs w:val="21"/>
                <w:highlight w:val="none"/>
                <w:lang w:val="en-US" w:eastAsia="zh-CN"/>
              </w:rPr>
              <w:t>·</w:t>
            </w:r>
            <w:r>
              <w:rPr>
                <w:rFonts w:hint="eastAsia"/>
                <w:color w:val="auto"/>
                <w:sz w:val="21"/>
                <w:szCs w:val="21"/>
                <w:highlight w:val="none"/>
                <w:lang w:val="en-US" w:eastAsia="zh-CN"/>
              </w:rPr>
              <w:t>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 w:hRule="atLeast"/>
          <w:jc w:val="center"/>
        </w:trPr>
        <w:tc>
          <w:tcPr>
            <w:tcW w:w="394" w:type="pct"/>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536" w:type="pct"/>
            <w:vMerge w:val="continue"/>
            <w:noWrap w:val="0"/>
            <w:vAlign w:val="center"/>
          </w:tcPr>
          <w:p>
            <w:pPr>
              <w:spacing w:line="240" w:lineRule="auto"/>
              <w:ind w:firstLine="0" w:firstLineChars="0"/>
              <w:jc w:val="center"/>
              <w:rPr>
                <w:rFonts w:hint="eastAsia"/>
                <w:color w:val="auto"/>
                <w:sz w:val="21"/>
                <w:szCs w:val="21"/>
                <w:highlight w:val="none"/>
                <w:lang w:val="en-US" w:eastAsia="zh-CN"/>
              </w:rPr>
            </w:pPr>
          </w:p>
        </w:tc>
        <w:tc>
          <w:tcPr>
            <w:tcW w:w="1033"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人工费</w:t>
            </w:r>
          </w:p>
        </w:tc>
        <w:tc>
          <w:tcPr>
            <w:tcW w:w="951"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6</w:t>
            </w:r>
          </w:p>
        </w:tc>
        <w:tc>
          <w:tcPr>
            <w:tcW w:w="2084"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人员按2人计，人员工资3万元/人</w:t>
            </w:r>
            <w:r>
              <w:rPr>
                <w:rFonts w:hint="default" w:ascii="Times New Roman" w:hAnsi="Times New Roman" w:eastAsia="宋体" w:cs="Times New Roman"/>
                <w:color w:val="auto"/>
                <w:sz w:val="21"/>
                <w:szCs w:val="21"/>
                <w:highlight w:val="none"/>
                <w:lang w:val="en-US" w:eastAsia="zh-CN"/>
              </w:rPr>
              <w:t>·</w:t>
            </w:r>
            <w:r>
              <w:rPr>
                <w:rFonts w:hint="eastAsia"/>
                <w:color w:val="auto"/>
                <w:sz w:val="21"/>
                <w:szCs w:val="21"/>
                <w:highlight w:val="none"/>
                <w:lang w:val="en-US" w:eastAsia="zh-CN"/>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1963" w:type="pct"/>
            <w:gridSpan w:val="3"/>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合计</w:t>
            </w:r>
          </w:p>
        </w:tc>
        <w:tc>
          <w:tcPr>
            <w:tcW w:w="951" w:type="pct"/>
            <w:noWrap w:val="0"/>
            <w:vAlign w:val="center"/>
          </w:tcPr>
          <w:p>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207</w:t>
            </w:r>
          </w:p>
        </w:tc>
        <w:tc>
          <w:tcPr>
            <w:tcW w:w="2084"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r>
    </w:tbl>
    <w:p>
      <w:pPr>
        <w:pStyle w:val="2"/>
        <w:rPr>
          <w:rFonts w:hint="eastAsia" w:eastAsia="宋体"/>
          <w:color w:val="auto"/>
          <w:highlight w:val="none"/>
          <w:lang w:val="en-US" w:eastAsia="zh-CN"/>
        </w:rPr>
      </w:pPr>
      <w:r>
        <w:rPr>
          <w:rFonts w:ascii="Times New Roman" w:hAnsi="Times New Roman"/>
          <w:color w:val="auto"/>
          <w:sz w:val="24"/>
          <w:szCs w:val="28"/>
          <w:highlight w:val="none"/>
        </w:rPr>
        <w:t>本项目年利润总额为</w:t>
      </w:r>
      <w:r>
        <w:rPr>
          <w:rFonts w:hint="eastAsia"/>
          <w:color w:val="auto"/>
          <w:sz w:val="24"/>
          <w:szCs w:val="28"/>
          <w:highlight w:val="none"/>
          <w:lang w:val="en-US" w:eastAsia="zh-CN"/>
        </w:rPr>
        <w:t>3000</w:t>
      </w:r>
      <w:r>
        <w:rPr>
          <w:rFonts w:ascii="Times New Roman" w:hAnsi="Times New Roman"/>
          <w:color w:val="auto"/>
          <w:sz w:val="24"/>
          <w:szCs w:val="28"/>
          <w:highlight w:val="none"/>
        </w:rPr>
        <w:t>万元，环保设施运行年费用为</w:t>
      </w:r>
      <w:r>
        <w:rPr>
          <w:rFonts w:hint="eastAsia"/>
          <w:color w:val="auto"/>
          <w:sz w:val="24"/>
          <w:szCs w:val="28"/>
          <w:highlight w:val="none"/>
          <w:lang w:val="en-US" w:eastAsia="zh-CN"/>
        </w:rPr>
        <w:t>207</w:t>
      </w:r>
      <w:r>
        <w:rPr>
          <w:rFonts w:ascii="Times New Roman" w:hAnsi="Times New Roman"/>
          <w:color w:val="auto"/>
          <w:sz w:val="24"/>
          <w:szCs w:val="28"/>
          <w:highlight w:val="none"/>
        </w:rPr>
        <w:t>万，占年利润总额的</w:t>
      </w:r>
      <w:r>
        <w:rPr>
          <w:rFonts w:hint="eastAsia"/>
          <w:color w:val="auto"/>
          <w:sz w:val="24"/>
          <w:szCs w:val="28"/>
          <w:highlight w:val="none"/>
          <w:lang w:val="en-US" w:eastAsia="zh-CN"/>
        </w:rPr>
        <w:t>6.9</w:t>
      </w:r>
      <w:r>
        <w:rPr>
          <w:rFonts w:ascii="Times New Roman" w:hAnsi="Times New Roman"/>
          <w:color w:val="auto"/>
          <w:sz w:val="24"/>
          <w:szCs w:val="28"/>
          <w:highlight w:val="none"/>
        </w:rPr>
        <w:t>%，本项目环保设施运行费用合理</w:t>
      </w:r>
      <w:r>
        <w:rPr>
          <w:rFonts w:hint="eastAsia" w:ascii="Times New Roman" w:hAnsi="Times New Roman"/>
          <w:color w:val="auto"/>
          <w:sz w:val="24"/>
          <w:szCs w:val="28"/>
          <w:highlight w:val="none"/>
          <w:lang w:eastAsia="zh-CN"/>
        </w:rPr>
        <w:t>。</w:t>
      </w:r>
    </w:p>
    <w:p>
      <w:pPr>
        <w:pStyle w:val="4"/>
        <w:spacing w:before="132"/>
        <w:rPr>
          <w:rFonts w:hint="eastAsia"/>
          <w:color w:val="auto"/>
          <w:highlight w:val="none"/>
          <w:lang w:val="en-US" w:eastAsia="zh-CN"/>
        </w:rPr>
      </w:pPr>
      <w:bookmarkStart w:id="52" w:name="_Toc27097"/>
      <w:r>
        <w:rPr>
          <w:rFonts w:hint="eastAsia"/>
          <w:color w:val="auto"/>
          <w:highlight w:val="none"/>
          <w:lang w:val="en-US" w:eastAsia="zh-CN"/>
        </w:rPr>
        <w:t>6.4环境效益分析</w:t>
      </w:r>
      <w:bookmarkEnd w:id="52"/>
    </w:p>
    <w:p>
      <w:pPr>
        <w:pStyle w:val="2"/>
        <w:keepNext w:val="0"/>
        <w:keepLines w:val="0"/>
        <w:pageBreakBefore w:val="0"/>
        <w:widowControl/>
        <w:kinsoku/>
        <w:wordWrap/>
        <w:overflowPunct/>
        <w:topLinePunct w:val="0"/>
        <w:autoSpaceDE/>
        <w:autoSpaceDN/>
        <w:bidi w:val="0"/>
        <w:adjustRightInd/>
        <w:snapToGrid/>
        <w:textAlignment w:val="auto"/>
        <w:rPr>
          <w:rFonts w:hint="eastAsia"/>
          <w:color w:val="auto"/>
          <w:highlight w:val="none"/>
          <w:lang w:eastAsia="zh-CN"/>
        </w:rPr>
      </w:pPr>
      <w:r>
        <w:rPr>
          <w:rFonts w:hint="eastAsia"/>
          <w:color w:val="auto"/>
          <w:highlight w:val="none"/>
          <w:lang w:eastAsia="zh-CN"/>
        </w:rPr>
        <w:t>该项目将畜禽的粪便综合利用，做到了废物利用，变废为宝，从根本上降低了污染源，大大减轻了对周边地区的环境压力。既美化了养殖场的自然环境，消除了臭味，防止了蚊蝇孳生，又改善了周边地区的生态环境，有利于农业的可持续发展，促进项目地区水土资源的合理利用和生态环境的良性循环，使项目地区规划科学、布局合理，为项目地区无公害、有机农业生产和可持续发展提供了良好的物资基础。</w:t>
      </w:r>
    </w:p>
    <w:p>
      <w:pPr>
        <w:pStyle w:val="2"/>
        <w:keepNext w:val="0"/>
        <w:keepLines w:val="0"/>
        <w:pageBreakBefore w:val="0"/>
        <w:widowControl/>
        <w:kinsoku/>
        <w:wordWrap/>
        <w:overflowPunct/>
        <w:topLinePunct w:val="0"/>
        <w:autoSpaceDE/>
        <w:autoSpaceDN/>
        <w:bidi w:val="0"/>
        <w:adjustRightInd/>
        <w:snapToGrid/>
        <w:textAlignment w:val="auto"/>
        <w:rPr>
          <w:rFonts w:hint="eastAsia"/>
          <w:color w:val="auto"/>
          <w:highlight w:val="none"/>
          <w:lang w:eastAsia="zh-CN"/>
        </w:rPr>
      </w:pPr>
      <w:r>
        <w:rPr>
          <w:rFonts w:hint="eastAsia"/>
          <w:color w:val="auto"/>
          <w:highlight w:val="none"/>
          <w:lang w:eastAsia="zh-CN"/>
        </w:rPr>
        <w:t>工程环保投资包括运行期的污染防治措施的总投资，预计该项费用总投资为</w:t>
      </w:r>
      <w:r>
        <w:rPr>
          <w:rFonts w:hint="eastAsia"/>
          <w:color w:val="auto"/>
          <w:highlight w:val="none"/>
          <w:lang w:val="en-US" w:eastAsia="zh-CN"/>
        </w:rPr>
        <w:t>508</w:t>
      </w:r>
      <w:r>
        <w:rPr>
          <w:rFonts w:hint="eastAsia"/>
          <w:color w:val="auto"/>
          <w:highlight w:val="none"/>
          <w:lang w:eastAsia="zh-CN"/>
        </w:rPr>
        <w:t>万元，占总投资的比例为</w:t>
      </w:r>
      <w:r>
        <w:rPr>
          <w:rFonts w:hint="eastAsia"/>
          <w:color w:val="auto"/>
          <w:highlight w:val="none"/>
          <w:lang w:val="en-US" w:eastAsia="zh-CN"/>
        </w:rPr>
        <w:t>3.1</w:t>
      </w:r>
      <w:r>
        <w:rPr>
          <w:rFonts w:hint="eastAsia"/>
          <w:color w:val="auto"/>
          <w:highlight w:val="none"/>
          <w:lang w:eastAsia="zh-CN"/>
        </w:rPr>
        <w:t>%。通过各项污染防治措施的实施和清洁生产技术的落实，可做到养殖区废水最大程度的综合利用和固体废物的资源化利用，可取得良好的环境效益。项目环境效益分析见表6</w:t>
      </w:r>
      <w:r>
        <w:rPr>
          <w:rFonts w:hint="eastAsia"/>
          <w:color w:val="auto"/>
          <w:highlight w:val="none"/>
          <w:lang w:val="en-US" w:eastAsia="zh-CN"/>
        </w:rPr>
        <w:t>.3</w:t>
      </w:r>
      <w:r>
        <w:rPr>
          <w:rFonts w:hint="eastAsia"/>
          <w:color w:val="auto"/>
          <w:highlight w:val="none"/>
          <w:lang w:eastAsia="zh-CN"/>
        </w:rPr>
        <w:t>-3。</w:t>
      </w:r>
    </w:p>
    <w:p>
      <w:pPr>
        <w:pStyle w:val="40"/>
        <w:rPr>
          <w:rFonts w:hint="eastAsia" w:cs="Times New Roman"/>
          <w:color w:val="auto"/>
          <w:highlight w:val="none"/>
          <w:lang w:val="en-US" w:eastAsia="zh-CN"/>
        </w:rPr>
      </w:pPr>
      <w:r>
        <w:rPr>
          <w:rFonts w:hint="eastAsia" w:cs="Times New Roman"/>
          <w:color w:val="auto"/>
          <w:highlight w:val="none"/>
          <w:lang w:val="en-US" w:eastAsia="zh-CN"/>
        </w:rPr>
        <w:t>表6.3-3 项目环境效益分析表</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44"/>
        <w:gridCol w:w="2056"/>
        <w:gridCol w:w="54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13"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序号</w:t>
            </w:r>
          </w:p>
        </w:tc>
        <w:tc>
          <w:tcPr>
            <w:tcW w:w="1207"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项目</w:t>
            </w:r>
          </w:p>
        </w:tc>
        <w:tc>
          <w:tcPr>
            <w:tcW w:w="3179"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环境效益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3"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w:t>
            </w:r>
          </w:p>
        </w:tc>
        <w:tc>
          <w:tcPr>
            <w:tcW w:w="1207"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废水沼气化处理工程</w:t>
            </w:r>
          </w:p>
        </w:tc>
        <w:tc>
          <w:tcPr>
            <w:tcW w:w="3179"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厌氧无害化处理后，沼液储存池暂存，定期清理后综合利用；沼气用于食堂和无害化处理车间；沼渣脱水后作为有机肥基肥外售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3"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w:t>
            </w:r>
          </w:p>
        </w:tc>
        <w:tc>
          <w:tcPr>
            <w:tcW w:w="1207"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猪粪综合利用</w:t>
            </w:r>
          </w:p>
        </w:tc>
        <w:tc>
          <w:tcPr>
            <w:tcW w:w="3179"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制作固体有机肥基肥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3"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3</w:t>
            </w:r>
          </w:p>
        </w:tc>
        <w:tc>
          <w:tcPr>
            <w:tcW w:w="1207"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沼气回收利用</w:t>
            </w:r>
          </w:p>
        </w:tc>
        <w:tc>
          <w:tcPr>
            <w:tcW w:w="3179"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减少废气排放，实现资源的回收利用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3"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4</w:t>
            </w:r>
          </w:p>
        </w:tc>
        <w:tc>
          <w:tcPr>
            <w:tcW w:w="1207"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废气处理</w:t>
            </w:r>
          </w:p>
        </w:tc>
        <w:tc>
          <w:tcPr>
            <w:tcW w:w="3179"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恶臭废气采用相关措施处理后，实现达标排放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3"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5</w:t>
            </w:r>
          </w:p>
        </w:tc>
        <w:tc>
          <w:tcPr>
            <w:tcW w:w="1207"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噪声处理</w:t>
            </w:r>
          </w:p>
        </w:tc>
        <w:tc>
          <w:tcPr>
            <w:tcW w:w="3179"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采用设备基础减振及场房密闭隔声处理后，实现达标排放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3"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6</w:t>
            </w:r>
          </w:p>
        </w:tc>
        <w:tc>
          <w:tcPr>
            <w:tcW w:w="1207"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雨污分流及“三防”措施</w:t>
            </w:r>
          </w:p>
        </w:tc>
        <w:tc>
          <w:tcPr>
            <w:tcW w:w="3179" w:type="pct"/>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经过防渗和设置围堰防溢处置等措施后，不会对地下水、地表水及土壤造成直接污染</w:t>
            </w:r>
          </w:p>
        </w:tc>
      </w:tr>
    </w:tbl>
    <w:p>
      <w:pPr>
        <w:pStyle w:val="2"/>
        <w:keepNext w:val="0"/>
        <w:keepLines w:val="0"/>
        <w:pageBreakBefore w:val="0"/>
        <w:widowControl/>
        <w:kinsoku/>
        <w:wordWrap/>
        <w:overflowPunct/>
        <w:topLinePunct w:val="0"/>
        <w:autoSpaceDE/>
        <w:autoSpaceDN/>
        <w:bidi w:val="0"/>
        <w:adjustRightInd/>
        <w:snapToGrid/>
        <w:jc w:val="both"/>
        <w:textAlignment w:val="auto"/>
        <w:rPr>
          <w:rFonts w:hint="eastAsia"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由上表可以看出，项目的环保投入减少了废水及固废等污染物的排放，合理地调整了生产过程中的相互关系，使一个生产过程中的排泄物（废弃物）转变为另一个生产过程的输入物（原料资源），从而实现农业生产的无废弃物过程（零排放目标），即废弃物资源化过程。从环境保护和资源利用的角度出发，走规模处理和综合利用的道路，不仅能够促进畜禽养殖业的进一步发展，而且具有较好的环境效益。</w:t>
      </w:r>
    </w:p>
    <w:p>
      <w:pPr>
        <w:pStyle w:val="4"/>
        <w:spacing w:before="132"/>
        <w:rPr>
          <w:rFonts w:hint="eastAsia"/>
          <w:color w:val="auto"/>
          <w:highlight w:val="none"/>
          <w:lang w:val="en-US" w:eastAsia="zh-CN"/>
        </w:rPr>
      </w:pPr>
      <w:bookmarkStart w:id="53" w:name="_Toc10267"/>
      <w:r>
        <w:rPr>
          <w:rFonts w:hint="eastAsia"/>
          <w:color w:val="auto"/>
          <w:highlight w:val="none"/>
          <w:lang w:val="en-US" w:eastAsia="zh-CN"/>
        </w:rPr>
        <w:t>6.5社会效益分析</w:t>
      </w:r>
      <w:bookmarkEnd w:id="53"/>
    </w:p>
    <w:p>
      <w:pPr>
        <w:pStyle w:val="2"/>
        <w:keepNext w:val="0"/>
        <w:keepLines w:val="0"/>
        <w:pageBreakBefore w:val="0"/>
        <w:widowControl/>
        <w:kinsoku/>
        <w:wordWrap/>
        <w:overflowPunct/>
        <w:topLinePunct w:val="0"/>
        <w:autoSpaceDE/>
        <w:autoSpaceDN/>
        <w:bidi w:val="0"/>
        <w:adjustRightInd/>
        <w:snapToGrid/>
        <w:textAlignment w:val="auto"/>
        <w:rPr>
          <w:rFonts w:hint="eastAsia"/>
          <w:color w:val="auto"/>
          <w:highlight w:val="none"/>
          <w:lang w:eastAsia="zh-CN"/>
        </w:rPr>
      </w:pPr>
      <w:r>
        <w:rPr>
          <w:rFonts w:hint="eastAsia"/>
          <w:color w:val="auto"/>
          <w:highlight w:val="none"/>
          <w:lang w:eastAsia="zh-CN"/>
        </w:rPr>
        <w:t>本项目的社会效益主要表现在以下几个方面：</w:t>
      </w:r>
    </w:p>
    <w:p>
      <w:pPr>
        <w:keepNext w:val="0"/>
        <w:keepLines w:val="0"/>
        <w:pageBreakBefore w:val="0"/>
        <w:widowControl/>
        <w:kinsoku/>
        <w:wordWrap/>
        <w:overflowPunct/>
        <w:topLinePunct w:val="0"/>
        <w:autoSpaceDE/>
        <w:autoSpaceDN/>
        <w:bidi w:val="0"/>
        <w:adjustRightInd/>
        <w:snapToGrid/>
        <w:ind w:firstLine="480"/>
        <w:textAlignment w:val="auto"/>
        <w:rPr>
          <w:rFonts w:hint="eastAsia" w:ascii="Times New Roman" w:hAnsi="Times New Roman" w:eastAsia="宋体"/>
          <w:color w:val="auto"/>
          <w:szCs w:val="24"/>
          <w:highlight w:val="none"/>
        </w:rPr>
      </w:pPr>
      <w:r>
        <w:rPr>
          <w:rFonts w:hint="eastAsia" w:ascii="Times New Roman" w:hAnsi="Times New Roman" w:eastAsia="宋体"/>
          <w:color w:val="auto"/>
          <w:szCs w:val="24"/>
          <w:highlight w:val="none"/>
        </w:rPr>
        <w:t>（1）该项目的实施促进了养殖场的良性发展，增强了建设单位的市场竞争力。本项目利用养殖场尿液生成沼气用于收集调节池加热，降低能源费用，实现以沼气生产区为核心的物流循环和能源自供系统。养殖场的废物得到资源化的利用，促进了项目单位循环经济和生态经济的良性发展。同时，项目单位具有一定的母猪销售市场，养殖场的污染治理，实现了清洁养殖，为母猪的良性生长创造了较好卫生环境，增强了市场竞争力。</w:t>
      </w:r>
    </w:p>
    <w:p>
      <w:pPr>
        <w:keepNext w:val="0"/>
        <w:keepLines w:val="0"/>
        <w:pageBreakBefore w:val="0"/>
        <w:widowControl/>
        <w:kinsoku/>
        <w:wordWrap/>
        <w:overflowPunct/>
        <w:topLinePunct w:val="0"/>
        <w:autoSpaceDE/>
        <w:autoSpaceDN/>
        <w:bidi w:val="0"/>
        <w:adjustRightInd/>
        <w:snapToGrid/>
        <w:ind w:firstLine="480"/>
        <w:textAlignment w:val="auto"/>
        <w:rPr>
          <w:rFonts w:hint="eastAsia" w:ascii="Times New Roman" w:hAnsi="Times New Roman" w:eastAsia="宋体"/>
          <w:color w:val="auto"/>
          <w:szCs w:val="24"/>
          <w:highlight w:val="none"/>
        </w:rPr>
      </w:pPr>
      <w:r>
        <w:rPr>
          <w:rFonts w:hint="eastAsia" w:ascii="Times New Roman" w:hAnsi="Times New Roman" w:eastAsia="宋体"/>
          <w:color w:val="auto"/>
          <w:szCs w:val="24"/>
          <w:highlight w:val="none"/>
        </w:rPr>
        <w:t>（2）项目的清洁生产措施，很大程度上节约了资源和能源，起到了“节能、降耗、减污、增效”的作用，符合国家产业政策和环保治理要求。</w:t>
      </w:r>
    </w:p>
    <w:p>
      <w:pPr>
        <w:keepNext w:val="0"/>
        <w:keepLines w:val="0"/>
        <w:pageBreakBefore w:val="0"/>
        <w:widowControl/>
        <w:kinsoku/>
        <w:wordWrap/>
        <w:overflowPunct/>
        <w:topLinePunct w:val="0"/>
        <w:autoSpaceDE/>
        <w:autoSpaceDN/>
        <w:bidi w:val="0"/>
        <w:adjustRightInd/>
        <w:snapToGrid/>
        <w:ind w:firstLine="480"/>
        <w:textAlignment w:val="auto"/>
        <w:rPr>
          <w:rFonts w:hint="eastAsia" w:ascii="Times New Roman" w:hAnsi="Times New Roman" w:eastAsia="宋体"/>
          <w:color w:val="auto"/>
          <w:szCs w:val="24"/>
          <w:highlight w:val="none"/>
        </w:rPr>
      </w:pPr>
      <w:r>
        <w:rPr>
          <w:rFonts w:hint="eastAsia" w:ascii="Times New Roman" w:hAnsi="Times New Roman" w:eastAsia="宋体"/>
          <w:color w:val="auto"/>
          <w:szCs w:val="24"/>
          <w:highlight w:val="none"/>
        </w:rPr>
        <w:t>（3）该项目未来的标准化、规模化建设将形成农村能源产业，由此所需的技术、管理队伍可就地吸纳农村剩余劳动力，有利于维护农村社会稳定，对提高人民生活水平起到积极作用。</w:t>
      </w:r>
    </w:p>
    <w:p>
      <w:pPr>
        <w:keepNext w:val="0"/>
        <w:keepLines w:val="0"/>
        <w:pageBreakBefore w:val="0"/>
        <w:widowControl/>
        <w:kinsoku/>
        <w:wordWrap/>
        <w:overflowPunct/>
        <w:topLinePunct w:val="0"/>
        <w:autoSpaceDE/>
        <w:autoSpaceDN/>
        <w:bidi w:val="0"/>
        <w:adjustRightInd/>
        <w:snapToGrid/>
        <w:ind w:firstLine="480"/>
        <w:textAlignment w:val="auto"/>
        <w:rPr>
          <w:rFonts w:hint="eastAsia" w:ascii="Times New Roman" w:hAnsi="Times New Roman" w:eastAsia="宋体"/>
          <w:color w:val="auto"/>
          <w:szCs w:val="24"/>
          <w:highlight w:val="none"/>
        </w:rPr>
      </w:pPr>
      <w:r>
        <w:rPr>
          <w:rFonts w:hint="eastAsia" w:ascii="Times New Roman" w:hAnsi="Times New Roman" w:eastAsia="宋体"/>
          <w:color w:val="auto"/>
          <w:szCs w:val="24"/>
          <w:highlight w:val="none"/>
        </w:rPr>
        <w:t>（4）项目的建设可拉动周边畜禽养殖业、肉制品加工业、饲料加工业等行业的快速发展，同时为周围种植业提供了大量优质有机肥，降低了化肥、农药在农产品生产中的使用量，为无公害农产品生产提供了有利条件，有利于促进周围农村产业结构调整。</w:t>
      </w:r>
    </w:p>
    <w:p>
      <w:pPr>
        <w:keepNext w:val="0"/>
        <w:keepLines w:val="0"/>
        <w:pageBreakBefore w:val="0"/>
        <w:widowControl/>
        <w:kinsoku/>
        <w:wordWrap/>
        <w:overflowPunct/>
        <w:topLinePunct w:val="0"/>
        <w:autoSpaceDE/>
        <w:autoSpaceDN/>
        <w:bidi w:val="0"/>
        <w:adjustRightInd/>
        <w:snapToGrid/>
        <w:ind w:firstLine="480"/>
        <w:textAlignment w:val="auto"/>
        <w:rPr>
          <w:rFonts w:hint="eastAsia" w:ascii="Times New Roman" w:hAnsi="Times New Roman" w:eastAsia="宋体"/>
          <w:color w:val="auto"/>
          <w:szCs w:val="24"/>
          <w:highlight w:val="none"/>
        </w:rPr>
      </w:pPr>
      <w:r>
        <w:rPr>
          <w:rFonts w:hint="eastAsia" w:ascii="Times New Roman" w:hAnsi="Times New Roman" w:eastAsia="宋体"/>
          <w:color w:val="auto"/>
          <w:szCs w:val="24"/>
          <w:highlight w:val="none"/>
        </w:rPr>
        <w:t>（5）项目投产后，可增加当地财政收入，提高当地社会经济发展水平，对区域社会稳定发挥了较强作用。</w:t>
      </w:r>
    </w:p>
    <w:p>
      <w:pPr>
        <w:pStyle w:val="4"/>
        <w:spacing w:before="132"/>
        <w:rPr>
          <w:rFonts w:hint="eastAsia"/>
          <w:color w:val="auto"/>
          <w:highlight w:val="none"/>
          <w:lang w:val="en-US" w:eastAsia="zh-CN"/>
        </w:rPr>
      </w:pPr>
      <w:bookmarkStart w:id="54" w:name="_Toc27534"/>
      <w:r>
        <w:rPr>
          <w:rFonts w:hint="eastAsia"/>
          <w:color w:val="auto"/>
          <w:highlight w:val="none"/>
          <w:lang w:val="en-US" w:eastAsia="zh-CN"/>
        </w:rPr>
        <w:t>6.6生态效益分析</w:t>
      </w:r>
      <w:bookmarkEnd w:id="54"/>
    </w:p>
    <w:p>
      <w:pPr>
        <w:pStyle w:val="2"/>
        <w:keepNext w:val="0"/>
        <w:keepLines w:val="0"/>
        <w:pageBreakBefore w:val="0"/>
        <w:widowControl/>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项目完成后，养殖场将建成以种植业为基础，养殖业为主体，沼气为纽带，促进物质能量良性循环的生态养殖场，明显改善区域内农业生态环境，有利农业可持续发展。</w:t>
      </w:r>
    </w:p>
    <w:p>
      <w:pPr>
        <w:pStyle w:val="2"/>
        <w:keepNext w:val="0"/>
        <w:keepLines w:val="0"/>
        <w:pageBreakBefore w:val="0"/>
        <w:widowControl/>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猪粪、沼渣生产有机农肥，沼液作为农肥综合利用，沼气是清洁能源，替代燃煤作燃料，可减少大气污染物排放。</w:t>
      </w:r>
    </w:p>
    <w:p>
      <w:pPr>
        <w:pStyle w:val="2"/>
        <w:keepNext w:val="0"/>
        <w:keepLines w:val="0"/>
        <w:pageBreakBefore w:val="0"/>
        <w:widowControl/>
        <w:kinsoku/>
        <w:wordWrap/>
        <w:overflowPunct/>
        <w:topLinePunct w:val="0"/>
        <w:autoSpaceDE/>
        <w:autoSpaceDN/>
        <w:bidi w:val="0"/>
        <w:adjustRightInd/>
        <w:snapToGrid/>
        <w:textAlignment w:val="auto"/>
        <w:rPr>
          <w:rFonts w:hint="default" w:eastAsia="宋体"/>
          <w:color w:val="auto"/>
          <w:highlight w:val="none"/>
          <w:lang w:val="en-US" w:eastAsia="zh-CN"/>
        </w:rPr>
      </w:pPr>
      <w:r>
        <w:rPr>
          <w:rFonts w:hint="eastAsia"/>
          <w:color w:val="auto"/>
          <w:highlight w:val="none"/>
        </w:rPr>
        <w:t>长期大量使用化肥，不仅导致土壤板结，土壤肥力下降，而且对环境和农作物产生污染。项目投产后，提供优质有机肥料，可减少化肥、农药用量，改善土壤理化性状。同时利用沼液节约水资源的利用，沼液本身具有防治病虫害的作用，能提高作物品质，有利于农作物增产、增收，促进农作物增产、增收，有利生产无公害农产品，保障食品安全</w:t>
      </w:r>
      <w:r>
        <w:rPr>
          <w:rFonts w:hint="eastAsia"/>
          <w:color w:val="auto"/>
          <w:highlight w:val="none"/>
          <w:lang w:eastAsia="zh-CN"/>
        </w:rPr>
        <w:t>。</w:t>
      </w:r>
      <w:r>
        <w:rPr>
          <w:rFonts w:hint="eastAsia"/>
          <w:color w:val="auto"/>
          <w:highlight w:val="none"/>
          <w:lang w:val="en-US" w:eastAsia="zh-CN"/>
        </w:rPr>
        <w:t>+</w:t>
      </w:r>
    </w:p>
    <w:p>
      <w:pPr>
        <w:pStyle w:val="4"/>
        <w:spacing w:before="132"/>
        <w:rPr>
          <w:color w:val="auto"/>
          <w:highlight w:val="none"/>
        </w:rPr>
      </w:pPr>
      <w:bookmarkStart w:id="55" w:name="_Toc31102"/>
      <w:r>
        <w:rPr>
          <w:rFonts w:hint="eastAsia"/>
          <w:color w:val="auto"/>
          <w:highlight w:val="none"/>
          <w:lang w:val="en-US" w:eastAsia="zh-CN"/>
        </w:rPr>
        <w:t>6.7</w:t>
      </w:r>
      <w:r>
        <w:rPr>
          <w:color w:val="auto"/>
          <w:highlight w:val="none"/>
        </w:rPr>
        <w:t>环境经济损益分析结论</w:t>
      </w:r>
      <w:bookmarkEnd w:id="55"/>
    </w:p>
    <w:p>
      <w:pPr>
        <w:ind w:firstLine="480"/>
        <w:rPr>
          <w:color w:val="auto"/>
          <w:highlight w:val="none"/>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r>
        <w:rPr>
          <w:color w:val="auto"/>
          <w:highlight w:val="none"/>
        </w:rPr>
        <w:t>结合本项目的社会经济效益、环保投入和环境效益进行综合分析得出，项目在创造良好经济效益和社会效益的同时，经采取污染防治措施后，对环境的影响较小，能够将工程带来的环境损失降到可接受程度。因此，本项目可以实现经济效益与环保效益的相统一。</w:t>
      </w:r>
    </w:p>
    <w:p>
      <w:pPr>
        <w:pStyle w:val="3"/>
        <w:spacing w:before="166" w:after="166"/>
        <w:rPr>
          <w:color w:val="auto"/>
          <w:highlight w:val="none"/>
        </w:rPr>
      </w:pPr>
      <w:bookmarkStart w:id="56" w:name="_Toc3588"/>
      <w:r>
        <w:rPr>
          <w:rFonts w:hint="eastAsia"/>
          <w:color w:val="auto"/>
          <w:highlight w:val="none"/>
          <w:lang w:val="en-US" w:eastAsia="zh-CN"/>
        </w:rPr>
        <w:t>7</w:t>
      </w:r>
      <w:r>
        <w:rPr>
          <w:color w:val="auto"/>
          <w:highlight w:val="none"/>
        </w:rPr>
        <w:t>环境管理与监测计划</w:t>
      </w:r>
      <w:bookmarkEnd w:id="56"/>
    </w:p>
    <w:p>
      <w:pPr>
        <w:pStyle w:val="4"/>
        <w:spacing w:before="132"/>
        <w:rPr>
          <w:rFonts w:cs="Times New Roman"/>
          <w:color w:val="auto"/>
          <w:highlight w:val="none"/>
        </w:rPr>
      </w:pPr>
      <w:bookmarkStart w:id="57" w:name="_Toc32731"/>
      <w:r>
        <w:rPr>
          <w:rFonts w:hint="eastAsia" w:cs="Times New Roman"/>
          <w:color w:val="auto"/>
          <w:highlight w:val="none"/>
          <w:lang w:val="en-US" w:eastAsia="zh-CN"/>
        </w:rPr>
        <w:t>7</w:t>
      </w:r>
      <w:r>
        <w:rPr>
          <w:rFonts w:cs="Times New Roman"/>
          <w:color w:val="auto"/>
          <w:highlight w:val="none"/>
        </w:rPr>
        <w:t>.1环境管理</w:t>
      </w:r>
      <w:bookmarkEnd w:id="57"/>
    </w:p>
    <w:p>
      <w:pPr>
        <w:ind w:firstLine="480"/>
        <w:rPr>
          <w:color w:val="auto"/>
          <w:highlight w:val="none"/>
        </w:rPr>
      </w:pPr>
      <w:r>
        <w:rPr>
          <w:rFonts w:hAnsi="宋体"/>
          <w:color w:val="auto"/>
          <w:highlight w:val="none"/>
        </w:rPr>
        <w:t>对于项目来说，环境管理的基本任务是：控制污染物排放量，避免污染物对环境质量的损害。</w:t>
      </w:r>
    </w:p>
    <w:p>
      <w:pPr>
        <w:ind w:firstLine="480"/>
        <w:rPr>
          <w:color w:val="auto"/>
          <w:highlight w:val="none"/>
        </w:rPr>
      </w:pPr>
      <w:r>
        <w:rPr>
          <w:rFonts w:hAnsi="宋体"/>
          <w:color w:val="auto"/>
          <w:highlight w:val="none"/>
        </w:rPr>
        <w:t>为了控制污染物的排放，就需要加强计划、生产、技术、质量、设备、劳动、财务等方面的管理，把环境管理渗透到整个企业管理中</w:t>
      </w:r>
      <w:r>
        <w:rPr>
          <w:rFonts w:hint="eastAsia" w:hAnsi="宋体"/>
          <w:color w:val="auto"/>
          <w:highlight w:val="none"/>
          <w:lang w:eastAsia="zh-CN"/>
        </w:rPr>
        <w:t>，</w:t>
      </w:r>
      <w:r>
        <w:rPr>
          <w:rFonts w:hAnsi="宋体"/>
          <w:color w:val="auto"/>
          <w:highlight w:val="none"/>
        </w:rPr>
        <w:t>将环境管理溶合在一起，以减少从生产过程中各环节排出的污染物。</w:t>
      </w:r>
    </w:p>
    <w:p>
      <w:pPr>
        <w:ind w:firstLine="480"/>
        <w:rPr>
          <w:rFonts w:hAnsi="宋体"/>
          <w:color w:val="auto"/>
          <w:highlight w:val="none"/>
        </w:rPr>
      </w:pPr>
      <w:r>
        <w:rPr>
          <w:rFonts w:hAnsi="宋体"/>
          <w:color w:val="auto"/>
          <w:highlight w:val="none"/>
        </w:rPr>
        <w:t>项目应该将环境管理作为工业企业管理的重要组成部分，建立环境污染管理系统、制度、环境规划、协调发展生产保护环境的关系，使生产管理系统、制度、环境污染规划协调生产与保护环境的关系，使生产目标与环境目标统一起来，经济效益与环境效益统一起来</w:t>
      </w:r>
      <w:r>
        <w:rPr>
          <w:rFonts w:hint="eastAsia" w:hAnsi="宋体"/>
          <w:color w:val="auto"/>
          <w:highlight w:val="none"/>
        </w:rPr>
        <w:t>。</w:t>
      </w:r>
    </w:p>
    <w:p>
      <w:pPr>
        <w:pStyle w:val="5"/>
        <w:spacing w:before="66"/>
        <w:ind w:firstLine="482"/>
        <w:rPr>
          <w:color w:val="auto"/>
          <w:highlight w:val="none"/>
        </w:rPr>
      </w:pPr>
      <w:r>
        <w:rPr>
          <w:rFonts w:hint="eastAsia"/>
          <w:color w:val="auto"/>
          <w:highlight w:val="none"/>
          <w:lang w:val="en-US" w:eastAsia="zh-CN"/>
        </w:rPr>
        <w:t>7</w:t>
      </w:r>
      <w:r>
        <w:rPr>
          <w:rFonts w:hint="eastAsia"/>
          <w:color w:val="auto"/>
          <w:highlight w:val="none"/>
        </w:rPr>
        <w:t>.1.1环境管理制度</w:t>
      </w:r>
    </w:p>
    <w:p>
      <w:pPr>
        <w:ind w:firstLine="480"/>
        <w:rPr>
          <w:color w:val="auto"/>
          <w:highlight w:val="none"/>
        </w:rPr>
      </w:pPr>
      <w:r>
        <w:rPr>
          <w:rStyle w:val="122"/>
          <w:rFonts w:hint="eastAsia"/>
          <w:b w:val="0"/>
          <w:color w:val="auto"/>
          <w:highlight w:val="none"/>
        </w:rPr>
        <w:t>有效的环境管理工作，是贯彻评价提出的清洁生产措施，实行“生产全过程污染控制”的重要手段，是最大限度减小工程运行后对环境带来的不利影响的有效措施。只有加强环境管理工作，将环境管理和环境监控纳入整个管理体系中，掌握工程运行过程对环境的影响，才能保证企业以最小的代价取得最大的环境和经济效益，使企业沿着高效、增产、减污的可持续发展道路发展，实现生产与环境保护协调发展</w:t>
      </w:r>
      <w:r>
        <w:rPr>
          <w:rFonts w:hint="eastAsia"/>
          <w:color w:val="auto"/>
          <w:highlight w:val="none"/>
        </w:rPr>
        <w:t>。</w:t>
      </w:r>
    </w:p>
    <w:p>
      <w:pPr>
        <w:pStyle w:val="5"/>
        <w:spacing w:before="66"/>
        <w:ind w:firstLine="482"/>
        <w:rPr>
          <w:color w:val="auto"/>
          <w:highlight w:val="none"/>
        </w:rPr>
      </w:pPr>
      <w:r>
        <w:rPr>
          <w:rFonts w:hint="eastAsia"/>
          <w:color w:val="auto"/>
          <w:highlight w:val="none"/>
          <w:lang w:val="en-US" w:eastAsia="zh-CN"/>
        </w:rPr>
        <w:t>7</w:t>
      </w:r>
      <w:r>
        <w:rPr>
          <w:rFonts w:hint="eastAsia"/>
          <w:color w:val="auto"/>
          <w:highlight w:val="none"/>
        </w:rPr>
        <w:t>.1.2</w:t>
      </w:r>
      <w:r>
        <w:rPr>
          <w:color w:val="auto"/>
          <w:highlight w:val="none"/>
        </w:rPr>
        <w:t>环境管理机构设置</w:t>
      </w:r>
    </w:p>
    <w:p>
      <w:pPr>
        <w:pStyle w:val="105"/>
        <w:ind w:firstLine="480"/>
        <w:rPr>
          <w:color w:val="auto"/>
          <w:highlight w:val="none"/>
        </w:rPr>
      </w:pPr>
      <w:r>
        <w:rPr>
          <w:color w:val="auto"/>
          <w:highlight w:val="none"/>
        </w:rPr>
        <w:t>根据《建设项目环境保护设计规定》，新建、扩建企业应设置环境保护管理机构，负责组织、落实、监督本企业环保工作，因此，本工程需建成相应的管理机构，以落实和实施环境管理制度。</w:t>
      </w:r>
    </w:p>
    <w:p>
      <w:pPr>
        <w:pStyle w:val="105"/>
        <w:ind w:firstLine="480"/>
        <w:rPr>
          <w:color w:val="auto"/>
          <w:highlight w:val="none"/>
        </w:rPr>
      </w:pPr>
      <w:r>
        <w:rPr>
          <w:color w:val="auto"/>
          <w:highlight w:val="none"/>
        </w:rPr>
        <w:t>环境管理体系是企业生产管理体系的重要内容之一，其目的在于发展生产的同时节约能源、降低原材料的消耗，控制污染物总量排放，减少对环境的影响，有利于清洁生产促进法的实施。环境管理的实施能够帮助企业及早发现问题，降低生产成本，为企业创造更好的经济效益和环境效益，树立良好的社会形象。结合本工程实际，建议企业设置专职负责环境管理工作的部门，直接归属厂长领导，统一进行环境管理和安全生产管理。</w:t>
      </w:r>
    </w:p>
    <w:p>
      <w:pPr>
        <w:pStyle w:val="105"/>
        <w:ind w:firstLine="480"/>
        <w:rPr>
          <w:color w:val="auto"/>
          <w:highlight w:val="none"/>
        </w:rPr>
      </w:pPr>
      <w:r>
        <w:rPr>
          <w:color w:val="auto"/>
          <w:highlight w:val="none"/>
        </w:rPr>
        <w:t>环保管理人员应具备生产管理经验和环保基础知识和清洁生产知识，熟悉企业生产特点，由责任心、组织能力强的人员担任；同时培训若干有经验、责任心强的技术人员担任兼职环保管理人员，以随时掌握企业生产状况和各项环保设施的运行情况，同时也有利于环保措施的落实。</w:t>
      </w:r>
    </w:p>
    <w:p>
      <w:pPr>
        <w:pStyle w:val="5"/>
        <w:spacing w:before="66"/>
        <w:ind w:firstLine="482"/>
        <w:rPr>
          <w:color w:val="auto"/>
          <w:highlight w:val="none"/>
        </w:rPr>
      </w:pPr>
      <w:r>
        <w:rPr>
          <w:rFonts w:hint="eastAsia"/>
          <w:color w:val="auto"/>
          <w:highlight w:val="none"/>
          <w:lang w:val="en-US" w:eastAsia="zh-CN"/>
        </w:rPr>
        <w:t>7</w:t>
      </w:r>
      <w:r>
        <w:rPr>
          <w:rFonts w:hint="eastAsia"/>
          <w:color w:val="auto"/>
          <w:highlight w:val="none"/>
        </w:rPr>
        <w:t xml:space="preserve">.1.3环境管理机构职责  </w:t>
      </w:r>
    </w:p>
    <w:p>
      <w:pPr>
        <w:pStyle w:val="105"/>
        <w:ind w:firstLine="480" w:firstLineChars="0"/>
        <w:rPr>
          <w:color w:val="auto"/>
          <w:highlight w:val="none"/>
        </w:rPr>
      </w:pPr>
      <w:r>
        <w:rPr>
          <w:color w:val="auto"/>
          <w:highlight w:val="none"/>
        </w:rPr>
        <w:t>（1）督促、检查本企业执行国家有关环境保护方针、政策、法规及企业环境保护制度，贯彻执行</w:t>
      </w:r>
      <w:r>
        <w:rPr>
          <w:rFonts w:hint="eastAsia"/>
          <w:color w:val="auto"/>
          <w:highlight w:val="none"/>
        </w:rPr>
        <w:t>“</w:t>
      </w:r>
      <w:r>
        <w:rPr>
          <w:color w:val="auto"/>
          <w:highlight w:val="none"/>
        </w:rPr>
        <w:t>三同时</w:t>
      </w:r>
      <w:r>
        <w:rPr>
          <w:rFonts w:hint="eastAsia"/>
          <w:color w:val="auto"/>
          <w:highlight w:val="none"/>
        </w:rPr>
        <w:t>”</w:t>
      </w:r>
      <w:r>
        <w:rPr>
          <w:color w:val="auto"/>
          <w:highlight w:val="none"/>
        </w:rPr>
        <w:t>的规定，并参加有关方案的审定及竣工验收工作；</w:t>
      </w:r>
    </w:p>
    <w:p>
      <w:pPr>
        <w:pStyle w:val="105"/>
        <w:ind w:firstLine="480" w:firstLineChars="0"/>
        <w:rPr>
          <w:color w:val="auto"/>
          <w:highlight w:val="none"/>
        </w:rPr>
      </w:pPr>
      <w:r>
        <w:rPr>
          <w:color w:val="auto"/>
          <w:highlight w:val="none"/>
        </w:rPr>
        <w:t>（2）根据项目生产特点和产污情况，制定全厂环境管理办法，按照国家和当地的有关规定，制定全厂污染综合防治的经济技术原则，制定切实可行的环保管理制度和条例；负责本企业污染事故的调查和处理；负责组织企业污染源调查，并按月或季度编写企业环境质量报告；把污染源监督和</w:t>
      </w:r>
      <w:r>
        <w:rPr>
          <w:rFonts w:hint="eastAsia"/>
          <w:color w:val="auto"/>
          <w:highlight w:val="none"/>
        </w:rPr>
        <w:t>“</w:t>
      </w:r>
      <w:r>
        <w:rPr>
          <w:color w:val="auto"/>
          <w:highlight w:val="none"/>
        </w:rPr>
        <w:t>三废</w:t>
      </w:r>
      <w:r>
        <w:rPr>
          <w:rFonts w:hint="eastAsia"/>
          <w:color w:val="auto"/>
          <w:highlight w:val="none"/>
        </w:rPr>
        <w:t>”</w:t>
      </w:r>
      <w:r>
        <w:rPr>
          <w:color w:val="auto"/>
          <w:highlight w:val="none"/>
        </w:rPr>
        <w:t>排放纳入日常管理工作；</w:t>
      </w:r>
    </w:p>
    <w:p>
      <w:pPr>
        <w:pStyle w:val="105"/>
        <w:ind w:firstLine="480"/>
        <w:rPr>
          <w:color w:val="auto"/>
          <w:highlight w:val="none"/>
        </w:rPr>
      </w:pPr>
      <w:r>
        <w:rPr>
          <w:color w:val="auto"/>
          <w:highlight w:val="none"/>
        </w:rPr>
        <w:t>（3）按照责、权、利实行奖罚制度，对违反制度的行为根据情节给予处罚，对有功人员给予奖励；配合上级环保主管部门，贯彻落实有关环保法规和规定；收集、整理和推广环保技术和经验，组织对本企业环保人员的培训和环保技术情报的交流，推广国内、外先进的污染防治技术和经验，对运行中出现的环保问题及时解决；做好环境统计工作，建立环保档案；与有关组织合作，积极开展清洁生产活动，广泛开展环保宣传教育活动，普及环境科学知识</w:t>
      </w:r>
      <w:r>
        <w:rPr>
          <w:rFonts w:hint="eastAsia"/>
          <w:color w:val="auto"/>
          <w:highlight w:val="none"/>
        </w:rPr>
        <w:t>。</w:t>
      </w:r>
    </w:p>
    <w:p>
      <w:pPr>
        <w:pStyle w:val="4"/>
        <w:spacing w:before="132"/>
        <w:rPr>
          <w:rFonts w:cs="Times New Roman"/>
          <w:color w:val="auto"/>
          <w:highlight w:val="none"/>
        </w:rPr>
      </w:pPr>
      <w:bookmarkStart w:id="58" w:name="_Toc7375"/>
      <w:r>
        <w:rPr>
          <w:rFonts w:hint="eastAsia" w:cs="Times New Roman"/>
          <w:color w:val="auto"/>
          <w:highlight w:val="none"/>
          <w:lang w:val="en-US" w:eastAsia="zh-CN"/>
        </w:rPr>
        <w:t>7</w:t>
      </w:r>
      <w:r>
        <w:rPr>
          <w:rFonts w:hint="eastAsia" w:cs="Times New Roman"/>
          <w:color w:val="auto"/>
          <w:highlight w:val="none"/>
        </w:rPr>
        <w:t>.2环境监测计划</w:t>
      </w:r>
      <w:bookmarkEnd w:id="58"/>
    </w:p>
    <w:p>
      <w:pPr>
        <w:pStyle w:val="105"/>
        <w:ind w:firstLine="480"/>
        <w:rPr>
          <w:bCs/>
          <w:color w:val="auto"/>
          <w:highlight w:val="none"/>
        </w:rPr>
      </w:pPr>
      <w:r>
        <w:rPr>
          <w:rStyle w:val="132"/>
          <w:color w:val="auto"/>
          <w:highlight w:val="none"/>
        </w:rPr>
        <w:t>环境监测是搞好环境管理工作的基础，为确保达到预期的环境保护目标，应建立相应的环境监测制度，实行环境监测与生产结合。为了保证项目运行过程各种排污行为能够实现达标排放，不对环境造成太大的不利影响，须制定</w:t>
      </w:r>
      <w:r>
        <w:rPr>
          <w:color w:val="auto"/>
          <w:highlight w:val="none"/>
        </w:rPr>
        <w:t>全面的污染源监测和环境质量监控计划，对项目处理设施和环境敏感点进行监测，确保环境质量不因工程建设而恶化。根据项目特点，本工程运行期环境监测计划见表</w:t>
      </w:r>
      <w:r>
        <w:rPr>
          <w:rFonts w:hint="eastAsia"/>
          <w:color w:val="auto"/>
          <w:highlight w:val="none"/>
          <w:lang w:val="en-US" w:eastAsia="zh-CN"/>
        </w:rPr>
        <w:t>7</w:t>
      </w:r>
      <w:r>
        <w:rPr>
          <w:rFonts w:hint="eastAsia"/>
          <w:color w:val="auto"/>
          <w:highlight w:val="none"/>
        </w:rPr>
        <w:t>.2</w:t>
      </w:r>
      <w:r>
        <w:rPr>
          <w:color w:val="auto"/>
          <w:highlight w:val="none"/>
        </w:rPr>
        <w:t>-1</w:t>
      </w:r>
      <w:r>
        <w:rPr>
          <w:rFonts w:hint="eastAsia"/>
          <w:color w:val="auto"/>
          <w:highlight w:val="none"/>
          <w:lang w:eastAsia="zh-CN"/>
        </w:rPr>
        <w:t>至</w:t>
      </w:r>
      <w:r>
        <w:rPr>
          <w:rFonts w:hint="eastAsia"/>
          <w:color w:val="auto"/>
          <w:highlight w:val="none"/>
          <w:lang w:val="en-US" w:eastAsia="zh-CN"/>
        </w:rPr>
        <w:t>-表7.2-4</w:t>
      </w:r>
      <w:r>
        <w:rPr>
          <w:color w:val="auto"/>
          <w:highlight w:val="none"/>
        </w:rPr>
        <w:t>。</w:t>
      </w:r>
    </w:p>
    <w:p>
      <w:pPr>
        <w:pStyle w:val="40"/>
        <w:rPr>
          <w:rFonts w:cs="Times New Roman"/>
          <w:color w:val="auto"/>
          <w:highlight w:val="none"/>
        </w:rPr>
      </w:pPr>
      <w:r>
        <w:rPr>
          <w:rFonts w:hint="eastAsia" w:cs="Times New Roman"/>
          <w:color w:val="auto"/>
          <w:highlight w:val="none"/>
          <w:lang w:val="en-US" w:eastAsia="zh-CN"/>
        </w:rPr>
        <w:t>表7.2-1 项目废气监测方案</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77"/>
        <w:gridCol w:w="1516"/>
        <w:gridCol w:w="1363"/>
        <w:gridCol w:w="44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1" w:type="pct"/>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监测点位</w:t>
            </w:r>
          </w:p>
        </w:tc>
        <w:tc>
          <w:tcPr>
            <w:tcW w:w="890" w:type="pct"/>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监测指标</w:t>
            </w:r>
          </w:p>
        </w:tc>
        <w:tc>
          <w:tcPr>
            <w:tcW w:w="800" w:type="pct"/>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监测频次</w:t>
            </w:r>
          </w:p>
        </w:tc>
        <w:tc>
          <w:tcPr>
            <w:tcW w:w="2618" w:type="pct"/>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执行排放标准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91" w:type="pct"/>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lang w:val="en-US" w:eastAsia="zh-CN"/>
              </w:rPr>
              <w:t>沼气燃烧</w:t>
            </w:r>
          </w:p>
        </w:tc>
        <w:tc>
          <w:tcPr>
            <w:tcW w:w="890" w:type="pct"/>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rPr>
              <w:t>SO</w:t>
            </w:r>
            <w:r>
              <w:rPr>
                <w:rFonts w:hint="eastAsia" w:ascii="Times New Roman" w:hAnsi="Times New Roman"/>
                <w:color w:val="auto"/>
                <w:sz w:val="21"/>
                <w:highlight w:val="none"/>
                <w:vertAlign w:val="subscript"/>
              </w:rPr>
              <w:t>2</w:t>
            </w:r>
            <w:r>
              <w:rPr>
                <w:rFonts w:hint="eastAsia" w:ascii="Times New Roman" w:hAnsi="Times New Roman"/>
                <w:color w:val="auto"/>
                <w:sz w:val="21"/>
                <w:highlight w:val="none"/>
                <w:lang w:eastAsia="zh-CN"/>
              </w:rPr>
              <w:t>、</w:t>
            </w:r>
            <w:r>
              <w:rPr>
                <w:rFonts w:hint="eastAsia" w:ascii="Times New Roman" w:hAnsi="Times New Roman"/>
                <w:color w:val="auto"/>
                <w:sz w:val="21"/>
                <w:highlight w:val="none"/>
              </w:rPr>
              <w:t>NO</w:t>
            </w:r>
            <w:r>
              <w:rPr>
                <w:rFonts w:hint="eastAsia" w:ascii="Times New Roman" w:hAnsi="Times New Roman"/>
                <w:color w:val="auto"/>
                <w:sz w:val="21"/>
                <w:highlight w:val="none"/>
                <w:vertAlign w:val="subscript"/>
              </w:rPr>
              <w:t>X</w:t>
            </w:r>
          </w:p>
          <w:p>
            <w:pPr>
              <w:pStyle w:val="125"/>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lang w:eastAsia="zh-CN"/>
              </w:rPr>
              <w:t>、</w:t>
            </w:r>
            <w:r>
              <w:rPr>
                <w:rFonts w:hint="eastAsia" w:ascii="Times New Roman" w:hAnsi="Times New Roman"/>
                <w:color w:val="auto"/>
                <w:sz w:val="21"/>
                <w:highlight w:val="none"/>
              </w:rPr>
              <w:t>颗粒物</w:t>
            </w:r>
          </w:p>
        </w:tc>
        <w:tc>
          <w:tcPr>
            <w:tcW w:w="800" w:type="pct"/>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rPr>
              <w:t>1次/年</w:t>
            </w:r>
          </w:p>
        </w:tc>
        <w:tc>
          <w:tcPr>
            <w:tcW w:w="2618" w:type="pct"/>
            <w:tcBorders>
              <w:tl2br w:val="nil"/>
              <w:tr2bl w:val="nil"/>
            </w:tcBorders>
            <w:vAlign w:val="center"/>
          </w:tcPr>
          <w:p>
            <w:pPr>
              <w:pStyle w:val="125"/>
              <w:spacing w:before="49" w:after="49" w:line="240" w:lineRule="auto"/>
              <w:ind w:firstLine="0" w:firstLineChars="0"/>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rPr>
              <w:t>执行《大气污染物综合排放标准》（GB16297-1996）表2中二级标准要求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177" w:type="dxa"/>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lang w:val="en-US" w:eastAsia="zh-CN"/>
              </w:rPr>
            </w:pPr>
            <w:r>
              <w:rPr>
                <w:rFonts w:hint="eastAsia" w:ascii="Times New Roman" w:hAnsi="Times New Roman"/>
                <w:color w:val="auto"/>
                <w:sz w:val="21"/>
                <w:highlight w:val="none"/>
              </w:rPr>
              <w:t>厂区周边</w:t>
            </w:r>
          </w:p>
        </w:tc>
        <w:tc>
          <w:tcPr>
            <w:tcW w:w="1516" w:type="dxa"/>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lang w:eastAsia="zh-CN"/>
              </w:rPr>
            </w:pPr>
            <w:r>
              <w:rPr>
                <w:rFonts w:hint="eastAsia" w:ascii="Times New Roman" w:hAnsi="Times New Roman"/>
                <w:color w:val="auto"/>
                <w:sz w:val="21"/>
                <w:highlight w:val="none"/>
              </w:rPr>
              <w:t>NH</w:t>
            </w:r>
            <w:r>
              <w:rPr>
                <w:rFonts w:hint="eastAsia" w:ascii="Times New Roman" w:hAnsi="Times New Roman"/>
                <w:color w:val="auto"/>
                <w:sz w:val="21"/>
                <w:highlight w:val="none"/>
                <w:vertAlign w:val="subscript"/>
              </w:rPr>
              <w:t>3</w:t>
            </w:r>
            <w:r>
              <w:rPr>
                <w:rFonts w:hint="eastAsia" w:ascii="Times New Roman" w:hAnsi="Times New Roman"/>
                <w:color w:val="auto"/>
                <w:sz w:val="21"/>
                <w:highlight w:val="none"/>
                <w:lang w:eastAsia="zh-CN"/>
              </w:rPr>
              <w:t>、</w:t>
            </w:r>
            <w:r>
              <w:rPr>
                <w:rFonts w:hint="eastAsia" w:ascii="Times New Roman" w:hAnsi="Times New Roman"/>
                <w:color w:val="auto"/>
                <w:sz w:val="21"/>
                <w:highlight w:val="none"/>
              </w:rPr>
              <w:t>H</w:t>
            </w:r>
            <w:r>
              <w:rPr>
                <w:rFonts w:hint="eastAsia" w:ascii="Times New Roman" w:hAnsi="Times New Roman"/>
                <w:color w:val="auto"/>
                <w:sz w:val="21"/>
                <w:highlight w:val="none"/>
                <w:vertAlign w:val="subscript"/>
              </w:rPr>
              <w:t>2</w:t>
            </w:r>
            <w:r>
              <w:rPr>
                <w:rFonts w:hint="eastAsia" w:ascii="Times New Roman" w:hAnsi="Times New Roman"/>
                <w:color w:val="auto"/>
                <w:sz w:val="21"/>
                <w:highlight w:val="none"/>
              </w:rPr>
              <w:t>S</w:t>
            </w:r>
          </w:p>
        </w:tc>
        <w:tc>
          <w:tcPr>
            <w:tcW w:w="1363" w:type="dxa"/>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rPr>
              <w:t>1次/年</w:t>
            </w:r>
          </w:p>
        </w:tc>
        <w:tc>
          <w:tcPr>
            <w:tcW w:w="4460" w:type="dxa"/>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rPr>
              <w:t>NH</w:t>
            </w:r>
            <w:r>
              <w:rPr>
                <w:rFonts w:hint="eastAsia" w:ascii="Times New Roman" w:hAnsi="Times New Roman"/>
                <w:color w:val="auto"/>
                <w:sz w:val="21"/>
                <w:highlight w:val="none"/>
                <w:vertAlign w:val="subscript"/>
              </w:rPr>
              <w:t>3</w:t>
            </w:r>
            <w:r>
              <w:rPr>
                <w:rFonts w:hint="eastAsia" w:ascii="Times New Roman" w:hAnsi="Times New Roman"/>
                <w:color w:val="auto"/>
                <w:sz w:val="21"/>
                <w:highlight w:val="none"/>
                <w:lang w:eastAsia="zh-CN"/>
              </w:rPr>
              <w:t>、</w:t>
            </w:r>
            <w:r>
              <w:rPr>
                <w:rFonts w:hint="eastAsia" w:ascii="Times New Roman" w:hAnsi="Times New Roman"/>
                <w:color w:val="auto"/>
                <w:sz w:val="21"/>
                <w:highlight w:val="none"/>
              </w:rPr>
              <w:t>H</w:t>
            </w:r>
            <w:r>
              <w:rPr>
                <w:rFonts w:hint="eastAsia" w:ascii="Times New Roman" w:hAnsi="Times New Roman"/>
                <w:color w:val="auto"/>
                <w:sz w:val="21"/>
                <w:highlight w:val="none"/>
                <w:vertAlign w:val="subscript"/>
              </w:rPr>
              <w:t>2</w:t>
            </w:r>
            <w:r>
              <w:rPr>
                <w:rFonts w:hint="eastAsia" w:ascii="Times New Roman" w:hAnsi="Times New Roman"/>
                <w:color w:val="auto"/>
                <w:sz w:val="21"/>
                <w:highlight w:val="none"/>
              </w:rPr>
              <w:t>S执行《恶臭污染物排放标准》（GB14554-93）表1限值要求</w:t>
            </w:r>
          </w:p>
        </w:tc>
      </w:tr>
    </w:tbl>
    <w:p>
      <w:pPr>
        <w:pStyle w:val="40"/>
        <w:rPr>
          <w:rFonts w:hint="eastAsia" w:cs="Times New Roman"/>
          <w:color w:val="auto"/>
          <w:highlight w:val="none"/>
          <w:lang w:val="en-US" w:eastAsia="zh-CN"/>
        </w:rPr>
      </w:pPr>
      <w:r>
        <w:rPr>
          <w:rFonts w:hint="eastAsia" w:cs="Times New Roman"/>
          <w:color w:val="auto"/>
          <w:highlight w:val="none"/>
          <w:lang w:val="en-US" w:eastAsia="zh-CN"/>
        </w:rPr>
        <w:t>表7.2-2 环境质量监测计划表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1091"/>
        <w:gridCol w:w="2332"/>
        <w:gridCol w:w="824"/>
        <w:gridCol w:w="36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gridSpan w:val="2"/>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监测点位</w:t>
            </w:r>
          </w:p>
        </w:tc>
        <w:tc>
          <w:tcPr>
            <w:tcW w:w="0" w:type="auto"/>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监测指标</w:t>
            </w:r>
          </w:p>
        </w:tc>
        <w:tc>
          <w:tcPr>
            <w:tcW w:w="0" w:type="auto"/>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监测频次</w:t>
            </w:r>
          </w:p>
        </w:tc>
        <w:tc>
          <w:tcPr>
            <w:tcW w:w="0" w:type="auto"/>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执行环境质量标准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0" w:type="auto"/>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地下水环境</w:t>
            </w:r>
          </w:p>
        </w:tc>
        <w:tc>
          <w:tcPr>
            <w:tcW w:w="0" w:type="auto"/>
            <w:tcBorders>
              <w:tl2br w:val="nil"/>
              <w:tr2bl w:val="nil"/>
            </w:tcBorders>
            <w:vAlign w:val="center"/>
          </w:tcPr>
          <w:p>
            <w:pPr>
              <w:pStyle w:val="125"/>
              <w:spacing w:before="49" w:after="49" w:line="240" w:lineRule="auto"/>
              <w:ind w:firstLine="0" w:firstLineChars="0"/>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rPr>
              <w:t>沼液消纳地</w:t>
            </w:r>
            <w:r>
              <w:rPr>
                <w:rFonts w:hint="eastAsia" w:ascii="Times New Roman" w:hAnsi="Times New Roman"/>
                <w:color w:val="auto"/>
                <w:sz w:val="21"/>
                <w:highlight w:val="none"/>
                <w:lang w:eastAsia="zh-CN"/>
              </w:rPr>
              <w:t>上游、下游</w:t>
            </w:r>
          </w:p>
        </w:tc>
        <w:tc>
          <w:tcPr>
            <w:tcW w:w="0" w:type="auto"/>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pH、高锰酸盐指数、氨氮、总硬度、硝酸盐、亚硝酸盐、总大肠菌群等</w:t>
            </w:r>
          </w:p>
        </w:tc>
        <w:tc>
          <w:tcPr>
            <w:tcW w:w="0" w:type="auto"/>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lang w:val="en-US" w:eastAsia="zh-CN"/>
              </w:rPr>
              <w:t>2</w:t>
            </w:r>
            <w:r>
              <w:rPr>
                <w:rFonts w:hint="eastAsia" w:ascii="Times New Roman" w:hAnsi="Times New Roman"/>
                <w:color w:val="auto"/>
                <w:sz w:val="21"/>
                <w:highlight w:val="none"/>
              </w:rPr>
              <w:t>次/年</w:t>
            </w:r>
          </w:p>
        </w:tc>
        <w:tc>
          <w:tcPr>
            <w:tcW w:w="0" w:type="auto"/>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执行《地下水质量标准》（GB/T14848-2017）Ⅲ类标准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83" w:hRule="atLeast"/>
          <w:jc w:val="center"/>
        </w:trPr>
        <w:tc>
          <w:tcPr>
            <w:tcW w:w="0" w:type="auto"/>
            <w:tcBorders>
              <w:tl2br w:val="nil"/>
              <w:tr2bl w:val="nil"/>
            </w:tcBorders>
            <w:vAlign w:val="center"/>
          </w:tcPr>
          <w:p>
            <w:pPr>
              <w:pStyle w:val="125"/>
              <w:spacing w:before="49" w:after="49" w:line="240" w:lineRule="auto"/>
              <w:ind w:firstLine="0" w:firstLineChars="0"/>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lang w:eastAsia="zh-CN"/>
              </w:rPr>
              <w:t>土壤</w:t>
            </w:r>
          </w:p>
        </w:tc>
        <w:tc>
          <w:tcPr>
            <w:tcW w:w="0" w:type="auto"/>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rPr>
              <w:t>配套农田消纳地</w:t>
            </w:r>
          </w:p>
        </w:tc>
        <w:tc>
          <w:tcPr>
            <w:tcW w:w="0" w:type="auto"/>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rPr>
              <w:t>pH、镉、汞、铜、砷、锌等重金属及氮、磷、钾等土壤养分的跟踪监测</w:t>
            </w:r>
          </w:p>
        </w:tc>
        <w:tc>
          <w:tcPr>
            <w:tcW w:w="0" w:type="auto"/>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lang w:val="en-US" w:eastAsia="zh-CN"/>
              </w:rPr>
            </w:pPr>
            <w:r>
              <w:rPr>
                <w:rFonts w:hint="eastAsia" w:ascii="Times New Roman" w:hAnsi="Times New Roman"/>
                <w:color w:val="auto"/>
                <w:sz w:val="21"/>
                <w:highlight w:val="none"/>
                <w:lang w:val="en-US" w:eastAsia="zh-CN"/>
              </w:rPr>
              <w:t>建议5年监测一次</w:t>
            </w:r>
          </w:p>
        </w:tc>
        <w:tc>
          <w:tcPr>
            <w:tcW w:w="0" w:type="auto"/>
            <w:tcBorders>
              <w:tl2br w:val="nil"/>
              <w:tr2bl w:val="nil"/>
            </w:tcBorders>
            <w:vAlign w:val="center"/>
          </w:tcPr>
          <w:p>
            <w:pPr>
              <w:pStyle w:val="125"/>
              <w:spacing w:before="49" w:after="49" w:line="240" w:lineRule="auto"/>
              <w:ind w:firstLine="0" w:firstLineChars="0"/>
              <w:rPr>
                <w:rFonts w:hint="eastAsia" w:ascii="Times New Roman" w:hAnsi="Times New Roman"/>
                <w:color w:val="auto"/>
                <w:sz w:val="21"/>
                <w:highlight w:val="none"/>
              </w:rPr>
            </w:pPr>
            <w:r>
              <w:rPr>
                <w:rFonts w:hint="eastAsia" w:ascii="Times New Roman" w:hAnsi="Times New Roman"/>
                <w:color w:val="auto"/>
                <w:sz w:val="21"/>
                <w:highlight w:val="none"/>
              </w:rPr>
              <w:t>执行《土壤环境质量农用地土壤污染风险管控标准》（GB15618-2018）二级标准</w:t>
            </w:r>
          </w:p>
        </w:tc>
      </w:tr>
    </w:tbl>
    <w:p>
      <w:pPr>
        <w:pStyle w:val="40"/>
        <w:rPr>
          <w:rFonts w:hint="eastAsia" w:cs="Times New Roman"/>
          <w:color w:val="auto"/>
          <w:highlight w:val="none"/>
          <w:lang w:val="en-US" w:eastAsia="zh-CN"/>
        </w:rPr>
      </w:pPr>
      <w:r>
        <w:rPr>
          <w:rFonts w:hint="eastAsia" w:cs="Times New Roman"/>
          <w:color w:val="auto"/>
          <w:highlight w:val="none"/>
          <w:lang w:val="en-US" w:eastAsia="zh-CN"/>
        </w:rPr>
        <w:t>表7.2-3  运行期监测计划表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21"/>
        <w:gridCol w:w="1124"/>
        <w:gridCol w:w="1373"/>
        <w:gridCol w:w="41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69" w:type="pct"/>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监测点位</w:t>
            </w:r>
          </w:p>
        </w:tc>
        <w:tc>
          <w:tcPr>
            <w:tcW w:w="660" w:type="pct"/>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监测指标</w:t>
            </w:r>
          </w:p>
        </w:tc>
        <w:tc>
          <w:tcPr>
            <w:tcW w:w="806" w:type="pct"/>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监测频次</w:t>
            </w:r>
          </w:p>
        </w:tc>
        <w:tc>
          <w:tcPr>
            <w:tcW w:w="2464" w:type="pct"/>
            <w:tcBorders>
              <w:tl2br w:val="nil"/>
              <w:tr2bl w:val="nil"/>
            </w:tcBorders>
            <w:vAlign w:val="center"/>
          </w:tcPr>
          <w:p>
            <w:pPr>
              <w:pStyle w:val="125"/>
              <w:spacing w:before="49" w:after="49" w:line="240" w:lineRule="auto"/>
              <w:ind w:firstLine="0" w:firstLineChars="0"/>
              <w:rPr>
                <w:rFonts w:ascii="Times New Roman" w:hAnsi="Times New Roman"/>
                <w:b w:val="0"/>
                <w:bCs w:val="0"/>
                <w:color w:val="auto"/>
                <w:sz w:val="21"/>
                <w:highlight w:val="none"/>
              </w:rPr>
            </w:pPr>
            <w:r>
              <w:rPr>
                <w:rFonts w:hint="eastAsia" w:ascii="Times New Roman" w:hAnsi="Times New Roman"/>
                <w:b w:val="0"/>
                <w:bCs w:val="0"/>
                <w:color w:val="auto"/>
                <w:sz w:val="21"/>
                <w:highlight w:val="none"/>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9" w:type="pct"/>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项目厂界噪声值</w:t>
            </w:r>
          </w:p>
        </w:tc>
        <w:tc>
          <w:tcPr>
            <w:tcW w:w="660" w:type="pct"/>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dB</w:t>
            </w:r>
            <w:r>
              <w:rPr>
                <w:rFonts w:hint="eastAsia" w:ascii="Times New Roman" w:hAnsi="Times New Roman"/>
                <w:color w:val="auto"/>
                <w:sz w:val="21"/>
                <w:highlight w:val="none"/>
                <w:lang w:val="en-GB"/>
              </w:rPr>
              <w:t>（</w:t>
            </w:r>
            <w:r>
              <w:rPr>
                <w:rFonts w:hint="eastAsia" w:ascii="Times New Roman" w:hAnsi="Times New Roman"/>
                <w:color w:val="auto"/>
                <w:sz w:val="21"/>
                <w:highlight w:val="none"/>
              </w:rPr>
              <w:t>A</w:t>
            </w:r>
            <w:r>
              <w:rPr>
                <w:rFonts w:hint="eastAsia" w:ascii="Times New Roman" w:hAnsi="Times New Roman"/>
                <w:color w:val="auto"/>
                <w:sz w:val="21"/>
                <w:highlight w:val="none"/>
                <w:lang w:val="en-GB"/>
              </w:rPr>
              <w:t>）</w:t>
            </w:r>
          </w:p>
        </w:tc>
        <w:tc>
          <w:tcPr>
            <w:tcW w:w="806" w:type="pct"/>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1次/年</w:t>
            </w:r>
          </w:p>
        </w:tc>
        <w:tc>
          <w:tcPr>
            <w:tcW w:w="2464" w:type="pct"/>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执行《工业企业厂界环境噪声排放标准》（GB12348-2008）</w:t>
            </w:r>
            <w:r>
              <w:rPr>
                <w:rFonts w:hint="eastAsia" w:ascii="Times New Roman" w:hAnsi="Times New Roman"/>
                <w:color w:val="auto"/>
                <w:sz w:val="21"/>
                <w:highlight w:val="none"/>
                <w:lang w:val="en-US" w:eastAsia="zh-CN"/>
              </w:rPr>
              <w:t>2</w:t>
            </w:r>
            <w:r>
              <w:rPr>
                <w:rFonts w:hint="eastAsia" w:ascii="Times New Roman" w:hAnsi="Times New Roman"/>
                <w:color w:val="auto"/>
                <w:sz w:val="21"/>
                <w:highlight w:val="none"/>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69" w:type="pct"/>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危险废物台帐统计，年报一次</w:t>
            </w:r>
          </w:p>
        </w:tc>
        <w:tc>
          <w:tcPr>
            <w:tcW w:w="660" w:type="pct"/>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w:t>
            </w:r>
          </w:p>
        </w:tc>
        <w:tc>
          <w:tcPr>
            <w:tcW w:w="806" w:type="pct"/>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1次/年</w:t>
            </w:r>
          </w:p>
        </w:tc>
        <w:tc>
          <w:tcPr>
            <w:tcW w:w="2464" w:type="pct"/>
            <w:tcBorders>
              <w:tl2br w:val="nil"/>
              <w:tr2bl w:val="nil"/>
            </w:tcBorders>
            <w:vAlign w:val="center"/>
          </w:tcPr>
          <w:p>
            <w:pPr>
              <w:pStyle w:val="125"/>
              <w:spacing w:before="49" w:after="49" w:line="240" w:lineRule="auto"/>
              <w:ind w:firstLine="0" w:firstLineChars="0"/>
              <w:rPr>
                <w:rFonts w:ascii="Times New Roman" w:hAnsi="Times New Roman"/>
                <w:color w:val="auto"/>
                <w:sz w:val="21"/>
                <w:highlight w:val="none"/>
              </w:rPr>
            </w:pPr>
            <w:r>
              <w:rPr>
                <w:rFonts w:hint="eastAsia" w:ascii="Times New Roman" w:hAnsi="Times New Roman"/>
                <w:color w:val="auto"/>
                <w:sz w:val="21"/>
                <w:highlight w:val="none"/>
              </w:rPr>
              <w:t>执行《危险废物贮存污染控制标准》（GB18597-2001）及2013年修改单标准</w:t>
            </w:r>
          </w:p>
        </w:tc>
      </w:tr>
    </w:tbl>
    <w:p>
      <w:pPr>
        <w:pStyle w:val="105"/>
        <w:ind w:firstLine="480" w:firstLineChars="0"/>
        <w:rPr>
          <w:color w:val="auto"/>
          <w:highlight w:val="none"/>
        </w:rPr>
      </w:pPr>
      <w:r>
        <w:rPr>
          <w:color w:val="auto"/>
          <w:highlight w:val="none"/>
        </w:rPr>
        <w:t>监测工作可委托有资质的监测单位进行，专职环保管理人员要对监测结果统一进行管理，建立环境监测档案，以便发现事故时，可以及时查明事故发生的原因，使污染事故能够得到及时处理。项目建成后，环保部门应对该企业环境管理及监测的具体情况加以监督。</w:t>
      </w:r>
    </w:p>
    <w:p>
      <w:pPr>
        <w:pStyle w:val="4"/>
        <w:spacing w:before="132"/>
        <w:rPr>
          <w:rFonts w:cs="Times New Roman"/>
          <w:color w:val="auto"/>
          <w:highlight w:val="none"/>
        </w:rPr>
      </w:pPr>
      <w:bookmarkStart w:id="59" w:name="_Toc11391"/>
      <w:r>
        <w:rPr>
          <w:rFonts w:hint="eastAsia" w:cs="Times New Roman"/>
          <w:color w:val="auto"/>
          <w:highlight w:val="none"/>
          <w:lang w:val="en-US" w:eastAsia="zh-CN"/>
        </w:rPr>
        <w:t>7</w:t>
      </w:r>
      <w:r>
        <w:rPr>
          <w:rFonts w:hint="eastAsia" w:cs="Times New Roman"/>
          <w:color w:val="auto"/>
          <w:highlight w:val="none"/>
        </w:rPr>
        <w:t>.3环保验收要求内容</w:t>
      </w:r>
      <w:bookmarkEnd w:id="59"/>
    </w:p>
    <w:p>
      <w:pPr>
        <w:pStyle w:val="105"/>
        <w:ind w:firstLine="480" w:firstLineChars="0"/>
        <w:rPr>
          <w:color w:val="auto"/>
          <w:highlight w:val="none"/>
        </w:rPr>
      </w:pPr>
      <w:r>
        <w:rPr>
          <w:color w:val="auto"/>
          <w:highlight w:val="none"/>
        </w:rPr>
        <w:t>为了便于环境保护主管部门对工程的环保验收以及日后生产的环境监督与环境管理，评价拟定</w:t>
      </w:r>
      <w:r>
        <w:rPr>
          <w:rFonts w:hint="eastAsia" w:ascii="宋体" w:hAnsi="宋体" w:cs="宋体"/>
          <w:color w:val="auto"/>
          <w:highlight w:val="none"/>
        </w:rPr>
        <w:t>“三同时”</w:t>
      </w:r>
      <w:r>
        <w:rPr>
          <w:color w:val="auto"/>
          <w:highlight w:val="none"/>
        </w:rPr>
        <w:t>验收计划如表</w:t>
      </w:r>
      <w:r>
        <w:rPr>
          <w:rFonts w:hint="eastAsia"/>
          <w:color w:val="auto"/>
          <w:highlight w:val="none"/>
          <w:lang w:val="en-US" w:eastAsia="zh-CN"/>
        </w:rPr>
        <w:t>7</w:t>
      </w:r>
      <w:r>
        <w:rPr>
          <w:rFonts w:hint="eastAsia"/>
          <w:color w:val="auto"/>
          <w:highlight w:val="none"/>
        </w:rPr>
        <w:t>.3</w:t>
      </w:r>
      <w:r>
        <w:rPr>
          <w:color w:val="auto"/>
          <w:highlight w:val="none"/>
        </w:rPr>
        <w:t>-1</w:t>
      </w:r>
      <w:r>
        <w:rPr>
          <w:rFonts w:hint="eastAsia"/>
          <w:color w:val="auto"/>
          <w:highlight w:val="none"/>
        </w:rPr>
        <w:t>。</w:t>
      </w:r>
    </w:p>
    <w:p>
      <w:pPr>
        <w:pStyle w:val="40"/>
        <w:rPr>
          <w:rFonts w:hint="eastAsia" w:cs="Times New Roman"/>
          <w:color w:val="auto"/>
          <w:highlight w:val="none"/>
          <w:lang w:val="en-US" w:eastAsia="zh-CN"/>
        </w:rPr>
      </w:pPr>
      <w:r>
        <w:rPr>
          <w:rFonts w:hint="eastAsia" w:cs="Times New Roman"/>
          <w:color w:val="auto"/>
          <w:highlight w:val="none"/>
          <w:lang w:val="en-US" w:eastAsia="zh-CN"/>
        </w:rPr>
        <w:t xml:space="preserve"> 表7.3-1环保验收要求</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57" w:type="dxa"/>
          <w:left w:w="108" w:type="dxa"/>
          <w:bottom w:w="57" w:type="dxa"/>
          <w:right w:w="108" w:type="dxa"/>
        </w:tblCellMar>
      </w:tblPr>
      <w:tblGrid>
        <w:gridCol w:w="655"/>
        <w:gridCol w:w="1470"/>
        <w:gridCol w:w="1357"/>
        <w:gridCol w:w="2727"/>
        <w:gridCol w:w="23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2045" w:type="pct"/>
            <w:gridSpan w:val="3"/>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污染源</w:t>
            </w:r>
          </w:p>
        </w:tc>
        <w:tc>
          <w:tcPr>
            <w:tcW w:w="1601"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环境保护措施</w:t>
            </w:r>
          </w:p>
        </w:tc>
        <w:tc>
          <w:tcPr>
            <w:tcW w:w="1353"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验收标准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385" w:type="pct"/>
            <w:vMerge w:val="restar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废气</w:t>
            </w:r>
          </w:p>
        </w:tc>
        <w:tc>
          <w:tcPr>
            <w:tcW w:w="863"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猪舍</w:t>
            </w:r>
          </w:p>
        </w:tc>
        <w:tc>
          <w:tcPr>
            <w:tcW w:w="796" w:type="pct"/>
            <w:vMerge w:val="restar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NH</w:t>
            </w:r>
            <w:r>
              <w:rPr>
                <w:rFonts w:hint="eastAsia" w:ascii="Times New Roman" w:hAnsi="Times New Roman"/>
                <w:b w:val="0"/>
                <w:bCs w:val="0"/>
                <w:color w:val="auto"/>
                <w:sz w:val="21"/>
                <w:highlight w:val="none"/>
                <w:vertAlign w:val="subscript"/>
              </w:rPr>
              <w:t>3</w:t>
            </w:r>
            <w:r>
              <w:rPr>
                <w:rFonts w:hint="eastAsia" w:ascii="Times New Roman" w:hAnsi="Times New Roman"/>
                <w:b w:val="0"/>
                <w:bCs w:val="0"/>
                <w:color w:val="auto"/>
                <w:sz w:val="21"/>
                <w:highlight w:val="none"/>
              </w:rPr>
              <w:t>、H</w:t>
            </w:r>
            <w:r>
              <w:rPr>
                <w:rFonts w:hint="eastAsia" w:ascii="Times New Roman" w:hAnsi="Times New Roman"/>
                <w:b w:val="0"/>
                <w:bCs w:val="0"/>
                <w:color w:val="auto"/>
                <w:sz w:val="21"/>
                <w:highlight w:val="none"/>
                <w:vertAlign w:val="subscript"/>
              </w:rPr>
              <w:t>2</w:t>
            </w:r>
            <w:r>
              <w:rPr>
                <w:rFonts w:hint="eastAsia" w:ascii="Times New Roman" w:hAnsi="Times New Roman"/>
                <w:b w:val="0"/>
                <w:bCs w:val="0"/>
                <w:color w:val="auto"/>
                <w:sz w:val="21"/>
                <w:highlight w:val="none"/>
              </w:rPr>
              <w:t>S和臭气浓度</w:t>
            </w:r>
          </w:p>
        </w:tc>
        <w:tc>
          <w:tcPr>
            <w:tcW w:w="1601"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eastAsia="宋体"/>
                <w:b w:val="0"/>
                <w:bCs w:val="0"/>
                <w:color w:val="auto"/>
                <w:sz w:val="21"/>
                <w:highlight w:val="none"/>
                <w:lang w:val="en-US" w:eastAsia="zh-CN"/>
              </w:rPr>
            </w:pPr>
            <w:r>
              <w:rPr>
                <w:rFonts w:hint="eastAsia" w:ascii="Times New Roman" w:hAnsi="Times New Roman"/>
                <w:b w:val="0"/>
                <w:bCs w:val="0"/>
                <w:color w:val="auto"/>
                <w:sz w:val="21"/>
                <w:highlight w:val="none"/>
              </w:rPr>
              <w:t>低氮饲料+干清粪+除臭剂</w:t>
            </w:r>
            <w:r>
              <w:rPr>
                <w:rFonts w:hint="eastAsia" w:ascii="Times New Roman" w:hAnsi="Times New Roman"/>
                <w:b w:val="0"/>
                <w:bCs w:val="0"/>
                <w:color w:val="auto"/>
                <w:sz w:val="21"/>
                <w:highlight w:val="none"/>
                <w:lang w:val="en-US" w:eastAsia="zh-CN"/>
              </w:rPr>
              <w:t>+除臭墙</w:t>
            </w:r>
          </w:p>
        </w:tc>
        <w:tc>
          <w:tcPr>
            <w:tcW w:w="1353" w:type="pct"/>
            <w:vMerge w:val="restar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臭气浓度执行《畜禽养殖业污染物排放标准》（GB18596-2001），H</w:t>
            </w:r>
            <w:r>
              <w:rPr>
                <w:rFonts w:hint="eastAsia" w:ascii="Times New Roman" w:hAnsi="Times New Roman"/>
                <w:b w:val="0"/>
                <w:bCs w:val="0"/>
                <w:color w:val="auto"/>
                <w:sz w:val="21"/>
                <w:highlight w:val="none"/>
                <w:vertAlign w:val="subscript"/>
              </w:rPr>
              <w:t>2</w:t>
            </w:r>
            <w:r>
              <w:rPr>
                <w:rFonts w:hint="eastAsia" w:ascii="Times New Roman" w:hAnsi="Times New Roman"/>
                <w:b w:val="0"/>
                <w:bCs w:val="0"/>
                <w:color w:val="auto"/>
                <w:sz w:val="21"/>
                <w:highlight w:val="none"/>
              </w:rPr>
              <w:t>S、NH</w:t>
            </w:r>
            <w:r>
              <w:rPr>
                <w:rFonts w:hint="eastAsia" w:ascii="Times New Roman" w:hAnsi="Times New Roman"/>
                <w:b w:val="0"/>
                <w:bCs w:val="0"/>
                <w:color w:val="auto"/>
                <w:sz w:val="21"/>
                <w:highlight w:val="none"/>
                <w:vertAlign w:val="subscript"/>
              </w:rPr>
              <w:t>3</w:t>
            </w:r>
            <w:r>
              <w:rPr>
                <w:rFonts w:hint="eastAsia" w:ascii="Times New Roman" w:hAnsi="Times New Roman"/>
                <w:b w:val="0"/>
                <w:bCs w:val="0"/>
                <w:color w:val="auto"/>
                <w:sz w:val="21"/>
                <w:highlight w:val="none"/>
              </w:rPr>
              <w:t>执行《恶臭污染物排放标准》（GB14554-1993）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49" w:hRule="atLeast"/>
          <w:jc w:val="center"/>
        </w:trPr>
        <w:tc>
          <w:tcPr>
            <w:tcW w:w="385" w:type="pct"/>
            <w:vMerge w:val="continue"/>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p>
        </w:tc>
        <w:tc>
          <w:tcPr>
            <w:tcW w:w="863"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污水处理站</w:t>
            </w:r>
          </w:p>
        </w:tc>
        <w:tc>
          <w:tcPr>
            <w:tcW w:w="796" w:type="pct"/>
            <w:vMerge w:val="continue"/>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p>
        </w:tc>
        <w:tc>
          <w:tcPr>
            <w:tcW w:w="1601"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封闭+除臭剂</w:t>
            </w:r>
          </w:p>
        </w:tc>
        <w:tc>
          <w:tcPr>
            <w:tcW w:w="1353" w:type="pct"/>
            <w:vMerge w:val="continue"/>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19" w:hRule="atLeast"/>
          <w:jc w:val="center"/>
        </w:trPr>
        <w:tc>
          <w:tcPr>
            <w:tcW w:w="385" w:type="pct"/>
            <w:vMerge w:val="continue"/>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p>
        </w:tc>
        <w:tc>
          <w:tcPr>
            <w:tcW w:w="863"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eastAsia="宋体"/>
                <w:b w:val="0"/>
                <w:bCs w:val="0"/>
                <w:color w:val="auto"/>
                <w:sz w:val="21"/>
                <w:highlight w:val="none"/>
                <w:lang w:eastAsia="zh-CN"/>
              </w:rPr>
            </w:pPr>
            <w:r>
              <w:rPr>
                <w:rFonts w:hint="eastAsia" w:ascii="Times New Roman" w:hAnsi="Times New Roman"/>
                <w:b w:val="0"/>
                <w:bCs w:val="0"/>
                <w:color w:val="auto"/>
                <w:sz w:val="21"/>
                <w:highlight w:val="none"/>
                <w:lang w:eastAsia="zh-CN"/>
              </w:rPr>
              <w:t>无害化处理车间</w:t>
            </w:r>
          </w:p>
        </w:tc>
        <w:tc>
          <w:tcPr>
            <w:tcW w:w="796" w:type="pct"/>
            <w:vMerge w:val="continue"/>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p>
        </w:tc>
        <w:tc>
          <w:tcPr>
            <w:tcW w:w="1601"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lang w:eastAsia="zh-CN"/>
              </w:rPr>
              <w:t>除臭剂、除臭墙</w:t>
            </w:r>
          </w:p>
        </w:tc>
        <w:tc>
          <w:tcPr>
            <w:tcW w:w="1353" w:type="pct"/>
            <w:vMerge w:val="continue"/>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19" w:hRule="atLeast"/>
          <w:jc w:val="center"/>
        </w:trPr>
        <w:tc>
          <w:tcPr>
            <w:tcW w:w="385" w:type="pct"/>
            <w:vMerge w:val="continue"/>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p>
        </w:tc>
        <w:tc>
          <w:tcPr>
            <w:tcW w:w="863"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固粪处理区</w:t>
            </w:r>
          </w:p>
        </w:tc>
        <w:tc>
          <w:tcPr>
            <w:tcW w:w="796" w:type="pct"/>
            <w:vMerge w:val="continue"/>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p>
        </w:tc>
        <w:tc>
          <w:tcPr>
            <w:tcW w:w="1601"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车间封闭、</w:t>
            </w:r>
            <w:r>
              <w:rPr>
                <w:rFonts w:hint="eastAsia" w:ascii="Times New Roman" w:hAnsi="Times New Roman"/>
                <w:b w:val="0"/>
                <w:bCs w:val="0"/>
                <w:color w:val="auto"/>
                <w:sz w:val="21"/>
                <w:highlight w:val="none"/>
                <w:lang w:eastAsia="zh-CN"/>
              </w:rPr>
              <w:t>除臭剂、除臭墙</w:t>
            </w:r>
          </w:p>
        </w:tc>
        <w:tc>
          <w:tcPr>
            <w:tcW w:w="1353" w:type="pct"/>
            <w:vMerge w:val="continue"/>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5" w:type="pct"/>
            <w:vMerge w:val="continue"/>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p>
        </w:tc>
        <w:tc>
          <w:tcPr>
            <w:tcW w:w="863"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lang w:eastAsia="zh-CN"/>
              </w:rPr>
              <w:t>沼气锅炉燃烧</w:t>
            </w:r>
            <w:r>
              <w:rPr>
                <w:rFonts w:hint="eastAsia" w:ascii="Times New Roman" w:hAnsi="Times New Roman"/>
                <w:b w:val="0"/>
                <w:bCs w:val="0"/>
                <w:color w:val="auto"/>
                <w:sz w:val="21"/>
                <w:highlight w:val="none"/>
              </w:rPr>
              <w:t>废气</w:t>
            </w:r>
          </w:p>
        </w:tc>
        <w:tc>
          <w:tcPr>
            <w:tcW w:w="796"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颗粒物、SO</w:t>
            </w:r>
            <w:r>
              <w:rPr>
                <w:rFonts w:hint="eastAsia" w:ascii="Times New Roman" w:hAnsi="Times New Roman"/>
                <w:b w:val="0"/>
                <w:bCs w:val="0"/>
                <w:color w:val="auto"/>
                <w:sz w:val="21"/>
                <w:highlight w:val="none"/>
                <w:vertAlign w:val="subscript"/>
              </w:rPr>
              <w:t>2</w:t>
            </w:r>
            <w:r>
              <w:rPr>
                <w:rFonts w:hint="eastAsia" w:ascii="Times New Roman" w:hAnsi="Times New Roman"/>
                <w:b w:val="0"/>
                <w:bCs w:val="0"/>
                <w:color w:val="auto"/>
                <w:sz w:val="21"/>
                <w:highlight w:val="none"/>
              </w:rPr>
              <w:t>、NO</w:t>
            </w:r>
            <w:r>
              <w:rPr>
                <w:rFonts w:hint="eastAsia" w:ascii="Times New Roman" w:hAnsi="Times New Roman"/>
                <w:b w:val="0"/>
                <w:bCs w:val="0"/>
                <w:color w:val="auto"/>
                <w:sz w:val="21"/>
                <w:highlight w:val="none"/>
                <w:vertAlign w:val="subscript"/>
              </w:rPr>
              <w:t>X</w:t>
            </w:r>
          </w:p>
        </w:tc>
        <w:tc>
          <w:tcPr>
            <w:tcW w:w="1601" w:type="pct"/>
            <w:tcBorders>
              <w:tl2br w:val="nil"/>
              <w:tr2bl w:val="nil"/>
            </w:tcBorders>
            <w:noWrap w:val="0"/>
            <w:vAlign w:val="center"/>
          </w:tcPr>
          <w:p>
            <w:pPr>
              <w:pStyle w:val="125"/>
              <w:spacing w:before="49" w:after="49" w:line="240" w:lineRule="auto"/>
              <w:ind w:firstLine="0" w:firstLineChars="0"/>
              <w:rPr>
                <w:rFonts w:hint="default" w:ascii="Times New Roman" w:hAnsi="Times New Roman"/>
                <w:b w:val="0"/>
                <w:bCs w:val="0"/>
                <w:color w:val="auto"/>
                <w:sz w:val="21"/>
                <w:highlight w:val="none"/>
                <w:lang w:val="en-US" w:eastAsia="zh-CN"/>
              </w:rPr>
            </w:pPr>
            <w:r>
              <w:rPr>
                <w:rFonts w:hint="default" w:ascii="Times New Roman" w:hAnsi="Times New Roman"/>
                <w:b w:val="0"/>
                <w:bCs w:val="0"/>
                <w:color w:val="auto"/>
                <w:sz w:val="21"/>
                <w:highlight w:val="none"/>
                <w:lang w:val="en-US" w:eastAsia="zh-CN"/>
              </w:rPr>
              <w:t>高效低氮燃烧器+烟气二次燃烧技术+8m高排气筒排放</w:t>
            </w:r>
          </w:p>
        </w:tc>
        <w:tc>
          <w:tcPr>
            <w:tcW w:w="1353"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河南省2019年度锅炉综合整治方案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5" w:type="pct"/>
            <w:vMerge w:val="continue"/>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p>
        </w:tc>
        <w:tc>
          <w:tcPr>
            <w:tcW w:w="863"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食堂油烟</w:t>
            </w:r>
          </w:p>
        </w:tc>
        <w:tc>
          <w:tcPr>
            <w:tcW w:w="796"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油烟</w:t>
            </w:r>
          </w:p>
        </w:tc>
        <w:tc>
          <w:tcPr>
            <w:tcW w:w="1601"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处理效率不低于90%的油烟净化器</w:t>
            </w:r>
          </w:p>
        </w:tc>
        <w:tc>
          <w:tcPr>
            <w:tcW w:w="1353"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《餐饮业油烟污染物排放标准》（DB41/1604-2018）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5"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废水</w:t>
            </w:r>
          </w:p>
        </w:tc>
        <w:tc>
          <w:tcPr>
            <w:tcW w:w="1659" w:type="pct"/>
            <w:gridSpan w:val="2"/>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生活污水、生产废水</w:t>
            </w:r>
          </w:p>
        </w:tc>
        <w:tc>
          <w:tcPr>
            <w:tcW w:w="1601"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1套污水处理系统，工艺为：固液分离+（生活污水经化粪池处理后进入黑膜沼气池）</w:t>
            </w:r>
            <w:r>
              <w:rPr>
                <w:rFonts w:hint="eastAsia" w:ascii="Times New Roman" w:hAnsi="Times New Roman"/>
                <w:b w:val="0"/>
                <w:bCs w:val="0"/>
                <w:color w:val="auto"/>
                <w:sz w:val="21"/>
                <w:highlight w:val="none"/>
                <w:lang w:val="en-US" w:eastAsia="zh-CN"/>
              </w:rPr>
              <w:t>10680</w:t>
            </w:r>
            <w:r>
              <w:rPr>
                <w:rFonts w:hint="eastAsia" w:ascii="Times New Roman" w:hAnsi="Times New Roman"/>
                <w:b w:val="0"/>
                <w:bCs w:val="0"/>
                <w:color w:val="auto"/>
                <w:sz w:val="21"/>
                <w:highlight w:val="none"/>
              </w:rPr>
              <w:t>m</w:t>
            </w:r>
            <w:r>
              <w:rPr>
                <w:rFonts w:hint="eastAsia" w:ascii="Times New Roman" w:hAnsi="Times New Roman"/>
                <w:b w:val="0"/>
                <w:bCs w:val="0"/>
                <w:color w:val="auto"/>
                <w:sz w:val="21"/>
                <w:highlight w:val="none"/>
                <w:vertAlign w:val="superscript"/>
              </w:rPr>
              <w:t>3</w:t>
            </w:r>
            <w:r>
              <w:rPr>
                <w:rFonts w:hint="eastAsia" w:ascii="Times New Roman" w:hAnsi="Times New Roman"/>
                <w:b w:val="0"/>
                <w:bCs w:val="0"/>
                <w:color w:val="auto"/>
                <w:sz w:val="21"/>
                <w:highlight w:val="none"/>
              </w:rPr>
              <w:t>黑膜沼气池</w:t>
            </w:r>
          </w:p>
        </w:tc>
        <w:tc>
          <w:tcPr>
            <w:tcW w:w="1353"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处理后定期用于周边配套的农田施肥，废水全部综合利用不外排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5" w:type="pc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噪声</w:t>
            </w:r>
          </w:p>
        </w:tc>
        <w:tc>
          <w:tcPr>
            <w:tcW w:w="1659" w:type="pct"/>
            <w:gridSpan w:val="2"/>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风机、水泵运行噪声、猪叫声等</w:t>
            </w:r>
          </w:p>
        </w:tc>
        <w:tc>
          <w:tcPr>
            <w:tcW w:w="1601"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选用低噪声设备、采取建筑隔声、消声、减振等措施</w:t>
            </w:r>
          </w:p>
        </w:tc>
        <w:tc>
          <w:tcPr>
            <w:tcW w:w="1353"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《工业企业厂界环境噪声排放标准》（GB12348-2008）</w:t>
            </w:r>
            <w:r>
              <w:rPr>
                <w:rFonts w:hint="eastAsia" w:ascii="Times New Roman" w:hAnsi="Times New Roman"/>
                <w:b w:val="0"/>
                <w:bCs w:val="0"/>
                <w:color w:val="auto"/>
                <w:sz w:val="21"/>
                <w:highlight w:val="none"/>
                <w:lang w:val="en-US" w:eastAsia="zh-CN"/>
              </w:rPr>
              <w:t>2</w:t>
            </w:r>
            <w:r>
              <w:rPr>
                <w:rFonts w:hint="eastAsia" w:ascii="Times New Roman" w:hAnsi="Times New Roman"/>
                <w:b w:val="0"/>
                <w:bCs w:val="0"/>
                <w:color w:val="auto"/>
                <w:sz w:val="21"/>
                <w:highlight w:val="none"/>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5" w:type="pct"/>
            <w:vMerge w:val="restart"/>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固废</w:t>
            </w:r>
          </w:p>
        </w:tc>
        <w:tc>
          <w:tcPr>
            <w:tcW w:w="1659" w:type="pct"/>
            <w:gridSpan w:val="2"/>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猪粪</w:t>
            </w:r>
          </w:p>
        </w:tc>
        <w:tc>
          <w:tcPr>
            <w:tcW w:w="1601" w:type="pct"/>
            <w:vMerge w:val="restar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设置</w:t>
            </w:r>
            <w:r>
              <w:rPr>
                <w:rFonts w:hint="eastAsia" w:ascii="Times New Roman" w:hAnsi="Times New Roman"/>
                <w:b w:val="0"/>
                <w:bCs w:val="0"/>
                <w:color w:val="auto"/>
                <w:sz w:val="21"/>
                <w:highlight w:val="none"/>
                <w:lang w:val="en-US" w:eastAsia="zh-CN"/>
              </w:rPr>
              <w:t>1个共924</w:t>
            </w:r>
            <w:r>
              <w:rPr>
                <w:rFonts w:hint="eastAsia" w:ascii="Times New Roman" w:hAnsi="Times New Roman"/>
                <w:b w:val="0"/>
                <w:bCs w:val="0"/>
                <w:color w:val="auto"/>
                <w:sz w:val="21"/>
                <w:highlight w:val="none"/>
              </w:rPr>
              <w:t>m</w:t>
            </w:r>
            <w:r>
              <w:rPr>
                <w:rFonts w:hint="eastAsia" w:ascii="Times New Roman" w:hAnsi="Times New Roman"/>
                <w:b w:val="0"/>
                <w:bCs w:val="0"/>
                <w:color w:val="auto"/>
                <w:sz w:val="21"/>
                <w:highlight w:val="none"/>
                <w:vertAlign w:val="superscript"/>
              </w:rPr>
              <w:t>2</w:t>
            </w:r>
            <w:r>
              <w:rPr>
                <w:rFonts w:hint="eastAsia" w:ascii="Times New Roman" w:hAnsi="Times New Roman"/>
                <w:b w:val="0"/>
                <w:bCs w:val="0"/>
                <w:color w:val="auto"/>
                <w:sz w:val="21"/>
                <w:highlight w:val="none"/>
              </w:rPr>
              <w:t>固粪处理区，固粪发酵后与沼渣混合制作有机肥基料</w:t>
            </w:r>
          </w:p>
        </w:tc>
        <w:tc>
          <w:tcPr>
            <w:tcW w:w="1353" w:type="pct"/>
            <w:vMerge w:val="restar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资源化利用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5"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1659" w:type="pct"/>
            <w:gridSpan w:val="2"/>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沼渣</w:t>
            </w:r>
          </w:p>
        </w:tc>
        <w:tc>
          <w:tcPr>
            <w:tcW w:w="1601" w:type="pct"/>
            <w:vMerge w:val="continue"/>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p>
        </w:tc>
        <w:tc>
          <w:tcPr>
            <w:tcW w:w="1353" w:type="pct"/>
            <w:vMerge w:val="continue"/>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5"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1659" w:type="pct"/>
            <w:gridSpan w:val="2"/>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废脱硫剂</w:t>
            </w:r>
          </w:p>
        </w:tc>
        <w:tc>
          <w:tcPr>
            <w:tcW w:w="1601"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由</w:t>
            </w:r>
            <w:r>
              <w:rPr>
                <w:rFonts w:hint="eastAsia" w:ascii="Times New Roman" w:hAnsi="Times New Roman"/>
                <w:b w:val="0"/>
                <w:bCs w:val="0"/>
                <w:color w:val="auto"/>
                <w:sz w:val="21"/>
                <w:highlight w:val="none"/>
                <w:lang w:eastAsia="zh-CN"/>
              </w:rPr>
              <w:t>生</w:t>
            </w:r>
            <w:r>
              <w:rPr>
                <w:rFonts w:hint="eastAsia" w:ascii="Times New Roman" w:hAnsi="Times New Roman"/>
                <w:b w:val="0"/>
                <w:bCs w:val="0"/>
                <w:color w:val="auto"/>
                <w:sz w:val="21"/>
                <w:highlight w:val="none"/>
              </w:rPr>
              <w:t>产厂家统一回收</w:t>
            </w:r>
          </w:p>
        </w:tc>
        <w:tc>
          <w:tcPr>
            <w:tcW w:w="1353" w:type="pct"/>
            <w:vMerge w:val="continue"/>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5"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1659" w:type="pct"/>
            <w:gridSpan w:val="2"/>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lang w:eastAsia="zh-CN"/>
              </w:rPr>
            </w:pPr>
            <w:r>
              <w:rPr>
                <w:rFonts w:hint="eastAsia" w:ascii="Times New Roman" w:hAnsi="Times New Roman"/>
                <w:b w:val="0"/>
                <w:bCs w:val="0"/>
                <w:color w:val="auto"/>
                <w:sz w:val="21"/>
                <w:highlight w:val="none"/>
              </w:rPr>
              <w:t>病死猪</w:t>
            </w:r>
          </w:p>
        </w:tc>
        <w:tc>
          <w:tcPr>
            <w:tcW w:w="1601"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lang w:eastAsia="zh-CN"/>
              </w:rPr>
              <w:t>设置一个</w:t>
            </w:r>
            <w:r>
              <w:rPr>
                <w:rFonts w:hint="eastAsia" w:ascii="Times New Roman" w:hAnsi="Times New Roman"/>
                <w:b w:val="0"/>
                <w:bCs w:val="0"/>
                <w:color w:val="auto"/>
                <w:sz w:val="21"/>
                <w:highlight w:val="none"/>
                <w:lang w:val="en-US" w:eastAsia="zh-CN"/>
              </w:rPr>
              <w:t>30</w:t>
            </w:r>
            <w:r>
              <w:rPr>
                <w:rFonts w:hint="eastAsia" w:ascii="Times New Roman" w:hAnsi="Times New Roman"/>
                <w:b w:val="0"/>
                <w:bCs w:val="0"/>
                <w:color w:val="auto"/>
                <w:sz w:val="21"/>
                <w:highlight w:val="none"/>
              </w:rPr>
              <w:t>m</w:t>
            </w:r>
            <w:r>
              <w:rPr>
                <w:rFonts w:hint="eastAsia" w:ascii="Times New Roman" w:hAnsi="Times New Roman"/>
                <w:b w:val="0"/>
                <w:bCs w:val="0"/>
                <w:color w:val="auto"/>
                <w:sz w:val="21"/>
                <w:highlight w:val="none"/>
                <w:vertAlign w:val="superscript"/>
              </w:rPr>
              <w:t>2</w:t>
            </w:r>
            <w:r>
              <w:rPr>
                <w:rFonts w:hint="eastAsia" w:ascii="Times New Roman" w:hAnsi="Times New Roman"/>
                <w:b w:val="0"/>
                <w:bCs w:val="0"/>
                <w:color w:val="auto"/>
                <w:sz w:val="21"/>
                <w:highlight w:val="none"/>
                <w:lang w:eastAsia="zh-CN"/>
              </w:rPr>
              <w:t>的病死猪暂存间</w:t>
            </w:r>
            <w:r>
              <w:rPr>
                <w:rFonts w:hint="eastAsia" w:ascii="Times New Roman" w:hAnsi="Times New Roman"/>
                <w:b w:val="0"/>
                <w:bCs w:val="0"/>
                <w:color w:val="auto"/>
                <w:sz w:val="21"/>
                <w:highlight w:val="none"/>
              </w:rPr>
              <w:t>，病死猪送往</w:t>
            </w:r>
            <w:r>
              <w:rPr>
                <w:rFonts w:hint="eastAsia" w:ascii="Times New Roman" w:hAnsi="Times New Roman"/>
                <w:b w:val="0"/>
                <w:bCs w:val="0"/>
                <w:color w:val="auto"/>
                <w:sz w:val="21"/>
                <w:highlight w:val="none"/>
                <w:lang w:eastAsia="zh-CN"/>
              </w:rPr>
              <w:t>本厂自建的</w:t>
            </w:r>
            <w:r>
              <w:rPr>
                <w:rFonts w:hint="eastAsia" w:ascii="Times New Roman" w:hAnsi="Times New Roman"/>
                <w:b w:val="0"/>
                <w:bCs w:val="0"/>
                <w:color w:val="auto"/>
                <w:sz w:val="21"/>
                <w:highlight w:val="none"/>
              </w:rPr>
              <w:t>无害化车间进行无害化处理</w:t>
            </w:r>
          </w:p>
        </w:tc>
        <w:tc>
          <w:tcPr>
            <w:tcW w:w="1353"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满足《禽畜养殖业污染防治技术规范》（HJ/497-2009）的要求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745" w:hRule="atLeast"/>
          <w:jc w:val="center"/>
        </w:trPr>
        <w:tc>
          <w:tcPr>
            <w:tcW w:w="385"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1659" w:type="pct"/>
            <w:gridSpan w:val="2"/>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lang w:eastAsia="zh-CN"/>
              </w:rPr>
            </w:pPr>
            <w:r>
              <w:rPr>
                <w:rFonts w:hint="eastAsia" w:ascii="Times New Roman" w:hAnsi="Times New Roman"/>
                <w:b w:val="0"/>
                <w:bCs w:val="0"/>
                <w:color w:val="auto"/>
                <w:sz w:val="21"/>
                <w:highlight w:val="none"/>
                <w:lang w:eastAsia="zh-CN"/>
              </w:rPr>
              <w:t>医疗</w:t>
            </w:r>
            <w:r>
              <w:rPr>
                <w:rFonts w:hint="eastAsia" w:ascii="Times New Roman" w:hAnsi="Times New Roman"/>
                <w:b w:val="0"/>
                <w:bCs w:val="0"/>
                <w:color w:val="auto"/>
                <w:sz w:val="21"/>
                <w:highlight w:val="none"/>
              </w:rPr>
              <w:t>废物</w:t>
            </w:r>
          </w:p>
        </w:tc>
        <w:tc>
          <w:tcPr>
            <w:tcW w:w="1601"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设置1间</w:t>
            </w:r>
            <w:r>
              <w:rPr>
                <w:rFonts w:hint="eastAsia" w:ascii="Times New Roman" w:hAnsi="Times New Roman"/>
                <w:b w:val="0"/>
                <w:bCs w:val="0"/>
                <w:color w:val="auto"/>
                <w:sz w:val="21"/>
                <w:highlight w:val="none"/>
                <w:lang w:val="en-US" w:eastAsia="zh-CN"/>
              </w:rPr>
              <w:t>30</w:t>
            </w:r>
            <w:r>
              <w:rPr>
                <w:rFonts w:hint="eastAsia" w:ascii="Times New Roman" w:hAnsi="Times New Roman"/>
                <w:b w:val="0"/>
                <w:bCs w:val="0"/>
                <w:color w:val="auto"/>
                <w:sz w:val="21"/>
                <w:highlight w:val="none"/>
              </w:rPr>
              <w:t>m</w:t>
            </w:r>
            <w:r>
              <w:rPr>
                <w:rFonts w:hint="eastAsia" w:ascii="Times New Roman" w:hAnsi="Times New Roman"/>
                <w:b w:val="0"/>
                <w:bCs w:val="0"/>
                <w:color w:val="auto"/>
                <w:sz w:val="21"/>
                <w:highlight w:val="none"/>
                <w:vertAlign w:val="superscript"/>
              </w:rPr>
              <w:t>2</w:t>
            </w:r>
            <w:r>
              <w:rPr>
                <w:rFonts w:hint="eastAsia" w:ascii="Times New Roman" w:hAnsi="Times New Roman"/>
                <w:b w:val="0"/>
                <w:bCs w:val="0"/>
                <w:color w:val="auto"/>
                <w:sz w:val="21"/>
                <w:highlight w:val="none"/>
                <w:lang w:eastAsia="zh-CN"/>
              </w:rPr>
              <w:t>医</w:t>
            </w:r>
            <w:r>
              <w:rPr>
                <w:rFonts w:hint="eastAsia" w:ascii="Times New Roman" w:hAnsi="Times New Roman"/>
                <w:b w:val="0"/>
                <w:bCs w:val="0"/>
                <w:color w:val="auto"/>
                <w:sz w:val="21"/>
                <w:highlight w:val="none"/>
              </w:rPr>
              <w:t>废暂存间，暂存后交由新蔡县中绿环保科技有限公司处置</w:t>
            </w:r>
          </w:p>
        </w:tc>
        <w:tc>
          <w:tcPr>
            <w:tcW w:w="1353"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《危险废物贮存污染控制标准》（GB18597-2001）及修改单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385" w:type="pct"/>
            <w:vMerge w:val="continue"/>
            <w:tcBorders>
              <w:tl2br w:val="nil"/>
              <w:tr2bl w:val="nil"/>
            </w:tcBorders>
            <w:noWrap w:val="0"/>
            <w:vAlign w:val="center"/>
          </w:tcPr>
          <w:p>
            <w:pPr>
              <w:pStyle w:val="125"/>
              <w:keepNext w:val="0"/>
              <w:keepLines w:val="0"/>
              <w:pageBreakBefore w:val="0"/>
              <w:widowControl/>
              <w:kinsoku/>
              <w:wordWrap/>
              <w:overflowPunct/>
              <w:topLinePunct w:val="0"/>
              <w:autoSpaceDE/>
              <w:autoSpaceDN/>
              <w:bidi w:val="0"/>
              <w:adjustRightInd/>
              <w:snapToGrid/>
              <w:spacing w:before="0" w:beforeLines="0" w:after="0" w:afterLines="0" w:line="240" w:lineRule="auto"/>
              <w:ind w:firstLine="0" w:firstLineChars="0"/>
              <w:textAlignment w:val="baseline"/>
              <w:rPr>
                <w:rFonts w:hint="eastAsia" w:ascii="Times New Roman" w:hAnsi="Times New Roman"/>
                <w:b w:val="0"/>
                <w:bCs w:val="0"/>
                <w:color w:val="auto"/>
                <w:sz w:val="21"/>
                <w:highlight w:val="none"/>
              </w:rPr>
            </w:pPr>
          </w:p>
        </w:tc>
        <w:tc>
          <w:tcPr>
            <w:tcW w:w="1659" w:type="pct"/>
            <w:gridSpan w:val="2"/>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生活垃圾</w:t>
            </w:r>
          </w:p>
        </w:tc>
        <w:tc>
          <w:tcPr>
            <w:tcW w:w="1601"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设置垃圾桶，收集后送交环卫部门处理</w:t>
            </w:r>
          </w:p>
        </w:tc>
        <w:tc>
          <w:tcPr>
            <w:tcW w:w="1353"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满足环境卫生要求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2045" w:type="pct"/>
            <w:gridSpan w:val="3"/>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地下水监测</w:t>
            </w:r>
          </w:p>
        </w:tc>
        <w:tc>
          <w:tcPr>
            <w:tcW w:w="1601"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在沼液消纳地上下游各设置1口监测井</w:t>
            </w:r>
          </w:p>
        </w:tc>
        <w:tc>
          <w:tcPr>
            <w:tcW w:w="1353"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420" w:hRule="atLeast"/>
          <w:jc w:val="center"/>
        </w:trPr>
        <w:tc>
          <w:tcPr>
            <w:tcW w:w="2045" w:type="pct"/>
            <w:gridSpan w:val="3"/>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农田沼液施肥系统</w:t>
            </w:r>
          </w:p>
        </w:tc>
        <w:tc>
          <w:tcPr>
            <w:tcW w:w="1601"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沼液输送管网及水泵</w:t>
            </w:r>
          </w:p>
        </w:tc>
        <w:tc>
          <w:tcPr>
            <w:tcW w:w="1353" w:type="pct"/>
            <w:tcBorders>
              <w:tl2br w:val="nil"/>
              <w:tr2bl w:val="nil"/>
            </w:tcBorders>
            <w:noWrap w:val="0"/>
            <w:vAlign w:val="center"/>
          </w:tcPr>
          <w:p>
            <w:pPr>
              <w:pStyle w:val="125"/>
              <w:spacing w:before="49" w:after="49" w:line="240" w:lineRule="auto"/>
              <w:ind w:firstLine="0" w:firstLineChars="0"/>
              <w:rPr>
                <w:rFonts w:hint="eastAsia" w:ascii="Times New Roman" w:hAnsi="Times New Roman"/>
                <w:b w:val="0"/>
                <w:bCs w:val="0"/>
                <w:color w:val="auto"/>
                <w:sz w:val="21"/>
                <w:highlight w:val="none"/>
              </w:rPr>
            </w:pPr>
            <w:r>
              <w:rPr>
                <w:rFonts w:hint="eastAsia" w:ascii="Times New Roman" w:hAnsi="Times New Roman"/>
                <w:b w:val="0"/>
                <w:bCs w:val="0"/>
                <w:color w:val="auto"/>
                <w:sz w:val="21"/>
                <w:highlight w:val="none"/>
              </w:rPr>
              <w:t>/</w:t>
            </w:r>
          </w:p>
        </w:tc>
      </w:tr>
    </w:tbl>
    <w:p>
      <w:pPr>
        <w:ind w:firstLine="480"/>
        <w:rPr>
          <w:rFonts w:cs="Times New Roman"/>
          <w:color w:val="auto"/>
          <w:highlight w:val="none"/>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pPr>
    </w:p>
    <w:p>
      <w:pPr>
        <w:pStyle w:val="3"/>
        <w:spacing w:before="0" w:beforeLines="0" w:after="0" w:afterLines="0"/>
        <w:rPr>
          <w:rFonts w:cs="Times New Roman"/>
          <w:color w:val="auto"/>
          <w:highlight w:val="none"/>
        </w:rPr>
      </w:pPr>
      <w:bookmarkStart w:id="60" w:name="_Toc20474"/>
      <w:r>
        <w:rPr>
          <w:rFonts w:hint="eastAsia" w:cs="Times New Roman"/>
          <w:color w:val="auto"/>
          <w:highlight w:val="none"/>
          <w:lang w:val="en-US" w:eastAsia="zh-CN"/>
        </w:rPr>
        <w:t>8</w:t>
      </w:r>
      <w:r>
        <w:rPr>
          <w:rFonts w:cs="Times New Roman"/>
          <w:color w:val="auto"/>
          <w:highlight w:val="none"/>
        </w:rPr>
        <w:t>结论</w:t>
      </w:r>
      <w:r>
        <w:rPr>
          <w:rFonts w:hint="eastAsia" w:cs="Times New Roman"/>
          <w:color w:val="auto"/>
          <w:highlight w:val="none"/>
        </w:rPr>
        <w:t>与建议</w:t>
      </w:r>
      <w:bookmarkEnd w:id="60"/>
    </w:p>
    <w:p>
      <w:pPr>
        <w:pStyle w:val="4"/>
        <w:spacing w:before="132"/>
        <w:rPr>
          <w:color w:val="auto"/>
          <w:highlight w:val="none"/>
        </w:rPr>
      </w:pPr>
      <w:bookmarkStart w:id="61" w:name="_Toc6996"/>
      <w:r>
        <w:rPr>
          <w:rFonts w:hint="eastAsia"/>
          <w:color w:val="auto"/>
          <w:highlight w:val="none"/>
          <w:lang w:val="en-US" w:eastAsia="zh-CN"/>
        </w:rPr>
        <w:t>8</w:t>
      </w:r>
      <w:r>
        <w:rPr>
          <w:rFonts w:hint="eastAsia"/>
          <w:color w:val="auto"/>
          <w:highlight w:val="none"/>
        </w:rPr>
        <w:t>.1结论</w:t>
      </w:r>
      <w:bookmarkEnd w:id="61"/>
    </w:p>
    <w:p>
      <w:pPr>
        <w:pStyle w:val="5"/>
        <w:spacing w:before="66"/>
        <w:ind w:firstLine="482"/>
        <w:rPr>
          <w:color w:val="auto"/>
          <w:highlight w:val="none"/>
        </w:rPr>
      </w:pPr>
      <w:r>
        <w:rPr>
          <w:rFonts w:hint="eastAsia"/>
          <w:color w:val="auto"/>
          <w:highlight w:val="none"/>
          <w:lang w:val="en-US" w:eastAsia="zh-CN"/>
        </w:rPr>
        <w:t>8</w:t>
      </w:r>
      <w:r>
        <w:rPr>
          <w:rFonts w:hint="eastAsia"/>
          <w:color w:val="auto"/>
          <w:highlight w:val="none"/>
        </w:rPr>
        <w:t>.1.1</w:t>
      </w:r>
      <w:r>
        <w:rPr>
          <w:color w:val="auto"/>
          <w:highlight w:val="none"/>
        </w:rPr>
        <w:t>项目概况</w:t>
      </w:r>
    </w:p>
    <w:p>
      <w:pPr>
        <w:ind w:firstLine="480"/>
        <w:rPr>
          <w:rFonts w:hint="eastAsia" w:eastAsia="宋体" w:cs="Times New Roman"/>
          <w:color w:val="auto"/>
          <w:highlight w:val="none"/>
          <w:lang w:eastAsia="zh-CN"/>
        </w:rPr>
      </w:pPr>
      <w:r>
        <w:rPr>
          <w:rFonts w:cs="Times New Roman"/>
          <w:color w:val="auto"/>
          <w:highlight w:val="none"/>
        </w:rPr>
        <w:t>项目名称：</w:t>
      </w:r>
      <w:r>
        <w:rPr>
          <w:rFonts w:hint="eastAsia" w:cs="Times New Roman"/>
          <w:color w:val="auto"/>
          <w:highlight w:val="none"/>
          <w:lang w:eastAsia="zh-CN"/>
        </w:rPr>
        <w:t>平舆牧原农牧有限公司平舆四场生猪养殖项目</w:t>
      </w:r>
    </w:p>
    <w:p>
      <w:pPr>
        <w:ind w:firstLine="480"/>
        <w:rPr>
          <w:rFonts w:cs="Times New Roman"/>
          <w:color w:val="auto"/>
          <w:highlight w:val="none"/>
        </w:rPr>
      </w:pPr>
      <w:r>
        <w:rPr>
          <w:rFonts w:cs="Times New Roman"/>
          <w:color w:val="auto"/>
          <w:highlight w:val="none"/>
        </w:rPr>
        <w:t>建设单位：</w:t>
      </w:r>
      <w:r>
        <w:rPr>
          <w:rFonts w:hint="eastAsia" w:cs="Times New Roman"/>
          <w:color w:val="auto"/>
          <w:highlight w:val="none"/>
          <w:lang w:eastAsia="zh-CN"/>
        </w:rPr>
        <w:t>平舆</w:t>
      </w:r>
      <w:r>
        <w:rPr>
          <w:rFonts w:hint="eastAsia" w:cs="Times New Roman"/>
          <w:color w:val="auto"/>
          <w:highlight w:val="none"/>
        </w:rPr>
        <w:t>牧原农牧有限公司</w:t>
      </w:r>
    </w:p>
    <w:p>
      <w:pPr>
        <w:ind w:firstLine="480"/>
        <w:rPr>
          <w:rFonts w:cs="Times New Roman"/>
          <w:color w:val="auto"/>
          <w:highlight w:val="none"/>
        </w:rPr>
      </w:pPr>
      <w:r>
        <w:rPr>
          <w:rFonts w:cs="Times New Roman"/>
          <w:color w:val="auto"/>
          <w:highlight w:val="none"/>
        </w:rPr>
        <w:t>建设性质：</w:t>
      </w:r>
      <w:r>
        <w:rPr>
          <w:rFonts w:hint="eastAsia" w:cs="Times New Roman"/>
          <w:color w:val="auto"/>
          <w:highlight w:val="none"/>
        </w:rPr>
        <w:t>新建</w:t>
      </w:r>
    </w:p>
    <w:p>
      <w:pPr>
        <w:ind w:firstLine="480"/>
        <w:rPr>
          <w:rFonts w:hint="eastAsia" w:eastAsia="宋体" w:cs="Times New Roman"/>
          <w:color w:val="auto"/>
          <w:highlight w:val="none"/>
          <w:lang w:eastAsia="zh-CN"/>
        </w:rPr>
      </w:pPr>
      <w:r>
        <w:rPr>
          <w:rFonts w:hint="eastAsia" w:cs="Times New Roman"/>
          <w:color w:val="auto"/>
          <w:highlight w:val="none"/>
        </w:rPr>
        <w:t>建设地点</w:t>
      </w:r>
      <w:r>
        <w:rPr>
          <w:rFonts w:cs="Times New Roman"/>
          <w:color w:val="auto"/>
          <w:highlight w:val="none"/>
        </w:rPr>
        <w:t>：</w:t>
      </w:r>
      <w:r>
        <w:rPr>
          <w:rFonts w:hint="eastAsia" w:cs="Times New Roman"/>
          <w:color w:val="auto"/>
          <w:highlight w:val="none"/>
        </w:rPr>
        <w:t>河南省</w:t>
      </w:r>
      <w:r>
        <w:rPr>
          <w:rFonts w:hint="eastAsia" w:cs="Times New Roman"/>
          <w:color w:val="auto"/>
          <w:highlight w:val="none"/>
          <w:lang w:eastAsia="zh-CN"/>
        </w:rPr>
        <w:t>驻马店市</w:t>
      </w:r>
      <w:r>
        <w:rPr>
          <w:rFonts w:hint="eastAsia" w:cs="Times New Roman"/>
          <w:color w:val="auto"/>
          <w:highlight w:val="none"/>
        </w:rPr>
        <w:t>平舆县庙湾</w:t>
      </w:r>
      <w:r>
        <w:rPr>
          <w:rFonts w:hint="eastAsia" w:cs="Times New Roman"/>
          <w:color w:val="auto"/>
          <w:highlight w:val="none"/>
          <w:lang w:eastAsia="zh-CN"/>
        </w:rPr>
        <w:t>乡</w:t>
      </w:r>
      <w:r>
        <w:rPr>
          <w:rFonts w:hint="eastAsia" w:cs="Times New Roman"/>
          <w:color w:val="auto"/>
          <w:highlight w:val="none"/>
        </w:rPr>
        <w:t>赵庄村</w:t>
      </w:r>
    </w:p>
    <w:p>
      <w:pPr>
        <w:ind w:firstLine="480"/>
        <w:rPr>
          <w:rFonts w:cs="Times New Roman"/>
          <w:color w:val="auto"/>
          <w:highlight w:val="none"/>
        </w:rPr>
      </w:pPr>
      <w:r>
        <w:rPr>
          <w:rFonts w:hint="eastAsia" w:cs="Times New Roman"/>
          <w:color w:val="auto"/>
          <w:highlight w:val="none"/>
        </w:rPr>
        <w:t>占地面积</w:t>
      </w:r>
      <w:r>
        <w:rPr>
          <w:rFonts w:cs="Times New Roman"/>
          <w:color w:val="auto"/>
          <w:highlight w:val="none"/>
        </w:rPr>
        <w:t>：</w:t>
      </w:r>
      <w:r>
        <w:rPr>
          <w:rFonts w:hint="eastAsia" w:cs="Times New Roman"/>
          <w:color w:val="auto"/>
          <w:highlight w:val="none"/>
        </w:rPr>
        <w:t>项目总占地面积</w:t>
      </w:r>
      <w:r>
        <w:rPr>
          <w:rFonts w:hint="eastAsia" w:cs="Times New Roman"/>
          <w:color w:val="auto"/>
          <w:highlight w:val="none"/>
          <w:lang w:val="en-US" w:eastAsia="zh-CN"/>
        </w:rPr>
        <w:t>250</w:t>
      </w:r>
      <w:r>
        <w:rPr>
          <w:rFonts w:hint="eastAsia" w:cs="Times New Roman"/>
          <w:color w:val="auto"/>
          <w:highlight w:val="none"/>
        </w:rPr>
        <w:t>亩</w:t>
      </w:r>
    </w:p>
    <w:p>
      <w:pPr>
        <w:tabs>
          <w:tab w:val="left" w:pos="7180"/>
        </w:tabs>
        <w:ind w:firstLine="480"/>
        <w:rPr>
          <w:rFonts w:cs="Times New Roman"/>
          <w:color w:val="auto"/>
          <w:highlight w:val="none"/>
        </w:rPr>
      </w:pPr>
      <w:r>
        <w:rPr>
          <w:rFonts w:hint="eastAsia" w:cs="Times New Roman"/>
          <w:color w:val="auto"/>
          <w:highlight w:val="none"/>
        </w:rPr>
        <w:t>项目</w:t>
      </w:r>
      <w:r>
        <w:rPr>
          <w:rFonts w:cs="Times New Roman"/>
          <w:color w:val="auto"/>
          <w:highlight w:val="none"/>
        </w:rPr>
        <w:t>投资：</w:t>
      </w:r>
      <w:r>
        <w:rPr>
          <w:rFonts w:hint="eastAsia" w:cs="Times New Roman"/>
          <w:color w:val="auto"/>
          <w:highlight w:val="none"/>
        </w:rPr>
        <w:t>总投资</w:t>
      </w:r>
      <w:r>
        <w:rPr>
          <w:rFonts w:hint="eastAsia" w:cs="Times New Roman"/>
          <w:color w:val="auto"/>
          <w:highlight w:val="none"/>
          <w:lang w:val="en-US" w:eastAsia="zh-CN"/>
        </w:rPr>
        <w:t>12026.4</w:t>
      </w:r>
      <w:r>
        <w:rPr>
          <w:rFonts w:hint="eastAsia" w:cs="Times New Roman"/>
          <w:color w:val="auto"/>
          <w:highlight w:val="none"/>
        </w:rPr>
        <w:t>万元，其中</w:t>
      </w:r>
      <w:r>
        <w:rPr>
          <w:rFonts w:hint="eastAsia" w:cs="Times New Roman"/>
          <w:color w:val="auto"/>
          <w:highlight w:val="none"/>
          <w:lang w:eastAsia="zh-CN"/>
        </w:rPr>
        <w:t>环保</w:t>
      </w:r>
      <w:r>
        <w:rPr>
          <w:rFonts w:hint="eastAsia" w:cs="Times New Roman"/>
          <w:color w:val="auto"/>
          <w:highlight w:val="none"/>
        </w:rPr>
        <w:t>投资</w:t>
      </w:r>
      <w:r>
        <w:rPr>
          <w:rFonts w:hint="eastAsia" w:cs="Times New Roman"/>
          <w:color w:val="auto"/>
          <w:highlight w:val="none"/>
          <w:lang w:val="en-US" w:eastAsia="zh-CN"/>
        </w:rPr>
        <w:t>508</w:t>
      </w:r>
      <w:r>
        <w:rPr>
          <w:rFonts w:hint="eastAsia" w:cs="Times New Roman"/>
          <w:color w:val="auto"/>
          <w:highlight w:val="none"/>
        </w:rPr>
        <w:t>万元</w:t>
      </w:r>
    </w:p>
    <w:p>
      <w:pPr>
        <w:ind w:firstLine="480"/>
        <w:rPr>
          <w:color w:val="auto"/>
          <w:highlight w:val="none"/>
        </w:rPr>
      </w:pPr>
      <w:r>
        <w:rPr>
          <w:rFonts w:hint="eastAsia" w:cs="Times New Roman"/>
          <w:color w:val="auto"/>
          <w:highlight w:val="none"/>
        </w:rPr>
        <w:t>行业类别：</w:t>
      </w:r>
      <w:r>
        <w:rPr>
          <w:rFonts w:hint="eastAsia"/>
          <w:color w:val="auto"/>
          <w:highlight w:val="none"/>
        </w:rPr>
        <w:t>C0313猪的饲养</w:t>
      </w:r>
    </w:p>
    <w:p>
      <w:pPr>
        <w:pStyle w:val="5"/>
        <w:spacing w:before="66"/>
        <w:ind w:firstLine="482"/>
        <w:rPr>
          <w:color w:val="auto"/>
          <w:highlight w:val="none"/>
        </w:rPr>
      </w:pPr>
      <w:r>
        <w:rPr>
          <w:rFonts w:hint="eastAsia"/>
          <w:color w:val="auto"/>
          <w:highlight w:val="none"/>
          <w:lang w:val="en-US" w:eastAsia="zh-CN"/>
        </w:rPr>
        <w:t>8</w:t>
      </w:r>
      <w:r>
        <w:rPr>
          <w:rFonts w:hint="eastAsia"/>
          <w:color w:val="auto"/>
          <w:highlight w:val="none"/>
        </w:rPr>
        <w:t>.1.2</w:t>
      </w:r>
      <w:r>
        <w:rPr>
          <w:color w:val="auto"/>
          <w:highlight w:val="none"/>
        </w:rPr>
        <w:t>项目</w:t>
      </w:r>
      <w:r>
        <w:rPr>
          <w:rFonts w:hint="eastAsia"/>
          <w:color w:val="auto"/>
          <w:highlight w:val="none"/>
        </w:rPr>
        <w:t>可行性</w:t>
      </w:r>
    </w:p>
    <w:p>
      <w:pPr>
        <w:keepNext w:val="0"/>
        <w:keepLines w:val="0"/>
        <w:pageBreakBefore w:val="0"/>
        <w:widowControl/>
        <w:kinsoku/>
        <w:wordWrap/>
        <w:overflowPunct/>
        <w:topLinePunct w:val="0"/>
        <w:autoSpaceDE/>
        <w:autoSpaceDN/>
        <w:bidi w:val="0"/>
        <w:adjustRightInd/>
        <w:snapToGrid/>
        <w:ind w:firstLine="480" w:firstLineChars="200"/>
        <w:textAlignment w:val="auto"/>
        <w:rPr>
          <w:color w:val="auto"/>
          <w:highlight w:val="none"/>
        </w:rPr>
      </w:pPr>
      <w:r>
        <w:rPr>
          <w:rFonts w:hint="eastAsia"/>
          <w:color w:val="auto"/>
          <w:highlight w:val="none"/>
        </w:rPr>
        <w:t>（1）与《产业结构调整指导目录（2011及2013年修改）》相符性分析</w:t>
      </w:r>
    </w:p>
    <w:p>
      <w:pPr>
        <w:keepNext w:val="0"/>
        <w:keepLines w:val="0"/>
        <w:pageBreakBefore w:val="0"/>
        <w:widowControl/>
        <w:kinsoku/>
        <w:wordWrap/>
        <w:overflowPunct/>
        <w:topLinePunct w:val="0"/>
        <w:autoSpaceDE/>
        <w:autoSpaceDN/>
        <w:bidi w:val="0"/>
        <w:adjustRightInd/>
        <w:snapToGrid/>
        <w:ind w:firstLine="480" w:firstLineChars="200"/>
        <w:textAlignment w:val="auto"/>
        <w:rPr>
          <w:color w:val="auto"/>
          <w:highlight w:val="none"/>
        </w:rPr>
      </w:pPr>
      <w:r>
        <w:rPr>
          <w:rFonts w:hint="eastAsia"/>
          <w:color w:val="auto"/>
          <w:highlight w:val="none"/>
        </w:rPr>
        <w:t>本项目为生猪规模化养殖建设项目，已经在</w:t>
      </w:r>
      <w:r>
        <w:rPr>
          <w:rFonts w:hint="eastAsia"/>
          <w:color w:val="auto"/>
          <w:highlight w:val="none"/>
          <w:lang w:eastAsia="zh-CN"/>
        </w:rPr>
        <w:t>平舆县</w:t>
      </w:r>
      <w:r>
        <w:rPr>
          <w:rFonts w:hint="eastAsia"/>
          <w:color w:val="auto"/>
          <w:highlight w:val="none"/>
        </w:rPr>
        <w:t>发展和改革委员会备案（见附件</w:t>
      </w:r>
      <w:r>
        <w:rPr>
          <w:rFonts w:hint="eastAsia"/>
          <w:color w:val="auto"/>
          <w:highlight w:val="none"/>
          <w:lang w:eastAsia="zh-CN"/>
        </w:rPr>
        <w:t>二</w:t>
      </w:r>
      <w:r>
        <w:rPr>
          <w:rFonts w:hint="eastAsia"/>
          <w:color w:val="auto"/>
          <w:highlight w:val="none"/>
        </w:rPr>
        <w:t>）</w:t>
      </w:r>
      <w:r>
        <w:rPr>
          <w:rFonts w:hint="eastAsia"/>
          <w:color w:val="auto"/>
          <w:highlight w:val="none"/>
          <w:lang w:eastAsia="zh-CN"/>
        </w:rPr>
        <w:t>。</w:t>
      </w:r>
      <w:r>
        <w:rPr>
          <w:rFonts w:hint="eastAsia"/>
          <w:color w:val="auto"/>
          <w:highlight w:val="none"/>
        </w:rPr>
        <w:t>根据国家发展和改革委员会第9号令《产业结构调整指导目录》（2011年本）（2013年修正版），本项目属于鼓励类“一、农林业5、畜禽标准化规模养殖技术开发与应用”，工艺、设备均不在限制类和淘汰类范围内，符合国家产业政策</w:t>
      </w:r>
      <w:r>
        <w:rPr>
          <w:color w:val="auto"/>
          <w:highlight w:val="none"/>
        </w:rPr>
        <w:t>。</w:t>
      </w:r>
    </w:p>
    <w:p>
      <w:pPr>
        <w:keepNext w:val="0"/>
        <w:keepLines w:val="0"/>
        <w:pageBreakBefore w:val="0"/>
        <w:widowControl/>
        <w:numPr>
          <w:ilvl w:val="0"/>
          <w:numId w:val="0"/>
        </w:numPr>
        <w:kinsoku/>
        <w:wordWrap/>
        <w:overflowPunct/>
        <w:topLinePunct w:val="0"/>
        <w:autoSpaceDE/>
        <w:autoSpaceDN/>
        <w:bidi w:val="0"/>
        <w:adjustRightInd/>
        <w:snapToGrid/>
        <w:ind w:leftChars="200"/>
        <w:textAlignment w:val="auto"/>
        <w:rPr>
          <w:rFonts w:hint="eastAsia"/>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与饮用水水源地保护区划相符性分析</w:t>
      </w:r>
    </w:p>
    <w:p>
      <w:pPr>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rPr>
          <w:color w:val="auto"/>
          <w:highlight w:val="none"/>
        </w:rPr>
      </w:pPr>
      <w:r>
        <w:rPr>
          <w:rFonts w:hint="eastAsia"/>
          <w:color w:val="auto"/>
          <w:highlight w:val="none"/>
        </w:rPr>
        <w:t>本项目位于</w:t>
      </w:r>
      <w:r>
        <w:rPr>
          <w:rFonts w:hint="eastAsia"/>
          <w:color w:val="auto"/>
          <w:highlight w:val="none"/>
          <w:lang w:eastAsia="zh-CN"/>
        </w:rPr>
        <w:t>平舆</w:t>
      </w:r>
      <w:r>
        <w:rPr>
          <w:rFonts w:hint="eastAsia"/>
          <w:color w:val="auto"/>
          <w:highlight w:val="none"/>
        </w:rPr>
        <w:t>县</w:t>
      </w:r>
      <w:r>
        <w:rPr>
          <w:rFonts w:hint="eastAsia"/>
          <w:color w:val="auto"/>
          <w:highlight w:val="none"/>
          <w:lang w:eastAsia="zh-CN"/>
        </w:rPr>
        <w:t>庙湾乡赵庄村</w:t>
      </w:r>
      <w:r>
        <w:rPr>
          <w:rFonts w:hint="eastAsia"/>
          <w:color w:val="auto"/>
          <w:highlight w:val="none"/>
        </w:rPr>
        <w:t>，</w:t>
      </w:r>
      <w:r>
        <w:rPr>
          <w:rFonts w:hint="eastAsia"/>
          <w:color w:val="auto"/>
          <w:highlight w:val="none"/>
          <w:lang w:eastAsia="zh-CN"/>
        </w:rPr>
        <w:t>距离</w:t>
      </w:r>
      <w:r>
        <w:rPr>
          <w:rFonts w:hint="eastAsia"/>
          <w:color w:val="auto"/>
          <w:highlight w:val="none"/>
        </w:rPr>
        <w:t>平舆县城市饮用水水源地一级保护区最近距离约为12.8km，不在</w:t>
      </w:r>
      <w:r>
        <w:rPr>
          <w:rFonts w:hint="eastAsia"/>
          <w:color w:val="auto"/>
          <w:highlight w:val="none"/>
          <w:lang w:eastAsia="zh-CN"/>
        </w:rPr>
        <w:t>平舆</w:t>
      </w:r>
      <w:r>
        <w:rPr>
          <w:rFonts w:hint="eastAsia"/>
          <w:color w:val="auto"/>
          <w:highlight w:val="none"/>
        </w:rPr>
        <w:t>县饮用水水源保护区范围内，故项目的建设与</w:t>
      </w:r>
      <w:r>
        <w:rPr>
          <w:rFonts w:hint="eastAsia"/>
          <w:color w:val="auto"/>
          <w:highlight w:val="none"/>
          <w:lang w:eastAsia="zh-CN"/>
        </w:rPr>
        <w:t>平舆</w:t>
      </w:r>
      <w:r>
        <w:rPr>
          <w:rFonts w:hint="eastAsia"/>
          <w:color w:val="auto"/>
          <w:highlight w:val="none"/>
        </w:rPr>
        <w:t>县饮用水水源地保护区划是相符的。本项目位于</w:t>
      </w:r>
      <w:r>
        <w:rPr>
          <w:rFonts w:hint="eastAsia"/>
          <w:color w:val="auto"/>
          <w:highlight w:val="none"/>
          <w:lang w:eastAsia="zh-CN"/>
        </w:rPr>
        <w:t>平舆</w:t>
      </w:r>
      <w:r>
        <w:rPr>
          <w:rFonts w:hint="eastAsia"/>
          <w:color w:val="auto"/>
          <w:highlight w:val="none"/>
        </w:rPr>
        <w:t>县</w:t>
      </w:r>
      <w:r>
        <w:rPr>
          <w:rFonts w:hint="eastAsia"/>
          <w:color w:val="auto"/>
          <w:highlight w:val="none"/>
          <w:lang w:eastAsia="zh-CN"/>
        </w:rPr>
        <w:t>庙湾乡赵庄村</w:t>
      </w:r>
      <w:r>
        <w:rPr>
          <w:rFonts w:hint="eastAsia"/>
          <w:color w:val="auto"/>
          <w:highlight w:val="none"/>
        </w:rPr>
        <w:t>，距离</w:t>
      </w:r>
      <w:r>
        <w:rPr>
          <w:rFonts w:hint="eastAsia"/>
          <w:color w:val="auto"/>
          <w:highlight w:val="none"/>
          <w:lang w:eastAsia="zh-CN"/>
        </w:rPr>
        <w:t>平舆县庙湾镇地下水井2.4km</w:t>
      </w:r>
      <w:r>
        <w:rPr>
          <w:rFonts w:hint="eastAsia"/>
          <w:color w:val="auto"/>
          <w:highlight w:val="none"/>
        </w:rPr>
        <w:t>，本项目不在其一级保护范围</w:t>
      </w:r>
      <w:r>
        <w:rPr>
          <w:rFonts w:hint="eastAsia"/>
          <w:color w:val="auto"/>
          <w:highlight w:val="none"/>
          <w:lang w:eastAsia="zh-CN"/>
        </w:rPr>
        <w:t>内</w:t>
      </w:r>
      <w:r>
        <w:rPr>
          <w:rFonts w:hint="eastAsia"/>
          <w:color w:val="auto"/>
          <w:highlight w:val="none"/>
        </w:rPr>
        <w:t>。</w:t>
      </w:r>
    </w:p>
    <w:p>
      <w:pPr>
        <w:keepNext w:val="0"/>
        <w:keepLines w:val="0"/>
        <w:pageBreakBefore w:val="0"/>
        <w:widowControl/>
        <w:kinsoku/>
        <w:wordWrap/>
        <w:overflowPunct/>
        <w:topLinePunct w:val="0"/>
        <w:autoSpaceDE/>
        <w:autoSpaceDN/>
        <w:bidi w:val="0"/>
        <w:adjustRightInd/>
        <w:snapToGrid/>
        <w:ind w:firstLine="480" w:firstLineChars="200"/>
        <w:textAlignment w:val="auto"/>
        <w:rPr>
          <w:color w:val="auto"/>
          <w:highlight w:val="none"/>
        </w:rPr>
      </w:pPr>
      <w:r>
        <w:rPr>
          <w:rFonts w:hint="eastAsia"/>
          <w:color w:val="auto"/>
          <w:highlight w:val="none"/>
        </w:rPr>
        <w:t>（3）与</w:t>
      </w:r>
      <w:r>
        <w:rPr>
          <w:rFonts w:hint="eastAsia"/>
          <w:color w:val="auto"/>
          <w:highlight w:val="none"/>
          <w:lang w:eastAsia="zh-CN"/>
        </w:rPr>
        <w:t>平舆县畜禽养殖禁养区划分方案</w:t>
      </w:r>
      <w:r>
        <w:rPr>
          <w:rFonts w:hint="eastAsia"/>
          <w:color w:val="auto"/>
          <w:highlight w:val="none"/>
        </w:rPr>
        <w:t>相符性分析</w:t>
      </w:r>
    </w:p>
    <w:p>
      <w:pPr>
        <w:keepNext w:val="0"/>
        <w:keepLines w:val="0"/>
        <w:pageBreakBefore w:val="0"/>
        <w:widowControl/>
        <w:kinsoku/>
        <w:wordWrap/>
        <w:overflowPunct/>
        <w:topLinePunct w:val="0"/>
        <w:autoSpaceDE/>
        <w:autoSpaceDN/>
        <w:bidi w:val="0"/>
        <w:adjustRightInd/>
        <w:snapToGrid/>
        <w:ind w:firstLine="480" w:firstLineChars="200"/>
        <w:textAlignment w:val="auto"/>
        <w:rPr>
          <w:color w:val="auto"/>
          <w:highlight w:val="none"/>
        </w:rPr>
      </w:pPr>
      <w:r>
        <w:rPr>
          <w:rFonts w:hint="eastAsia"/>
          <w:color w:val="auto"/>
          <w:highlight w:val="none"/>
        </w:rPr>
        <w:t>本项目位于</w:t>
      </w:r>
      <w:r>
        <w:rPr>
          <w:rFonts w:hint="eastAsia"/>
          <w:color w:val="auto"/>
          <w:highlight w:val="none"/>
          <w:lang w:eastAsia="zh-CN"/>
        </w:rPr>
        <w:t>平舆</w:t>
      </w:r>
      <w:r>
        <w:rPr>
          <w:rFonts w:hint="eastAsia"/>
          <w:color w:val="auto"/>
          <w:highlight w:val="none"/>
        </w:rPr>
        <w:t>县</w:t>
      </w:r>
      <w:r>
        <w:rPr>
          <w:rFonts w:hint="eastAsia"/>
          <w:color w:val="auto"/>
          <w:highlight w:val="none"/>
          <w:lang w:eastAsia="zh-CN"/>
        </w:rPr>
        <w:t>庙湾乡赵庄村</w:t>
      </w:r>
      <w:r>
        <w:rPr>
          <w:rFonts w:hint="eastAsia"/>
          <w:color w:val="auto"/>
          <w:highlight w:val="none"/>
        </w:rPr>
        <w:t>，场区四周均为农耕地，根据现场勘踏，经与</w:t>
      </w:r>
      <w:r>
        <w:rPr>
          <w:rFonts w:ascii="Times New Roman" w:hAnsi="Times New Roman"/>
          <w:color w:val="auto"/>
          <w:sz w:val="24"/>
          <w:highlight w:val="none"/>
        </w:rPr>
        <w:t>《</w:t>
      </w:r>
      <w:r>
        <w:rPr>
          <w:rFonts w:hint="eastAsia"/>
          <w:color w:val="auto"/>
          <w:sz w:val="24"/>
          <w:highlight w:val="none"/>
          <w:lang w:eastAsia="zh-CN"/>
        </w:rPr>
        <w:t>平舆</w:t>
      </w:r>
      <w:r>
        <w:rPr>
          <w:rFonts w:ascii="Times New Roman" w:hAnsi="Times New Roman"/>
          <w:color w:val="auto"/>
          <w:sz w:val="24"/>
          <w:highlight w:val="none"/>
        </w:rPr>
        <w:t>县畜禽养殖禁养区划</w:t>
      </w:r>
      <w:r>
        <w:rPr>
          <w:rFonts w:hint="eastAsia"/>
          <w:color w:val="auto"/>
          <w:sz w:val="24"/>
          <w:highlight w:val="none"/>
          <w:lang w:eastAsia="zh-CN"/>
        </w:rPr>
        <w:t>分</w:t>
      </w:r>
      <w:r>
        <w:rPr>
          <w:rFonts w:ascii="Times New Roman" w:hAnsi="Times New Roman"/>
          <w:color w:val="auto"/>
          <w:sz w:val="24"/>
          <w:highlight w:val="none"/>
        </w:rPr>
        <w:t>方案》</w:t>
      </w:r>
      <w:r>
        <w:rPr>
          <w:rFonts w:hint="eastAsia"/>
          <w:color w:val="auto"/>
          <w:highlight w:val="none"/>
        </w:rPr>
        <w:t>比对可知，距离最近的村庄为东北侧420m处的吴自岐庄，不在</w:t>
      </w:r>
      <w:r>
        <w:rPr>
          <w:rFonts w:hint="eastAsia"/>
          <w:color w:val="auto"/>
          <w:highlight w:val="none"/>
          <w:lang w:eastAsia="zh-CN"/>
        </w:rPr>
        <w:t>平舆</w:t>
      </w:r>
      <w:r>
        <w:rPr>
          <w:rFonts w:hint="eastAsia"/>
          <w:color w:val="auto"/>
          <w:highlight w:val="none"/>
        </w:rPr>
        <w:t>县划定的禁养区范围内，</w:t>
      </w:r>
      <w:r>
        <w:rPr>
          <w:rFonts w:hint="eastAsia"/>
          <w:color w:val="auto"/>
          <w:highlight w:val="none"/>
          <w:lang w:eastAsia="zh-CN"/>
        </w:rPr>
        <w:t>平舆</w:t>
      </w:r>
      <w:r>
        <w:rPr>
          <w:rFonts w:hint="eastAsia"/>
          <w:color w:val="auto"/>
          <w:highlight w:val="none"/>
        </w:rPr>
        <w:t>县</w:t>
      </w:r>
      <w:r>
        <w:rPr>
          <w:rFonts w:hint="eastAsia"/>
          <w:color w:val="auto"/>
          <w:highlight w:val="none"/>
          <w:lang w:eastAsia="zh-CN"/>
        </w:rPr>
        <w:t>农业农村</w:t>
      </w:r>
      <w:r>
        <w:rPr>
          <w:rFonts w:hint="eastAsia"/>
          <w:color w:val="auto"/>
          <w:highlight w:val="none"/>
        </w:rPr>
        <w:t>局关于本项目不在禁养区、限养区的证明见附件</w:t>
      </w:r>
      <w:r>
        <w:rPr>
          <w:rFonts w:hint="eastAsia"/>
          <w:color w:val="auto"/>
          <w:highlight w:val="none"/>
          <w:lang w:eastAsia="zh-CN"/>
        </w:rPr>
        <w:t>五</w:t>
      </w:r>
      <w:r>
        <w:rPr>
          <w:rFonts w:hint="eastAsia"/>
          <w:color w:val="auto"/>
          <w:highlight w:val="none"/>
        </w:rPr>
        <w:t>，因此项目建设符合选址要求。</w:t>
      </w:r>
    </w:p>
    <w:p>
      <w:pPr>
        <w:keepNext w:val="0"/>
        <w:keepLines w:val="0"/>
        <w:pageBreakBefore w:val="0"/>
        <w:widowControl/>
        <w:kinsoku/>
        <w:wordWrap/>
        <w:overflowPunct/>
        <w:topLinePunct w:val="0"/>
        <w:autoSpaceDE/>
        <w:autoSpaceDN/>
        <w:bidi w:val="0"/>
        <w:adjustRightInd/>
        <w:snapToGrid/>
        <w:ind w:firstLine="480"/>
        <w:textAlignment w:val="auto"/>
        <w:rPr>
          <w:color w:val="auto"/>
          <w:highlight w:val="none"/>
        </w:rPr>
      </w:pPr>
      <w:r>
        <w:rPr>
          <w:rFonts w:hint="eastAsia"/>
          <w:color w:val="auto"/>
          <w:highlight w:val="none"/>
        </w:rPr>
        <w:t>综上，</w:t>
      </w:r>
      <w:r>
        <w:rPr>
          <w:color w:val="auto"/>
          <w:highlight w:val="none"/>
        </w:rPr>
        <w:t>本项目符合国家产业和环保政策，项目</w:t>
      </w:r>
      <w:r>
        <w:rPr>
          <w:rFonts w:hint="eastAsia"/>
          <w:color w:val="auto"/>
          <w:highlight w:val="none"/>
        </w:rPr>
        <w:t>用地</w:t>
      </w:r>
      <w:r>
        <w:rPr>
          <w:color w:val="auto"/>
          <w:highlight w:val="none"/>
        </w:rPr>
        <w:t>符合</w:t>
      </w:r>
      <w:r>
        <w:rPr>
          <w:rFonts w:hint="eastAsia"/>
          <w:color w:val="auto"/>
          <w:highlight w:val="none"/>
        </w:rPr>
        <w:t>相关规划</w:t>
      </w:r>
      <w:r>
        <w:rPr>
          <w:color w:val="auto"/>
          <w:highlight w:val="none"/>
        </w:rPr>
        <w:t>，平面布置合理。从环保角度出发，项目可行。</w:t>
      </w:r>
    </w:p>
    <w:p>
      <w:pPr>
        <w:pStyle w:val="5"/>
        <w:spacing w:before="66"/>
        <w:ind w:firstLine="482"/>
        <w:rPr>
          <w:color w:val="auto"/>
          <w:highlight w:val="none"/>
        </w:rPr>
      </w:pPr>
      <w:r>
        <w:rPr>
          <w:rFonts w:hint="eastAsia"/>
          <w:color w:val="auto"/>
          <w:highlight w:val="none"/>
          <w:lang w:val="en-US" w:eastAsia="zh-CN"/>
        </w:rPr>
        <w:t>8</w:t>
      </w:r>
      <w:r>
        <w:rPr>
          <w:rFonts w:hint="eastAsia"/>
          <w:color w:val="auto"/>
          <w:highlight w:val="none"/>
        </w:rPr>
        <w:t>.1.3</w:t>
      </w:r>
      <w:r>
        <w:rPr>
          <w:color w:val="auto"/>
          <w:highlight w:val="none"/>
        </w:rPr>
        <w:t>区域环境质量现状</w:t>
      </w:r>
    </w:p>
    <w:p>
      <w:pPr>
        <w:ind w:firstLine="480"/>
        <w:rPr>
          <w:color w:val="auto"/>
          <w:highlight w:val="none"/>
        </w:rPr>
      </w:pPr>
      <w:r>
        <w:rPr>
          <w:color w:val="auto"/>
          <w:highlight w:val="none"/>
        </w:rPr>
        <w:t>大气环境：</w:t>
      </w:r>
      <w:r>
        <w:rPr>
          <w:rFonts w:hint="eastAsia"/>
          <w:color w:val="auto"/>
          <w:sz w:val="24"/>
          <w:szCs w:val="28"/>
          <w:highlight w:val="none"/>
          <w:lang w:eastAsia="zh-CN"/>
        </w:rPr>
        <w:t>平舆</w:t>
      </w:r>
      <w:r>
        <w:rPr>
          <w:rFonts w:hint="eastAsia" w:ascii="Times New Roman" w:hAnsi="Times New Roman"/>
          <w:color w:val="auto"/>
          <w:sz w:val="24"/>
          <w:szCs w:val="28"/>
          <w:highlight w:val="none"/>
        </w:rPr>
        <w:t>县区域</w:t>
      </w:r>
      <w:r>
        <w:rPr>
          <w:rFonts w:hint="eastAsia"/>
          <w:color w:val="auto"/>
          <w:sz w:val="24"/>
          <w:szCs w:val="28"/>
          <w:highlight w:val="none"/>
          <w:lang w:eastAsia="zh-CN"/>
        </w:rPr>
        <w:t>超标因子为</w:t>
      </w:r>
      <w:r>
        <w:rPr>
          <w:rFonts w:hint="eastAsia"/>
          <w:color w:val="auto"/>
          <w:highlight w:val="none"/>
        </w:rPr>
        <w:t>PM</w:t>
      </w:r>
      <w:r>
        <w:rPr>
          <w:rFonts w:hint="eastAsia"/>
          <w:color w:val="auto"/>
          <w:highlight w:val="none"/>
          <w:vertAlign w:val="subscript"/>
        </w:rPr>
        <w:t>2.5</w:t>
      </w:r>
      <w:r>
        <w:rPr>
          <w:rFonts w:hint="eastAsia"/>
          <w:color w:val="auto"/>
          <w:highlight w:val="none"/>
        </w:rPr>
        <w:t>、PM</w:t>
      </w:r>
      <w:r>
        <w:rPr>
          <w:rFonts w:hint="eastAsia"/>
          <w:color w:val="auto"/>
          <w:highlight w:val="none"/>
          <w:vertAlign w:val="subscript"/>
        </w:rPr>
        <w:t>10</w:t>
      </w:r>
      <w:r>
        <w:rPr>
          <w:rFonts w:hint="eastAsia"/>
          <w:color w:val="auto"/>
          <w:highlight w:val="none"/>
        </w:rPr>
        <w:t>、臭氧</w:t>
      </w:r>
      <w:r>
        <w:rPr>
          <w:rFonts w:hint="eastAsia"/>
          <w:color w:val="auto"/>
          <w:highlight w:val="none"/>
          <w:lang w:eastAsia="zh-CN"/>
        </w:rPr>
        <w:t>，</w:t>
      </w:r>
      <w:r>
        <w:rPr>
          <w:rFonts w:ascii="Times New Roman" w:hAnsi="Times New Roman"/>
          <w:color w:val="auto"/>
          <w:sz w:val="24"/>
          <w:szCs w:val="28"/>
          <w:highlight w:val="none"/>
        </w:rPr>
        <w:t>SO</w:t>
      </w:r>
      <w:r>
        <w:rPr>
          <w:rFonts w:ascii="Times New Roman" w:hAnsi="Times New Roman"/>
          <w:color w:val="auto"/>
          <w:sz w:val="24"/>
          <w:szCs w:val="28"/>
          <w:highlight w:val="none"/>
          <w:vertAlign w:val="subscript"/>
        </w:rPr>
        <w:t>2</w:t>
      </w:r>
      <w:r>
        <w:rPr>
          <w:rFonts w:ascii="Times New Roman" w:hAnsi="Times New Roman"/>
          <w:color w:val="auto"/>
          <w:sz w:val="24"/>
          <w:szCs w:val="28"/>
          <w:highlight w:val="none"/>
        </w:rPr>
        <w:t>、</w:t>
      </w:r>
      <w:r>
        <w:rPr>
          <w:rFonts w:hint="eastAsia" w:ascii="Times New Roman" w:hAnsi="Times New Roman"/>
          <w:color w:val="auto"/>
          <w:sz w:val="24"/>
          <w:szCs w:val="28"/>
          <w:highlight w:val="none"/>
        </w:rPr>
        <w:t>CO、</w:t>
      </w:r>
      <w:r>
        <w:rPr>
          <w:rFonts w:ascii="Times New Roman" w:hAnsi="Times New Roman"/>
          <w:color w:val="auto"/>
          <w:sz w:val="24"/>
          <w:szCs w:val="28"/>
          <w:highlight w:val="none"/>
        </w:rPr>
        <w:t>NO</w:t>
      </w:r>
      <w:r>
        <w:rPr>
          <w:rFonts w:ascii="Times New Roman" w:hAnsi="Times New Roman"/>
          <w:color w:val="auto"/>
          <w:sz w:val="24"/>
          <w:szCs w:val="28"/>
          <w:highlight w:val="none"/>
          <w:vertAlign w:val="subscript"/>
        </w:rPr>
        <w:t>2</w:t>
      </w:r>
      <w:r>
        <w:rPr>
          <w:rFonts w:ascii="Times New Roman" w:hAnsi="Times New Roman"/>
          <w:color w:val="auto"/>
          <w:sz w:val="24"/>
          <w:szCs w:val="28"/>
          <w:highlight w:val="none"/>
        </w:rPr>
        <w:t>浓度</w:t>
      </w:r>
      <w:r>
        <w:rPr>
          <w:rFonts w:hint="eastAsia" w:ascii="Times New Roman" w:hAnsi="Times New Roman"/>
          <w:color w:val="auto"/>
          <w:sz w:val="24"/>
          <w:szCs w:val="28"/>
          <w:highlight w:val="none"/>
        </w:rPr>
        <w:t>全部达标</w:t>
      </w:r>
      <w:r>
        <w:rPr>
          <w:rFonts w:ascii="Times New Roman" w:hAnsi="Times New Roman"/>
          <w:color w:val="auto"/>
          <w:sz w:val="24"/>
          <w:highlight w:val="none"/>
        </w:rPr>
        <w:t>，项目所在</w:t>
      </w:r>
      <w:r>
        <w:rPr>
          <w:rFonts w:hint="eastAsia" w:ascii="Times New Roman" w:hAnsi="Times New Roman"/>
          <w:color w:val="auto"/>
          <w:sz w:val="24"/>
          <w:highlight w:val="none"/>
        </w:rPr>
        <w:t>区域</w:t>
      </w:r>
      <w:r>
        <w:rPr>
          <w:rFonts w:ascii="Times New Roman" w:hAnsi="Times New Roman"/>
          <w:color w:val="auto"/>
          <w:sz w:val="24"/>
          <w:highlight w:val="none"/>
        </w:rPr>
        <w:t>属于</w:t>
      </w:r>
      <w:r>
        <w:rPr>
          <w:rFonts w:hint="eastAsia"/>
          <w:color w:val="auto"/>
          <w:sz w:val="24"/>
          <w:highlight w:val="none"/>
          <w:lang w:eastAsia="zh-CN"/>
        </w:rPr>
        <w:t>不</w:t>
      </w:r>
      <w:r>
        <w:rPr>
          <w:rFonts w:ascii="Times New Roman" w:hAnsi="Times New Roman"/>
          <w:color w:val="auto"/>
          <w:sz w:val="24"/>
          <w:highlight w:val="none"/>
        </w:rPr>
        <w:t>达标区</w:t>
      </w:r>
      <w:r>
        <w:rPr>
          <w:rFonts w:hint="eastAsia"/>
          <w:color w:val="auto"/>
          <w:sz w:val="24"/>
          <w:highlight w:val="none"/>
          <w:lang w:eastAsia="zh-CN"/>
        </w:rPr>
        <w:t>。</w:t>
      </w:r>
      <w:r>
        <w:rPr>
          <w:rFonts w:hint="eastAsia"/>
          <w:color w:val="auto"/>
          <w:highlight w:val="none"/>
        </w:rPr>
        <w:t>监测结果表明</w:t>
      </w:r>
      <w:r>
        <w:rPr>
          <w:rFonts w:hint="eastAsia"/>
          <w:color w:val="auto"/>
          <w:highlight w:val="none"/>
          <w:lang w:eastAsia="zh-CN"/>
        </w:rPr>
        <w:t>补充</w:t>
      </w:r>
      <w:r>
        <w:rPr>
          <w:rFonts w:hint="eastAsia"/>
          <w:color w:val="auto"/>
          <w:highlight w:val="none"/>
        </w:rPr>
        <w:t>监测点</w:t>
      </w:r>
      <w:r>
        <w:rPr>
          <w:rFonts w:hint="eastAsia"/>
          <w:color w:val="auto"/>
          <w:highlight w:val="none"/>
          <w:lang w:eastAsia="zh-CN"/>
        </w:rPr>
        <w:t>吴自岐庄、下王湾、小吴庄</w:t>
      </w:r>
      <w:r>
        <w:rPr>
          <w:rFonts w:hint="eastAsia" w:ascii="Times New Roman" w:hAnsi="Times New Roman"/>
          <w:color w:val="auto"/>
          <w:sz w:val="24"/>
          <w:szCs w:val="28"/>
          <w:highlight w:val="none"/>
        </w:rPr>
        <w:t>环境空气中</w:t>
      </w:r>
      <w:r>
        <w:rPr>
          <w:color w:val="auto"/>
          <w:sz w:val="24"/>
          <w:highlight w:val="none"/>
        </w:rPr>
        <w:t>H</w:t>
      </w:r>
      <w:r>
        <w:rPr>
          <w:color w:val="auto"/>
          <w:sz w:val="24"/>
          <w:highlight w:val="none"/>
          <w:vertAlign w:val="subscript"/>
        </w:rPr>
        <w:t>2</w:t>
      </w:r>
      <w:r>
        <w:rPr>
          <w:color w:val="auto"/>
          <w:sz w:val="24"/>
          <w:highlight w:val="none"/>
        </w:rPr>
        <w:t>S、NH</w:t>
      </w:r>
      <w:r>
        <w:rPr>
          <w:color w:val="auto"/>
          <w:sz w:val="24"/>
          <w:highlight w:val="none"/>
          <w:vertAlign w:val="subscript"/>
        </w:rPr>
        <w:t>3</w:t>
      </w:r>
      <w:r>
        <w:rPr>
          <w:rFonts w:hint="eastAsia"/>
          <w:color w:val="auto"/>
          <w:highlight w:val="none"/>
        </w:rPr>
        <w:t>小时值均能达到《环境空气质量标准》（GB3095-96）的二级标准</w:t>
      </w:r>
      <w:r>
        <w:rPr>
          <w:color w:val="auto"/>
          <w:highlight w:val="none"/>
        </w:rPr>
        <w:t>。</w:t>
      </w:r>
    </w:p>
    <w:p>
      <w:pPr>
        <w:ind w:firstLine="480"/>
        <w:rPr>
          <w:color w:val="auto"/>
          <w:highlight w:val="none"/>
        </w:rPr>
      </w:pPr>
      <w:r>
        <w:rPr>
          <w:color w:val="auto"/>
          <w:highlight w:val="none"/>
        </w:rPr>
        <w:t>地表水环境：</w:t>
      </w:r>
      <w:r>
        <w:rPr>
          <w:rFonts w:hint="eastAsia"/>
          <w:color w:val="auto"/>
          <w:highlight w:val="none"/>
          <w:lang w:eastAsia="zh-CN"/>
        </w:rPr>
        <w:t>项目不排放废水，</w:t>
      </w:r>
      <w:r>
        <w:rPr>
          <w:rFonts w:hint="eastAsia"/>
          <w:color w:val="auto"/>
          <w:sz w:val="24"/>
          <w:szCs w:val="28"/>
          <w:highlight w:val="none"/>
          <w:lang w:eastAsia="zh-CN"/>
        </w:rPr>
        <w:t>除</w:t>
      </w:r>
      <w:r>
        <w:rPr>
          <w:rFonts w:hint="eastAsia"/>
          <w:color w:val="auto"/>
          <w:highlight w:val="none"/>
        </w:rPr>
        <w:t>五日生化需氧量、氨氮、总氮、总磷浓度出现超标</w:t>
      </w:r>
      <w:r>
        <w:rPr>
          <w:rFonts w:hint="eastAsia"/>
          <w:color w:val="auto"/>
          <w:sz w:val="24"/>
          <w:szCs w:val="28"/>
          <w:highlight w:val="none"/>
          <w:lang w:eastAsia="zh-CN"/>
        </w:rPr>
        <w:t>外，</w:t>
      </w:r>
      <w:r>
        <w:rPr>
          <w:color w:val="auto"/>
          <w:sz w:val="24"/>
          <w:szCs w:val="28"/>
          <w:highlight w:val="none"/>
        </w:rPr>
        <w:t>监测点位的</w:t>
      </w:r>
      <w:r>
        <w:rPr>
          <w:rFonts w:hint="eastAsia"/>
          <w:color w:val="auto"/>
          <w:sz w:val="24"/>
          <w:szCs w:val="28"/>
          <w:highlight w:val="none"/>
          <w:lang w:eastAsia="zh-CN"/>
        </w:rPr>
        <w:t>其他</w:t>
      </w:r>
      <w:r>
        <w:rPr>
          <w:color w:val="auto"/>
          <w:sz w:val="24"/>
          <w:szCs w:val="28"/>
          <w:highlight w:val="none"/>
        </w:rPr>
        <w:t>监测因子均能满足《地表水环境质量标准》（GB3838-2002）中III类水质标准要求</w:t>
      </w:r>
      <w:r>
        <w:rPr>
          <w:rFonts w:hint="eastAsia"/>
          <w:color w:val="auto"/>
          <w:highlight w:val="none"/>
        </w:rPr>
        <w:t>。</w:t>
      </w:r>
    </w:p>
    <w:p>
      <w:pPr>
        <w:ind w:firstLine="480"/>
        <w:rPr>
          <w:rFonts w:cs="Times New Roman"/>
          <w:color w:val="auto"/>
          <w:kern w:val="0"/>
          <w:highlight w:val="none"/>
        </w:rPr>
      </w:pPr>
      <w:r>
        <w:rPr>
          <w:color w:val="auto"/>
          <w:highlight w:val="none"/>
        </w:rPr>
        <w:t>地下水环境：监测结果表明，</w:t>
      </w:r>
      <w:r>
        <w:rPr>
          <w:rFonts w:hint="eastAsia"/>
          <w:color w:val="auto"/>
          <w:highlight w:val="none"/>
        </w:rPr>
        <w:t>各监测点位的</w:t>
      </w:r>
      <w:r>
        <w:rPr>
          <w:rFonts w:hint="eastAsia"/>
          <w:color w:val="auto"/>
          <w:highlight w:val="none"/>
          <w:lang w:eastAsia="zh-CN"/>
        </w:rPr>
        <w:t>各</w:t>
      </w:r>
      <w:r>
        <w:rPr>
          <w:rFonts w:hint="eastAsia"/>
          <w:color w:val="auto"/>
          <w:highlight w:val="none"/>
        </w:rPr>
        <w:t>监测因子均能达到《地下水质量标准》（GB/T14848-2017）Ⅲ类水质要求</w:t>
      </w:r>
      <w:r>
        <w:rPr>
          <w:rFonts w:hint="eastAsia" w:cs="Times New Roman"/>
          <w:color w:val="auto"/>
          <w:kern w:val="0"/>
          <w:highlight w:val="none"/>
        </w:rPr>
        <w:t>。</w:t>
      </w:r>
    </w:p>
    <w:p>
      <w:pPr>
        <w:ind w:firstLine="480"/>
        <w:rPr>
          <w:color w:val="auto"/>
          <w:highlight w:val="none"/>
        </w:rPr>
      </w:pPr>
      <w:r>
        <w:rPr>
          <w:color w:val="auto"/>
          <w:highlight w:val="none"/>
        </w:rPr>
        <w:t>声环境：监测结果表明，</w:t>
      </w:r>
      <w:r>
        <w:rPr>
          <w:rFonts w:hint="eastAsia"/>
          <w:color w:val="auto"/>
          <w:highlight w:val="none"/>
        </w:rPr>
        <w:t>区域噪声监测结果昼间、夜间均符合《声环境质量标准》（GB3096-2008）中</w:t>
      </w:r>
      <w:r>
        <w:rPr>
          <w:rFonts w:hint="eastAsia"/>
          <w:color w:val="auto"/>
          <w:highlight w:val="none"/>
          <w:lang w:val="en-US" w:eastAsia="zh-CN"/>
        </w:rPr>
        <w:t>2</w:t>
      </w:r>
      <w:r>
        <w:rPr>
          <w:rFonts w:hint="eastAsia"/>
          <w:color w:val="auto"/>
          <w:highlight w:val="none"/>
        </w:rPr>
        <w:t>类标准要求，</w:t>
      </w:r>
      <w:r>
        <w:rPr>
          <w:color w:val="auto"/>
          <w:highlight w:val="none"/>
        </w:rPr>
        <w:t>区域声环境质量较好。</w:t>
      </w:r>
    </w:p>
    <w:p>
      <w:pPr>
        <w:ind w:firstLine="480"/>
        <w:rPr>
          <w:color w:val="auto"/>
          <w:highlight w:val="none"/>
        </w:rPr>
      </w:pPr>
      <w:r>
        <w:rPr>
          <w:rFonts w:hint="eastAsia"/>
          <w:color w:val="auto"/>
          <w:highlight w:val="none"/>
        </w:rPr>
        <w:t>土壤环境：</w:t>
      </w:r>
      <w:r>
        <w:rPr>
          <w:color w:val="auto"/>
          <w:highlight w:val="none"/>
        </w:rPr>
        <w:t>监测结果表明，</w:t>
      </w:r>
      <w:r>
        <w:rPr>
          <w:rFonts w:hint="eastAsia"/>
          <w:color w:val="auto"/>
          <w:highlight w:val="none"/>
        </w:rPr>
        <w:t>各土壤监测点所有监测因子均能达到《土壤环境质量农用地土壤污染风险管控标准》（GB15618-2018）二级标准</w:t>
      </w:r>
      <w:r>
        <w:rPr>
          <w:color w:val="auto"/>
          <w:highlight w:val="none"/>
        </w:rPr>
        <w:t>要求</w:t>
      </w:r>
      <w:r>
        <w:rPr>
          <w:rFonts w:hint="eastAsia"/>
          <w:color w:val="auto"/>
          <w:highlight w:val="none"/>
        </w:rPr>
        <w:t>，区域土壤环境质量良好。</w:t>
      </w:r>
    </w:p>
    <w:p>
      <w:pPr>
        <w:pStyle w:val="5"/>
        <w:spacing w:before="66"/>
        <w:ind w:firstLine="482"/>
        <w:rPr>
          <w:color w:val="auto"/>
          <w:highlight w:val="none"/>
        </w:rPr>
      </w:pPr>
      <w:r>
        <w:rPr>
          <w:rFonts w:hint="eastAsia"/>
          <w:color w:val="auto"/>
          <w:highlight w:val="none"/>
          <w:lang w:val="en-US" w:eastAsia="zh-CN"/>
        </w:rPr>
        <w:t>8</w:t>
      </w:r>
      <w:r>
        <w:rPr>
          <w:rFonts w:hint="eastAsia"/>
          <w:color w:val="auto"/>
          <w:highlight w:val="none"/>
        </w:rPr>
        <w:t>.1.4工程分析结论</w:t>
      </w:r>
    </w:p>
    <w:p>
      <w:pPr>
        <w:pStyle w:val="6"/>
        <w:ind w:firstLine="482"/>
        <w:rPr>
          <w:color w:val="auto"/>
          <w:highlight w:val="none"/>
        </w:rPr>
      </w:pPr>
      <w:r>
        <w:rPr>
          <w:rFonts w:hint="eastAsia"/>
          <w:color w:val="auto"/>
          <w:highlight w:val="none"/>
          <w:lang w:val="en-US" w:eastAsia="zh-CN"/>
        </w:rPr>
        <w:t>8</w:t>
      </w:r>
      <w:r>
        <w:rPr>
          <w:rFonts w:hint="eastAsia"/>
          <w:color w:val="auto"/>
          <w:highlight w:val="none"/>
        </w:rPr>
        <w:t>.1.4.1废气</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cs="Times New Roman"/>
          <w:color w:val="auto"/>
          <w:highlight w:val="none"/>
        </w:rPr>
      </w:pPr>
      <w:r>
        <w:rPr>
          <w:rFonts w:hint="eastAsia" w:cs="Times New Roman"/>
          <w:color w:val="auto"/>
          <w:highlight w:val="none"/>
        </w:rPr>
        <w:t>项目运行过程中产生的大气污染物主要为养殖过程猪舍产生的恶臭气体、污水处理过程及固粪处理区产生的恶臭气体、无害化处理车间废气、沼气燃烧废气、食堂油烟等</w:t>
      </w:r>
      <w:r>
        <w:rPr>
          <w:rFonts w:cs="Times New Roman"/>
          <w:color w:val="auto"/>
          <w:highlight w:val="none"/>
        </w:rPr>
        <w:t>。</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cs="宋体"/>
          <w:color w:val="auto"/>
          <w:highlight w:val="none"/>
          <w:lang w:val="en-US" w:eastAsia="zh-CN"/>
        </w:rPr>
      </w:pPr>
      <w:r>
        <w:rPr>
          <w:rFonts w:hint="eastAsia"/>
          <w:color w:val="auto"/>
          <w:highlight w:val="none"/>
        </w:rPr>
        <w:t>废气根据不同产生单元，采取相应的处理方式，①猪舍：猪舍定期冲洗、饲料添加除臭剂</w:t>
      </w:r>
      <w:r>
        <w:rPr>
          <w:rFonts w:hint="eastAsia"/>
          <w:color w:val="auto"/>
          <w:highlight w:val="none"/>
          <w:lang w:eastAsia="zh-CN"/>
        </w:rPr>
        <w:t>，配备除臭墙除臭</w:t>
      </w:r>
      <w:r>
        <w:rPr>
          <w:rFonts w:hint="eastAsia"/>
          <w:color w:val="auto"/>
          <w:highlight w:val="none"/>
        </w:rPr>
        <w:t>；</w:t>
      </w:r>
      <w:r>
        <w:rPr>
          <w:rFonts w:hint="eastAsia"/>
          <w:color w:val="auto"/>
          <w:highlight w:val="none"/>
          <w:lang w:eastAsia="zh-CN"/>
        </w:rPr>
        <w:t>固粪处理区喷洒除臭剂，配备除臭墙除臭；无害化处理车间配备除臭墙；污水处理区喷洒除臭剂</w:t>
      </w:r>
      <w:r>
        <w:rPr>
          <w:rFonts w:hint="eastAsia"/>
          <w:color w:val="auto"/>
          <w:highlight w:val="none"/>
        </w:rPr>
        <w:t>②臭气产生单元周围加强绿化工作。③食堂油烟经油烟净化装置处理后经高于食堂所在建筑物顶部烟囱排放。</w:t>
      </w:r>
      <w:r>
        <w:rPr>
          <w:rFonts w:hint="eastAsia" w:ascii="宋体" w:hAnsi="宋体" w:eastAsia="宋体" w:cs="宋体"/>
          <w:color w:val="auto"/>
          <w:highlight w:val="none"/>
        </w:rPr>
        <w:t>④</w:t>
      </w:r>
      <w:r>
        <w:rPr>
          <w:rFonts w:hint="eastAsia" w:ascii="宋体" w:hAnsi="宋体" w:cs="宋体"/>
          <w:color w:val="auto"/>
          <w:highlight w:val="none"/>
          <w:lang w:eastAsia="zh-CN"/>
        </w:rPr>
        <w:t>沼气燃烧废气经</w:t>
      </w:r>
      <w:r>
        <w:rPr>
          <w:rFonts w:hint="eastAsia" w:ascii="宋体" w:hAnsi="宋体" w:cs="宋体"/>
          <w:color w:val="auto"/>
          <w:highlight w:val="none"/>
          <w:lang w:val="en-US" w:eastAsia="zh-CN"/>
        </w:rPr>
        <w:t xml:space="preserve">高效低氮燃烧器+烟气二次燃烧技术处理后经1根8米高排气筒排放。 </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通过各项防护措施后，经预测场界废气均能达标排放，场区周围各敏感目标处可满足《环境影响评价技术导则 大气环境（</w:t>
      </w:r>
      <w:r>
        <w:rPr>
          <w:rFonts w:hint="default" w:ascii="Times New Roman" w:hAnsi="Times New Roman" w:cs="Times New Roman"/>
          <w:color w:val="auto"/>
          <w:highlight w:val="none"/>
          <w:lang w:val="en-US" w:eastAsia="zh-CN"/>
        </w:rPr>
        <w:t>HJ2.2-2018</w:t>
      </w:r>
      <w:r>
        <w:rPr>
          <w:rFonts w:hint="eastAsia" w:ascii="宋体" w:hAnsi="宋体" w:cs="宋体"/>
          <w:color w:val="auto"/>
          <w:highlight w:val="none"/>
          <w:lang w:val="en-US" w:eastAsia="zh-CN"/>
        </w:rPr>
        <w:t>）》中附录D中有害物质的最高允许浓度要求，废气在对周围环境的影响较小。</w:t>
      </w:r>
    </w:p>
    <w:p>
      <w:pPr>
        <w:pStyle w:val="6"/>
        <w:ind w:firstLine="482"/>
        <w:rPr>
          <w:color w:val="auto"/>
          <w:highlight w:val="none"/>
        </w:rPr>
      </w:pPr>
      <w:r>
        <w:rPr>
          <w:rFonts w:hint="eastAsia"/>
          <w:color w:val="auto"/>
          <w:highlight w:val="none"/>
          <w:lang w:val="en-US" w:eastAsia="zh-CN"/>
        </w:rPr>
        <w:t>8</w:t>
      </w:r>
      <w:r>
        <w:rPr>
          <w:rFonts w:hint="eastAsia"/>
          <w:color w:val="auto"/>
          <w:highlight w:val="none"/>
        </w:rPr>
        <w:t>.1.4.2废水</w:t>
      </w:r>
    </w:p>
    <w:p>
      <w:pPr>
        <w:ind w:firstLine="480"/>
        <w:rPr>
          <w:rFonts w:hint="eastAsia" w:cs="Times New Roman"/>
          <w:color w:val="auto"/>
          <w:highlight w:val="none"/>
        </w:rPr>
      </w:pPr>
      <w:r>
        <w:rPr>
          <w:rFonts w:hint="eastAsia" w:cs="Times New Roman"/>
          <w:color w:val="auto"/>
          <w:highlight w:val="none"/>
        </w:rPr>
        <w:t>运营期产生的废水主要为工程废水主要为养殖废水、无害化处理车间冲洗废水</w:t>
      </w:r>
      <w:r>
        <w:rPr>
          <w:rFonts w:hint="eastAsia" w:cs="Times New Roman"/>
          <w:color w:val="auto"/>
          <w:highlight w:val="none"/>
          <w:lang w:eastAsia="zh-CN"/>
        </w:rPr>
        <w:t>、</w:t>
      </w:r>
      <w:r>
        <w:rPr>
          <w:rFonts w:hint="eastAsia" w:cs="Times New Roman"/>
          <w:color w:val="auto"/>
          <w:highlight w:val="none"/>
        </w:rPr>
        <w:t>生活污水。</w:t>
      </w:r>
    </w:p>
    <w:p>
      <w:pPr>
        <w:ind w:firstLine="480"/>
        <w:rPr>
          <w:rFonts w:hint="eastAsia" w:cs="Times New Roman"/>
          <w:color w:val="auto"/>
          <w:highlight w:val="none"/>
        </w:rPr>
      </w:pPr>
      <w:r>
        <w:rPr>
          <w:rFonts w:hint="eastAsia" w:cs="Times New Roman"/>
          <w:color w:val="auto"/>
          <w:highlight w:val="none"/>
        </w:rPr>
        <w:t>养殖区废水为猪舍冲洗废水、尿液的混合废水。生活污水</w:t>
      </w:r>
      <w:r>
        <w:rPr>
          <w:rFonts w:hint="eastAsia" w:cs="Times New Roman"/>
          <w:color w:val="auto"/>
          <w:highlight w:val="none"/>
          <w:lang w:eastAsia="zh-CN"/>
        </w:rPr>
        <w:t>和生产废水一起</w:t>
      </w:r>
      <w:r>
        <w:rPr>
          <w:rFonts w:hint="eastAsia" w:cs="Times New Roman"/>
          <w:color w:val="auto"/>
          <w:highlight w:val="none"/>
        </w:rPr>
        <w:t>经污水处理系统处理后做农肥，不外排。</w:t>
      </w:r>
    </w:p>
    <w:p>
      <w:pPr>
        <w:ind w:firstLine="480"/>
        <w:rPr>
          <w:rFonts w:cs="Times New Roman"/>
          <w:color w:val="auto"/>
          <w:highlight w:val="none"/>
        </w:rPr>
      </w:pPr>
      <w:r>
        <w:rPr>
          <w:rFonts w:hint="eastAsia" w:cs="Times New Roman"/>
          <w:color w:val="auto"/>
          <w:highlight w:val="none"/>
        </w:rPr>
        <w:t>经上述措施处理后，废水实现资源化利用不排入地表水体，措施可行</w:t>
      </w:r>
      <w:r>
        <w:rPr>
          <w:rFonts w:hint="eastAsia" w:ascii="宋体" w:hAnsi="宋体" w:cs="宋体"/>
          <w:color w:val="auto"/>
          <w:highlight w:val="none"/>
          <w:lang w:bidi="ar"/>
        </w:rPr>
        <w:t>。</w:t>
      </w:r>
    </w:p>
    <w:p>
      <w:pPr>
        <w:pStyle w:val="6"/>
        <w:ind w:firstLine="482"/>
        <w:rPr>
          <w:color w:val="auto"/>
          <w:highlight w:val="none"/>
        </w:rPr>
      </w:pPr>
      <w:r>
        <w:rPr>
          <w:rFonts w:hint="eastAsia"/>
          <w:color w:val="auto"/>
          <w:highlight w:val="none"/>
          <w:lang w:val="en-US" w:eastAsia="zh-CN"/>
        </w:rPr>
        <w:t>8</w:t>
      </w:r>
      <w:r>
        <w:rPr>
          <w:rFonts w:hint="eastAsia"/>
          <w:color w:val="auto"/>
          <w:highlight w:val="none"/>
        </w:rPr>
        <w:t>.1.4.3固废</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cs="Times New Roman"/>
          <w:color w:val="auto"/>
          <w:highlight w:val="none"/>
        </w:rPr>
      </w:pPr>
      <w:r>
        <w:rPr>
          <w:rFonts w:hint="eastAsia" w:cs="Times New Roman"/>
          <w:color w:val="auto"/>
          <w:highlight w:val="none"/>
        </w:rPr>
        <w:t>本项目产生的固体废物主要包括猪粪固形物、厌氧发酵后的沼渣、疾病防疫产生的医疗废物、职工生活垃圾</w:t>
      </w:r>
      <w:r>
        <w:rPr>
          <w:rFonts w:hint="eastAsia" w:cs="Times New Roman"/>
          <w:color w:val="auto"/>
          <w:highlight w:val="none"/>
          <w:lang w:eastAsia="zh-CN"/>
        </w:rPr>
        <w:t>、</w:t>
      </w:r>
      <w:r>
        <w:rPr>
          <w:rFonts w:hint="eastAsia" w:cs="Times New Roman"/>
          <w:color w:val="auto"/>
          <w:highlight w:val="none"/>
        </w:rPr>
        <w:t>废脱硫剂</w:t>
      </w:r>
      <w:r>
        <w:rPr>
          <w:rFonts w:hint="eastAsia" w:cs="Times New Roman"/>
          <w:color w:val="auto"/>
          <w:highlight w:val="none"/>
          <w:lang w:eastAsia="zh-CN"/>
        </w:rPr>
        <w:t>、废导热油</w:t>
      </w:r>
      <w:r>
        <w:rPr>
          <w:rFonts w:hint="eastAsia" w:cs="Times New Roman"/>
          <w:color w:val="auto"/>
          <w:highlight w:val="none"/>
        </w:rPr>
        <w:t>等</w:t>
      </w:r>
      <w:r>
        <w:rPr>
          <w:rFonts w:cs="Times New Roman"/>
          <w:color w:val="auto"/>
          <w:highlight w:val="none"/>
        </w:rPr>
        <w:t>。</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cs="Times New Roman"/>
          <w:color w:val="auto"/>
          <w:highlight w:val="none"/>
        </w:rPr>
      </w:pPr>
      <w:r>
        <w:rPr>
          <w:rFonts w:hint="eastAsia" w:cs="Times New Roman"/>
          <w:color w:val="auto"/>
          <w:highlight w:val="none"/>
        </w:rPr>
        <w:t>全场猪粪在场区内发酵场进行发酵，制成有机肥基肥直接出售。沼渣脱水后作为有机肥基肥外售。病死猪尸场区</w:t>
      </w:r>
      <w:r>
        <w:rPr>
          <w:rFonts w:hint="eastAsia" w:cs="Times New Roman"/>
          <w:color w:val="auto"/>
          <w:highlight w:val="none"/>
          <w:lang w:eastAsia="zh-CN"/>
        </w:rPr>
        <w:t>暂存后</w:t>
      </w:r>
      <w:r>
        <w:rPr>
          <w:rFonts w:hint="eastAsia" w:cs="Times New Roman"/>
          <w:color w:val="auto"/>
          <w:highlight w:val="none"/>
        </w:rPr>
        <w:t>送</w:t>
      </w:r>
      <w:r>
        <w:rPr>
          <w:rFonts w:hint="eastAsia" w:cs="Times New Roman"/>
          <w:color w:val="auto"/>
          <w:highlight w:val="none"/>
          <w:lang w:eastAsia="zh-CN"/>
        </w:rPr>
        <w:t>本厂自建</w:t>
      </w:r>
      <w:r>
        <w:rPr>
          <w:rFonts w:hint="eastAsia" w:cs="Times New Roman"/>
          <w:color w:val="auto"/>
          <w:highlight w:val="none"/>
        </w:rPr>
        <w:t>的无害化处理车间进行</w:t>
      </w:r>
      <w:r>
        <w:rPr>
          <w:rFonts w:hint="eastAsia" w:cs="Times New Roman"/>
          <w:color w:val="auto"/>
          <w:highlight w:val="none"/>
          <w:lang w:eastAsia="zh-CN"/>
        </w:rPr>
        <w:t>高温化制</w:t>
      </w:r>
      <w:r>
        <w:rPr>
          <w:rFonts w:hint="eastAsia" w:cs="Times New Roman"/>
          <w:color w:val="auto"/>
          <w:highlight w:val="none"/>
        </w:rPr>
        <w:t>处理；医疗废物定期交由新蔡县中绿环保科技有限公司处置；</w:t>
      </w:r>
      <w:r>
        <w:rPr>
          <w:rFonts w:hint="eastAsia" w:cs="Times New Roman"/>
          <w:color w:val="auto"/>
          <w:highlight w:val="none"/>
          <w:lang w:eastAsia="zh-CN"/>
        </w:rPr>
        <w:t>废导热油于</w:t>
      </w:r>
      <w:r>
        <w:rPr>
          <w:rFonts w:hint="eastAsia" w:cs="Times New Roman"/>
          <w:color w:val="auto"/>
          <w:highlight w:val="none"/>
        </w:rPr>
        <w:t>危险废物暂存间暂存，定期交有相应危废类别处理资质的单位安全处置</w:t>
      </w:r>
      <w:r>
        <w:rPr>
          <w:rFonts w:hint="eastAsia" w:cs="Times New Roman"/>
          <w:color w:val="auto"/>
          <w:highlight w:val="none"/>
          <w:lang w:eastAsia="zh-CN"/>
        </w:rPr>
        <w:t>；</w:t>
      </w:r>
      <w:r>
        <w:rPr>
          <w:rFonts w:hint="eastAsia" w:cs="Times New Roman"/>
          <w:color w:val="auto"/>
          <w:highlight w:val="none"/>
        </w:rPr>
        <w:t>废脱硫剂由生产厂家统一回收处置；生活垃圾环卫部门定期收集后运往垃圾填埋场。</w:t>
      </w:r>
    </w:p>
    <w:p>
      <w:pPr>
        <w:pStyle w:val="6"/>
        <w:ind w:firstLine="482"/>
        <w:rPr>
          <w:color w:val="auto"/>
          <w:highlight w:val="none"/>
        </w:rPr>
      </w:pPr>
      <w:r>
        <w:rPr>
          <w:rFonts w:hint="eastAsia"/>
          <w:color w:val="auto"/>
          <w:highlight w:val="none"/>
          <w:lang w:val="en-US" w:eastAsia="zh-CN"/>
        </w:rPr>
        <w:t>8</w:t>
      </w:r>
      <w:r>
        <w:rPr>
          <w:rFonts w:hint="eastAsia"/>
          <w:color w:val="auto"/>
          <w:highlight w:val="none"/>
        </w:rPr>
        <w:t>.1.4.4</w:t>
      </w:r>
      <w:r>
        <w:rPr>
          <w:color w:val="auto"/>
          <w:highlight w:val="none"/>
        </w:rPr>
        <w:t>噪声</w:t>
      </w:r>
    </w:p>
    <w:p>
      <w:pPr>
        <w:ind w:firstLine="480"/>
        <w:rPr>
          <w:rFonts w:cs="Times New Roman"/>
          <w:color w:val="auto"/>
          <w:highlight w:val="none"/>
        </w:rPr>
      </w:pPr>
      <w:r>
        <w:rPr>
          <w:rFonts w:hint="eastAsia" w:cs="Times New Roman"/>
          <w:color w:val="auto"/>
          <w:highlight w:val="none"/>
        </w:rPr>
        <w:t>噪声主要为猪叫声、清洗猪舍时高压水枪配套空压机、猪舍降温配套负压风机、粪污处理设施等设备运行时产生的噪声，根据类比调查，其源强为</w:t>
      </w:r>
      <w:r>
        <w:rPr>
          <w:rFonts w:hint="eastAsia" w:cs="Times New Roman"/>
          <w:color w:val="auto"/>
          <w:highlight w:val="none"/>
          <w:lang w:val="en-US" w:eastAsia="zh-CN"/>
        </w:rPr>
        <w:t>70</w:t>
      </w:r>
      <w:r>
        <w:rPr>
          <w:rFonts w:hint="eastAsia" w:cs="Times New Roman"/>
          <w:color w:val="auto"/>
          <w:highlight w:val="none"/>
        </w:rPr>
        <w:t>～90dB(A)。在采取相应的隔声减振措施后，噪声能够达标排放，措施可行。</w:t>
      </w:r>
    </w:p>
    <w:p>
      <w:pPr>
        <w:pStyle w:val="5"/>
        <w:spacing w:before="66"/>
        <w:ind w:firstLine="482"/>
        <w:rPr>
          <w:color w:val="auto"/>
          <w:highlight w:val="none"/>
        </w:rPr>
      </w:pPr>
      <w:r>
        <w:rPr>
          <w:rFonts w:hint="eastAsia"/>
          <w:color w:val="auto"/>
          <w:highlight w:val="none"/>
          <w:lang w:val="en-US" w:eastAsia="zh-CN"/>
        </w:rPr>
        <w:t>8</w:t>
      </w:r>
      <w:r>
        <w:rPr>
          <w:rFonts w:hint="eastAsia"/>
          <w:color w:val="auto"/>
          <w:highlight w:val="none"/>
        </w:rPr>
        <w:t>.1.5环境影响预测与评价结论</w:t>
      </w:r>
    </w:p>
    <w:p>
      <w:pPr>
        <w:pStyle w:val="6"/>
        <w:ind w:firstLine="482"/>
        <w:rPr>
          <w:color w:val="auto"/>
          <w:highlight w:val="none"/>
        </w:rPr>
      </w:pPr>
      <w:r>
        <w:rPr>
          <w:rFonts w:hint="eastAsia"/>
          <w:color w:val="auto"/>
          <w:highlight w:val="none"/>
          <w:lang w:val="en-US" w:eastAsia="zh-CN"/>
        </w:rPr>
        <w:t>8</w:t>
      </w:r>
      <w:r>
        <w:rPr>
          <w:rFonts w:hint="eastAsia"/>
          <w:color w:val="auto"/>
          <w:highlight w:val="none"/>
        </w:rPr>
        <w:t>.1.5.1大气</w:t>
      </w:r>
    </w:p>
    <w:p>
      <w:pPr>
        <w:ind w:firstLine="480"/>
        <w:rPr>
          <w:rFonts w:hint="eastAsia" w:cs="Times New Roman"/>
          <w:color w:val="auto"/>
          <w:highlight w:val="none"/>
        </w:rPr>
      </w:pPr>
      <w:r>
        <w:rPr>
          <w:color w:val="auto"/>
          <w:highlight w:val="none"/>
        </w:rPr>
        <w:t>由估算模式可知，经相应措施处理后</w:t>
      </w:r>
      <w:r>
        <w:rPr>
          <w:rFonts w:hint="eastAsia"/>
          <w:color w:val="auto"/>
          <w:highlight w:val="none"/>
        </w:rPr>
        <w:t>排放的H</w:t>
      </w:r>
      <w:r>
        <w:rPr>
          <w:rFonts w:hint="eastAsia"/>
          <w:color w:val="auto"/>
          <w:highlight w:val="none"/>
          <w:vertAlign w:val="subscript"/>
        </w:rPr>
        <w:t>2</w:t>
      </w:r>
      <w:r>
        <w:rPr>
          <w:rFonts w:hint="eastAsia"/>
          <w:color w:val="auto"/>
          <w:highlight w:val="none"/>
        </w:rPr>
        <w:t>S、NH</w:t>
      </w:r>
      <w:r>
        <w:rPr>
          <w:rFonts w:hint="eastAsia"/>
          <w:color w:val="auto"/>
          <w:highlight w:val="none"/>
          <w:vertAlign w:val="subscript"/>
        </w:rPr>
        <w:t>3</w:t>
      </w:r>
      <w:r>
        <w:rPr>
          <w:rFonts w:hint="eastAsia"/>
          <w:color w:val="auto"/>
          <w:highlight w:val="none"/>
        </w:rPr>
        <w:t>在污染物最大落地浓度均能满足《环境影响评价技术导则 大气环境（HJ2.2-2018）》中附录D中有害物质的最高允许浓度，颗粒物、SO</w:t>
      </w:r>
      <w:r>
        <w:rPr>
          <w:rFonts w:hint="eastAsia"/>
          <w:color w:val="auto"/>
          <w:highlight w:val="none"/>
          <w:vertAlign w:val="subscript"/>
        </w:rPr>
        <w:t>2</w:t>
      </w:r>
      <w:r>
        <w:rPr>
          <w:rFonts w:hint="eastAsia"/>
          <w:color w:val="auto"/>
          <w:highlight w:val="none"/>
        </w:rPr>
        <w:t>、NO</w:t>
      </w:r>
      <w:r>
        <w:rPr>
          <w:rFonts w:hint="eastAsia"/>
          <w:color w:val="auto"/>
          <w:highlight w:val="none"/>
          <w:vertAlign w:val="subscript"/>
          <w:lang w:val="en-US" w:eastAsia="zh-CN"/>
        </w:rPr>
        <w:t>X</w:t>
      </w:r>
      <w:r>
        <w:rPr>
          <w:rFonts w:hint="eastAsia"/>
          <w:color w:val="auto"/>
          <w:highlight w:val="none"/>
        </w:rPr>
        <w:t>在污染物最大浓度均能满足《环境空气质量标准》（GB3095-2012）中二级标准要求，对环境影响较小</w:t>
      </w:r>
      <w:r>
        <w:rPr>
          <w:color w:val="auto"/>
          <w:highlight w:val="none"/>
        </w:rPr>
        <w:t>。本次评价认为本项目排放的大气污染物对周围地区空气质量影响较小，不会造成这些区域空气环境质量超标现象。经计算，本项目无需设置大气环境防护距离</w:t>
      </w:r>
      <w:r>
        <w:rPr>
          <w:rFonts w:hint="eastAsia"/>
          <w:color w:val="auto"/>
          <w:highlight w:val="none"/>
        </w:rPr>
        <w:t>，本项目最终的防护距离为100m，防护距离内无人口集中区、医院、学校等敏感点存在，满足项目防护距离要求，同时评价建议在该防护距离内不得建设敏感点。</w:t>
      </w:r>
    </w:p>
    <w:p>
      <w:pPr>
        <w:pStyle w:val="6"/>
        <w:ind w:firstLine="482"/>
        <w:rPr>
          <w:color w:val="auto"/>
          <w:highlight w:val="none"/>
        </w:rPr>
      </w:pPr>
      <w:r>
        <w:rPr>
          <w:rFonts w:hint="eastAsia"/>
          <w:color w:val="auto"/>
          <w:highlight w:val="none"/>
          <w:lang w:val="en-US" w:eastAsia="zh-CN"/>
        </w:rPr>
        <w:t>8</w:t>
      </w:r>
      <w:r>
        <w:rPr>
          <w:rFonts w:hint="eastAsia"/>
          <w:color w:val="auto"/>
          <w:highlight w:val="none"/>
        </w:rPr>
        <w:t>.1.5.2地表水</w:t>
      </w:r>
    </w:p>
    <w:p>
      <w:pPr>
        <w:tabs>
          <w:tab w:val="left" w:pos="2640"/>
        </w:tabs>
        <w:ind w:firstLine="480"/>
        <w:rPr>
          <w:color w:val="auto"/>
          <w:highlight w:val="none"/>
        </w:rPr>
      </w:pPr>
      <w:r>
        <w:rPr>
          <w:rFonts w:hint="eastAsia"/>
          <w:color w:val="auto"/>
          <w:highlight w:val="none"/>
        </w:rPr>
        <w:t>项目营运期废水主要为工程废水主要为养殖废水、无害化处理车间冲洗废水</w:t>
      </w:r>
      <w:r>
        <w:rPr>
          <w:rFonts w:hint="eastAsia"/>
          <w:color w:val="auto"/>
          <w:highlight w:val="none"/>
          <w:lang w:eastAsia="zh-CN"/>
        </w:rPr>
        <w:t>、</w:t>
      </w:r>
      <w:r>
        <w:rPr>
          <w:rFonts w:hint="eastAsia"/>
          <w:color w:val="auto"/>
          <w:highlight w:val="none"/>
        </w:rPr>
        <w:t>生活污水</w:t>
      </w:r>
      <w:r>
        <w:rPr>
          <w:rFonts w:hint="eastAsia"/>
          <w:color w:val="auto"/>
          <w:highlight w:val="none"/>
          <w:lang w:eastAsia="zh-CN"/>
        </w:rPr>
        <w:t>；混合后的</w:t>
      </w:r>
      <w:r>
        <w:rPr>
          <w:rFonts w:hint="eastAsia"/>
          <w:color w:val="auto"/>
          <w:highlight w:val="none"/>
        </w:rPr>
        <w:t>废水经场区污水处理工程进行处理，该污水处理工程采用“</w:t>
      </w:r>
      <w:r>
        <w:rPr>
          <w:rFonts w:hint="eastAsia"/>
          <w:color w:val="auto"/>
          <w:highlight w:val="none"/>
          <w:lang w:eastAsia="zh-CN"/>
        </w:rPr>
        <w:t>黑膜</w:t>
      </w:r>
      <w:r>
        <w:rPr>
          <w:rFonts w:hint="eastAsia"/>
          <w:color w:val="auto"/>
          <w:highlight w:val="none"/>
        </w:rPr>
        <w:t>沼气池”的处理工艺。经处理后废水成为肥料，达到《粪便无害化卫生标准》（GB7959-87），全部用于还田。因此本项目运营期产生的养殖废水，对周边环境的影响不大。</w:t>
      </w:r>
    </w:p>
    <w:p>
      <w:pPr>
        <w:pStyle w:val="6"/>
        <w:ind w:firstLine="482"/>
        <w:rPr>
          <w:color w:val="auto"/>
          <w:highlight w:val="none"/>
        </w:rPr>
      </w:pPr>
      <w:r>
        <w:rPr>
          <w:rFonts w:hint="eastAsia"/>
          <w:color w:val="auto"/>
          <w:highlight w:val="none"/>
          <w:lang w:val="en-US" w:eastAsia="zh-CN"/>
        </w:rPr>
        <w:t>8</w:t>
      </w:r>
      <w:r>
        <w:rPr>
          <w:rFonts w:hint="eastAsia"/>
          <w:color w:val="auto"/>
          <w:highlight w:val="none"/>
        </w:rPr>
        <w:t>.1.5.4噪声</w:t>
      </w:r>
    </w:p>
    <w:p>
      <w:pPr>
        <w:ind w:firstLine="480"/>
        <w:rPr>
          <w:color w:val="auto"/>
          <w:highlight w:val="none"/>
        </w:rPr>
      </w:pPr>
      <w:r>
        <w:rPr>
          <w:color w:val="auto"/>
          <w:highlight w:val="none"/>
        </w:rPr>
        <w:t>根据</w:t>
      </w:r>
      <w:r>
        <w:rPr>
          <w:rFonts w:hint="eastAsia"/>
          <w:color w:val="auto"/>
          <w:highlight w:val="none"/>
        </w:rPr>
        <w:t>噪声预测结果</w:t>
      </w:r>
      <w:r>
        <w:rPr>
          <w:color w:val="auto"/>
          <w:highlight w:val="none"/>
        </w:rPr>
        <w:t>，</w:t>
      </w:r>
      <w:r>
        <w:rPr>
          <w:rFonts w:hint="eastAsia"/>
          <w:color w:val="auto"/>
          <w:highlight w:val="none"/>
        </w:rPr>
        <w:t>东</w:t>
      </w:r>
      <w:r>
        <w:rPr>
          <w:color w:val="auto"/>
          <w:highlight w:val="none"/>
        </w:rPr>
        <w:t>、</w:t>
      </w:r>
      <w:r>
        <w:rPr>
          <w:rFonts w:hint="eastAsia"/>
          <w:color w:val="auto"/>
          <w:highlight w:val="none"/>
        </w:rPr>
        <w:t>西、南、北</w:t>
      </w:r>
      <w:r>
        <w:rPr>
          <w:color w:val="auto"/>
          <w:highlight w:val="none"/>
        </w:rPr>
        <w:t>厂界</w:t>
      </w:r>
      <w:r>
        <w:rPr>
          <w:rFonts w:hint="eastAsia"/>
          <w:color w:val="auto"/>
          <w:highlight w:val="none"/>
        </w:rPr>
        <w:t>及居民点处均</w:t>
      </w:r>
      <w:r>
        <w:rPr>
          <w:color w:val="auto"/>
          <w:highlight w:val="none"/>
        </w:rPr>
        <w:t>达到《工业</w:t>
      </w:r>
      <w:r>
        <w:rPr>
          <w:rFonts w:hint="eastAsia"/>
          <w:color w:val="auto"/>
          <w:highlight w:val="none"/>
        </w:rPr>
        <w:t>企业</w:t>
      </w:r>
      <w:r>
        <w:rPr>
          <w:color w:val="auto"/>
          <w:highlight w:val="none"/>
        </w:rPr>
        <w:t>厂界环境噪声排放标准》（GB12348-2008）</w:t>
      </w:r>
      <w:r>
        <w:rPr>
          <w:rFonts w:hint="eastAsia"/>
          <w:color w:val="auto"/>
          <w:highlight w:val="none"/>
          <w:lang w:val="en-US" w:eastAsia="zh-CN"/>
        </w:rPr>
        <w:t>2</w:t>
      </w:r>
      <w:r>
        <w:rPr>
          <w:color w:val="auto"/>
          <w:highlight w:val="none"/>
        </w:rPr>
        <w:t>类标准，项目不会对厂址周围声环境产生明显不利影响。</w:t>
      </w:r>
    </w:p>
    <w:p>
      <w:pPr>
        <w:pStyle w:val="6"/>
        <w:ind w:firstLine="482"/>
        <w:rPr>
          <w:color w:val="auto"/>
          <w:highlight w:val="none"/>
        </w:rPr>
      </w:pPr>
      <w:r>
        <w:rPr>
          <w:rFonts w:hint="eastAsia"/>
          <w:color w:val="auto"/>
          <w:highlight w:val="none"/>
          <w:lang w:val="en-US" w:eastAsia="zh-CN"/>
        </w:rPr>
        <w:t>8</w:t>
      </w:r>
      <w:r>
        <w:rPr>
          <w:rFonts w:hint="eastAsia"/>
          <w:color w:val="auto"/>
          <w:highlight w:val="none"/>
        </w:rPr>
        <w:t>.1.5.5</w:t>
      </w:r>
      <w:r>
        <w:rPr>
          <w:color w:val="auto"/>
          <w:highlight w:val="none"/>
        </w:rPr>
        <w:t>固废</w:t>
      </w:r>
    </w:p>
    <w:p>
      <w:pPr>
        <w:ind w:firstLine="480"/>
        <w:rPr>
          <w:rFonts w:cs="Times New Roman"/>
          <w:color w:val="auto"/>
          <w:highlight w:val="none"/>
        </w:rPr>
      </w:pPr>
      <w:r>
        <w:rPr>
          <w:rFonts w:hint="eastAsia" w:cs="Times New Roman"/>
          <w:color w:val="auto"/>
          <w:highlight w:val="none"/>
        </w:rPr>
        <w:t>本项目产生的固体废物主要包括猪粪固形物、厌氧发酵后的沼渣、疾病防疫产生的医疗废物、职工生活垃圾、废脱硫剂</w:t>
      </w:r>
      <w:r>
        <w:rPr>
          <w:rFonts w:hint="eastAsia" w:cs="Times New Roman"/>
          <w:color w:val="auto"/>
          <w:highlight w:val="none"/>
          <w:lang w:eastAsia="zh-CN"/>
        </w:rPr>
        <w:t>、废导热油</w:t>
      </w:r>
      <w:r>
        <w:rPr>
          <w:rFonts w:hint="eastAsia" w:cs="Times New Roman"/>
          <w:color w:val="auto"/>
          <w:highlight w:val="none"/>
        </w:rPr>
        <w:t>等</w:t>
      </w:r>
      <w:r>
        <w:rPr>
          <w:rFonts w:cs="Times New Roman"/>
          <w:color w:val="auto"/>
          <w:highlight w:val="none"/>
        </w:rPr>
        <w:t>。</w:t>
      </w:r>
    </w:p>
    <w:p>
      <w:pPr>
        <w:ind w:firstLine="480"/>
        <w:rPr>
          <w:color w:val="auto"/>
          <w:highlight w:val="none"/>
        </w:rPr>
      </w:pPr>
      <w:r>
        <w:rPr>
          <w:rFonts w:hint="eastAsia"/>
          <w:color w:val="auto"/>
          <w:highlight w:val="none"/>
        </w:rPr>
        <w:t>项目产生的固体废物均得到合理处理、处置，不会对周围环境造成二次污染。</w:t>
      </w:r>
    </w:p>
    <w:p>
      <w:pPr>
        <w:pStyle w:val="5"/>
        <w:spacing w:before="66"/>
        <w:ind w:firstLine="482"/>
        <w:rPr>
          <w:color w:val="auto"/>
          <w:highlight w:val="none"/>
        </w:rPr>
      </w:pPr>
      <w:r>
        <w:rPr>
          <w:rFonts w:hint="eastAsia"/>
          <w:color w:val="auto"/>
          <w:highlight w:val="none"/>
          <w:lang w:val="en-US" w:eastAsia="zh-CN"/>
        </w:rPr>
        <w:t>8</w:t>
      </w:r>
      <w:r>
        <w:rPr>
          <w:rFonts w:hint="eastAsia"/>
          <w:color w:val="auto"/>
          <w:highlight w:val="none"/>
        </w:rPr>
        <w:t>.1.7环境风险评价</w:t>
      </w:r>
    </w:p>
    <w:p>
      <w:pPr>
        <w:ind w:firstLine="480"/>
        <w:rPr>
          <w:color w:val="auto"/>
          <w:highlight w:val="none"/>
        </w:rPr>
      </w:pPr>
      <w:r>
        <w:rPr>
          <w:rFonts w:hAnsi="宋体"/>
          <w:color w:val="auto"/>
          <w:highlight w:val="none"/>
        </w:rPr>
        <w:t>经物质及生产设施危险性分析，本项目无重大风险源。在积极落实妥善的风险防范措施基础上，本项目环境风险较小</w:t>
      </w:r>
      <w:r>
        <w:rPr>
          <w:rFonts w:hint="eastAsia"/>
          <w:color w:val="auto"/>
          <w:highlight w:val="none"/>
        </w:rPr>
        <w:t>。</w:t>
      </w:r>
    </w:p>
    <w:p>
      <w:pPr>
        <w:pStyle w:val="5"/>
        <w:spacing w:before="66"/>
        <w:ind w:firstLine="482"/>
        <w:rPr>
          <w:color w:val="auto"/>
          <w:highlight w:val="none"/>
        </w:rPr>
      </w:pPr>
      <w:r>
        <w:rPr>
          <w:rFonts w:hint="eastAsia"/>
          <w:color w:val="auto"/>
          <w:highlight w:val="none"/>
          <w:lang w:val="en-US" w:eastAsia="zh-CN"/>
        </w:rPr>
        <w:t>8</w:t>
      </w:r>
      <w:r>
        <w:rPr>
          <w:rFonts w:hint="eastAsia"/>
          <w:color w:val="auto"/>
          <w:highlight w:val="none"/>
        </w:rPr>
        <w:t>.1.8清洁生产与总量控制</w:t>
      </w:r>
    </w:p>
    <w:p>
      <w:pPr>
        <w:ind w:firstLine="480"/>
        <w:rPr>
          <w:color w:val="auto"/>
          <w:highlight w:val="none"/>
        </w:rPr>
      </w:pPr>
      <w:r>
        <w:rPr>
          <w:rFonts w:hint="eastAsia"/>
          <w:color w:val="auto"/>
          <w:highlight w:val="none"/>
        </w:rPr>
        <w:t>本工程具有一定清洁生产水平，此外，强化企业管理是推行清洁生产应该优先考虑的措施。建设方应提高环境管理水平，制定严格的环保管理制度，确保工程各环保设施正常、可靠地运行，以此不断提高工程的清洁生产水平。</w:t>
      </w:r>
    </w:p>
    <w:p>
      <w:pPr>
        <w:ind w:firstLine="480"/>
        <w:rPr>
          <w:color w:val="auto"/>
          <w:highlight w:val="none"/>
        </w:rPr>
      </w:pPr>
      <w:r>
        <w:rPr>
          <w:rFonts w:hint="eastAsia"/>
          <w:color w:val="auto"/>
          <w:highlight w:val="none"/>
        </w:rPr>
        <w:t>根据</w:t>
      </w:r>
      <w:r>
        <w:rPr>
          <w:rFonts w:hint="eastAsia"/>
          <w:color w:val="auto"/>
          <w:highlight w:val="none"/>
          <w:lang w:eastAsia="zh-CN"/>
        </w:rPr>
        <w:t>河</w:t>
      </w:r>
      <w:r>
        <w:rPr>
          <w:rFonts w:hint="eastAsia"/>
          <w:color w:val="auto"/>
          <w:highlight w:val="none"/>
        </w:rPr>
        <w:t>省总量控制的要求，结合本项目排污特点，本项目总量控制指标</w:t>
      </w:r>
      <w:r>
        <w:rPr>
          <w:rFonts w:hint="eastAsia"/>
          <w:color w:val="auto"/>
          <w:highlight w:val="none"/>
          <w:lang w:eastAsia="zh-CN"/>
        </w:rPr>
        <w:t>为：SO</w:t>
      </w:r>
      <w:r>
        <w:rPr>
          <w:rFonts w:hint="eastAsia"/>
          <w:color w:val="auto"/>
          <w:highlight w:val="none"/>
          <w:vertAlign w:val="subscript"/>
          <w:lang w:eastAsia="zh-CN"/>
        </w:rPr>
        <w:t>2</w:t>
      </w:r>
      <w:r>
        <w:rPr>
          <w:rFonts w:hint="eastAsia"/>
          <w:color w:val="auto"/>
          <w:highlight w:val="none"/>
          <w:lang w:eastAsia="zh-CN"/>
        </w:rPr>
        <w:t>：0.00002t/a，NO</w:t>
      </w:r>
      <w:r>
        <w:rPr>
          <w:rFonts w:hint="eastAsia"/>
          <w:color w:val="auto"/>
          <w:highlight w:val="none"/>
          <w:vertAlign w:val="subscript"/>
          <w:lang w:eastAsia="zh-CN"/>
        </w:rPr>
        <w:t>X</w:t>
      </w:r>
      <w:r>
        <w:rPr>
          <w:rFonts w:hint="eastAsia"/>
          <w:color w:val="auto"/>
          <w:highlight w:val="none"/>
          <w:lang w:eastAsia="zh-CN"/>
        </w:rPr>
        <w:t>：0.0001t/a</w:t>
      </w:r>
      <w:r>
        <w:rPr>
          <w:rFonts w:hint="eastAsia"/>
          <w:color w:val="auto"/>
          <w:highlight w:val="none"/>
        </w:rPr>
        <w:t>。</w:t>
      </w:r>
    </w:p>
    <w:p>
      <w:pPr>
        <w:pStyle w:val="5"/>
        <w:spacing w:before="66"/>
        <w:ind w:firstLine="482"/>
        <w:rPr>
          <w:color w:val="auto"/>
          <w:highlight w:val="none"/>
        </w:rPr>
      </w:pPr>
      <w:r>
        <w:rPr>
          <w:rFonts w:hint="eastAsia"/>
          <w:color w:val="auto"/>
          <w:highlight w:val="none"/>
          <w:lang w:val="en-US" w:eastAsia="zh-CN"/>
        </w:rPr>
        <w:t>8</w:t>
      </w:r>
      <w:r>
        <w:rPr>
          <w:rFonts w:hint="eastAsia"/>
          <w:color w:val="auto"/>
          <w:highlight w:val="none"/>
        </w:rPr>
        <w:t>.1.9</w:t>
      </w:r>
      <w:r>
        <w:rPr>
          <w:color w:val="auto"/>
          <w:highlight w:val="none"/>
        </w:rPr>
        <w:t>公众参与</w:t>
      </w:r>
    </w:p>
    <w:p>
      <w:pPr>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lang w:eastAsia="zh-CN"/>
        </w:rPr>
        <w:t>平舆</w:t>
      </w:r>
      <w:r>
        <w:rPr>
          <w:rFonts w:hint="default" w:ascii="Times New Roman" w:hAnsi="Times New Roman" w:cs="Times New Roman"/>
          <w:color w:val="auto"/>
          <w:kern w:val="0"/>
          <w:szCs w:val="20"/>
          <w:highlight w:val="none"/>
        </w:rPr>
        <w:t>牧原农牧有限公司于2020年</w:t>
      </w:r>
      <w:r>
        <w:rPr>
          <w:rFonts w:hint="default" w:ascii="Times New Roman" w:hAnsi="Times New Roman" w:cs="Times New Roman"/>
          <w:color w:val="auto"/>
          <w:kern w:val="0"/>
          <w:szCs w:val="20"/>
          <w:highlight w:val="none"/>
          <w:lang w:val="en-US" w:eastAsia="zh-CN"/>
        </w:rPr>
        <w:t>8</w:t>
      </w:r>
      <w:r>
        <w:rPr>
          <w:rFonts w:hint="default" w:ascii="Times New Roman" w:hAnsi="Times New Roman" w:cs="Times New Roman"/>
          <w:color w:val="auto"/>
          <w:kern w:val="0"/>
          <w:szCs w:val="20"/>
          <w:highlight w:val="none"/>
        </w:rPr>
        <w:t>月</w:t>
      </w:r>
      <w:r>
        <w:rPr>
          <w:rFonts w:hint="default" w:ascii="Times New Roman" w:hAnsi="Times New Roman" w:cs="Times New Roman"/>
          <w:color w:val="auto"/>
          <w:kern w:val="0"/>
          <w:szCs w:val="20"/>
          <w:highlight w:val="none"/>
          <w:lang w:val="en-US" w:eastAsia="zh-CN"/>
        </w:rPr>
        <w:t>26</w:t>
      </w:r>
      <w:r>
        <w:rPr>
          <w:rFonts w:hint="default" w:ascii="Times New Roman" w:hAnsi="Times New Roman" w:cs="Times New Roman"/>
          <w:color w:val="auto"/>
          <w:kern w:val="0"/>
          <w:szCs w:val="20"/>
          <w:highlight w:val="none"/>
        </w:rPr>
        <w:t>日~2020年</w:t>
      </w:r>
      <w:r>
        <w:rPr>
          <w:rFonts w:hint="default" w:ascii="Times New Roman" w:hAnsi="Times New Roman" w:cs="Times New Roman"/>
          <w:color w:val="auto"/>
          <w:kern w:val="0"/>
          <w:szCs w:val="20"/>
          <w:highlight w:val="none"/>
          <w:lang w:val="en-US" w:eastAsia="zh-CN"/>
        </w:rPr>
        <w:t>9</w:t>
      </w:r>
      <w:r>
        <w:rPr>
          <w:rFonts w:hint="default" w:ascii="Times New Roman" w:hAnsi="Times New Roman" w:cs="Times New Roman"/>
          <w:color w:val="auto"/>
          <w:kern w:val="0"/>
          <w:szCs w:val="20"/>
          <w:highlight w:val="none"/>
        </w:rPr>
        <w:t>月</w:t>
      </w:r>
      <w:r>
        <w:rPr>
          <w:rFonts w:hint="eastAsia" w:cs="Times New Roman"/>
          <w:color w:val="auto"/>
          <w:kern w:val="0"/>
          <w:szCs w:val="20"/>
          <w:highlight w:val="none"/>
          <w:lang w:val="en-US" w:eastAsia="zh-CN"/>
        </w:rPr>
        <w:t>8</w:t>
      </w:r>
      <w:r>
        <w:rPr>
          <w:rFonts w:hint="default" w:ascii="Times New Roman" w:hAnsi="Times New Roman" w:cs="Times New Roman"/>
          <w:color w:val="auto"/>
          <w:kern w:val="0"/>
          <w:szCs w:val="20"/>
          <w:highlight w:val="none"/>
        </w:rPr>
        <w:t>日在</w:t>
      </w:r>
      <w:r>
        <w:rPr>
          <w:rFonts w:hint="default" w:ascii="Times New Roman" w:hAnsi="Times New Roman" w:cs="Times New Roman"/>
          <w:color w:val="auto"/>
          <w:kern w:val="0"/>
          <w:szCs w:val="20"/>
          <w:highlight w:val="none"/>
          <w:lang w:eastAsia="zh-CN"/>
        </w:rPr>
        <w:t>牧原食品股份有限公司</w:t>
      </w:r>
      <w:r>
        <w:rPr>
          <w:rFonts w:hint="default" w:ascii="Times New Roman" w:hAnsi="Times New Roman" w:cs="Times New Roman"/>
          <w:color w:val="auto"/>
          <w:kern w:val="0"/>
          <w:szCs w:val="20"/>
          <w:highlight w:val="none"/>
        </w:rPr>
        <w:t>网站（http://www.muyuanfoods.com/index.php/52f88c420a?guid=5f4616760da）发布第一次公众参与信息，并在当地公众易于接触的报纸（天中晚报）进行登报公示，</w:t>
      </w:r>
      <w:r>
        <w:rPr>
          <w:rFonts w:hint="default" w:ascii="Times New Roman" w:hAnsi="Times New Roman" w:cs="Times New Roman"/>
          <w:color w:val="auto"/>
          <w:kern w:val="0"/>
          <w:szCs w:val="20"/>
          <w:highlight w:val="none"/>
          <w:lang w:eastAsia="zh-CN"/>
        </w:rPr>
        <w:t>平舆</w:t>
      </w:r>
      <w:r>
        <w:rPr>
          <w:rFonts w:hint="default" w:ascii="Times New Roman" w:hAnsi="Times New Roman" w:cs="Times New Roman"/>
          <w:color w:val="auto"/>
          <w:kern w:val="0"/>
          <w:szCs w:val="20"/>
          <w:highlight w:val="none"/>
        </w:rPr>
        <w:t>牧原农牧有限公司于2020年</w:t>
      </w:r>
      <w:r>
        <w:rPr>
          <w:rFonts w:hint="default" w:ascii="Times New Roman" w:hAnsi="Times New Roman" w:cs="Times New Roman"/>
          <w:color w:val="auto"/>
          <w:kern w:val="0"/>
          <w:szCs w:val="20"/>
          <w:highlight w:val="none"/>
          <w:lang w:val="en-US" w:eastAsia="zh-CN"/>
        </w:rPr>
        <w:t>9</w:t>
      </w:r>
      <w:r>
        <w:rPr>
          <w:rFonts w:hint="default" w:ascii="Times New Roman" w:hAnsi="Times New Roman" w:cs="Times New Roman"/>
          <w:color w:val="auto"/>
          <w:kern w:val="0"/>
          <w:szCs w:val="20"/>
          <w:highlight w:val="none"/>
        </w:rPr>
        <w:t>月</w:t>
      </w:r>
      <w:r>
        <w:rPr>
          <w:rFonts w:hint="default" w:ascii="Times New Roman" w:hAnsi="Times New Roman" w:cs="Times New Roman"/>
          <w:color w:val="auto"/>
          <w:kern w:val="0"/>
          <w:szCs w:val="20"/>
          <w:highlight w:val="none"/>
          <w:lang w:val="en-US" w:eastAsia="zh-CN"/>
        </w:rPr>
        <w:t>9</w:t>
      </w:r>
      <w:r>
        <w:rPr>
          <w:rFonts w:hint="default" w:ascii="Times New Roman" w:hAnsi="Times New Roman" w:cs="Times New Roman"/>
          <w:color w:val="auto"/>
          <w:kern w:val="0"/>
          <w:szCs w:val="20"/>
          <w:highlight w:val="none"/>
        </w:rPr>
        <w:t>日~2020年</w:t>
      </w:r>
      <w:r>
        <w:rPr>
          <w:rFonts w:hint="eastAsia" w:cs="Times New Roman"/>
          <w:color w:val="auto"/>
          <w:kern w:val="0"/>
          <w:szCs w:val="20"/>
          <w:highlight w:val="none"/>
          <w:lang w:val="en-US" w:eastAsia="zh-CN"/>
        </w:rPr>
        <w:t>9</w:t>
      </w:r>
      <w:r>
        <w:rPr>
          <w:rFonts w:hint="default" w:ascii="Times New Roman" w:hAnsi="Times New Roman" w:cs="Times New Roman"/>
          <w:color w:val="auto"/>
          <w:kern w:val="0"/>
          <w:szCs w:val="20"/>
          <w:highlight w:val="none"/>
        </w:rPr>
        <w:t>月</w:t>
      </w:r>
      <w:r>
        <w:rPr>
          <w:rFonts w:hint="default" w:ascii="Times New Roman" w:hAnsi="Times New Roman" w:cs="Times New Roman"/>
          <w:color w:val="auto"/>
          <w:kern w:val="0"/>
          <w:szCs w:val="20"/>
          <w:highlight w:val="none"/>
          <w:lang w:val="en-US" w:eastAsia="zh-CN"/>
        </w:rPr>
        <w:t>17</w:t>
      </w:r>
      <w:r>
        <w:rPr>
          <w:rFonts w:hint="default" w:ascii="Times New Roman" w:hAnsi="Times New Roman" w:cs="Times New Roman"/>
          <w:color w:val="auto"/>
          <w:kern w:val="0"/>
          <w:szCs w:val="20"/>
          <w:highlight w:val="none"/>
        </w:rPr>
        <w:t>日在</w:t>
      </w:r>
      <w:r>
        <w:rPr>
          <w:rFonts w:hint="default" w:ascii="Times New Roman" w:hAnsi="Times New Roman" w:cs="Times New Roman"/>
          <w:color w:val="auto"/>
          <w:kern w:val="0"/>
          <w:szCs w:val="20"/>
          <w:highlight w:val="none"/>
          <w:lang w:eastAsia="zh-CN"/>
        </w:rPr>
        <w:t>牧原食品股份有限公司</w:t>
      </w:r>
      <w:r>
        <w:rPr>
          <w:rFonts w:hint="default" w:ascii="Times New Roman" w:hAnsi="Times New Roman" w:cs="Times New Roman"/>
          <w:color w:val="auto"/>
          <w:kern w:val="0"/>
          <w:szCs w:val="20"/>
          <w:highlight w:val="none"/>
        </w:rPr>
        <w:t>网站（http://www.muyuanfoods.com/index.php/52f88c420a?guid=5f65bc4f0db）发布第二次公众参与信息，并在项目周边敏感点张贴公告进行信息公示，项目公示期间未收到公众反馈意见。</w:t>
      </w:r>
    </w:p>
    <w:p>
      <w:pPr>
        <w:pStyle w:val="5"/>
        <w:spacing w:before="66"/>
        <w:ind w:firstLine="482"/>
        <w:rPr>
          <w:color w:val="auto"/>
          <w:highlight w:val="none"/>
        </w:rPr>
      </w:pPr>
      <w:r>
        <w:rPr>
          <w:rFonts w:hint="eastAsia"/>
          <w:color w:val="auto"/>
          <w:highlight w:val="none"/>
          <w:lang w:val="en-US" w:eastAsia="zh-CN"/>
        </w:rPr>
        <w:t>8</w:t>
      </w:r>
      <w:r>
        <w:rPr>
          <w:rFonts w:hint="eastAsia"/>
          <w:color w:val="auto"/>
          <w:highlight w:val="none"/>
        </w:rPr>
        <w:t>.1.1</w:t>
      </w:r>
      <w:r>
        <w:rPr>
          <w:rFonts w:hint="eastAsia"/>
          <w:color w:val="auto"/>
          <w:highlight w:val="none"/>
          <w:lang w:val="en-US" w:eastAsia="zh-CN"/>
        </w:rPr>
        <w:t>0</w:t>
      </w:r>
      <w:r>
        <w:rPr>
          <w:rFonts w:hint="eastAsia"/>
          <w:color w:val="auto"/>
          <w:highlight w:val="none"/>
        </w:rPr>
        <w:t>环境管理与监测计划</w:t>
      </w:r>
    </w:p>
    <w:p>
      <w:pPr>
        <w:ind w:firstLine="480"/>
        <w:rPr>
          <w:color w:val="auto"/>
          <w:highlight w:val="none"/>
        </w:rPr>
      </w:pPr>
      <w:r>
        <w:rPr>
          <w:rFonts w:hint="eastAsia"/>
          <w:color w:val="auto"/>
          <w:highlight w:val="none"/>
        </w:rPr>
        <w:t>环评要求建设单位设立安全环保部，负责日常的环保管理。本工程日常环境监测可委托具备环境监测资质的监测单位进行。</w:t>
      </w:r>
    </w:p>
    <w:p>
      <w:pPr>
        <w:pStyle w:val="4"/>
        <w:spacing w:before="132"/>
        <w:rPr>
          <w:color w:val="auto"/>
          <w:highlight w:val="none"/>
        </w:rPr>
      </w:pPr>
      <w:bookmarkStart w:id="62" w:name="_Toc303972334"/>
      <w:bookmarkStart w:id="63" w:name="_Toc345004016"/>
      <w:bookmarkStart w:id="64" w:name="_Toc320695785"/>
      <w:bookmarkStart w:id="65" w:name="_Toc359572161"/>
      <w:bookmarkStart w:id="66" w:name="_Toc18340"/>
      <w:bookmarkStart w:id="67" w:name="_Toc20375"/>
      <w:r>
        <w:rPr>
          <w:rFonts w:hint="eastAsia"/>
          <w:color w:val="auto"/>
          <w:highlight w:val="none"/>
          <w:lang w:val="en-US" w:eastAsia="zh-CN"/>
        </w:rPr>
        <w:t>8</w:t>
      </w:r>
      <w:r>
        <w:rPr>
          <w:color w:val="auto"/>
          <w:highlight w:val="none"/>
        </w:rPr>
        <w:t>.2建议</w:t>
      </w:r>
      <w:bookmarkEnd w:id="62"/>
      <w:bookmarkEnd w:id="63"/>
      <w:bookmarkEnd w:id="64"/>
      <w:bookmarkEnd w:id="65"/>
      <w:bookmarkEnd w:id="66"/>
      <w:bookmarkEnd w:id="67"/>
    </w:p>
    <w:p>
      <w:pPr>
        <w:keepNext w:val="0"/>
        <w:keepLines w:val="0"/>
        <w:pageBreakBefore w:val="0"/>
        <w:widowControl/>
        <w:kinsoku/>
        <w:wordWrap/>
        <w:overflowPunct/>
        <w:topLinePunct w:val="0"/>
        <w:autoSpaceDE/>
        <w:autoSpaceDN/>
        <w:bidi w:val="0"/>
        <w:adjustRightInd/>
        <w:snapToGrid/>
        <w:ind w:firstLine="480"/>
        <w:textAlignment w:val="auto"/>
        <w:rPr>
          <w:color w:val="auto"/>
          <w:highlight w:val="none"/>
        </w:rPr>
      </w:pPr>
      <w:r>
        <w:rPr>
          <w:rFonts w:hint="eastAsia"/>
          <w:color w:val="auto"/>
          <w:highlight w:val="none"/>
        </w:rPr>
        <w:t>（1）企业必须落实本环评提出的各项污染防治措施，并严格执行“三同时制度”在本项目各项环保措施完成竣工验收后方可投入运行。</w:t>
      </w:r>
    </w:p>
    <w:p>
      <w:pPr>
        <w:keepNext w:val="0"/>
        <w:keepLines w:val="0"/>
        <w:pageBreakBefore w:val="0"/>
        <w:widowControl/>
        <w:kinsoku/>
        <w:wordWrap/>
        <w:overflowPunct/>
        <w:topLinePunct w:val="0"/>
        <w:autoSpaceDE/>
        <w:autoSpaceDN/>
        <w:bidi w:val="0"/>
        <w:adjustRightInd/>
        <w:snapToGrid/>
        <w:ind w:firstLine="480"/>
        <w:textAlignment w:val="auto"/>
        <w:rPr>
          <w:color w:val="auto"/>
          <w:highlight w:val="none"/>
        </w:rPr>
      </w:pPr>
      <w:r>
        <w:rPr>
          <w:rFonts w:hint="eastAsia"/>
          <w:color w:val="auto"/>
          <w:highlight w:val="none"/>
        </w:rPr>
        <w:t>（2）企业必须在实际生产操作过程中，严格按照操作规程进行，并保证废气处理设施的处理效率，杜绝非正常工况的发生。</w:t>
      </w:r>
    </w:p>
    <w:p>
      <w:pPr>
        <w:keepNext w:val="0"/>
        <w:keepLines w:val="0"/>
        <w:pageBreakBefore w:val="0"/>
        <w:widowControl/>
        <w:kinsoku/>
        <w:wordWrap/>
        <w:overflowPunct/>
        <w:topLinePunct w:val="0"/>
        <w:autoSpaceDE/>
        <w:autoSpaceDN/>
        <w:bidi w:val="0"/>
        <w:adjustRightInd/>
        <w:snapToGrid/>
        <w:ind w:firstLine="480"/>
        <w:textAlignment w:val="auto"/>
        <w:rPr>
          <w:color w:val="auto"/>
          <w:highlight w:val="none"/>
        </w:rPr>
      </w:pPr>
      <w:r>
        <w:rPr>
          <w:rFonts w:hint="eastAsia"/>
          <w:color w:val="auto"/>
          <w:highlight w:val="none"/>
        </w:rPr>
        <w:t>（3）合理安排工期，尽可能地加快施工速度，减少施工时间，并建议施工单位采取逐段施工方式；优先选用低噪声设备，日常应注意对施工设备的维修、保养，使各种施工机械保持良好的运行状态；施工现场应设污水收集和简易处理设施；现场搅拌砂浆、混凝土时应按用量进行配料，尽量做到不洒、不漏、不剩、不弃。</w:t>
      </w:r>
    </w:p>
    <w:p>
      <w:pPr>
        <w:keepNext w:val="0"/>
        <w:keepLines w:val="0"/>
        <w:pageBreakBefore w:val="0"/>
        <w:widowControl/>
        <w:kinsoku/>
        <w:wordWrap/>
        <w:overflowPunct/>
        <w:topLinePunct w:val="0"/>
        <w:autoSpaceDE/>
        <w:autoSpaceDN/>
        <w:bidi w:val="0"/>
        <w:adjustRightInd/>
        <w:snapToGrid/>
        <w:ind w:firstLine="480"/>
        <w:textAlignment w:val="auto"/>
        <w:rPr>
          <w:color w:val="auto"/>
          <w:highlight w:val="none"/>
        </w:rPr>
      </w:pPr>
      <w:r>
        <w:rPr>
          <w:rFonts w:hint="eastAsia"/>
          <w:color w:val="auto"/>
          <w:highlight w:val="none"/>
        </w:rPr>
        <w:t>（4）加强全场卫生管理，防止疫病传播与扩散；定期对场区进行消毒，防止蝇、蛆滋生，防止病原体的传播与扩散；场区应合理布局，实现安全生产和无害化管理；病死猪送往</w:t>
      </w:r>
      <w:r>
        <w:rPr>
          <w:rFonts w:hint="eastAsia"/>
          <w:color w:val="auto"/>
          <w:highlight w:val="none"/>
          <w:lang w:eastAsia="zh-CN"/>
        </w:rPr>
        <w:t>本厂自建的</w:t>
      </w:r>
      <w:r>
        <w:rPr>
          <w:rFonts w:hint="eastAsia"/>
          <w:color w:val="auto"/>
          <w:highlight w:val="none"/>
        </w:rPr>
        <w:t>无害化车间进行无害化处理。</w:t>
      </w:r>
    </w:p>
    <w:p>
      <w:pPr>
        <w:keepNext w:val="0"/>
        <w:keepLines w:val="0"/>
        <w:pageBreakBefore w:val="0"/>
        <w:widowControl/>
        <w:kinsoku/>
        <w:wordWrap/>
        <w:overflowPunct/>
        <w:topLinePunct w:val="0"/>
        <w:autoSpaceDE/>
        <w:autoSpaceDN/>
        <w:bidi w:val="0"/>
        <w:adjustRightInd/>
        <w:snapToGrid/>
        <w:ind w:firstLine="480"/>
        <w:textAlignment w:val="auto"/>
        <w:rPr>
          <w:color w:val="auto"/>
          <w:highlight w:val="none"/>
        </w:rPr>
      </w:pPr>
      <w:r>
        <w:rPr>
          <w:rFonts w:hint="eastAsia"/>
          <w:color w:val="auto"/>
          <w:highlight w:val="none"/>
        </w:rPr>
        <w:t>（5）企业应积极稳妥地采取措施，按《畜禽养殖业污染防治技术规范》（HJ/T81－2001）要求强化流程管理，防止各主要环节恶臭污染物的产生。在规定的</w:t>
      </w:r>
      <w:r>
        <w:rPr>
          <w:rFonts w:hint="eastAsia"/>
          <w:color w:val="auto"/>
          <w:highlight w:val="none"/>
          <w:lang w:val="en-US" w:eastAsia="zh-CN"/>
        </w:rPr>
        <w:t>1</w:t>
      </w:r>
      <w:r>
        <w:rPr>
          <w:rFonts w:hint="eastAsia"/>
          <w:color w:val="auto"/>
          <w:highlight w:val="none"/>
        </w:rPr>
        <w:t>00m</w:t>
      </w:r>
      <w:r>
        <w:rPr>
          <w:rFonts w:hint="eastAsia"/>
          <w:color w:val="auto"/>
          <w:highlight w:val="none"/>
          <w:lang w:eastAsia="zh-CN"/>
        </w:rPr>
        <w:t>卫生防护</w:t>
      </w:r>
      <w:r>
        <w:rPr>
          <w:rFonts w:hint="eastAsia"/>
          <w:color w:val="auto"/>
          <w:highlight w:val="none"/>
        </w:rPr>
        <w:t>距离内，规划部门不得再规划建设居民区、学校、医院、疗养院等环境敏感点。</w:t>
      </w:r>
    </w:p>
    <w:p>
      <w:pPr>
        <w:keepNext w:val="0"/>
        <w:keepLines w:val="0"/>
        <w:pageBreakBefore w:val="0"/>
        <w:widowControl/>
        <w:kinsoku/>
        <w:wordWrap/>
        <w:overflowPunct/>
        <w:topLinePunct w:val="0"/>
        <w:autoSpaceDE/>
        <w:autoSpaceDN/>
        <w:bidi w:val="0"/>
        <w:adjustRightInd/>
        <w:snapToGrid/>
        <w:ind w:firstLine="480"/>
        <w:textAlignment w:val="auto"/>
        <w:rPr>
          <w:color w:val="auto"/>
          <w:highlight w:val="none"/>
        </w:rPr>
      </w:pPr>
      <w:r>
        <w:rPr>
          <w:rFonts w:hint="eastAsia"/>
          <w:color w:val="auto"/>
          <w:highlight w:val="none"/>
        </w:rPr>
        <w:t>（6）重视安全生产、环保治理、卫生防护，提高风险防范和管理意识，加强防毒、防腐、防火措施和对有毒、有害、易燃原材料等管理。加强对易腐蚀的管道、阀门等维护，定期更换，杜绝由此引发的各类事故。</w:t>
      </w:r>
    </w:p>
    <w:p>
      <w:pPr>
        <w:keepNext w:val="0"/>
        <w:keepLines w:val="0"/>
        <w:pageBreakBefore w:val="0"/>
        <w:widowControl/>
        <w:kinsoku/>
        <w:wordWrap/>
        <w:overflowPunct/>
        <w:topLinePunct w:val="0"/>
        <w:autoSpaceDE/>
        <w:autoSpaceDN/>
        <w:bidi w:val="0"/>
        <w:adjustRightInd/>
        <w:snapToGrid/>
        <w:ind w:firstLine="480"/>
        <w:textAlignment w:val="auto"/>
        <w:rPr>
          <w:rFonts w:hint="eastAsia"/>
          <w:color w:val="auto"/>
          <w:highlight w:val="none"/>
        </w:rPr>
      </w:pPr>
      <w:r>
        <w:rPr>
          <w:rFonts w:hint="eastAsia"/>
          <w:color w:val="auto"/>
          <w:highlight w:val="none"/>
        </w:rPr>
        <w:t>（7）如产品方案、工艺、设备、原辅材料消耗等生产情况有大的变动，应及时向有关部门及时申报。</w:t>
      </w:r>
    </w:p>
    <w:p>
      <w:pPr>
        <w:pStyle w:val="4"/>
        <w:spacing w:before="132"/>
        <w:rPr>
          <w:rFonts w:hint="eastAsia"/>
          <w:color w:val="auto"/>
          <w:highlight w:val="none"/>
          <w:lang w:val="en-US" w:eastAsia="zh-CN"/>
        </w:rPr>
      </w:pPr>
      <w:bookmarkStart w:id="68" w:name="_Toc2249"/>
      <w:r>
        <w:rPr>
          <w:rFonts w:hint="eastAsia"/>
          <w:color w:val="auto"/>
          <w:highlight w:val="none"/>
          <w:lang w:val="en-US" w:eastAsia="zh-CN"/>
        </w:rPr>
        <w:t>8.3总结论</w:t>
      </w:r>
      <w:bookmarkEnd w:id="68"/>
    </w:p>
    <w:p>
      <w:pPr>
        <w:keepNext w:val="0"/>
        <w:keepLines w:val="0"/>
        <w:pageBreakBefore w:val="0"/>
        <w:widowControl/>
        <w:kinsoku/>
        <w:wordWrap/>
        <w:overflowPunct/>
        <w:topLinePunct w:val="0"/>
        <w:autoSpaceDE/>
        <w:autoSpaceDN/>
        <w:bidi w:val="0"/>
        <w:adjustRightInd/>
        <w:snapToGrid/>
        <w:ind w:firstLine="480"/>
        <w:textAlignment w:val="auto"/>
        <w:rPr>
          <w:color w:val="auto"/>
          <w:highlight w:val="none"/>
        </w:rPr>
      </w:pPr>
      <w:r>
        <w:rPr>
          <w:rFonts w:hAnsi="宋体"/>
          <w:color w:val="auto"/>
          <w:highlight w:val="none"/>
        </w:rPr>
        <w:t>综上所述，项目符合国家产业政策，选址</w:t>
      </w:r>
      <w:r>
        <w:rPr>
          <w:rFonts w:hint="eastAsia" w:hAnsi="宋体"/>
          <w:color w:val="auto"/>
          <w:highlight w:val="none"/>
        </w:rPr>
        <w:t>可行</w:t>
      </w:r>
      <w:r>
        <w:rPr>
          <w:rFonts w:hAnsi="宋体"/>
          <w:color w:val="auto"/>
          <w:highlight w:val="none"/>
        </w:rPr>
        <w:t>，污染物达标排放，总量在可控制的范围内平衡，在杜绝设备故障的情况下，项目对评价区域环境影响较小，不会降低区域的环境质量现状，清洁生产水平</w:t>
      </w:r>
      <w:r>
        <w:rPr>
          <w:rFonts w:hint="eastAsia" w:hAnsi="宋体"/>
          <w:color w:val="auto"/>
          <w:highlight w:val="none"/>
        </w:rPr>
        <w:t>满足</w:t>
      </w:r>
      <w:r>
        <w:rPr>
          <w:rFonts w:hAnsi="宋体"/>
          <w:color w:val="auto"/>
          <w:highlight w:val="none"/>
        </w:rPr>
        <w:t>要求，周围居民对建设项目的建设持支持态度，因此，从环保角度来讲，该项目在拟建地建设是可行的。</w:t>
      </w:r>
    </w:p>
    <w:p>
      <w:pPr>
        <w:pStyle w:val="23"/>
        <w:rPr>
          <w:color w:val="auto"/>
          <w:highlight w:val="none"/>
        </w:rPr>
      </w:pPr>
    </w:p>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Bookman Old Style">
    <w:altName w:val="Segoe Print"/>
    <w:panose1 w:val="02050604050505020204"/>
    <w:charset w:val="00"/>
    <w:family w:val="roman"/>
    <w:pitch w:val="default"/>
    <w:sig w:usb0="00000000" w:usb1="00000000" w:usb2="00000000" w:usb3="00000000" w:csb0="0000009F" w:csb1="00000000"/>
  </w:font>
  <w:font w:name="仿宋_GB2312">
    <w:altName w:val="仿宋"/>
    <w:panose1 w:val="00000000000000000000"/>
    <w:charset w:val="86"/>
    <w:family w:val="modern"/>
    <w:pitch w:val="default"/>
    <w:sig w:usb0="00000000" w:usb1="00000000" w:usb2="00000010" w:usb3="00000000" w:csb0="000401FF" w:csb1="00000000"/>
  </w:font>
  <w:font w:name="Alaska">
    <w:altName w:val="Arial"/>
    <w:panose1 w:val="00000000000000000000"/>
    <w:charset w:val="00"/>
    <w:family w:val="swiss"/>
    <w:pitch w:val="default"/>
    <w:sig w:usb0="00000000" w:usb1="00000000" w:usb2="00000000" w:usb3="00000000" w:csb0="00000011" w:csb1="00000000"/>
  </w:font>
  <w:font w:name="华文新魏">
    <w:altName w:val="微软雅黑"/>
    <w:panose1 w:val="02010800040101010101"/>
    <w:charset w:val="86"/>
    <w:family w:val="auto"/>
    <w:pitch w:val="default"/>
    <w:sig w:usb0="00000000" w:usb1="00000000" w:usb2="00000010" w:usb3="00000000" w:csb0="00040000" w:csb1="00000000"/>
  </w:font>
  <w:font w:name="华文行楷">
    <w:altName w:val="微软雅黑"/>
    <w:panose1 w:val="0201080004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fill on="f" focussize="0,0"/>
              <v:stroke on="f" weight="0.5pt"/>
              <v:imagedata o:title=""/>
              <o:lock v:ext="edit" aspectratio="f"/>
              <v:textbox inset="0mm,0mm,0mm,0mm" style="mso-fit-shape-to-text:t;">
                <w:txbxContent>
                  <w:p>
                    <w:pPr>
                      <w:pStyle w:val="15"/>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ind w:firstLine="360"/>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&#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HP4ZNkPAgAABwQAAA4AAAAAAAAAAQAgAAAA&#10;HwEAAGRycy9lMm9Eb2MueG1sUEsFBgAAAAAGAAYAWQEAAKAFAAAAAA==&#10;">
              <v:fill on="f" focussize="0,0"/>
              <v:stroke on="f" weight="0.5pt"/>
              <v:imagedata o:title=""/>
              <o:lock v:ext="edit" aspectratio="f"/>
              <v:textbox inset="0mm,0mm,0mm,0mm" style="mso-fit-shape-to-text:t;">
                <w:txbxContent>
                  <w:p>
                    <w:pPr>
                      <w:pStyle w:val="15"/>
                      <w:ind w:firstLine="360"/>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pPr>
    <w:r>
      <w:rPr>
        <w:rFonts w:hint="eastAsia"/>
      </w:rPr>
      <w:fldChar w:fldCharType="begin"/>
    </w:r>
    <w:r>
      <w:rPr>
        <w:rFonts w:hint="eastAsia"/>
      </w:rPr>
      <w:instrText xml:space="preserve"> PAGE  \* MERGEFORMAT </w:instrText>
    </w:r>
    <w:r>
      <w:rPr>
        <w:rFonts w:hint="eastAsia"/>
      </w:rPr>
      <w:fldChar w:fldCharType="separate"/>
    </w:r>
    <w:r>
      <w:t>166</w:t>
    </w:r>
    <w:r>
      <w:rPr>
        <w:rFonts w:hint="eastAsia"/>
      </w:rPr>
      <w:fldChar w:fldCharType="end"/>
    </w:r>
  </w:p>
  <w:p>
    <w:pPr>
      <w:pStyle w:val="15"/>
      <w:ind w:firstLine="360"/>
      <w:jc w:val="center"/>
    </w:pPr>
    <w:r>
      <mc:AlternateContent>
        <mc:Choice Requires="wps">
          <w:drawing>
            <wp:anchor distT="0" distB="0" distL="114300" distR="114300" simplePos="0" relativeHeight="251660288" behindDoc="0" locked="0" layoutInCell="1" allowOverlap="1">
              <wp:simplePos x="0" y="0"/>
              <wp:positionH relativeFrom="margin">
                <wp:posOffset>2467610</wp:posOffset>
              </wp:positionH>
              <wp:positionV relativeFrom="paragraph">
                <wp:posOffset>0</wp:posOffset>
              </wp:positionV>
              <wp:extent cx="522605"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522605" cy="1828800"/>
                      </a:xfrm>
                      <a:prstGeom prst="rect">
                        <a:avLst/>
                      </a:prstGeom>
                      <a:noFill/>
                      <a:ln w="15875">
                        <a:noFill/>
                      </a:ln>
                    </wps:spPr>
                    <wps:txbx>
                      <w:txbxContent>
                        <w:p>
                          <w:pPr>
                            <w:ind w:firstLine="480"/>
                          </w:pPr>
                        </w:p>
                      </w:txbxContent>
                    </wps:txbx>
                    <wps:bodyPr lIns="0" tIns="0" rIns="0" bIns="0">
                      <a:spAutoFit/>
                    </wps:bodyPr>
                  </wps:wsp>
                </a:graphicData>
              </a:graphic>
            </wp:anchor>
          </w:drawing>
        </mc:Choice>
        <mc:Fallback>
          <w:pict>
            <v:shape id="文本框 1" o:spid="_x0000_s1026" o:spt="202" type="#_x0000_t202" style="position:absolute;left:0pt;margin-left:194.3pt;margin-top:0pt;height:144pt;width:41.15pt;mso-position-horizontal-relative:margin;z-index:251660288;mso-width-relative:page;mso-height-relative:page;" filled="f" stroked="f" coordsize="21600,21600" o:gfxdata="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pEqVtgA&#10;AAAIAQAADwAAAAAAAAABACAAAAAiAAAAZHJzL2Rvd25yZXYueG1sUEsBAhQAFAAAAAgAh07iQMP1&#10;P8CtAQAAPAMAAA4AAAAAAAAAAQAgAAAAJwEAAGRycy9lMm9Eb2MueG1sUEsFBgAAAAAGAAYAWQEA&#10;AEYFAAAAAA==&#10;">
              <v:fill on="f" focussize="0,0"/>
              <v:stroke on="f" weight="1.25pt"/>
              <v:imagedata o:title=""/>
              <o:lock v:ext="edit" aspectratio="f"/>
              <v:textbox inset="0mm,0mm,0mm,0mm" style="mso-fit-shape-to-text:t;">
                <w:txbxContent>
                  <w:p>
                    <w:pPr>
                      <w:ind w:firstLine="480"/>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single" w:color="auto" w:sz="4" w:space="1"/>
      </w:pBdr>
      <w:ind w:firstLine="0" w:firstLineChars="0"/>
      <w:jc w:val="center"/>
    </w:pPr>
    <w:r>
      <w:rPr>
        <w:rFonts w:hint="eastAsia"/>
        <w:lang w:eastAsia="zh-CN"/>
      </w:rPr>
      <w:t>平舆牧原农牧有限公司平舆四场生猪养殖项目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58D41F"/>
    <w:multiLevelType w:val="singleLevel"/>
    <w:tmpl w:val="9158D41F"/>
    <w:lvl w:ilvl="0" w:tentative="0">
      <w:start w:val="1"/>
      <w:numFmt w:val="decimal"/>
      <w:suff w:val="nothing"/>
      <w:lvlText w:val="%1）"/>
      <w:lvlJc w:val="left"/>
    </w:lvl>
  </w:abstractNum>
  <w:abstractNum w:abstractNumId="1">
    <w:nsid w:val="B3359D08"/>
    <w:multiLevelType w:val="singleLevel"/>
    <w:tmpl w:val="B3359D08"/>
    <w:lvl w:ilvl="0" w:tentative="0">
      <w:start w:val="1"/>
      <w:numFmt w:val="upperLetter"/>
      <w:suff w:val="nothing"/>
      <w:lvlText w:val="%1、"/>
      <w:lvlJc w:val="left"/>
    </w:lvl>
  </w:abstractNum>
  <w:abstractNum w:abstractNumId="2">
    <w:nsid w:val="F051F747"/>
    <w:multiLevelType w:val="singleLevel"/>
    <w:tmpl w:val="F051F747"/>
    <w:lvl w:ilvl="0" w:tentative="0">
      <w:start w:val="1"/>
      <w:numFmt w:val="decimal"/>
      <w:suff w:val="nothing"/>
      <w:lvlText w:val="%1、"/>
      <w:lvlJc w:val="left"/>
    </w:lvl>
  </w:abstractNum>
  <w:abstractNum w:abstractNumId="3">
    <w:nsid w:val="FAE3A81F"/>
    <w:multiLevelType w:val="singleLevel"/>
    <w:tmpl w:val="FAE3A81F"/>
    <w:lvl w:ilvl="0" w:tentative="0">
      <w:start w:val="7"/>
      <w:numFmt w:val="decimal"/>
      <w:suff w:val="nothing"/>
      <w:lvlText w:val="%1、"/>
      <w:lvlJc w:val="left"/>
    </w:lvl>
  </w:abstractNum>
  <w:abstractNum w:abstractNumId="4">
    <w:nsid w:val="0AFD01CF"/>
    <w:multiLevelType w:val="singleLevel"/>
    <w:tmpl w:val="0AFD01CF"/>
    <w:lvl w:ilvl="0" w:tentative="0">
      <w:start w:val="1"/>
      <w:numFmt w:val="upperLetter"/>
      <w:suff w:val="nothing"/>
      <w:lvlText w:val="%1、"/>
      <w:lvlJc w:val="left"/>
    </w:lvl>
  </w:abstractNum>
  <w:abstractNum w:abstractNumId="5">
    <w:nsid w:val="35CA9CF1"/>
    <w:multiLevelType w:val="singleLevel"/>
    <w:tmpl w:val="35CA9CF1"/>
    <w:lvl w:ilvl="0" w:tentative="0">
      <w:start w:val="1"/>
      <w:numFmt w:val="decimal"/>
      <w:suff w:val="nothing"/>
      <w:lvlText w:val="（%1）"/>
      <w:lvlJc w:val="left"/>
    </w:lvl>
  </w:abstractNum>
  <w:abstractNum w:abstractNumId="6">
    <w:nsid w:val="3CC4F21D"/>
    <w:multiLevelType w:val="singleLevel"/>
    <w:tmpl w:val="3CC4F21D"/>
    <w:lvl w:ilvl="0" w:tentative="0">
      <w:start w:val="1"/>
      <w:numFmt w:val="lowerLetter"/>
      <w:suff w:val="nothing"/>
      <w:lvlText w:val="%1、"/>
      <w:lvlJc w:val="left"/>
    </w:lvl>
  </w:abstractNum>
  <w:abstractNum w:abstractNumId="7">
    <w:nsid w:val="41F5D919"/>
    <w:multiLevelType w:val="singleLevel"/>
    <w:tmpl w:val="41F5D919"/>
    <w:lvl w:ilvl="0" w:tentative="0">
      <w:start w:val="6"/>
      <w:numFmt w:val="chineseCounting"/>
      <w:suff w:val="nothing"/>
      <w:lvlText w:val="（%1）"/>
      <w:lvlJc w:val="left"/>
      <w:rPr>
        <w:rFonts w:hint="eastAsia"/>
      </w:rPr>
    </w:lvl>
  </w:abstractNum>
  <w:abstractNum w:abstractNumId="8">
    <w:nsid w:val="454EF475"/>
    <w:multiLevelType w:val="singleLevel"/>
    <w:tmpl w:val="454EF475"/>
    <w:lvl w:ilvl="0" w:tentative="0">
      <w:start w:val="1"/>
      <w:numFmt w:val="decimal"/>
      <w:suff w:val="nothing"/>
      <w:lvlText w:val="（%1）"/>
      <w:lvlJc w:val="left"/>
    </w:lvl>
  </w:abstractNum>
  <w:abstractNum w:abstractNumId="9">
    <w:nsid w:val="596E177E"/>
    <w:multiLevelType w:val="singleLevel"/>
    <w:tmpl w:val="596E177E"/>
    <w:lvl w:ilvl="0" w:tentative="0">
      <w:start w:val="1"/>
      <w:numFmt w:val="decimal"/>
      <w:suff w:val="nothing"/>
      <w:lvlText w:val="（%1）"/>
      <w:lvlJc w:val="left"/>
    </w:lvl>
  </w:abstractNum>
  <w:abstractNum w:abstractNumId="10">
    <w:nsid w:val="59CDA8B9"/>
    <w:multiLevelType w:val="singleLevel"/>
    <w:tmpl w:val="59CDA8B9"/>
    <w:lvl w:ilvl="0" w:tentative="0">
      <w:start w:val="1"/>
      <w:numFmt w:val="chineseCounting"/>
      <w:suff w:val="nothing"/>
      <w:lvlText w:val="%1、"/>
      <w:lvlJc w:val="left"/>
    </w:lvl>
  </w:abstractNum>
  <w:abstractNum w:abstractNumId="11">
    <w:nsid w:val="59E5A237"/>
    <w:multiLevelType w:val="singleLevel"/>
    <w:tmpl w:val="59E5A237"/>
    <w:lvl w:ilvl="0" w:tentative="0">
      <w:start w:val="1"/>
      <w:numFmt w:val="decimal"/>
      <w:suff w:val="nothing"/>
      <w:lvlText w:val="（%1）"/>
      <w:lvlJc w:val="left"/>
    </w:lvl>
  </w:abstractNum>
  <w:abstractNum w:abstractNumId="12">
    <w:nsid w:val="5A1BC8EB"/>
    <w:multiLevelType w:val="singleLevel"/>
    <w:tmpl w:val="5A1BC8EB"/>
    <w:lvl w:ilvl="0" w:tentative="0">
      <w:start w:val="2"/>
      <w:numFmt w:val="decimal"/>
      <w:suff w:val="nothing"/>
      <w:lvlText w:val="（%1）"/>
      <w:lvlJc w:val="left"/>
    </w:lvl>
  </w:abstractNum>
  <w:abstractNum w:abstractNumId="13">
    <w:nsid w:val="5A1BDAA0"/>
    <w:multiLevelType w:val="singleLevel"/>
    <w:tmpl w:val="5A1BDAA0"/>
    <w:lvl w:ilvl="0" w:tentative="0">
      <w:start w:val="1"/>
      <w:numFmt w:val="decimal"/>
      <w:suff w:val="nothing"/>
      <w:lvlText w:val="（%1）"/>
      <w:lvlJc w:val="left"/>
    </w:lvl>
  </w:abstractNum>
  <w:abstractNum w:abstractNumId="14">
    <w:nsid w:val="5DB660A0"/>
    <w:multiLevelType w:val="singleLevel"/>
    <w:tmpl w:val="5DB660A0"/>
    <w:lvl w:ilvl="0" w:tentative="0">
      <w:start w:val="3"/>
      <w:numFmt w:val="upperLetter"/>
      <w:suff w:val="nothing"/>
      <w:lvlText w:val="%1、"/>
      <w:lvlJc w:val="left"/>
    </w:lvl>
  </w:abstractNum>
  <w:abstractNum w:abstractNumId="15">
    <w:nsid w:val="664535DC"/>
    <w:multiLevelType w:val="singleLevel"/>
    <w:tmpl w:val="664535DC"/>
    <w:lvl w:ilvl="0" w:tentative="0">
      <w:start w:val="2"/>
      <w:numFmt w:val="decimal"/>
      <w:suff w:val="nothing"/>
      <w:lvlText w:val="%1）"/>
      <w:lvlJc w:val="left"/>
    </w:lvl>
  </w:abstractNum>
  <w:abstractNum w:abstractNumId="16">
    <w:nsid w:val="66AF94FD"/>
    <w:multiLevelType w:val="singleLevel"/>
    <w:tmpl w:val="66AF94FD"/>
    <w:lvl w:ilvl="0" w:tentative="0">
      <w:start w:val="1"/>
      <w:numFmt w:val="decimal"/>
      <w:suff w:val="nothing"/>
      <w:lvlText w:val="%1、"/>
      <w:lvlJc w:val="left"/>
    </w:lvl>
  </w:abstractNum>
  <w:abstractNum w:abstractNumId="17">
    <w:nsid w:val="6814D890"/>
    <w:multiLevelType w:val="singleLevel"/>
    <w:tmpl w:val="6814D890"/>
    <w:lvl w:ilvl="0" w:tentative="0">
      <w:start w:val="1"/>
      <w:numFmt w:val="decimal"/>
      <w:suff w:val="nothing"/>
      <w:lvlText w:val="%1）"/>
      <w:lvlJc w:val="left"/>
    </w:lvl>
  </w:abstractNum>
  <w:num w:numId="1">
    <w:abstractNumId w:val="10"/>
  </w:num>
  <w:num w:numId="2">
    <w:abstractNumId w:val="8"/>
  </w:num>
  <w:num w:numId="3">
    <w:abstractNumId w:val="11"/>
  </w:num>
  <w:num w:numId="4">
    <w:abstractNumId w:val="12"/>
  </w:num>
  <w:num w:numId="5">
    <w:abstractNumId w:val="13"/>
  </w:num>
  <w:num w:numId="6">
    <w:abstractNumId w:val="17"/>
  </w:num>
  <w:num w:numId="7">
    <w:abstractNumId w:val="0"/>
  </w:num>
  <w:num w:numId="8">
    <w:abstractNumId w:val="6"/>
  </w:num>
  <w:num w:numId="9">
    <w:abstractNumId w:val="16"/>
  </w:num>
  <w:num w:numId="10">
    <w:abstractNumId w:val="9"/>
    <w:lvlOverride w:ilvl="0">
      <w:startOverride w:val="1"/>
    </w:lvlOverride>
  </w:num>
  <w:num w:numId="11">
    <w:abstractNumId w:val="3"/>
  </w:num>
  <w:num w:numId="12">
    <w:abstractNumId w:val="2"/>
  </w:num>
  <w:num w:numId="13">
    <w:abstractNumId w:val="1"/>
  </w:num>
  <w:num w:numId="14">
    <w:abstractNumId w:val="7"/>
  </w:num>
  <w:num w:numId="15">
    <w:abstractNumId w:val="14"/>
  </w:num>
  <w:num w:numId="16">
    <w:abstractNumId w:val="15"/>
  </w:num>
  <w:num w:numId="17">
    <w:abstractNumId w:val="4"/>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hideSpellingErrors/>
  <w:hideGrammaticalErrors/>
  <w:documentProtection w:enforcement="0"/>
  <w:defaultTabStop w:val="420"/>
  <w:drawingGridHorizontalSpacing w:val="120"/>
  <w:drawingGridVerticalSpacing w:val="16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6F4"/>
    <w:rsid w:val="000048B6"/>
    <w:rsid w:val="00010747"/>
    <w:rsid w:val="000111F4"/>
    <w:rsid w:val="000118A8"/>
    <w:rsid w:val="000141CC"/>
    <w:rsid w:val="00020B01"/>
    <w:rsid w:val="0003280A"/>
    <w:rsid w:val="00033D6B"/>
    <w:rsid w:val="00036BD0"/>
    <w:rsid w:val="00037A06"/>
    <w:rsid w:val="000416C4"/>
    <w:rsid w:val="00042D96"/>
    <w:rsid w:val="00052506"/>
    <w:rsid w:val="000607EE"/>
    <w:rsid w:val="00061A71"/>
    <w:rsid w:val="00062073"/>
    <w:rsid w:val="00062469"/>
    <w:rsid w:val="00062F52"/>
    <w:rsid w:val="00064613"/>
    <w:rsid w:val="00067DB1"/>
    <w:rsid w:val="00072F11"/>
    <w:rsid w:val="00074359"/>
    <w:rsid w:val="00075D99"/>
    <w:rsid w:val="00082808"/>
    <w:rsid w:val="00090DB7"/>
    <w:rsid w:val="00094334"/>
    <w:rsid w:val="000A0044"/>
    <w:rsid w:val="000A1D19"/>
    <w:rsid w:val="000A51E5"/>
    <w:rsid w:val="000B485C"/>
    <w:rsid w:val="000C2D16"/>
    <w:rsid w:val="000C4EC2"/>
    <w:rsid w:val="000C7992"/>
    <w:rsid w:val="000D10AA"/>
    <w:rsid w:val="000D2199"/>
    <w:rsid w:val="000D4C8C"/>
    <w:rsid w:val="000D6DD3"/>
    <w:rsid w:val="000E23C9"/>
    <w:rsid w:val="000E4DED"/>
    <w:rsid w:val="000E5341"/>
    <w:rsid w:val="000E6106"/>
    <w:rsid w:val="000F1D44"/>
    <w:rsid w:val="000F672D"/>
    <w:rsid w:val="000F6FA9"/>
    <w:rsid w:val="000F7740"/>
    <w:rsid w:val="00100D52"/>
    <w:rsid w:val="00101BD0"/>
    <w:rsid w:val="001039BF"/>
    <w:rsid w:val="00106CA8"/>
    <w:rsid w:val="00110F64"/>
    <w:rsid w:val="0011418D"/>
    <w:rsid w:val="00116FAD"/>
    <w:rsid w:val="0012026A"/>
    <w:rsid w:val="001275AF"/>
    <w:rsid w:val="00127D4B"/>
    <w:rsid w:val="00131DAF"/>
    <w:rsid w:val="001335BC"/>
    <w:rsid w:val="00133B09"/>
    <w:rsid w:val="00134349"/>
    <w:rsid w:val="001361F1"/>
    <w:rsid w:val="0014120A"/>
    <w:rsid w:val="00141BDF"/>
    <w:rsid w:val="00141D8F"/>
    <w:rsid w:val="00141EB6"/>
    <w:rsid w:val="00151027"/>
    <w:rsid w:val="001513F4"/>
    <w:rsid w:val="001533F5"/>
    <w:rsid w:val="00154DB5"/>
    <w:rsid w:val="00155371"/>
    <w:rsid w:val="00160A67"/>
    <w:rsid w:val="00163716"/>
    <w:rsid w:val="001640A2"/>
    <w:rsid w:val="001647CC"/>
    <w:rsid w:val="00164FA6"/>
    <w:rsid w:val="00165365"/>
    <w:rsid w:val="00171144"/>
    <w:rsid w:val="0017138F"/>
    <w:rsid w:val="00172A27"/>
    <w:rsid w:val="00177DE9"/>
    <w:rsid w:val="00182C9D"/>
    <w:rsid w:val="001844F0"/>
    <w:rsid w:val="0018705F"/>
    <w:rsid w:val="001911B8"/>
    <w:rsid w:val="00195726"/>
    <w:rsid w:val="00196B8E"/>
    <w:rsid w:val="00197755"/>
    <w:rsid w:val="001A2E90"/>
    <w:rsid w:val="001A7D23"/>
    <w:rsid w:val="001B2F41"/>
    <w:rsid w:val="001B468C"/>
    <w:rsid w:val="001B5C47"/>
    <w:rsid w:val="001C18C1"/>
    <w:rsid w:val="001C2FF6"/>
    <w:rsid w:val="001C5593"/>
    <w:rsid w:val="001C669E"/>
    <w:rsid w:val="001D2D7A"/>
    <w:rsid w:val="001D5761"/>
    <w:rsid w:val="001D6339"/>
    <w:rsid w:val="001D7BCF"/>
    <w:rsid w:val="001E0AB0"/>
    <w:rsid w:val="001E0CAC"/>
    <w:rsid w:val="001E18DF"/>
    <w:rsid w:val="001E59AA"/>
    <w:rsid w:val="001E5A8E"/>
    <w:rsid w:val="001F3855"/>
    <w:rsid w:val="00204B54"/>
    <w:rsid w:val="002062F9"/>
    <w:rsid w:val="00210549"/>
    <w:rsid w:val="00225885"/>
    <w:rsid w:val="0022693E"/>
    <w:rsid w:val="002342B3"/>
    <w:rsid w:val="00234EBE"/>
    <w:rsid w:val="00236208"/>
    <w:rsid w:val="00236841"/>
    <w:rsid w:val="00240EC3"/>
    <w:rsid w:val="00241888"/>
    <w:rsid w:val="00247D24"/>
    <w:rsid w:val="002505AF"/>
    <w:rsid w:val="00251E83"/>
    <w:rsid w:val="00256306"/>
    <w:rsid w:val="00256FA1"/>
    <w:rsid w:val="00260CF1"/>
    <w:rsid w:val="00261E20"/>
    <w:rsid w:val="002644E2"/>
    <w:rsid w:val="00273155"/>
    <w:rsid w:val="0027397D"/>
    <w:rsid w:val="002819A4"/>
    <w:rsid w:val="002870C3"/>
    <w:rsid w:val="002873CA"/>
    <w:rsid w:val="0029017F"/>
    <w:rsid w:val="0029145F"/>
    <w:rsid w:val="00292A71"/>
    <w:rsid w:val="00294237"/>
    <w:rsid w:val="002967A9"/>
    <w:rsid w:val="0029765D"/>
    <w:rsid w:val="002A2E15"/>
    <w:rsid w:val="002A31B3"/>
    <w:rsid w:val="002A4411"/>
    <w:rsid w:val="002A5525"/>
    <w:rsid w:val="002A58B7"/>
    <w:rsid w:val="002B1980"/>
    <w:rsid w:val="002B490F"/>
    <w:rsid w:val="002C07AA"/>
    <w:rsid w:val="002C0BA6"/>
    <w:rsid w:val="002C2AD4"/>
    <w:rsid w:val="002C3575"/>
    <w:rsid w:val="002C6EE7"/>
    <w:rsid w:val="002C7EDA"/>
    <w:rsid w:val="002D0C90"/>
    <w:rsid w:val="002D2179"/>
    <w:rsid w:val="002D3E5A"/>
    <w:rsid w:val="002D416A"/>
    <w:rsid w:val="002E2378"/>
    <w:rsid w:val="002E3A42"/>
    <w:rsid w:val="002E4295"/>
    <w:rsid w:val="002E48B9"/>
    <w:rsid w:val="002E4969"/>
    <w:rsid w:val="002F3803"/>
    <w:rsid w:val="002F5A6C"/>
    <w:rsid w:val="002F699C"/>
    <w:rsid w:val="00300A1D"/>
    <w:rsid w:val="00302EC7"/>
    <w:rsid w:val="00303B9F"/>
    <w:rsid w:val="003042E9"/>
    <w:rsid w:val="00310104"/>
    <w:rsid w:val="00313723"/>
    <w:rsid w:val="00315001"/>
    <w:rsid w:val="003253C8"/>
    <w:rsid w:val="0033020A"/>
    <w:rsid w:val="003341B2"/>
    <w:rsid w:val="00335B5A"/>
    <w:rsid w:val="00337157"/>
    <w:rsid w:val="0034109E"/>
    <w:rsid w:val="003416BD"/>
    <w:rsid w:val="00342531"/>
    <w:rsid w:val="00346B64"/>
    <w:rsid w:val="0035095E"/>
    <w:rsid w:val="00351F6D"/>
    <w:rsid w:val="003547F4"/>
    <w:rsid w:val="00355445"/>
    <w:rsid w:val="00357B8E"/>
    <w:rsid w:val="0036276F"/>
    <w:rsid w:val="00362859"/>
    <w:rsid w:val="00363EEF"/>
    <w:rsid w:val="0036467A"/>
    <w:rsid w:val="00365E34"/>
    <w:rsid w:val="00365EB1"/>
    <w:rsid w:val="003667D3"/>
    <w:rsid w:val="00367494"/>
    <w:rsid w:val="0038200B"/>
    <w:rsid w:val="00386B54"/>
    <w:rsid w:val="00390506"/>
    <w:rsid w:val="003914E6"/>
    <w:rsid w:val="003A2D35"/>
    <w:rsid w:val="003A7462"/>
    <w:rsid w:val="003A7801"/>
    <w:rsid w:val="003B12C7"/>
    <w:rsid w:val="003B16AD"/>
    <w:rsid w:val="003B3F62"/>
    <w:rsid w:val="003B544E"/>
    <w:rsid w:val="003B654E"/>
    <w:rsid w:val="003B6920"/>
    <w:rsid w:val="003C269B"/>
    <w:rsid w:val="003C32AE"/>
    <w:rsid w:val="003C4515"/>
    <w:rsid w:val="003C7B81"/>
    <w:rsid w:val="003D1CAB"/>
    <w:rsid w:val="003D44DA"/>
    <w:rsid w:val="003D64AF"/>
    <w:rsid w:val="003E2697"/>
    <w:rsid w:val="003E466F"/>
    <w:rsid w:val="003E799C"/>
    <w:rsid w:val="003F5970"/>
    <w:rsid w:val="004029AF"/>
    <w:rsid w:val="00414706"/>
    <w:rsid w:val="00417356"/>
    <w:rsid w:val="0042149D"/>
    <w:rsid w:val="004220C4"/>
    <w:rsid w:val="00427930"/>
    <w:rsid w:val="004302CD"/>
    <w:rsid w:val="004378F6"/>
    <w:rsid w:val="00442784"/>
    <w:rsid w:val="00442D47"/>
    <w:rsid w:val="00443B95"/>
    <w:rsid w:val="0044519A"/>
    <w:rsid w:val="0044653D"/>
    <w:rsid w:val="00447E6D"/>
    <w:rsid w:val="004506CF"/>
    <w:rsid w:val="00450F74"/>
    <w:rsid w:val="00451768"/>
    <w:rsid w:val="0045433D"/>
    <w:rsid w:val="00456BE0"/>
    <w:rsid w:val="004618FD"/>
    <w:rsid w:val="00464227"/>
    <w:rsid w:val="00470D1B"/>
    <w:rsid w:val="00471623"/>
    <w:rsid w:val="004716AF"/>
    <w:rsid w:val="00472F5E"/>
    <w:rsid w:val="004750BE"/>
    <w:rsid w:val="00480C74"/>
    <w:rsid w:val="00482399"/>
    <w:rsid w:val="00490156"/>
    <w:rsid w:val="00493B74"/>
    <w:rsid w:val="004968AE"/>
    <w:rsid w:val="00496B72"/>
    <w:rsid w:val="004A2A40"/>
    <w:rsid w:val="004A3675"/>
    <w:rsid w:val="004A4A93"/>
    <w:rsid w:val="004A5DF1"/>
    <w:rsid w:val="004A6618"/>
    <w:rsid w:val="004A69E3"/>
    <w:rsid w:val="004A7401"/>
    <w:rsid w:val="004A78E9"/>
    <w:rsid w:val="004B01BD"/>
    <w:rsid w:val="004B063C"/>
    <w:rsid w:val="004B0973"/>
    <w:rsid w:val="004B0A6A"/>
    <w:rsid w:val="004B3C6C"/>
    <w:rsid w:val="004B6098"/>
    <w:rsid w:val="004C31A3"/>
    <w:rsid w:val="004C379A"/>
    <w:rsid w:val="004C5D07"/>
    <w:rsid w:val="004C6DCD"/>
    <w:rsid w:val="004D3E06"/>
    <w:rsid w:val="004E509F"/>
    <w:rsid w:val="004E7B57"/>
    <w:rsid w:val="004F1FE5"/>
    <w:rsid w:val="004F3038"/>
    <w:rsid w:val="004F3182"/>
    <w:rsid w:val="004F6ACB"/>
    <w:rsid w:val="00503AF6"/>
    <w:rsid w:val="00504CD8"/>
    <w:rsid w:val="0051304F"/>
    <w:rsid w:val="00513C8A"/>
    <w:rsid w:val="00516203"/>
    <w:rsid w:val="0051787C"/>
    <w:rsid w:val="00517CDC"/>
    <w:rsid w:val="00521A5B"/>
    <w:rsid w:val="00522E04"/>
    <w:rsid w:val="0052360B"/>
    <w:rsid w:val="00525C77"/>
    <w:rsid w:val="0052672D"/>
    <w:rsid w:val="00531834"/>
    <w:rsid w:val="00531A87"/>
    <w:rsid w:val="00541218"/>
    <w:rsid w:val="005516D3"/>
    <w:rsid w:val="005569C8"/>
    <w:rsid w:val="00557F4C"/>
    <w:rsid w:val="00563BDD"/>
    <w:rsid w:val="00565EB7"/>
    <w:rsid w:val="005675CD"/>
    <w:rsid w:val="0057603C"/>
    <w:rsid w:val="0057746E"/>
    <w:rsid w:val="005778EA"/>
    <w:rsid w:val="0058323B"/>
    <w:rsid w:val="00583EC0"/>
    <w:rsid w:val="00590132"/>
    <w:rsid w:val="0059435C"/>
    <w:rsid w:val="005A2AC6"/>
    <w:rsid w:val="005A4703"/>
    <w:rsid w:val="005A53C3"/>
    <w:rsid w:val="005B089A"/>
    <w:rsid w:val="005B276E"/>
    <w:rsid w:val="005B34F4"/>
    <w:rsid w:val="005C5394"/>
    <w:rsid w:val="005C6CB0"/>
    <w:rsid w:val="005D2D51"/>
    <w:rsid w:val="005D4B3F"/>
    <w:rsid w:val="005D4CCF"/>
    <w:rsid w:val="005D63F3"/>
    <w:rsid w:val="005E0398"/>
    <w:rsid w:val="005E0BC6"/>
    <w:rsid w:val="005E36B4"/>
    <w:rsid w:val="005E3FE2"/>
    <w:rsid w:val="005F2ED8"/>
    <w:rsid w:val="005F7A46"/>
    <w:rsid w:val="00601298"/>
    <w:rsid w:val="00601BBB"/>
    <w:rsid w:val="006036AD"/>
    <w:rsid w:val="006052DA"/>
    <w:rsid w:val="006113D4"/>
    <w:rsid w:val="00612173"/>
    <w:rsid w:val="0062080C"/>
    <w:rsid w:val="00622C6E"/>
    <w:rsid w:val="00625843"/>
    <w:rsid w:val="00625A4B"/>
    <w:rsid w:val="00630D43"/>
    <w:rsid w:val="00631D6E"/>
    <w:rsid w:val="006320EA"/>
    <w:rsid w:val="006353BF"/>
    <w:rsid w:val="00637CA7"/>
    <w:rsid w:val="00642268"/>
    <w:rsid w:val="006451ED"/>
    <w:rsid w:val="0064564A"/>
    <w:rsid w:val="00652942"/>
    <w:rsid w:val="00653C3E"/>
    <w:rsid w:val="00654CBB"/>
    <w:rsid w:val="00654D19"/>
    <w:rsid w:val="00654EE2"/>
    <w:rsid w:val="006562F1"/>
    <w:rsid w:val="00660060"/>
    <w:rsid w:val="00662DA4"/>
    <w:rsid w:val="006645C5"/>
    <w:rsid w:val="0066668E"/>
    <w:rsid w:val="00666B4F"/>
    <w:rsid w:val="006703C3"/>
    <w:rsid w:val="00671BF6"/>
    <w:rsid w:val="00682401"/>
    <w:rsid w:val="00683678"/>
    <w:rsid w:val="00684F8E"/>
    <w:rsid w:val="0068569C"/>
    <w:rsid w:val="00691CCC"/>
    <w:rsid w:val="00694884"/>
    <w:rsid w:val="006A1C71"/>
    <w:rsid w:val="006A4A35"/>
    <w:rsid w:val="006A63DA"/>
    <w:rsid w:val="006B7E10"/>
    <w:rsid w:val="006C2B43"/>
    <w:rsid w:val="006C31A4"/>
    <w:rsid w:val="006C4B8D"/>
    <w:rsid w:val="006C4EC1"/>
    <w:rsid w:val="006C794C"/>
    <w:rsid w:val="006D2AA2"/>
    <w:rsid w:val="006D2B8F"/>
    <w:rsid w:val="006E217C"/>
    <w:rsid w:val="006E4559"/>
    <w:rsid w:val="006F08CB"/>
    <w:rsid w:val="00703244"/>
    <w:rsid w:val="007100A4"/>
    <w:rsid w:val="00710421"/>
    <w:rsid w:val="00710540"/>
    <w:rsid w:val="00712FE3"/>
    <w:rsid w:val="0071316E"/>
    <w:rsid w:val="00713404"/>
    <w:rsid w:val="00713648"/>
    <w:rsid w:val="00713D3B"/>
    <w:rsid w:val="00727683"/>
    <w:rsid w:val="0073179B"/>
    <w:rsid w:val="007326A7"/>
    <w:rsid w:val="0073580E"/>
    <w:rsid w:val="00741F38"/>
    <w:rsid w:val="00744746"/>
    <w:rsid w:val="00745610"/>
    <w:rsid w:val="00746366"/>
    <w:rsid w:val="00746B74"/>
    <w:rsid w:val="00750388"/>
    <w:rsid w:val="0075128C"/>
    <w:rsid w:val="007540BA"/>
    <w:rsid w:val="007560E3"/>
    <w:rsid w:val="007616C5"/>
    <w:rsid w:val="00764788"/>
    <w:rsid w:val="00765F9E"/>
    <w:rsid w:val="007667DF"/>
    <w:rsid w:val="00766808"/>
    <w:rsid w:val="007668A2"/>
    <w:rsid w:val="00766C98"/>
    <w:rsid w:val="007709BF"/>
    <w:rsid w:val="007729D2"/>
    <w:rsid w:val="00775466"/>
    <w:rsid w:val="00775B8B"/>
    <w:rsid w:val="00781B7A"/>
    <w:rsid w:val="007847B6"/>
    <w:rsid w:val="00786768"/>
    <w:rsid w:val="007911B1"/>
    <w:rsid w:val="00795ACB"/>
    <w:rsid w:val="007A5EC8"/>
    <w:rsid w:val="007A61A2"/>
    <w:rsid w:val="007A7A79"/>
    <w:rsid w:val="007B5E0D"/>
    <w:rsid w:val="007B6BE1"/>
    <w:rsid w:val="007B729E"/>
    <w:rsid w:val="007C07CA"/>
    <w:rsid w:val="007C2044"/>
    <w:rsid w:val="007C205E"/>
    <w:rsid w:val="007C392C"/>
    <w:rsid w:val="007C421D"/>
    <w:rsid w:val="007C50C8"/>
    <w:rsid w:val="007D19A7"/>
    <w:rsid w:val="007D6763"/>
    <w:rsid w:val="007E2408"/>
    <w:rsid w:val="007E246A"/>
    <w:rsid w:val="007E2657"/>
    <w:rsid w:val="007E336E"/>
    <w:rsid w:val="007F0248"/>
    <w:rsid w:val="007F0F92"/>
    <w:rsid w:val="007F2EEB"/>
    <w:rsid w:val="007F35B7"/>
    <w:rsid w:val="008017CF"/>
    <w:rsid w:val="00801ABA"/>
    <w:rsid w:val="008044C6"/>
    <w:rsid w:val="008062D0"/>
    <w:rsid w:val="008100E3"/>
    <w:rsid w:val="008101EB"/>
    <w:rsid w:val="00810464"/>
    <w:rsid w:val="0081180C"/>
    <w:rsid w:val="008118D6"/>
    <w:rsid w:val="00816351"/>
    <w:rsid w:val="00816743"/>
    <w:rsid w:val="00816EB1"/>
    <w:rsid w:val="00821981"/>
    <w:rsid w:val="0082247F"/>
    <w:rsid w:val="00825310"/>
    <w:rsid w:val="00826471"/>
    <w:rsid w:val="008301D3"/>
    <w:rsid w:val="00830DF2"/>
    <w:rsid w:val="008332A2"/>
    <w:rsid w:val="00833FEC"/>
    <w:rsid w:val="008430B9"/>
    <w:rsid w:val="00846386"/>
    <w:rsid w:val="00851B5C"/>
    <w:rsid w:val="00853BBB"/>
    <w:rsid w:val="00854B53"/>
    <w:rsid w:val="00854CD0"/>
    <w:rsid w:val="00855B37"/>
    <w:rsid w:val="0085682B"/>
    <w:rsid w:val="00856C20"/>
    <w:rsid w:val="00860B50"/>
    <w:rsid w:val="00862616"/>
    <w:rsid w:val="00863482"/>
    <w:rsid w:val="00863A3D"/>
    <w:rsid w:val="00863AD3"/>
    <w:rsid w:val="00866423"/>
    <w:rsid w:val="0087024D"/>
    <w:rsid w:val="00870D39"/>
    <w:rsid w:val="0087603C"/>
    <w:rsid w:val="00883717"/>
    <w:rsid w:val="00883917"/>
    <w:rsid w:val="0088694E"/>
    <w:rsid w:val="0089104A"/>
    <w:rsid w:val="008917B6"/>
    <w:rsid w:val="00892BD8"/>
    <w:rsid w:val="008A5839"/>
    <w:rsid w:val="008A708E"/>
    <w:rsid w:val="008B1147"/>
    <w:rsid w:val="008B38AE"/>
    <w:rsid w:val="008B4E74"/>
    <w:rsid w:val="008B58B0"/>
    <w:rsid w:val="008B6376"/>
    <w:rsid w:val="008C0E82"/>
    <w:rsid w:val="008C213D"/>
    <w:rsid w:val="008C349C"/>
    <w:rsid w:val="008C44DC"/>
    <w:rsid w:val="008C698D"/>
    <w:rsid w:val="008C7478"/>
    <w:rsid w:val="008D0A34"/>
    <w:rsid w:val="008D1003"/>
    <w:rsid w:val="008D35BF"/>
    <w:rsid w:val="008D43D2"/>
    <w:rsid w:val="008D6274"/>
    <w:rsid w:val="008D76EB"/>
    <w:rsid w:val="008E6021"/>
    <w:rsid w:val="008E6DE6"/>
    <w:rsid w:val="008F08AF"/>
    <w:rsid w:val="008F1DE6"/>
    <w:rsid w:val="008F2951"/>
    <w:rsid w:val="008F4E2E"/>
    <w:rsid w:val="008F5EE5"/>
    <w:rsid w:val="00900511"/>
    <w:rsid w:val="009054DF"/>
    <w:rsid w:val="00905674"/>
    <w:rsid w:val="00905756"/>
    <w:rsid w:val="009101B7"/>
    <w:rsid w:val="00911F72"/>
    <w:rsid w:val="00913DFD"/>
    <w:rsid w:val="00914339"/>
    <w:rsid w:val="00917495"/>
    <w:rsid w:val="00917E57"/>
    <w:rsid w:val="009200D5"/>
    <w:rsid w:val="009201AD"/>
    <w:rsid w:val="0092218D"/>
    <w:rsid w:val="009247B2"/>
    <w:rsid w:val="0092480B"/>
    <w:rsid w:val="009253ED"/>
    <w:rsid w:val="00930AFA"/>
    <w:rsid w:val="009323F3"/>
    <w:rsid w:val="00933326"/>
    <w:rsid w:val="00934394"/>
    <w:rsid w:val="009344CC"/>
    <w:rsid w:val="00934AD7"/>
    <w:rsid w:val="00941D49"/>
    <w:rsid w:val="009436E2"/>
    <w:rsid w:val="009440F7"/>
    <w:rsid w:val="009471D5"/>
    <w:rsid w:val="00952187"/>
    <w:rsid w:val="009522C3"/>
    <w:rsid w:val="009575C7"/>
    <w:rsid w:val="00960C91"/>
    <w:rsid w:val="00961828"/>
    <w:rsid w:val="00962EBF"/>
    <w:rsid w:val="0096319E"/>
    <w:rsid w:val="00963DF7"/>
    <w:rsid w:val="00964199"/>
    <w:rsid w:val="0096448A"/>
    <w:rsid w:val="00964925"/>
    <w:rsid w:val="00967645"/>
    <w:rsid w:val="009713A6"/>
    <w:rsid w:val="00975591"/>
    <w:rsid w:val="009814EA"/>
    <w:rsid w:val="00981716"/>
    <w:rsid w:val="00986177"/>
    <w:rsid w:val="009944A0"/>
    <w:rsid w:val="00994789"/>
    <w:rsid w:val="00994A64"/>
    <w:rsid w:val="00997C6A"/>
    <w:rsid w:val="009A1003"/>
    <w:rsid w:val="009A12AE"/>
    <w:rsid w:val="009A20BB"/>
    <w:rsid w:val="009A4144"/>
    <w:rsid w:val="009B03BE"/>
    <w:rsid w:val="009B6E67"/>
    <w:rsid w:val="009B799F"/>
    <w:rsid w:val="009C127C"/>
    <w:rsid w:val="009C558B"/>
    <w:rsid w:val="009C6660"/>
    <w:rsid w:val="009C703F"/>
    <w:rsid w:val="009C79B5"/>
    <w:rsid w:val="009D073C"/>
    <w:rsid w:val="009D49B6"/>
    <w:rsid w:val="009E0BA2"/>
    <w:rsid w:val="009E17F3"/>
    <w:rsid w:val="009E29FB"/>
    <w:rsid w:val="009E6A7E"/>
    <w:rsid w:val="009E76C8"/>
    <w:rsid w:val="009F20C5"/>
    <w:rsid w:val="00A01A9E"/>
    <w:rsid w:val="00A038B6"/>
    <w:rsid w:val="00A13A9B"/>
    <w:rsid w:val="00A140E0"/>
    <w:rsid w:val="00A20655"/>
    <w:rsid w:val="00A20969"/>
    <w:rsid w:val="00A20E29"/>
    <w:rsid w:val="00A241DC"/>
    <w:rsid w:val="00A24AE0"/>
    <w:rsid w:val="00A24C6C"/>
    <w:rsid w:val="00A27281"/>
    <w:rsid w:val="00A272A1"/>
    <w:rsid w:val="00A31B66"/>
    <w:rsid w:val="00A353E9"/>
    <w:rsid w:val="00A37B90"/>
    <w:rsid w:val="00A43642"/>
    <w:rsid w:val="00A44634"/>
    <w:rsid w:val="00A475C4"/>
    <w:rsid w:val="00A4790D"/>
    <w:rsid w:val="00A54E27"/>
    <w:rsid w:val="00A55FC7"/>
    <w:rsid w:val="00A60083"/>
    <w:rsid w:val="00A60178"/>
    <w:rsid w:val="00A6221C"/>
    <w:rsid w:val="00A70CD4"/>
    <w:rsid w:val="00A75D06"/>
    <w:rsid w:val="00A818D3"/>
    <w:rsid w:val="00A8420E"/>
    <w:rsid w:val="00AA10C2"/>
    <w:rsid w:val="00AB124B"/>
    <w:rsid w:val="00AB13F7"/>
    <w:rsid w:val="00AB21CA"/>
    <w:rsid w:val="00AB7958"/>
    <w:rsid w:val="00AC0DAD"/>
    <w:rsid w:val="00AC20D4"/>
    <w:rsid w:val="00AC3A83"/>
    <w:rsid w:val="00AC4084"/>
    <w:rsid w:val="00AC62C6"/>
    <w:rsid w:val="00AC711F"/>
    <w:rsid w:val="00AD046F"/>
    <w:rsid w:val="00AD6879"/>
    <w:rsid w:val="00AD690C"/>
    <w:rsid w:val="00AD6D3A"/>
    <w:rsid w:val="00AE1F3C"/>
    <w:rsid w:val="00AE1FDD"/>
    <w:rsid w:val="00AE55D7"/>
    <w:rsid w:val="00AF09D6"/>
    <w:rsid w:val="00AF0C44"/>
    <w:rsid w:val="00AF1C36"/>
    <w:rsid w:val="00AF49D2"/>
    <w:rsid w:val="00AF6E89"/>
    <w:rsid w:val="00B01C0F"/>
    <w:rsid w:val="00B037B9"/>
    <w:rsid w:val="00B0424B"/>
    <w:rsid w:val="00B05154"/>
    <w:rsid w:val="00B0623E"/>
    <w:rsid w:val="00B11D8C"/>
    <w:rsid w:val="00B157F3"/>
    <w:rsid w:val="00B1620F"/>
    <w:rsid w:val="00B16258"/>
    <w:rsid w:val="00B16A33"/>
    <w:rsid w:val="00B16C79"/>
    <w:rsid w:val="00B17CF8"/>
    <w:rsid w:val="00B229A0"/>
    <w:rsid w:val="00B30240"/>
    <w:rsid w:val="00B4091F"/>
    <w:rsid w:val="00B40AE0"/>
    <w:rsid w:val="00B42064"/>
    <w:rsid w:val="00B45F64"/>
    <w:rsid w:val="00B47304"/>
    <w:rsid w:val="00B51F80"/>
    <w:rsid w:val="00B52D98"/>
    <w:rsid w:val="00B54163"/>
    <w:rsid w:val="00B55C56"/>
    <w:rsid w:val="00B56F03"/>
    <w:rsid w:val="00B614A8"/>
    <w:rsid w:val="00B628D0"/>
    <w:rsid w:val="00B66F24"/>
    <w:rsid w:val="00B76D40"/>
    <w:rsid w:val="00B76D65"/>
    <w:rsid w:val="00B81A60"/>
    <w:rsid w:val="00B81C41"/>
    <w:rsid w:val="00B83593"/>
    <w:rsid w:val="00B83FFF"/>
    <w:rsid w:val="00B919DE"/>
    <w:rsid w:val="00B91EF2"/>
    <w:rsid w:val="00B92361"/>
    <w:rsid w:val="00B934D1"/>
    <w:rsid w:val="00B941E4"/>
    <w:rsid w:val="00BA123B"/>
    <w:rsid w:val="00BA3917"/>
    <w:rsid w:val="00BA3B0B"/>
    <w:rsid w:val="00BA4B9E"/>
    <w:rsid w:val="00BA63E4"/>
    <w:rsid w:val="00BB1A45"/>
    <w:rsid w:val="00BB7C96"/>
    <w:rsid w:val="00BC4705"/>
    <w:rsid w:val="00BC5763"/>
    <w:rsid w:val="00BD3167"/>
    <w:rsid w:val="00BE796B"/>
    <w:rsid w:val="00BF0350"/>
    <w:rsid w:val="00BF0CDD"/>
    <w:rsid w:val="00C037AE"/>
    <w:rsid w:val="00C03A3E"/>
    <w:rsid w:val="00C04E60"/>
    <w:rsid w:val="00C060BC"/>
    <w:rsid w:val="00C06C96"/>
    <w:rsid w:val="00C205F3"/>
    <w:rsid w:val="00C21513"/>
    <w:rsid w:val="00C23CFC"/>
    <w:rsid w:val="00C36AC5"/>
    <w:rsid w:val="00C3777A"/>
    <w:rsid w:val="00C404B3"/>
    <w:rsid w:val="00C4169B"/>
    <w:rsid w:val="00C41F32"/>
    <w:rsid w:val="00C42001"/>
    <w:rsid w:val="00C42F3A"/>
    <w:rsid w:val="00C471D3"/>
    <w:rsid w:val="00C47758"/>
    <w:rsid w:val="00C51099"/>
    <w:rsid w:val="00C516CA"/>
    <w:rsid w:val="00C5181E"/>
    <w:rsid w:val="00C52156"/>
    <w:rsid w:val="00C55B72"/>
    <w:rsid w:val="00C5745B"/>
    <w:rsid w:val="00C7423C"/>
    <w:rsid w:val="00C748DD"/>
    <w:rsid w:val="00C74CB4"/>
    <w:rsid w:val="00C74DA4"/>
    <w:rsid w:val="00C75318"/>
    <w:rsid w:val="00C87D87"/>
    <w:rsid w:val="00C93E42"/>
    <w:rsid w:val="00C94D36"/>
    <w:rsid w:val="00C96668"/>
    <w:rsid w:val="00CA068E"/>
    <w:rsid w:val="00CA218D"/>
    <w:rsid w:val="00CA5EA8"/>
    <w:rsid w:val="00CA7BBF"/>
    <w:rsid w:val="00CB1C0D"/>
    <w:rsid w:val="00CB2F09"/>
    <w:rsid w:val="00CB3420"/>
    <w:rsid w:val="00CC0153"/>
    <w:rsid w:val="00CC46B1"/>
    <w:rsid w:val="00CC7C8C"/>
    <w:rsid w:val="00CD06DC"/>
    <w:rsid w:val="00CD3DA6"/>
    <w:rsid w:val="00CD3E50"/>
    <w:rsid w:val="00CD62BE"/>
    <w:rsid w:val="00CE0F00"/>
    <w:rsid w:val="00CE2B16"/>
    <w:rsid w:val="00CE4471"/>
    <w:rsid w:val="00CE5649"/>
    <w:rsid w:val="00CF0B24"/>
    <w:rsid w:val="00CF0CD2"/>
    <w:rsid w:val="00CF508D"/>
    <w:rsid w:val="00CF6FA8"/>
    <w:rsid w:val="00D02E1C"/>
    <w:rsid w:val="00D05BB2"/>
    <w:rsid w:val="00D1528F"/>
    <w:rsid w:val="00D209EE"/>
    <w:rsid w:val="00D26181"/>
    <w:rsid w:val="00D26C34"/>
    <w:rsid w:val="00D279CF"/>
    <w:rsid w:val="00D301F5"/>
    <w:rsid w:val="00D35EC6"/>
    <w:rsid w:val="00D43094"/>
    <w:rsid w:val="00D44DED"/>
    <w:rsid w:val="00D516C5"/>
    <w:rsid w:val="00D617B5"/>
    <w:rsid w:val="00D624EC"/>
    <w:rsid w:val="00D71F43"/>
    <w:rsid w:val="00D7265B"/>
    <w:rsid w:val="00D81155"/>
    <w:rsid w:val="00D819D9"/>
    <w:rsid w:val="00D86401"/>
    <w:rsid w:val="00D87BBD"/>
    <w:rsid w:val="00D92569"/>
    <w:rsid w:val="00D93BF7"/>
    <w:rsid w:val="00D94AFB"/>
    <w:rsid w:val="00D95A04"/>
    <w:rsid w:val="00D97A18"/>
    <w:rsid w:val="00D97F2F"/>
    <w:rsid w:val="00DA40BB"/>
    <w:rsid w:val="00DA76A9"/>
    <w:rsid w:val="00DB25A3"/>
    <w:rsid w:val="00DB527E"/>
    <w:rsid w:val="00DB5426"/>
    <w:rsid w:val="00DB671F"/>
    <w:rsid w:val="00DC347A"/>
    <w:rsid w:val="00DC57CA"/>
    <w:rsid w:val="00DD0D73"/>
    <w:rsid w:val="00DD15D2"/>
    <w:rsid w:val="00DD238F"/>
    <w:rsid w:val="00DD2921"/>
    <w:rsid w:val="00DD3FFC"/>
    <w:rsid w:val="00DD445F"/>
    <w:rsid w:val="00DD6725"/>
    <w:rsid w:val="00DE170D"/>
    <w:rsid w:val="00DE50FC"/>
    <w:rsid w:val="00DF142D"/>
    <w:rsid w:val="00DF75E5"/>
    <w:rsid w:val="00E0171A"/>
    <w:rsid w:val="00E07005"/>
    <w:rsid w:val="00E101EA"/>
    <w:rsid w:val="00E10E0D"/>
    <w:rsid w:val="00E128A6"/>
    <w:rsid w:val="00E13D85"/>
    <w:rsid w:val="00E14D21"/>
    <w:rsid w:val="00E21D66"/>
    <w:rsid w:val="00E34035"/>
    <w:rsid w:val="00E34545"/>
    <w:rsid w:val="00E3553D"/>
    <w:rsid w:val="00E4070D"/>
    <w:rsid w:val="00E41E7C"/>
    <w:rsid w:val="00E4219B"/>
    <w:rsid w:val="00E4395C"/>
    <w:rsid w:val="00E4560A"/>
    <w:rsid w:val="00E456FE"/>
    <w:rsid w:val="00E45A61"/>
    <w:rsid w:val="00E4606D"/>
    <w:rsid w:val="00E46E83"/>
    <w:rsid w:val="00E4761A"/>
    <w:rsid w:val="00E476CF"/>
    <w:rsid w:val="00E50291"/>
    <w:rsid w:val="00E50D20"/>
    <w:rsid w:val="00E50E97"/>
    <w:rsid w:val="00E5193E"/>
    <w:rsid w:val="00E5222C"/>
    <w:rsid w:val="00E612E8"/>
    <w:rsid w:val="00E72D07"/>
    <w:rsid w:val="00E76F25"/>
    <w:rsid w:val="00E81B75"/>
    <w:rsid w:val="00E81DFE"/>
    <w:rsid w:val="00E84501"/>
    <w:rsid w:val="00E875C6"/>
    <w:rsid w:val="00EA318B"/>
    <w:rsid w:val="00EA40C2"/>
    <w:rsid w:val="00EA4BB0"/>
    <w:rsid w:val="00EA7763"/>
    <w:rsid w:val="00EB19EA"/>
    <w:rsid w:val="00EB478D"/>
    <w:rsid w:val="00EB5FE3"/>
    <w:rsid w:val="00EB6A70"/>
    <w:rsid w:val="00EC08BD"/>
    <w:rsid w:val="00EC2893"/>
    <w:rsid w:val="00EC450E"/>
    <w:rsid w:val="00EC54B6"/>
    <w:rsid w:val="00EC5C02"/>
    <w:rsid w:val="00EC6DFD"/>
    <w:rsid w:val="00ED4F0E"/>
    <w:rsid w:val="00EE4ACA"/>
    <w:rsid w:val="00EF1800"/>
    <w:rsid w:val="00EF3E22"/>
    <w:rsid w:val="00EF4B24"/>
    <w:rsid w:val="00F00EFD"/>
    <w:rsid w:val="00F018B3"/>
    <w:rsid w:val="00F03884"/>
    <w:rsid w:val="00F049A1"/>
    <w:rsid w:val="00F06D9B"/>
    <w:rsid w:val="00F07F44"/>
    <w:rsid w:val="00F11449"/>
    <w:rsid w:val="00F1148A"/>
    <w:rsid w:val="00F1507E"/>
    <w:rsid w:val="00F15FF7"/>
    <w:rsid w:val="00F20003"/>
    <w:rsid w:val="00F21845"/>
    <w:rsid w:val="00F21B66"/>
    <w:rsid w:val="00F21EEB"/>
    <w:rsid w:val="00F23DEA"/>
    <w:rsid w:val="00F2537A"/>
    <w:rsid w:val="00F255D7"/>
    <w:rsid w:val="00F25B1B"/>
    <w:rsid w:val="00F261D6"/>
    <w:rsid w:val="00F26411"/>
    <w:rsid w:val="00F31002"/>
    <w:rsid w:val="00F31643"/>
    <w:rsid w:val="00F32B00"/>
    <w:rsid w:val="00F3449B"/>
    <w:rsid w:val="00F34B88"/>
    <w:rsid w:val="00F35BF6"/>
    <w:rsid w:val="00F369FA"/>
    <w:rsid w:val="00F36C89"/>
    <w:rsid w:val="00F37660"/>
    <w:rsid w:val="00F419BE"/>
    <w:rsid w:val="00F43C42"/>
    <w:rsid w:val="00F440A5"/>
    <w:rsid w:val="00F5023F"/>
    <w:rsid w:val="00F50BB8"/>
    <w:rsid w:val="00F51972"/>
    <w:rsid w:val="00F53A23"/>
    <w:rsid w:val="00F554A0"/>
    <w:rsid w:val="00F557B9"/>
    <w:rsid w:val="00F610E8"/>
    <w:rsid w:val="00F61B14"/>
    <w:rsid w:val="00F6224F"/>
    <w:rsid w:val="00F6306A"/>
    <w:rsid w:val="00F634B6"/>
    <w:rsid w:val="00F6514A"/>
    <w:rsid w:val="00F65E69"/>
    <w:rsid w:val="00F71350"/>
    <w:rsid w:val="00F726B9"/>
    <w:rsid w:val="00F72FDB"/>
    <w:rsid w:val="00F76660"/>
    <w:rsid w:val="00F80468"/>
    <w:rsid w:val="00F949A3"/>
    <w:rsid w:val="00F97F6C"/>
    <w:rsid w:val="00FA000D"/>
    <w:rsid w:val="00FA1E0B"/>
    <w:rsid w:val="00FA2798"/>
    <w:rsid w:val="00FA3B7A"/>
    <w:rsid w:val="00FA5E1A"/>
    <w:rsid w:val="00FA62D2"/>
    <w:rsid w:val="00FA72FC"/>
    <w:rsid w:val="00FB05D4"/>
    <w:rsid w:val="00FB6033"/>
    <w:rsid w:val="00FC0B1F"/>
    <w:rsid w:val="00FC1A3E"/>
    <w:rsid w:val="00FC25CE"/>
    <w:rsid w:val="00FC376E"/>
    <w:rsid w:val="00FC3DE3"/>
    <w:rsid w:val="00FC5D04"/>
    <w:rsid w:val="00FD4826"/>
    <w:rsid w:val="00FD5F2A"/>
    <w:rsid w:val="00FD6658"/>
    <w:rsid w:val="00FE0869"/>
    <w:rsid w:val="00FE1019"/>
    <w:rsid w:val="00FE2EBE"/>
    <w:rsid w:val="00FE57B7"/>
    <w:rsid w:val="00FE60D0"/>
    <w:rsid w:val="00FE66D5"/>
    <w:rsid w:val="00FF2EEB"/>
    <w:rsid w:val="00FF3A31"/>
    <w:rsid w:val="00FF60D9"/>
    <w:rsid w:val="0105239C"/>
    <w:rsid w:val="010E5F26"/>
    <w:rsid w:val="011153B6"/>
    <w:rsid w:val="011A5736"/>
    <w:rsid w:val="011F21C4"/>
    <w:rsid w:val="01244A5A"/>
    <w:rsid w:val="01273879"/>
    <w:rsid w:val="012B0376"/>
    <w:rsid w:val="0132080A"/>
    <w:rsid w:val="01346C3D"/>
    <w:rsid w:val="01467320"/>
    <w:rsid w:val="014C4B41"/>
    <w:rsid w:val="015B31DB"/>
    <w:rsid w:val="01603233"/>
    <w:rsid w:val="0173262F"/>
    <w:rsid w:val="0174384F"/>
    <w:rsid w:val="017656B1"/>
    <w:rsid w:val="017E0EF4"/>
    <w:rsid w:val="018205F3"/>
    <w:rsid w:val="0182264E"/>
    <w:rsid w:val="018955D4"/>
    <w:rsid w:val="01A471A6"/>
    <w:rsid w:val="01AA7FA5"/>
    <w:rsid w:val="01B46114"/>
    <w:rsid w:val="01B91D37"/>
    <w:rsid w:val="01C53017"/>
    <w:rsid w:val="01D24E06"/>
    <w:rsid w:val="01D82F28"/>
    <w:rsid w:val="01DB005C"/>
    <w:rsid w:val="01DC69C2"/>
    <w:rsid w:val="01DD6A5E"/>
    <w:rsid w:val="01E41994"/>
    <w:rsid w:val="01E710D5"/>
    <w:rsid w:val="01F927C7"/>
    <w:rsid w:val="01FB5B89"/>
    <w:rsid w:val="01FF6227"/>
    <w:rsid w:val="0201360D"/>
    <w:rsid w:val="02025A9A"/>
    <w:rsid w:val="02044E17"/>
    <w:rsid w:val="02277E7E"/>
    <w:rsid w:val="02296797"/>
    <w:rsid w:val="023038DF"/>
    <w:rsid w:val="023103CF"/>
    <w:rsid w:val="023379EC"/>
    <w:rsid w:val="02363648"/>
    <w:rsid w:val="02365DED"/>
    <w:rsid w:val="02443D58"/>
    <w:rsid w:val="02616AE6"/>
    <w:rsid w:val="02667CFD"/>
    <w:rsid w:val="0269746D"/>
    <w:rsid w:val="026C1A66"/>
    <w:rsid w:val="026C4602"/>
    <w:rsid w:val="026C59D2"/>
    <w:rsid w:val="026E2AF7"/>
    <w:rsid w:val="02732F74"/>
    <w:rsid w:val="027779DB"/>
    <w:rsid w:val="02837AA6"/>
    <w:rsid w:val="028D28C3"/>
    <w:rsid w:val="02912D06"/>
    <w:rsid w:val="0294725C"/>
    <w:rsid w:val="029B7F58"/>
    <w:rsid w:val="029F5EEF"/>
    <w:rsid w:val="02AD4AF3"/>
    <w:rsid w:val="02AE142E"/>
    <w:rsid w:val="02B73CE4"/>
    <w:rsid w:val="02BD04FA"/>
    <w:rsid w:val="02BD200F"/>
    <w:rsid w:val="02C324AF"/>
    <w:rsid w:val="02C47338"/>
    <w:rsid w:val="02C9338E"/>
    <w:rsid w:val="02CA0BCF"/>
    <w:rsid w:val="02CE3A42"/>
    <w:rsid w:val="02D3461F"/>
    <w:rsid w:val="02D71FCC"/>
    <w:rsid w:val="02DF464D"/>
    <w:rsid w:val="02E8004B"/>
    <w:rsid w:val="02E82B9E"/>
    <w:rsid w:val="02E94A40"/>
    <w:rsid w:val="02F47E2A"/>
    <w:rsid w:val="02FA2AB1"/>
    <w:rsid w:val="030A4CB5"/>
    <w:rsid w:val="03144E51"/>
    <w:rsid w:val="0319528F"/>
    <w:rsid w:val="031C7564"/>
    <w:rsid w:val="03216536"/>
    <w:rsid w:val="0323129E"/>
    <w:rsid w:val="03264DE0"/>
    <w:rsid w:val="03372811"/>
    <w:rsid w:val="033B2C05"/>
    <w:rsid w:val="033F2B3C"/>
    <w:rsid w:val="03403F83"/>
    <w:rsid w:val="03426864"/>
    <w:rsid w:val="034E35E1"/>
    <w:rsid w:val="035B24BC"/>
    <w:rsid w:val="035D0B65"/>
    <w:rsid w:val="035D5D98"/>
    <w:rsid w:val="0364131F"/>
    <w:rsid w:val="03675A4B"/>
    <w:rsid w:val="03686636"/>
    <w:rsid w:val="036B0651"/>
    <w:rsid w:val="036D516F"/>
    <w:rsid w:val="0372194E"/>
    <w:rsid w:val="03732CB8"/>
    <w:rsid w:val="03755455"/>
    <w:rsid w:val="03807A8D"/>
    <w:rsid w:val="03A16F51"/>
    <w:rsid w:val="03A25CC8"/>
    <w:rsid w:val="03A54059"/>
    <w:rsid w:val="03AB514D"/>
    <w:rsid w:val="03AD77C6"/>
    <w:rsid w:val="03CA018D"/>
    <w:rsid w:val="03D25CA8"/>
    <w:rsid w:val="03D67FD0"/>
    <w:rsid w:val="03DD7349"/>
    <w:rsid w:val="03E17BD0"/>
    <w:rsid w:val="03F53EDB"/>
    <w:rsid w:val="03FC7783"/>
    <w:rsid w:val="03FE7DE0"/>
    <w:rsid w:val="03FF79C9"/>
    <w:rsid w:val="041018FB"/>
    <w:rsid w:val="04150240"/>
    <w:rsid w:val="04154934"/>
    <w:rsid w:val="041B688C"/>
    <w:rsid w:val="042E6F70"/>
    <w:rsid w:val="042F2D7E"/>
    <w:rsid w:val="043D6AD2"/>
    <w:rsid w:val="04412D2B"/>
    <w:rsid w:val="0449227C"/>
    <w:rsid w:val="044945C6"/>
    <w:rsid w:val="04506777"/>
    <w:rsid w:val="04535A69"/>
    <w:rsid w:val="045C62D4"/>
    <w:rsid w:val="04600322"/>
    <w:rsid w:val="04645760"/>
    <w:rsid w:val="046D0F6D"/>
    <w:rsid w:val="04752EB4"/>
    <w:rsid w:val="047640F5"/>
    <w:rsid w:val="04796861"/>
    <w:rsid w:val="04874B8A"/>
    <w:rsid w:val="04901A82"/>
    <w:rsid w:val="0492316A"/>
    <w:rsid w:val="04A544CC"/>
    <w:rsid w:val="04AE2496"/>
    <w:rsid w:val="04BA2FDE"/>
    <w:rsid w:val="04BE12C6"/>
    <w:rsid w:val="04BE2C71"/>
    <w:rsid w:val="04C35662"/>
    <w:rsid w:val="04C91B26"/>
    <w:rsid w:val="04CA5721"/>
    <w:rsid w:val="04CC5546"/>
    <w:rsid w:val="04D15528"/>
    <w:rsid w:val="04E541F9"/>
    <w:rsid w:val="04E86190"/>
    <w:rsid w:val="04EC1685"/>
    <w:rsid w:val="05027225"/>
    <w:rsid w:val="050C7005"/>
    <w:rsid w:val="05110889"/>
    <w:rsid w:val="05133F2A"/>
    <w:rsid w:val="05201371"/>
    <w:rsid w:val="05207225"/>
    <w:rsid w:val="05297F64"/>
    <w:rsid w:val="052C5D19"/>
    <w:rsid w:val="052F0E41"/>
    <w:rsid w:val="053E1155"/>
    <w:rsid w:val="053F38E0"/>
    <w:rsid w:val="05413F4C"/>
    <w:rsid w:val="0556748A"/>
    <w:rsid w:val="05576A0A"/>
    <w:rsid w:val="055922D8"/>
    <w:rsid w:val="056E6D98"/>
    <w:rsid w:val="057230C1"/>
    <w:rsid w:val="0573427B"/>
    <w:rsid w:val="05797566"/>
    <w:rsid w:val="058C6C5D"/>
    <w:rsid w:val="058F648E"/>
    <w:rsid w:val="05974400"/>
    <w:rsid w:val="059E0BEF"/>
    <w:rsid w:val="05A6686F"/>
    <w:rsid w:val="05A82560"/>
    <w:rsid w:val="05A96C58"/>
    <w:rsid w:val="05AF4F9A"/>
    <w:rsid w:val="05BF571F"/>
    <w:rsid w:val="05C25F11"/>
    <w:rsid w:val="05C4399A"/>
    <w:rsid w:val="05C66030"/>
    <w:rsid w:val="05CD2E0B"/>
    <w:rsid w:val="05D058CD"/>
    <w:rsid w:val="05D65E11"/>
    <w:rsid w:val="05D94B87"/>
    <w:rsid w:val="05DB741E"/>
    <w:rsid w:val="05E51E6C"/>
    <w:rsid w:val="05EE65ED"/>
    <w:rsid w:val="05F9694F"/>
    <w:rsid w:val="05FA26D7"/>
    <w:rsid w:val="06030D23"/>
    <w:rsid w:val="060F4B5D"/>
    <w:rsid w:val="06195220"/>
    <w:rsid w:val="061B4D1D"/>
    <w:rsid w:val="062262F5"/>
    <w:rsid w:val="06235502"/>
    <w:rsid w:val="062B41BF"/>
    <w:rsid w:val="06414867"/>
    <w:rsid w:val="06431949"/>
    <w:rsid w:val="06516022"/>
    <w:rsid w:val="06583275"/>
    <w:rsid w:val="065F030F"/>
    <w:rsid w:val="06613EA1"/>
    <w:rsid w:val="06621E7D"/>
    <w:rsid w:val="06646C62"/>
    <w:rsid w:val="066D013B"/>
    <w:rsid w:val="066E779E"/>
    <w:rsid w:val="066F1F3B"/>
    <w:rsid w:val="068A6A5E"/>
    <w:rsid w:val="0690632F"/>
    <w:rsid w:val="069E3DBD"/>
    <w:rsid w:val="06A50F17"/>
    <w:rsid w:val="06B944C0"/>
    <w:rsid w:val="06BD4E99"/>
    <w:rsid w:val="06C431B3"/>
    <w:rsid w:val="06C90190"/>
    <w:rsid w:val="06C9366A"/>
    <w:rsid w:val="06D41631"/>
    <w:rsid w:val="06D9693A"/>
    <w:rsid w:val="06E2534F"/>
    <w:rsid w:val="06E51553"/>
    <w:rsid w:val="06E903C9"/>
    <w:rsid w:val="06EA5678"/>
    <w:rsid w:val="06EC5B1D"/>
    <w:rsid w:val="06ED4B9C"/>
    <w:rsid w:val="06F27311"/>
    <w:rsid w:val="06FD01CB"/>
    <w:rsid w:val="06FD6322"/>
    <w:rsid w:val="070A57C2"/>
    <w:rsid w:val="0722341E"/>
    <w:rsid w:val="072D682D"/>
    <w:rsid w:val="072F0AFE"/>
    <w:rsid w:val="073A6FE2"/>
    <w:rsid w:val="073B25FE"/>
    <w:rsid w:val="073F3310"/>
    <w:rsid w:val="07402B2D"/>
    <w:rsid w:val="07462558"/>
    <w:rsid w:val="07502415"/>
    <w:rsid w:val="0762528C"/>
    <w:rsid w:val="07632683"/>
    <w:rsid w:val="07662EC1"/>
    <w:rsid w:val="07664FB4"/>
    <w:rsid w:val="076A6482"/>
    <w:rsid w:val="07712732"/>
    <w:rsid w:val="07752A33"/>
    <w:rsid w:val="077757D3"/>
    <w:rsid w:val="07784517"/>
    <w:rsid w:val="077F6E8A"/>
    <w:rsid w:val="07854B82"/>
    <w:rsid w:val="078851AD"/>
    <w:rsid w:val="07900E5B"/>
    <w:rsid w:val="07945522"/>
    <w:rsid w:val="07971F86"/>
    <w:rsid w:val="07A04A13"/>
    <w:rsid w:val="07A360C0"/>
    <w:rsid w:val="07A87057"/>
    <w:rsid w:val="07AC0C6A"/>
    <w:rsid w:val="07C130B3"/>
    <w:rsid w:val="07DE6559"/>
    <w:rsid w:val="07F116BA"/>
    <w:rsid w:val="07FB22E7"/>
    <w:rsid w:val="07FD2407"/>
    <w:rsid w:val="08004C72"/>
    <w:rsid w:val="08047C45"/>
    <w:rsid w:val="080F605D"/>
    <w:rsid w:val="081A62B5"/>
    <w:rsid w:val="08215285"/>
    <w:rsid w:val="08235DA8"/>
    <w:rsid w:val="08324500"/>
    <w:rsid w:val="08363F27"/>
    <w:rsid w:val="083C2DEC"/>
    <w:rsid w:val="083D11D5"/>
    <w:rsid w:val="084766ED"/>
    <w:rsid w:val="084A2905"/>
    <w:rsid w:val="084A370E"/>
    <w:rsid w:val="08531577"/>
    <w:rsid w:val="085D6F5D"/>
    <w:rsid w:val="085F2466"/>
    <w:rsid w:val="086C5C0E"/>
    <w:rsid w:val="087D2A7A"/>
    <w:rsid w:val="087E571F"/>
    <w:rsid w:val="08894FE2"/>
    <w:rsid w:val="088C32F7"/>
    <w:rsid w:val="0890197E"/>
    <w:rsid w:val="0899774E"/>
    <w:rsid w:val="08A55A69"/>
    <w:rsid w:val="08AF51CA"/>
    <w:rsid w:val="08B31FF6"/>
    <w:rsid w:val="08B67A04"/>
    <w:rsid w:val="08C04C02"/>
    <w:rsid w:val="08C31496"/>
    <w:rsid w:val="08C42250"/>
    <w:rsid w:val="08CC13A0"/>
    <w:rsid w:val="08D55D04"/>
    <w:rsid w:val="08D74BFF"/>
    <w:rsid w:val="08E926F2"/>
    <w:rsid w:val="08ED7148"/>
    <w:rsid w:val="08F1350A"/>
    <w:rsid w:val="08F408A2"/>
    <w:rsid w:val="08FA66E5"/>
    <w:rsid w:val="08FB676D"/>
    <w:rsid w:val="08FD4850"/>
    <w:rsid w:val="0912531D"/>
    <w:rsid w:val="091529B0"/>
    <w:rsid w:val="09192BD0"/>
    <w:rsid w:val="091C0DC1"/>
    <w:rsid w:val="09295415"/>
    <w:rsid w:val="092A5199"/>
    <w:rsid w:val="092C22CC"/>
    <w:rsid w:val="09315AC2"/>
    <w:rsid w:val="09366060"/>
    <w:rsid w:val="09403AB4"/>
    <w:rsid w:val="094365D0"/>
    <w:rsid w:val="094709E1"/>
    <w:rsid w:val="094B42A2"/>
    <w:rsid w:val="094C609E"/>
    <w:rsid w:val="09581D2B"/>
    <w:rsid w:val="09595902"/>
    <w:rsid w:val="09620F0A"/>
    <w:rsid w:val="097A695A"/>
    <w:rsid w:val="097B2CD4"/>
    <w:rsid w:val="097E3A42"/>
    <w:rsid w:val="098B2F3F"/>
    <w:rsid w:val="098D132A"/>
    <w:rsid w:val="09922F20"/>
    <w:rsid w:val="09927BDD"/>
    <w:rsid w:val="099601B6"/>
    <w:rsid w:val="099B76AE"/>
    <w:rsid w:val="09A2759E"/>
    <w:rsid w:val="09DA6F79"/>
    <w:rsid w:val="09E91F0A"/>
    <w:rsid w:val="09EF0710"/>
    <w:rsid w:val="09F328E2"/>
    <w:rsid w:val="09F35A73"/>
    <w:rsid w:val="09F56745"/>
    <w:rsid w:val="09F63E66"/>
    <w:rsid w:val="09F67674"/>
    <w:rsid w:val="09FE17C9"/>
    <w:rsid w:val="0A096088"/>
    <w:rsid w:val="0A13019E"/>
    <w:rsid w:val="0A1A298B"/>
    <w:rsid w:val="0A243983"/>
    <w:rsid w:val="0A2F2137"/>
    <w:rsid w:val="0A343E61"/>
    <w:rsid w:val="0A4311F5"/>
    <w:rsid w:val="0A495E5A"/>
    <w:rsid w:val="0A4F37A1"/>
    <w:rsid w:val="0A514A08"/>
    <w:rsid w:val="0A64700A"/>
    <w:rsid w:val="0A654671"/>
    <w:rsid w:val="0A827EF0"/>
    <w:rsid w:val="0A8F5957"/>
    <w:rsid w:val="0A95385D"/>
    <w:rsid w:val="0A9F0202"/>
    <w:rsid w:val="0AB41C7F"/>
    <w:rsid w:val="0AB626F0"/>
    <w:rsid w:val="0AB86691"/>
    <w:rsid w:val="0AC12474"/>
    <w:rsid w:val="0AC13F19"/>
    <w:rsid w:val="0AC5230C"/>
    <w:rsid w:val="0AD03288"/>
    <w:rsid w:val="0AD86A63"/>
    <w:rsid w:val="0AEF1548"/>
    <w:rsid w:val="0AF44993"/>
    <w:rsid w:val="0AF90788"/>
    <w:rsid w:val="0B0317B5"/>
    <w:rsid w:val="0B07340B"/>
    <w:rsid w:val="0B1204FB"/>
    <w:rsid w:val="0B162842"/>
    <w:rsid w:val="0B183135"/>
    <w:rsid w:val="0B1B74D5"/>
    <w:rsid w:val="0B1C43CE"/>
    <w:rsid w:val="0B256902"/>
    <w:rsid w:val="0B2735B7"/>
    <w:rsid w:val="0B3564C3"/>
    <w:rsid w:val="0B397C0C"/>
    <w:rsid w:val="0B3E3E93"/>
    <w:rsid w:val="0B49592B"/>
    <w:rsid w:val="0B504FCC"/>
    <w:rsid w:val="0B5E2612"/>
    <w:rsid w:val="0B5F0614"/>
    <w:rsid w:val="0B702D7D"/>
    <w:rsid w:val="0B707A73"/>
    <w:rsid w:val="0B802C8D"/>
    <w:rsid w:val="0B816AE7"/>
    <w:rsid w:val="0B8F4DCB"/>
    <w:rsid w:val="0B96109F"/>
    <w:rsid w:val="0BA13C6C"/>
    <w:rsid w:val="0BA308F9"/>
    <w:rsid w:val="0BA46F7B"/>
    <w:rsid w:val="0BA572C2"/>
    <w:rsid w:val="0BA910A3"/>
    <w:rsid w:val="0BB1226F"/>
    <w:rsid w:val="0BB42C2E"/>
    <w:rsid w:val="0BB655F3"/>
    <w:rsid w:val="0BBA49D9"/>
    <w:rsid w:val="0BC45055"/>
    <w:rsid w:val="0BC4708B"/>
    <w:rsid w:val="0BCD6E67"/>
    <w:rsid w:val="0BE21A24"/>
    <w:rsid w:val="0BE46BFC"/>
    <w:rsid w:val="0BEC59F3"/>
    <w:rsid w:val="0BF5719F"/>
    <w:rsid w:val="0BFF7166"/>
    <w:rsid w:val="0C013C1A"/>
    <w:rsid w:val="0C023307"/>
    <w:rsid w:val="0C0412E2"/>
    <w:rsid w:val="0C06352D"/>
    <w:rsid w:val="0C0E26AD"/>
    <w:rsid w:val="0C182F31"/>
    <w:rsid w:val="0C1A5457"/>
    <w:rsid w:val="0C227529"/>
    <w:rsid w:val="0C2A5F2B"/>
    <w:rsid w:val="0C2B1493"/>
    <w:rsid w:val="0C2D0D6E"/>
    <w:rsid w:val="0C37507B"/>
    <w:rsid w:val="0C3E5D9D"/>
    <w:rsid w:val="0C466EB7"/>
    <w:rsid w:val="0C5179C6"/>
    <w:rsid w:val="0C53683A"/>
    <w:rsid w:val="0C5A7961"/>
    <w:rsid w:val="0C6A3144"/>
    <w:rsid w:val="0C6F0A41"/>
    <w:rsid w:val="0C8427B8"/>
    <w:rsid w:val="0C8455B9"/>
    <w:rsid w:val="0C85502E"/>
    <w:rsid w:val="0C857981"/>
    <w:rsid w:val="0C906B0B"/>
    <w:rsid w:val="0C932385"/>
    <w:rsid w:val="0C970C11"/>
    <w:rsid w:val="0CA40EB4"/>
    <w:rsid w:val="0CA505E0"/>
    <w:rsid w:val="0CB250D2"/>
    <w:rsid w:val="0CC0189C"/>
    <w:rsid w:val="0CCC41A3"/>
    <w:rsid w:val="0CD23D65"/>
    <w:rsid w:val="0CD301FE"/>
    <w:rsid w:val="0CDD3309"/>
    <w:rsid w:val="0CE1742B"/>
    <w:rsid w:val="0CEB4EEC"/>
    <w:rsid w:val="0CEF5BCE"/>
    <w:rsid w:val="0CEF6ABC"/>
    <w:rsid w:val="0CFF223F"/>
    <w:rsid w:val="0D004CE5"/>
    <w:rsid w:val="0D0461B2"/>
    <w:rsid w:val="0D067829"/>
    <w:rsid w:val="0D0846AB"/>
    <w:rsid w:val="0D20160F"/>
    <w:rsid w:val="0D264998"/>
    <w:rsid w:val="0D2957A3"/>
    <w:rsid w:val="0D330CD9"/>
    <w:rsid w:val="0D405AE7"/>
    <w:rsid w:val="0D4402DF"/>
    <w:rsid w:val="0D440D8D"/>
    <w:rsid w:val="0D440F5C"/>
    <w:rsid w:val="0D462EFA"/>
    <w:rsid w:val="0D4B26B6"/>
    <w:rsid w:val="0D513253"/>
    <w:rsid w:val="0D6A3846"/>
    <w:rsid w:val="0D6E6DB9"/>
    <w:rsid w:val="0D703E0F"/>
    <w:rsid w:val="0D706335"/>
    <w:rsid w:val="0D724A53"/>
    <w:rsid w:val="0D772A5D"/>
    <w:rsid w:val="0D7A7501"/>
    <w:rsid w:val="0D7C5649"/>
    <w:rsid w:val="0D8317F5"/>
    <w:rsid w:val="0D852D78"/>
    <w:rsid w:val="0D853922"/>
    <w:rsid w:val="0D8F74E5"/>
    <w:rsid w:val="0D9200B9"/>
    <w:rsid w:val="0D9476EB"/>
    <w:rsid w:val="0D964482"/>
    <w:rsid w:val="0D990A49"/>
    <w:rsid w:val="0DA04C28"/>
    <w:rsid w:val="0DA06B86"/>
    <w:rsid w:val="0DA73E26"/>
    <w:rsid w:val="0DB13208"/>
    <w:rsid w:val="0DBF0C9A"/>
    <w:rsid w:val="0DCE20F5"/>
    <w:rsid w:val="0DDD244C"/>
    <w:rsid w:val="0DDF7646"/>
    <w:rsid w:val="0DE75D6B"/>
    <w:rsid w:val="0DEB482A"/>
    <w:rsid w:val="0DF1465B"/>
    <w:rsid w:val="0DF24CE4"/>
    <w:rsid w:val="0DFE6C09"/>
    <w:rsid w:val="0E0676A3"/>
    <w:rsid w:val="0E0908F9"/>
    <w:rsid w:val="0E127D30"/>
    <w:rsid w:val="0E1F4D34"/>
    <w:rsid w:val="0E2B2583"/>
    <w:rsid w:val="0E2C3D18"/>
    <w:rsid w:val="0E330B42"/>
    <w:rsid w:val="0E3957A9"/>
    <w:rsid w:val="0E4252A7"/>
    <w:rsid w:val="0E500C9D"/>
    <w:rsid w:val="0E515FE8"/>
    <w:rsid w:val="0E557936"/>
    <w:rsid w:val="0E566E2E"/>
    <w:rsid w:val="0E597CD7"/>
    <w:rsid w:val="0E5F2F08"/>
    <w:rsid w:val="0E681EEC"/>
    <w:rsid w:val="0E6C6213"/>
    <w:rsid w:val="0E6C6E11"/>
    <w:rsid w:val="0E6D48AE"/>
    <w:rsid w:val="0E73066B"/>
    <w:rsid w:val="0E73521B"/>
    <w:rsid w:val="0E76079A"/>
    <w:rsid w:val="0E764592"/>
    <w:rsid w:val="0E7A62A1"/>
    <w:rsid w:val="0E823B84"/>
    <w:rsid w:val="0EA50BDC"/>
    <w:rsid w:val="0EAF4202"/>
    <w:rsid w:val="0EBB1AE8"/>
    <w:rsid w:val="0EC82890"/>
    <w:rsid w:val="0ED96372"/>
    <w:rsid w:val="0EDA1291"/>
    <w:rsid w:val="0EDE187D"/>
    <w:rsid w:val="0EE77947"/>
    <w:rsid w:val="0EEB5205"/>
    <w:rsid w:val="0EFD2CB9"/>
    <w:rsid w:val="0F0A05CF"/>
    <w:rsid w:val="0F2942FD"/>
    <w:rsid w:val="0F3231BB"/>
    <w:rsid w:val="0F3E1A66"/>
    <w:rsid w:val="0F504ED0"/>
    <w:rsid w:val="0F5C612F"/>
    <w:rsid w:val="0F60764C"/>
    <w:rsid w:val="0F61208D"/>
    <w:rsid w:val="0F661083"/>
    <w:rsid w:val="0F762E5A"/>
    <w:rsid w:val="0F826997"/>
    <w:rsid w:val="0F8D498A"/>
    <w:rsid w:val="0F966914"/>
    <w:rsid w:val="0F9952D1"/>
    <w:rsid w:val="0FA15539"/>
    <w:rsid w:val="0FC23B5B"/>
    <w:rsid w:val="0FC270A3"/>
    <w:rsid w:val="0FD74B4E"/>
    <w:rsid w:val="0FE56AE9"/>
    <w:rsid w:val="0FF11248"/>
    <w:rsid w:val="0FF43610"/>
    <w:rsid w:val="0FF67FCE"/>
    <w:rsid w:val="0FFF5116"/>
    <w:rsid w:val="1014482F"/>
    <w:rsid w:val="10163F07"/>
    <w:rsid w:val="10275165"/>
    <w:rsid w:val="1029205D"/>
    <w:rsid w:val="102A66DA"/>
    <w:rsid w:val="102D7F8B"/>
    <w:rsid w:val="103502F0"/>
    <w:rsid w:val="1037153F"/>
    <w:rsid w:val="10394926"/>
    <w:rsid w:val="10410AB3"/>
    <w:rsid w:val="104E5FED"/>
    <w:rsid w:val="106046FD"/>
    <w:rsid w:val="10693AA9"/>
    <w:rsid w:val="107F040D"/>
    <w:rsid w:val="108414CC"/>
    <w:rsid w:val="108636D4"/>
    <w:rsid w:val="108717D6"/>
    <w:rsid w:val="10880E56"/>
    <w:rsid w:val="1088661F"/>
    <w:rsid w:val="10966E48"/>
    <w:rsid w:val="10974AE7"/>
    <w:rsid w:val="109E7E72"/>
    <w:rsid w:val="109F724C"/>
    <w:rsid w:val="10A4061E"/>
    <w:rsid w:val="10A968CE"/>
    <w:rsid w:val="10AA1628"/>
    <w:rsid w:val="10B21C9C"/>
    <w:rsid w:val="10BE5697"/>
    <w:rsid w:val="10CC659F"/>
    <w:rsid w:val="10F34437"/>
    <w:rsid w:val="10FA5876"/>
    <w:rsid w:val="11077F9B"/>
    <w:rsid w:val="1111523E"/>
    <w:rsid w:val="11251A56"/>
    <w:rsid w:val="112A755A"/>
    <w:rsid w:val="113523DF"/>
    <w:rsid w:val="113B4D98"/>
    <w:rsid w:val="11516197"/>
    <w:rsid w:val="1155009B"/>
    <w:rsid w:val="115B6C28"/>
    <w:rsid w:val="1169240B"/>
    <w:rsid w:val="116947D9"/>
    <w:rsid w:val="116A3474"/>
    <w:rsid w:val="11800568"/>
    <w:rsid w:val="11886764"/>
    <w:rsid w:val="11906582"/>
    <w:rsid w:val="11933F5E"/>
    <w:rsid w:val="11A06C58"/>
    <w:rsid w:val="11AA1463"/>
    <w:rsid w:val="11B97057"/>
    <w:rsid w:val="11BB74BD"/>
    <w:rsid w:val="11BE0433"/>
    <w:rsid w:val="11BE21AB"/>
    <w:rsid w:val="11C30441"/>
    <w:rsid w:val="11C565F2"/>
    <w:rsid w:val="11C90A61"/>
    <w:rsid w:val="11CA27FE"/>
    <w:rsid w:val="11DB4393"/>
    <w:rsid w:val="11DE7E47"/>
    <w:rsid w:val="11E07189"/>
    <w:rsid w:val="11E200D7"/>
    <w:rsid w:val="11F60796"/>
    <w:rsid w:val="11FE40FB"/>
    <w:rsid w:val="11FF6A63"/>
    <w:rsid w:val="1218105F"/>
    <w:rsid w:val="121905A3"/>
    <w:rsid w:val="121E6AA6"/>
    <w:rsid w:val="12270374"/>
    <w:rsid w:val="122D7BAB"/>
    <w:rsid w:val="12374264"/>
    <w:rsid w:val="12437C16"/>
    <w:rsid w:val="124704E0"/>
    <w:rsid w:val="124B128A"/>
    <w:rsid w:val="124E76CE"/>
    <w:rsid w:val="12516EAE"/>
    <w:rsid w:val="125C5A8A"/>
    <w:rsid w:val="12613210"/>
    <w:rsid w:val="12617A82"/>
    <w:rsid w:val="126C31A5"/>
    <w:rsid w:val="12796110"/>
    <w:rsid w:val="12812AB2"/>
    <w:rsid w:val="1283510F"/>
    <w:rsid w:val="12842D21"/>
    <w:rsid w:val="128B6BAC"/>
    <w:rsid w:val="128D5D6D"/>
    <w:rsid w:val="12912B4A"/>
    <w:rsid w:val="129246E6"/>
    <w:rsid w:val="129326D7"/>
    <w:rsid w:val="12964287"/>
    <w:rsid w:val="12977BDD"/>
    <w:rsid w:val="129E5547"/>
    <w:rsid w:val="12AF26E3"/>
    <w:rsid w:val="12C078D8"/>
    <w:rsid w:val="12C1384C"/>
    <w:rsid w:val="12C4496C"/>
    <w:rsid w:val="12C64424"/>
    <w:rsid w:val="12C767AC"/>
    <w:rsid w:val="12D05F5C"/>
    <w:rsid w:val="12D6150C"/>
    <w:rsid w:val="12D80EE0"/>
    <w:rsid w:val="12E20A90"/>
    <w:rsid w:val="12F1467D"/>
    <w:rsid w:val="12F215DF"/>
    <w:rsid w:val="1306493A"/>
    <w:rsid w:val="130E5FFB"/>
    <w:rsid w:val="131628B0"/>
    <w:rsid w:val="13287CCE"/>
    <w:rsid w:val="132E70BB"/>
    <w:rsid w:val="133D4E4F"/>
    <w:rsid w:val="13444149"/>
    <w:rsid w:val="134C2830"/>
    <w:rsid w:val="1379314B"/>
    <w:rsid w:val="13997E48"/>
    <w:rsid w:val="139F7EA6"/>
    <w:rsid w:val="13A0010E"/>
    <w:rsid w:val="13A66BF1"/>
    <w:rsid w:val="13AF219E"/>
    <w:rsid w:val="13B43247"/>
    <w:rsid w:val="13BC56F2"/>
    <w:rsid w:val="13C25340"/>
    <w:rsid w:val="13C735CB"/>
    <w:rsid w:val="13C91066"/>
    <w:rsid w:val="13EC2485"/>
    <w:rsid w:val="13FD0AFD"/>
    <w:rsid w:val="14062B08"/>
    <w:rsid w:val="140B4B4C"/>
    <w:rsid w:val="141B4ECA"/>
    <w:rsid w:val="141F4D6A"/>
    <w:rsid w:val="14401AC4"/>
    <w:rsid w:val="14495DE7"/>
    <w:rsid w:val="144A3DDD"/>
    <w:rsid w:val="145E715B"/>
    <w:rsid w:val="14632A4D"/>
    <w:rsid w:val="14657FE4"/>
    <w:rsid w:val="14700486"/>
    <w:rsid w:val="14734707"/>
    <w:rsid w:val="147F644B"/>
    <w:rsid w:val="14812261"/>
    <w:rsid w:val="148C224C"/>
    <w:rsid w:val="148D25DC"/>
    <w:rsid w:val="148F7DB3"/>
    <w:rsid w:val="149B423F"/>
    <w:rsid w:val="14AA3F75"/>
    <w:rsid w:val="14AF634C"/>
    <w:rsid w:val="14B256FC"/>
    <w:rsid w:val="14B74937"/>
    <w:rsid w:val="14B771CD"/>
    <w:rsid w:val="14C27B6E"/>
    <w:rsid w:val="14C44B68"/>
    <w:rsid w:val="14C545C2"/>
    <w:rsid w:val="14D551F0"/>
    <w:rsid w:val="14D71007"/>
    <w:rsid w:val="14D9013C"/>
    <w:rsid w:val="14DC265E"/>
    <w:rsid w:val="14E26680"/>
    <w:rsid w:val="14EF6FDF"/>
    <w:rsid w:val="14F11156"/>
    <w:rsid w:val="14F9563F"/>
    <w:rsid w:val="150A33E5"/>
    <w:rsid w:val="15242230"/>
    <w:rsid w:val="15250A46"/>
    <w:rsid w:val="15286AB3"/>
    <w:rsid w:val="152A2F49"/>
    <w:rsid w:val="153321E6"/>
    <w:rsid w:val="15397219"/>
    <w:rsid w:val="154830A9"/>
    <w:rsid w:val="155903EB"/>
    <w:rsid w:val="155A7070"/>
    <w:rsid w:val="156E1C2E"/>
    <w:rsid w:val="158A737B"/>
    <w:rsid w:val="15A83F65"/>
    <w:rsid w:val="15B82B9F"/>
    <w:rsid w:val="15BE2C94"/>
    <w:rsid w:val="15BF355E"/>
    <w:rsid w:val="15C478C0"/>
    <w:rsid w:val="15C74873"/>
    <w:rsid w:val="15C972E9"/>
    <w:rsid w:val="15D973DE"/>
    <w:rsid w:val="15DA7D8D"/>
    <w:rsid w:val="15E60C28"/>
    <w:rsid w:val="15F32E5D"/>
    <w:rsid w:val="160426BE"/>
    <w:rsid w:val="16061828"/>
    <w:rsid w:val="16070968"/>
    <w:rsid w:val="1624731D"/>
    <w:rsid w:val="16340A51"/>
    <w:rsid w:val="163E493A"/>
    <w:rsid w:val="164840A4"/>
    <w:rsid w:val="16524F36"/>
    <w:rsid w:val="165349CE"/>
    <w:rsid w:val="165602D1"/>
    <w:rsid w:val="16657F9A"/>
    <w:rsid w:val="166629F0"/>
    <w:rsid w:val="167B7D06"/>
    <w:rsid w:val="167E1879"/>
    <w:rsid w:val="16872E24"/>
    <w:rsid w:val="16911139"/>
    <w:rsid w:val="169B1495"/>
    <w:rsid w:val="169B1B2B"/>
    <w:rsid w:val="16AB1008"/>
    <w:rsid w:val="16AC4C43"/>
    <w:rsid w:val="16B05BE2"/>
    <w:rsid w:val="16B7376F"/>
    <w:rsid w:val="16B82EF8"/>
    <w:rsid w:val="16BB1996"/>
    <w:rsid w:val="16D414F1"/>
    <w:rsid w:val="16E0443D"/>
    <w:rsid w:val="16EB5A80"/>
    <w:rsid w:val="17000164"/>
    <w:rsid w:val="17050D1A"/>
    <w:rsid w:val="1706273C"/>
    <w:rsid w:val="170E24D1"/>
    <w:rsid w:val="170F1916"/>
    <w:rsid w:val="171E5FF3"/>
    <w:rsid w:val="172057B0"/>
    <w:rsid w:val="17235A7C"/>
    <w:rsid w:val="172E77AF"/>
    <w:rsid w:val="173002B7"/>
    <w:rsid w:val="17382F76"/>
    <w:rsid w:val="173A044C"/>
    <w:rsid w:val="173E0ABE"/>
    <w:rsid w:val="17422C24"/>
    <w:rsid w:val="17424810"/>
    <w:rsid w:val="174562EC"/>
    <w:rsid w:val="174E1F52"/>
    <w:rsid w:val="17550F70"/>
    <w:rsid w:val="1762296C"/>
    <w:rsid w:val="17687D80"/>
    <w:rsid w:val="17705219"/>
    <w:rsid w:val="177866CC"/>
    <w:rsid w:val="177A7C8F"/>
    <w:rsid w:val="17847191"/>
    <w:rsid w:val="179254CE"/>
    <w:rsid w:val="179474E9"/>
    <w:rsid w:val="1796067C"/>
    <w:rsid w:val="17994DEC"/>
    <w:rsid w:val="179B299F"/>
    <w:rsid w:val="179E173F"/>
    <w:rsid w:val="17A204D2"/>
    <w:rsid w:val="17B04F70"/>
    <w:rsid w:val="17B07BAE"/>
    <w:rsid w:val="17B118C1"/>
    <w:rsid w:val="17B71AA5"/>
    <w:rsid w:val="17B73E4C"/>
    <w:rsid w:val="17BA5C0B"/>
    <w:rsid w:val="17BB30FF"/>
    <w:rsid w:val="17C3611A"/>
    <w:rsid w:val="17C74EBA"/>
    <w:rsid w:val="17E060B5"/>
    <w:rsid w:val="17F608AD"/>
    <w:rsid w:val="17F6143D"/>
    <w:rsid w:val="17FB2A9C"/>
    <w:rsid w:val="18021C66"/>
    <w:rsid w:val="1809525E"/>
    <w:rsid w:val="180F65C1"/>
    <w:rsid w:val="18150B98"/>
    <w:rsid w:val="18196068"/>
    <w:rsid w:val="181D3A57"/>
    <w:rsid w:val="181E3BFF"/>
    <w:rsid w:val="18221BE6"/>
    <w:rsid w:val="182626F7"/>
    <w:rsid w:val="18275569"/>
    <w:rsid w:val="18312109"/>
    <w:rsid w:val="18316543"/>
    <w:rsid w:val="183C2FC4"/>
    <w:rsid w:val="183D13A6"/>
    <w:rsid w:val="18433B77"/>
    <w:rsid w:val="18447D14"/>
    <w:rsid w:val="184E0A26"/>
    <w:rsid w:val="18513B70"/>
    <w:rsid w:val="185523CC"/>
    <w:rsid w:val="185A349C"/>
    <w:rsid w:val="18615388"/>
    <w:rsid w:val="186A5B5E"/>
    <w:rsid w:val="18772219"/>
    <w:rsid w:val="187A6648"/>
    <w:rsid w:val="18916DE8"/>
    <w:rsid w:val="18996C5A"/>
    <w:rsid w:val="189D15D7"/>
    <w:rsid w:val="189D1D0E"/>
    <w:rsid w:val="18A164EF"/>
    <w:rsid w:val="18AA04D7"/>
    <w:rsid w:val="18AB0920"/>
    <w:rsid w:val="18AF356D"/>
    <w:rsid w:val="18B3486A"/>
    <w:rsid w:val="18BC2E22"/>
    <w:rsid w:val="18C16D28"/>
    <w:rsid w:val="18C5043A"/>
    <w:rsid w:val="18C75543"/>
    <w:rsid w:val="18C75C11"/>
    <w:rsid w:val="18DA698D"/>
    <w:rsid w:val="18DD6E9B"/>
    <w:rsid w:val="19012CE7"/>
    <w:rsid w:val="190E1054"/>
    <w:rsid w:val="190E2D72"/>
    <w:rsid w:val="190E5C71"/>
    <w:rsid w:val="190F5E3F"/>
    <w:rsid w:val="19114BE5"/>
    <w:rsid w:val="19157B7F"/>
    <w:rsid w:val="191642E3"/>
    <w:rsid w:val="193E3604"/>
    <w:rsid w:val="193E4033"/>
    <w:rsid w:val="1942550B"/>
    <w:rsid w:val="194C275F"/>
    <w:rsid w:val="194C6A55"/>
    <w:rsid w:val="19682B32"/>
    <w:rsid w:val="19771D01"/>
    <w:rsid w:val="1983673A"/>
    <w:rsid w:val="199616A5"/>
    <w:rsid w:val="19994B8F"/>
    <w:rsid w:val="199A7660"/>
    <w:rsid w:val="199D054E"/>
    <w:rsid w:val="19B11026"/>
    <w:rsid w:val="19B464A8"/>
    <w:rsid w:val="19BB37C0"/>
    <w:rsid w:val="19C34046"/>
    <w:rsid w:val="19D27EFD"/>
    <w:rsid w:val="19D50607"/>
    <w:rsid w:val="19D872B0"/>
    <w:rsid w:val="19D9343E"/>
    <w:rsid w:val="19DC673B"/>
    <w:rsid w:val="19DE526E"/>
    <w:rsid w:val="19E2032D"/>
    <w:rsid w:val="19E82932"/>
    <w:rsid w:val="19EE4CF1"/>
    <w:rsid w:val="19EE6538"/>
    <w:rsid w:val="19F6362A"/>
    <w:rsid w:val="19FA4850"/>
    <w:rsid w:val="19FF79FF"/>
    <w:rsid w:val="1A01573A"/>
    <w:rsid w:val="1A0870B3"/>
    <w:rsid w:val="1A0C2216"/>
    <w:rsid w:val="1A137851"/>
    <w:rsid w:val="1A197D4A"/>
    <w:rsid w:val="1A235778"/>
    <w:rsid w:val="1A2A16CA"/>
    <w:rsid w:val="1A2E3F9D"/>
    <w:rsid w:val="1A3A4AF5"/>
    <w:rsid w:val="1A414A1D"/>
    <w:rsid w:val="1A4D1D65"/>
    <w:rsid w:val="1A4F044F"/>
    <w:rsid w:val="1A52380B"/>
    <w:rsid w:val="1A725A7E"/>
    <w:rsid w:val="1A733456"/>
    <w:rsid w:val="1A77452D"/>
    <w:rsid w:val="1A7B4C51"/>
    <w:rsid w:val="1A7C10E3"/>
    <w:rsid w:val="1A9B76C4"/>
    <w:rsid w:val="1A9F7144"/>
    <w:rsid w:val="1AA20CD9"/>
    <w:rsid w:val="1AA548F7"/>
    <w:rsid w:val="1AA65E6B"/>
    <w:rsid w:val="1AB97A8C"/>
    <w:rsid w:val="1AD01BAA"/>
    <w:rsid w:val="1AD30C51"/>
    <w:rsid w:val="1AD6059B"/>
    <w:rsid w:val="1ADA187B"/>
    <w:rsid w:val="1AE021B6"/>
    <w:rsid w:val="1AE02D2D"/>
    <w:rsid w:val="1AE12A8F"/>
    <w:rsid w:val="1AE664BB"/>
    <w:rsid w:val="1AF9590E"/>
    <w:rsid w:val="1B007129"/>
    <w:rsid w:val="1B15074F"/>
    <w:rsid w:val="1B2B2249"/>
    <w:rsid w:val="1B443326"/>
    <w:rsid w:val="1B4A0CAD"/>
    <w:rsid w:val="1B50452D"/>
    <w:rsid w:val="1B542026"/>
    <w:rsid w:val="1B5529E0"/>
    <w:rsid w:val="1B5C6561"/>
    <w:rsid w:val="1B6049D1"/>
    <w:rsid w:val="1B621726"/>
    <w:rsid w:val="1B6C6079"/>
    <w:rsid w:val="1B702178"/>
    <w:rsid w:val="1B7429E0"/>
    <w:rsid w:val="1B7C16C8"/>
    <w:rsid w:val="1B7C511E"/>
    <w:rsid w:val="1B8363E9"/>
    <w:rsid w:val="1B847F25"/>
    <w:rsid w:val="1B8D4B2A"/>
    <w:rsid w:val="1B8F179B"/>
    <w:rsid w:val="1B8F4B27"/>
    <w:rsid w:val="1B973664"/>
    <w:rsid w:val="1B981C8D"/>
    <w:rsid w:val="1B9B49EC"/>
    <w:rsid w:val="1BA673EA"/>
    <w:rsid w:val="1BA758C1"/>
    <w:rsid w:val="1BAA2009"/>
    <w:rsid w:val="1BAA633F"/>
    <w:rsid w:val="1BB51FE1"/>
    <w:rsid w:val="1BC524E0"/>
    <w:rsid w:val="1BD11957"/>
    <w:rsid w:val="1BD86C55"/>
    <w:rsid w:val="1BE2063B"/>
    <w:rsid w:val="1BEE3E39"/>
    <w:rsid w:val="1BF54083"/>
    <w:rsid w:val="1BFB235D"/>
    <w:rsid w:val="1C125FE1"/>
    <w:rsid w:val="1C13200C"/>
    <w:rsid w:val="1C133E06"/>
    <w:rsid w:val="1C1602B2"/>
    <w:rsid w:val="1C170C93"/>
    <w:rsid w:val="1C1B5D7C"/>
    <w:rsid w:val="1C1D2E4E"/>
    <w:rsid w:val="1C1F0CCD"/>
    <w:rsid w:val="1C2373A1"/>
    <w:rsid w:val="1C24079B"/>
    <w:rsid w:val="1C48484D"/>
    <w:rsid w:val="1C491ACA"/>
    <w:rsid w:val="1C4A7D94"/>
    <w:rsid w:val="1C5126E4"/>
    <w:rsid w:val="1C554D37"/>
    <w:rsid w:val="1C5D70DB"/>
    <w:rsid w:val="1C6462AE"/>
    <w:rsid w:val="1C6731E0"/>
    <w:rsid w:val="1C696758"/>
    <w:rsid w:val="1C6C6468"/>
    <w:rsid w:val="1C713FAF"/>
    <w:rsid w:val="1C7846D0"/>
    <w:rsid w:val="1C7A1E78"/>
    <w:rsid w:val="1C800607"/>
    <w:rsid w:val="1C8200AB"/>
    <w:rsid w:val="1C897F8F"/>
    <w:rsid w:val="1C8A18EC"/>
    <w:rsid w:val="1C8B0133"/>
    <w:rsid w:val="1C8B1559"/>
    <w:rsid w:val="1C8D3198"/>
    <w:rsid w:val="1C9755B9"/>
    <w:rsid w:val="1CAF7DA4"/>
    <w:rsid w:val="1CC67B54"/>
    <w:rsid w:val="1CCC326F"/>
    <w:rsid w:val="1CD12AFE"/>
    <w:rsid w:val="1CD5621D"/>
    <w:rsid w:val="1CE328B7"/>
    <w:rsid w:val="1CEE7DA2"/>
    <w:rsid w:val="1CF168C7"/>
    <w:rsid w:val="1CF82E94"/>
    <w:rsid w:val="1CF86D91"/>
    <w:rsid w:val="1D0470E9"/>
    <w:rsid w:val="1D0F2715"/>
    <w:rsid w:val="1D121F85"/>
    <w:rsid w:val="1D1E2F74"/>
    <w:rsid w:val="1D302EE8"/>
    <w:rsid w:val="1D3C3E33"/>
    <w:rsid w:val="1D4F4231"/>
    <w:rsid w:val="1D6305E6"/>
    <w:rsid w:val="1D637462"/>
    <w:rsid w:val="1D713443"/>
    <w:rsid w:val="1D7419E6"/>
    <w:rsid w:val="1D761344"/>
    <w:rsid w:val="1D7715D8"/>
    <w:rsid w:val="1D9035D3"/>
    <w:rsid w:val="1D9A605D"/>
    <w:rsid w:val="1D9B2E58"/>
    <w:rsid w:val="1D9E0C11"/>
    <w:rsid w:val="1D9E1D1E"/>
    <w:rsid w:val="1DA27B36"/>
    <w:rsid w:val="1DB5537D"/>
    <w:rsid w:val="1DC151B1"/>
    <w:rsid w:val="1DC34F38"/>
    <w:rsid w:val="1DCA697E"/>
    <w:rsid w:val="1DCE02B0"/>
    <w:rsid w:val="1DD7330F"/>
    <w:rsid w:val="1DD934BC"/>
    <w:rsid w:val="1DE33498"/>
    <w:rsid w:val="1DEC177B"/>
    <w:rsid w:val="1DFB1A58"/>
    <w:rsid w:val="1E0837E2"/>
    <w:rsid w:val="1E112498"/>
    <w:rsid w:val="1E140C39"/>
    <w:rsid w:val="1E1A6DFA"/>
    <w:rsid w:val="1E381CE3"/>
    <w:rsid w:val="1E3866AD"/>
    <w:rsid w:val="1E3D7C43"/>
    <w:rsid w:val="1E3F3F91"/>
    <w:rsid w:val="1E414967"/>
    <w:rsid w:val="1E4819ED"/>
    <w:rsid w:val="1E507919"/>
    <w:rsid w:val="1E537ECB"/>
    <w:rsid w:val="1E6123B1"/>
    <w:rsid w:val="1E67318E"/>
    <w:rsid w:val="1E6A44EB"/>
    <w:rsid w:val="1E874B5B"/>
    <w:rsid w:val="1E8D7F78"/>
    <w:rsid w:val="1E911178"/>
    <w:rsid w:val="1E955AA4"/>
    <w:rsid w:val="1E9D24D1"/>
    <w:rsid w:val="1EA6355D"/>
    <w:rsid w:val="1EA857A4"/>
    <w:rsid w:val="1EAA6491"/>
    <w:rsid w:val="1EB24D1B"/>
    <w:rsid w:val="1EB63967"/>
    <w:rsid w:val="1EB7524D"/>
    <w:rsid w:val="1EC054E0"/>
    <w:rsid w:val="1ECE545D"/>
    <w:rsid w:val="1EE862E1"/>
    <w:rsid w:val="1EEB7F01"/>
    <w:rsid w:val="1EF67CD5"/>
    <w:rsid w:val="1EFD2BFC"/>
    <w:rsid w:val="1EFE0B46"/>
    <w:rsid w:val="1EFF7C25"/>
    <w:rsid w:val="1F0475F4"/>
    <w:rsid w:val="1F0B7EC0"/>
    <w:rsid w:val="1F2853FC"/>
    <w:rsid w:val="1F2B5855"/>
    <w:rsid w:val="1F3B5C87"/>
    <w:rsid w:val="1F417C5C"/>
    <w:rsid w:val="1F461096"/>
    <w:rsid w:val="1F483478"/>
    <w:rsid w:val="1F534A02"/>
    <w:rsid w:val="1F5466DC"/>
    <w:rsid w:val="1F550108"/>
    <w:rsid w:val="1F553729"/>
    <w:rsid w:val="1F692E09"/>
    <w:rsid w:val="1F6A5F47"/>
    <w:rsid w:val="1F83417E"/>
    <w:rsid w:val="1F9401C7"/>
    <w:rsid w:val="1F9854CE"/>
    <w:rsid w:val="1F9A31A5"/>
    <w:rsid w:val="1FA13D6F"/>
    <w:rsid w:val="1FA67764"/>
    <w:rsid w:val="1FAF6668"/>
    <w:rsid w:val="1FC34347"/>
    <w:rsid w:val="1FC60211"/>
    <w:rsid w:val="1FC714F2"/>
    <w:rsid w:val="1FC811D1"/>
    <w:rsid w:val="1FC86D59"/>
    <w:rsid w:val="1FCF2B21"/>
    <w:rsid w:val="1FCF4973"/>
    <w:rsid w:val="1FD27DEC"/>
    <w:rsid w:val="1FDC3D12"/>
    <w:rsid w:val="1FE84333"/>
    <w:rsid w:val="1FEB069A"/>
    <w:rsid w:val="1FEC40D9"/>
    <w:rsid w:val="1FEC6420"/>
    <w:rsid w:val="1FF746A4"/>
    <w:rsid w:val="1FFE471B"/>
    <w:rsid w:val="200006B7"/>
    <w:rsid w:val="200318D0"/>
    <w:rsid w:val="2005408B"/>
    <w:rsid w:val="2008463E"/>
    <w:rsid w:val="200B3C86"/>
    <w:rsid w:val="20190493"/>
    <w:rsid w:val="20281E6D"/>
    <w:rsid w:val="20295F06"/>
    <w:rsid w:val="203358E6"/>
    <w:rsid w:val="203477A1"/>
    <w:rsid w:val="2036029E"/>
    <w:rsid w:val="2038603D"/>
    <w:rsid w:val="20396FAB"/>
    <w:rsid w:val="20405CD7"/>
    <w:rsid w:val="2045276B"/>
    <w:rsid w:val="2046431D"/>
    <w:rsid w:val="20506A57"/>
    <w:rsid w:val="20671C36"/>
    <w:rsid w:val="206C1DB5"/>
    <w:rsid w:val="207427BB"/>
    <w:rsid w:val="20763979"/>
    <w:rsid w:val="208062C7"/>
    <w:rsid w:val="20806B27"/>
    <w:rsid w:val="20855879"/>
    <w:rsid w:val="209018B1"/>
    <w:rsid w:val="209E020F"/>
    <w:rsid w:val="20B76EC2"/>
    <w:rsid w:val="20BC5D53"/>
    <w:rsid w:val="20BE4273"/>
    <w:rsid w:val="20C219E1"/>
    <w:rsid w:val="20CF3117"/>
    <w:rsid w:val="20D14270"/>
    <w:rsid w:val="20D14E29"/>
    <w:rsid w:val="20D20CC0"/>
    <w:rsid w:val="20D22907"/>
    <w:rsid w:val="20D31688"/>
    <w:rsid w:val="20DA4D96"/>
    <w:rsid w:val="20E810A3"/>
    <w:rsid w:val="20F277EB"/>
    <w:rsid w:val="20F341A4"/>
    <w:rsid w:val="20F945EB"/>
    <w:rsid w:val="20FF59BA"/>
    <w:rsid w:val="210003FA"/>
    <w:rsid w:val="21062DD9"/>
    <w:rsid w:val="21084552"/>
    <w:rsid w:val="210A3AF0"/>
    <w:rsid w:val="210E0515"/>
    <w:rsid w:val="211851BD"/>
    <w:rsid w:val="211B1940"/>
    <w:rsid w:val="211F3B21"/>
    <w:rsid w:val="212237C5"/>
    <w:rsid w:val="212257B7"/>
    <w:rsid w:val="212748A3"/>
    <w:rsid w:val="21293A01"/>
    <w:rsid w:val="213A0A70"/>
    <w:rsid w:val="213E1962"/>
    <w:rsid w:val="214662EF"/>
    <w:rsid w:val="214F576E"/>
    <w:rsid w:val="216410AB"/>
    <w:rsid w:val="21723131"/>
    <w:rsid w:val="21727DAF"/>
    <w:rsid w:val="217E16B5"/>
    <w:rsid w:val="218A341B"/>
    <w:rsid w:val="2198178B"/>
    <w:rsid w:val="219A166F"/>
    <w:rsid w:val="219B030D"/>
    <w:rsid w:val="219B2367"/>
    <w:rsid w:val="21A04166"/>
    <w:rsid w:val="21AF3339"/>
    <w:rsid w:val="21AF6B23"/>
    <w:rsid w:val="21B640CD"/>
    <w:rsid w:val="21D36522"/>
    <w:rsid w:val="21D97F30"/>
    <w:rsid w:val="21E1767F"/>
    <w:rsid w:val="21EC4A10"/>
    <w:rsid w:val="21F162C9"/>
    <w:rsid w:val="21F25F68"/>
    <w:rsid w:val="21FB293A"/>
    <w:rsid w:val="220245DA"/>
    <w:rsid w:val="22034B7E"/>
    <w:rsid w:val="220479AF"/>
    <w:rsid w:val="220B0115"/>
    <w:rsid w:val="221D6EFD"/>
    <w:rsid w:val="221E2340"/>
    <w:rsid w:val="2220739F"/>
    <w:rsid w:val="22412AEB"/>
    <w:rsid w:val="22421450"/>
    <w:rsid w:val="22441147"/>
    <w:rsid w:val="22535623"/>
    <w:rsid w:val="225B5DD9"/>
    <w:rsid w:val="225D3A60"/>
    <w:rsid w:val="225F3EB5"/>
    <w:rsid w:val="22633776"/>
    <w:rsid w:val="22691BDC"/>
    <w:rsid w:val="2282008D"/>
    <w:rsid w:val="22851ED6"/>
    <w:rsid w:val="228735AD"/>
    <w:rsid w:val="228D1E61"/>
    <w:rsid w:val="22961F82"/>
    <w:rsid w:val="229E6C7D"/>
    <w:rsid w:val="22A5405F"/>
    <w:rsid w:val="22A8470F"/>
    <w:rsid w:val="22AD0D9D"/>
    <w:rsid w:val="22AF5FF7"/>
    <w:rsid w:val="22B02B4A"/>
    <w:rsid w:val="22B26CEF"/>
    <w:rsid w:val="22BD2723"/>
    <w:rsid w:val="22D04F82"/>
    <w:rsid w:val="22D97C33"/>
    <w:rsid w:val="22DB5CE3"/>
    <w:rsid w:val="22E6275E"/>
    <w:rsid w:val="22F33BCF"/>
    <w:rsid w:val="22F657F3"/>
    <w:rsid w:val="22F96A57"/>
    <w:rsid w:val="22FA2D03"/>
    <w:rsid w:val="22FD3DCE"/>
    <w:rsid w:val="230D66B2"/>
    <w:rsid w:val="230F45CC"/>
    <w:rsid w:val="23107D71"/>
    <w:rsid w:val="231228E5"/>
    <w:rsid w:val="231D218B"/>
    <w:rsid w:val="23202EBF"/>
    <w:rsid w:val="232472E9"/>
    <w:rsid w:val="232A6A8F"/>
    <w:rsid w:val="232C31D6"/>
    <w:rsid w:val="232C7FAC"/>
    <w:rsid w:val="233504F1"/>
    <w:rsid w:val="23390ACD"/>
    <w:rsid w:val="23444436"/>
    <w:rsid w:val="234510EE"/>
    <w:rsid w:val="234B7F28"/>
    <w:rsid w:val="23523C35"/>
    <w:rsid w:val="235E241F"/>
    <w:rsid w:val="23672A35"/>
    <w:rsid w:val="2368125A"/>
    <w:rsid w:val="236853B3"/>
    <w:rsid w:val="236A35DC"/>
    <w:rsid w:val="23700EB9"/>
    <w:rsid w:val="23735A47"/>
    <w:rsid w:val="23746EF4"/>
    <w:rsid w:val="23804E5A"/>
    <w:rsid w:val="238340EF"/>
    <w:rsid w:val="238952F9"/>
    <w:rsid w:val="23A027FB"/>
    <w:rsid w:val="23A062CB"/>
    <w:rsid w:val="23A321D5"/>
    <w:rsid w:val="23A54425"/>
    <w:rsid w:val="23A54BA8"/>
    <w:rsid w:val="23A7260E"/>
    <w:rsid w:val="23A74984"/>
    <w:rsid w:val="23AA2ABC"/>
    <w:rsid w:val="23BB521A"/>
    <w:rsid w:val="23BC73A9"/>
    <w:rsid w:val="23C554CD"/>
    <w:rsid w:val="23CC6384"/>
    <w:rsid w:val="23D53D4A"/>
    <w:rsid w:val="23DE0E74"/>
    <w:rsid w:val="23DF075D"/>
    <w:rsid w:val="23E62E9F"/>
    <w:rsid w:val="23EF54BF"/>
    <w:rsid w:val="23F808AA"/>
    <w:rsid w:val="23F86A03"/>
    <w:rsid w:val="24097F81"/>
    <w:rsid w:val="240D03A1"/>
    <w:rsid w:val="241240B1"/>
    <w:rsid w:val="2418063B"/>
    <w:rsid w:val="241B02CA"/>
    <w:rsid w:val="241C03EF"/>
    <w:rsid w:val="24281370"/>
    <w:rsid w:val="242F6B4F"/>
    <w:rsid w:val="243A4DBB"/>
    <w:rsid w:val="243D564D"/>
    <w:rsid w:val="243F3B28"/>
    <w:rsid w:val="244516B0"/>
    <w:rsid w:val="2457461D"/>
    <w:rsid w:val="245F60D2"/>
    <w:rsid w:val="2468111B"/>
    <w:rsid w:val="2472214C"/>
    <w:rsid w:val="247C042D"/>
    <w:rsid w:val="247D4883"/>
    <w:rsid w:val="24923C2B"/>
    <w:rsid w:val="249763B3"/>
    <w:rsid w:val="249A7478"/>
    <w:rsid w:val="249D6B27"/>
    <w:rsid w:val="24AA3B7F"/>
    <w:rsid w:val="24B41EDE"/>
    <w:rsid w:val="24B91B0D"/>
    <w:rsid w:val="24BC391F"/>
    <w:rsid w:val="24BC3CB9"/>
    <w:rsid w:val="24C534A0"/>
    <w:rsid w:val="24C80496"/>
    <w:rsid w:val="24CB128B"/>
    <w:rsid w:val="24CC37DF"/>
    <w:rsid w:val="24D171E9"/>
    <w:rsid w:val="24EA628E"/>
    <w:rsid w:val="24F41A1C"/>
    <w:rsid w:val="24FE796D"/>
    <w:rsid w:val="2505300E"/>
    <w:rsid w:val="250832D8"/>
    <w:rsid w:val="251012FD"/>
    <w:rsid w:val="251E1E5D"/>
    <w:rsid w:val="25222796"/>
    <w:rsid w:val="25232216"/>
    <w:rsid w:val="25257688"/>
    <w:rsid w:val="25275547"/>
    <w:rsid w:val="25305D20"/>
    <w:rsid w:val="253A2C60"/>
    <w:rsid w:val="254145F0"/>
    <w:rsid w:val="25414F89"/>
    <w:rsid w:val="2542723F"/>
    <w:rsid w:val="25515500"/>
    <w:rsid w:val="25583B9B"/>
    <w:rsid w:val="25585729"/>
    <w:rsid w:val="25603970"/>
    <w:rsid w:val="256465A5"/>
    <w:rsid w:val="256A142E"/>
    <w:rsid w:val="256B5C00"/>
    <w:rsid w:val="25702E42"/>
    <w:rsid w:val="25716131"/>
    <w:rsid w:val="257240F0"/>
    <w:rsid w:val="2576009D"/>
    <w:rsid w:val="25927B0F"/>
    <w:rsid w:val="259715F4"/>
    <w:rsid w:val="259C649D"/>
    <w:rsid w:val="259D23F7"/>
    <w:rsid w:val="25A162A8"/>
    <w:rsid w:val="25A83B80"/>
    <w:rsid w:val="25A957F7"/>
    <w:rsid w:val="25B56D8C"/>
    <w:rsid w:val="25B726F3"/>
    <w:rsid w:val="25C34078"/>
    <w:rsid w:val="25CC0C40"/>
    <w:rsid w:val="25D23729"/>
    <w:rsid w:val="25D7789A"/>
    <w:rsid w:val="25D85A35"/>
    <w:rsid w:val="25E21982"/>
    <w:rsid w:val="25EA0958"/>
    <w:rsid w:val="25EA5FD8"/>
    <w:rsid w:val="25FB648F"/>
    <w:rsid w:val="26097E66"/>
    <w:rsid w:val="261F0380"/>
    <w:rsid w:val="261F6540"/>
    <w:rsid w:val="26203AAA"/>
    <w:rsid w:val="26234859"/>
    <w:rsid w:val="262350EE"/>
    <w:rsid w:val="26364F62"/>
    <w:rsid w:val="263A3C95"/>
    <w:rsid w:val="263D257E"/>
    <w:rsid w:val="263F55C4"/>
    <w:rsid w:val="2649455B"/>
    <w:rsid w:val="264F27EB"/>
    <w:rsid w:val="26554479"/>
    <w:rsid w:val="26574AB3"/>
    <w:rsid w:val="265C43E8"/>
    <w:rsid w:val="265F2B7C"/>
    <w:rsid w:val="26711D72"/>
    <w:rsid w:val="26807CFC"/>
    <w:rsid w:val="269123E4"/>
    <w:rsid w:val="26967A27"/>
    <w:rsid w:val="269A355D"/>
    <w:rsid w:val="269C047A"/>
    <w:rsid w:val="26A067FA"/>
    <w:rsid w:val="26AA7E9A"/>
    <w:rsid w:val="26AC1A5A"/>
    <w:rsid w:val="26B66776"/>
    <w:rsid w:val="26B829B5"/>
    <w:rsid w:val="26B921C5"/>
    <w:rsid w:val="26BB281D"/>
    <w:rsid w:val="26C515B6"/>
    <w:rsid w:val="26CC0FD1"/>
    <w:rsid w:val="26CC4F89"/>
    <w:rsid w:val="26CC6EDC"/>
    <w:rsid w:val="26D10FB9"/>
    <w:rsid w:val="26DF0581"/>
    <w:rsid w:val="26E23A32"/>
    <w:rsid w:val="26E40E31"/>
    <w:rsid w:val="26EA6335"/>
    <w:rsid w:val="26EF2C05"/>
    <w:rsid w:val="26F511D2"/>
    <w:rsid w:val="26F75AEA"/>
    <w:rsid w:val="26FC77D8"/>
    <w:rsid w:val="270F7193"/>
    <w:rsid w:val="271201B8"/>
    <w:rsid w:val="271379FD"/>
    <w:rsid w:val="273D4CBF"/>
    <w:rsid w:val="2747083A"/>
    <w:rsid w:val="275657D3"/>
    <w:rsid w:val="2757255D"/>
    <w:rsid w:val="275A3CC6"/>
    <w:rsid w:val="27640FBF"/>
    <w:rsid w:val="27656006"/>
    <w:rsid w:val="27691D55"/>
    <w:rsid w:val="276C0318"/>
    <w:rsid w:val="277127DA"/>
    <w:rsid w:val="277229E2"/>
    <w:rsid w:val="27917CEA"/>
    <w:rsid w:val="27B60D85"/>
    <w:rsid w:val="27C016B0"/>
    <w:rsid w:val="27CE1CB6"/>
    <w:rsid w:val="27D66D96"/>
    <w:rsid w:val="27DF700C"/>
    <w:rsid w:val="27F21C59"/>
    <w:rsid w:val="27F555C4"/>
    <w:rsid w:val="27FC50BB"/>
    <w:rsid w:val="27FF736B"/>
    <w:rsid w:val="28003728"/>
    <w:rsid w:val="28051425"/>
    <w:rsid w:val="28083BED"/>
    <w:rsid w:val="28122E5B"/>
    <w:rsid w:val="28162A07"/>
    <w:rsid w:val="281C378B"/>
    <w:rsid w:val="281C4005"/>
    <w:rsid w:val="281E6297"/>
    <w:rsid w:val="28283E15"/>
    <w:rsid w:val="283C4858"/>
    <w:rsid w:val="283F6281"/>
    <w:rsid w:val="284B436E"/>
    <w:rsid w:val="284D02F8"/>
    <w:rsid w:val="284F0AB2"/>
    <w:rsid w:val="285457C5"/>
    <w:rsid w:val="285C5699"/>
    <w:rsid w:val="285E045D"/>
    <w:rsid w:val="28610681"/>
    <w:rsid w:val="286A2AEA"/>
    <w:rsid w:val="2872485F"/>
    <w:rsid w:val="28774440"/>
    <w:rsid w:val="287C6486"/>
    <w:rsid w:val="287C7ECC"/>
    <w:rsid w:val="28807006"/>
    <w:rsid w:val="28886EA4"/>
    <w:rsid w:val="28897056"/>
    <w:rsid w:val="288C0355"/>
    <w:rsid w:val="28974537"/>
    <w:rsid w:val="28AB3964"/>
    <w:rsid w:val="28B306B7"/>
    <w:rsid w:val="28B63004"/>
    <w:rsid w:val="28B8223A"/>
    <w:rsid w:val="28C13D33"/>
    <w:rsid w:val="28CB6F37"/>
    <w:rsid w:val="28CD2726"/>
    <w:rsid w:val="28D76A55"/>
    <w:rsid w:val="28DF72C9"/>
    <w:rsid w:val="28E40842"/>
    <w:rsid w:val="28EC2B72"/>
    <w:rsid w:val="28F3085A"/>
    <w:rsid w:val="28F449E9"/>
    <w:rsid w:val="290077E1"/>
    <w:rsid w:val="290760ED"/>
    <w:rsid w:val="290A1135"/>
    <w:rsid w:val="290C0DE0"/>
    <w:rsid w:val="291034BE"/>
    <w:rsid w:val="29136977"/>
    <w:rsid w:val="29140D6E"/>
    <w:rsid w:val="29244535"/>
    <w:rsid w:val="292A6C1A"/>
    <w:rsid w:val="292E06AC"/>
    <w:rsid w:val="292F1302"/>
    <w:rsid w:val="292F3AC6"/>
    <w:rsid w:val="29331098"/>
    <w:rsid w:val="295B531A"/>
    <w:rsid w:val="29725760"/>
    <w:rsid w:val="29757B80"/>
    <w:rsid w:val="297B5D25"/>
    <w:rsid w:val="297F640D"/>
    <w:rsid w:val="29805701"/>
    <w:rsid w:val="29973EC7"/>
    <w:rsid w:val="299B3F37"/>
    <w:rsid w:val="299D4E77"/>
    <w:rsid w:val="299F3A93"/>
    <w:rsid w:val="29A5317E"/>
    <w:rsid w:val="29A611B6"/>
    <w:rsid w:val="29B44E16"/>
    <w:rsid w:val="29B67D1F"/>
    <w:rsid w:val="29B974F2"/>
    <w:rsid w:val="29C33A82"/>
    <w:rsid w:val="29CD1027"/>
    <w:rsid w:val="29CE6EAC"/>
    <w:rsid w:val="29D9271A"/>
    <w:rsid w:val="29D9298D"/>
    <w:rsid w:val="29DB35E0"/>
    <w:rsid w:val="29E31020"/>
    <w:rsid w:val="29EA6F83"/>
    <w:rsid w:val="29F83579"/>
    <w:rsid w:val="2A0C02E8"/>
    <w:rsid w:val="2A0D7FD7"/>
    <w:rsid w:val="2A11223C"/>
    <w:rsid w:val="2A125345"/>
    <w:rsid w:val="2A30217B"/>
    <w:rsid w:val="2A35026D"/>
    <w:rsid w:val="2A38559E"/>
    <w:rsid w:val="2A4976A1"/>
    <w:rsid w:val="2A4B3546"/>
    <w:rsid w:val="2A4B75F1"/>
    <w:rsid w:val="2A5219C0"/>
    <w:rsid w:val="2A5231F3"/>
    <w:rsid w:val="2A571430"/>
    <w:rsid w:val="2A5B65CA"/>
    <w:rsid w:val="2A5E267B"/>
    <w:rsid w:val="2A6A7F92"/>
    <w:rsid w:val="2A6C1175"/>
    <w:rsid w:val="2A7941B4"/>
    <w:rsid w:val="2A7F7480"/>
    <w:rsid w:val="2A7F77AF"/>
    <w:rsid w:val="2A824F85"/>
    <w:rsid w:val="2A842AF5"/>
    <w:rsid w:val="2A906D1E"/>
    <w:rsid w:val="2A9514E8"/>
    <w:rsid w:val="2A962984"/>
    <w:rsid w:val="2AAE4D20"/>
    <w:rsid w:val="2AB15DD2"/>
    <w:rsid w:val="2AB35C22"/>
    <w:rsid w:val="2AB571A1"/>
    <w:rsid w:val="2ABC26A5"/>
    <w:rsid w:val="2AC37AD7"/>
    <w:rsid w:val="2ACF6B7E"/>
    <w:rsid w:val="2AD66909"/>
    <w:rsid w:val="2ADE1E36"/>
    <w:rsid w:val="2AEA47A3"/>
    <w:rsid w:val="2AFD56AE"/>
    <w:rsid w:val="2B0319C4"/>
    <w:rsid w:val="2B0664EC"/>
    <w:rsid w:val="2B06749D"/>
    <w:rsid w:val="2B10450D"/>
    <w:rsid w:val="2B2B1E32"/>
    <w:rsid w:val="2B316259"/>
    <w:rsid w:val="2B341681"/>
    <w:rsid w:val="2B38040A"/>
    <w:rsid w:val="2B386317"/>
    <w:rsid w:val="2B3A1D31"/>
    <w:rsid w:val="2B3D1BAA"/>
    <w:rsid w:val="2B3E220D"/>
    <w:rsid w:val="2B4375B8"/>
    <w:rsid w:val="2B4B4899"/>
    <w:rsid w:val="2B510FE1"/>
    <w:rsid w:val="2B5A0A39"/>
    <w:rsid w:val="2B617989"/>
    <w:rsid w:val="2B655187"/>
    <w:rsid w:val="2B686986"/>
    <w:rsid w:val="2B6D7AB2"/>
    <w:rsid w:val="2B6E0EB7"/>
    <w:rsid w:val="2B757987"/>
    <w:rsid w:val="2B760535"/>
    <w:rsid w:val="2B8308D1"/>
    <w:rsid w:val="2B887644"/>
    <w:rsid w:val="2B8A19D4"/>
    <w:rsid w:val="2B8D21C1"/>
    <w:rsid w:val="2B901565"/>
    <w:rsid w:val="2BA2010C"/>
    <w:rsid w:val="2BA27197"/>
    <w:rsid w:val="2BAA6800"/>
    <w:rsid w:val="2BAD013A"/>
    <w:rsid w:val="2BB12EB2"/>
    <w:rsid w:val="2BC16E75"/>
    <w:rsid w:val="2BCB44CE"/>
    <w:rsid w:val="2BDE6102"/>
    <w:rsid w:val="2BE26456"/>
    <w:rsid w:val="2BE76410"/>
    <w:rsid w:val="2BF441DC"/>
    <w:rsid w:val="2BF5490C"/>
    <w:rsid w:val="2C022387"/>
    <w:rsid w:val="2C084E0E"/>
    <w:rsid w:val="2C176260"/>
    <w:rsid w:val="2C23357A"/>
    <w:rsid w:val="2C234844"/>
    <w:rsid w:val="2C2D16B9"/>
    <w:rsid w:val="2C392B24"/>
    <w:rsid w:val="2C3F0B60"/>
    <w:rsid w:val="2C4817EF"/>
    <w:rsid w:val="2C541FC6"/>
    <w:rsid w:val="2C5C745D"/>
    <w:rsid w:val="2C5D7148"/>
    <w:rsid w:val="2C63601D"/>
    <w:rsid w:val="2C683E3C"/>
    <w:rsid w:val="2C6A1763"/>
    <w:rsid w:val="2C712652"/>
    <w:rsid w:val="2C75189F"/>
    <w:rsid w:val="2C852B11"/>
    <w:rsid w:val="2C874919"/>
    <w:rsid w:val="2C886908"/>
    <w:rsid w:val="2C914F3F"/>
    <w:rsid w:val="2CB72DA9"/>
    <w:rsid w:val="2CB767EE"/>
    <w:rsid w:val="2CBA09BD"/>
    <w:rsid w:val="2CBE6DAE"/>
    <w:rsid w:val="2CC701D6"/>
    <w:rsid w:val="2CC8480A"/>
    <w:rsid w:val="2CCF173F"/>
    <w:rsid w:val="2CD357D6"/>
    <w:rsid w:val="2CD37363"/>
    <w:rsid w:val="2CD666FA"/>
    <w:rsid w:val="2CD807BB"/>
    <w:rsid w:val="2CD931CC"/>
    <w:rsid w:val="2CDA0CF2"/>
    <w:rsid w:val="2CE635A1"/>
    <w:rsid w:val="2CF24429"/>
    <w:rsid w:val="2CFA4EC6"/>
    <w:rsid w:val="2CFC7268"/>
    <w:rsid w:val="2D0217BF"/>
    <w:rsid w:val="2D030F6E"/>
    <w:rsid w:val="2D062C04"/>
    <w:rsid w:val="2D0F7C93"/>
    <w:rsid w:val="2D2F51A3"/>
    <w:rsid w:val="2D406579"/>
    <w:rsid w:val="2D4F7C3B"/>
    <w:rsid w:val="2D56486A"/>
    <w:rsid w:val="2D731D6E"/>
    <w:rsid w:val="2D746643"/>
    <w:rsid w:val="2D764A18"/>
    <w:rsid w:val="2D773FDE"/>
    <w:rsid w:val="2D7A59F2"/>
    <w:rsid w:val="2D7F7E5B"/>
    <w:rsid w:val="2D8032FA"/>
    <w:rsid w:val="2D861B43"/>
    <w:rsid w:val="2D864B79"/>
    <w:rsid w:val="2D96614B"/>
    <w:rsid w:val="2D9F006E"/>
    <w:rsid w:val="2DA7004A"/>
    <w:rsid w:val="2DAE010F"/>
    <w:rsid w:val="2DAF4326"/>
    <w:rsid w:val="2DBB5916"/>
    <w:rsid w:val="2DC84F93"/>
    <w:rsid w:val="2DCC2F57"/>
    <w:rsid w:val="2DCE173B"/>
    <w:rsid w:val="2DD22820"/>
    <w:rsid w:val="2DDB64AC"/>
    <w:rsid w:val="2DDC6E4B"/>
    <w:rsid w:val="2DE03C4C"/>
    <w:rsid w:val="2DE425E5"/>
    <w:rsid w:val="2DE831DF"/>
    <w:rsid w:val="2DEA06ED"/>
    <w:rsid w:val="2DF266DB"/>
    <w:rsid w:val="2DF91820"/>
    <w:rsid w:val="2DFC0551"/>
    <w:rsid w:val="2E022259"/>
    <w:rsid w:val="2E093271"/>
    <w:rsid w:val="2E181E84"/>
    <w:rsid w:val="2E32220F"/>
    <w:rsid w:val="2E3246D5"/>
    <w:rsid w:val="2E403E99"/>
    <w:rsid w:val="2E462F49"/>
    <w:rsid w:val="2E5120A4"/>
    <w:rsid w:val="2E573296"/>
    <w:rsid w:val="2E8A11E8"/>
    <w:rsid w:val="2E8E4348"/>
    <w:rsid w:val="2E8E7054"/>
    <w:rsid w:val="2E927342"/>
    <w:rsid w:val="2E9B4FFB"/>
    <w:rsid w:val="2EA3470A"/>
    <w:rsid w:val="2EA8751D"/>
    <w:rsid w:val="2EAD2CC2"/>
    <w:rsid w:val="2EAE792C"/>
    <w:rsid w:val="2EB37744"/>
    <w:rsid w:val="2EBB0A4E"/>
    <w:rsid w:val="2EBC2991"/>
    <w:rsid w:val="2EC60C4D"/>
    <w:rsid w:val="2EC93387"/>
    <w:rsid w:val="2ECE2C04"/>
    <w:rsid w:val="2ED12DC0"/>
    <w:rsid w:val="2EED216A"/>
    <w:rsid w:val="2F0343BC"/>
    <w:rsid w:val="2F08780C"/>
    <w:rsid w:val="2F1316AB"/>
    <w:rsid w:val="2F1714EE"/>
    <w:rsid w:val="2F185100"/>
    <w:rsid w:val="2F1A2059"/>
    <w:rsid w:val="2F224A4F"/>
    <w:rsid w:val="2F2273E8"/>
    <w:rsid w:val="2F231BC1"/>
    <w:rsid w:val="2F2C117D"/>
    <w:rsid w:val="2F2E26A5"/>
    <w:rsid w:val="2F32079C"/>
    <w:rsid w:val="2F3553E7"/>
    <w:rsid w:val="2F3944FD"/>
    <w:rsid w:val="2F4836F4"/>
    <w:rsid w:val="2F483AA1"/>
    <w:rsid w:val="2F4E286D"/>
    <w:rsid w:val="2F524957"/>
    <w:rsid w:val="2F5529B8"/>
    <w:rsid w:val="2F573700"/>
    <w:rsid w:val="2F584B93"/>
    <w:rsid w:val="2F6570BB"/>
    <w:rsid w:val="2F6B0D59"/>
    <w:rsid w:val="2F7D626E"/>
    <w:rsid w:val="2F81652E"/>
    <w:rsid w:val="2F816D95"/>
    <w:rsid w:val="2F840C01"/>
    <w:rsid w:val="2F843EF3"/>
    <w:rsid w:val="2F925447"/>
    <w:rsid w:val="2F9B249E"/>
    <w:rsid w:val="2FA71FDD"/>
    <w:rsid w:val="2FB63D59"/>
    <w:rsid w:val="2FBB671A"/>
    <w:rsid w:val="2FC16274"/>
    <w:rsid w:val="2FC346F2"/>
    <w:rsid w:val="2FCC4112"/>
    <w:rsid w:val="2FD10EF4"/>
    <w:rsid w:val="2FD61E21"/>
    <w:rsid w:val="2FD61F4A"/>
    <w:rsid w:val="2FD65C89"/>
    <w:rsid w:val="2FDE4A06"/>
    <w:rsid w:val="2FE51D1F"/>
    <w:rsid w:val="2FFF5E7B"/>
    <w:rsid w:val="30012CA0"/>
    <w:rsid w:val="300D699B"/>
    <w:rsid w:val="300D7E7C"/>
    <w:rsid w:val="302E064E"/>
    <w:rsid w:val="30350212"/>
    <w:rsid w:val="303C3859"/>
    <w:rsid w:val="30444F26"/>
    <w:rsid w:val="304F3F15"/>
    <w:rsid w:val="3056216E"/>
    <w:rsid w:val="30567150"/>
    <w:rsid w:val="30586896"/>
    <w:rsid w:val="30586F11"/>
    <w:rsid w:val="30694825"/>
    <w:rsid w:val="306F4FD5"/>
    <w:rsid w:val="30705000"/>
    <w:rsid w:val="3075170A"/>
    <w:rsid w:val="3077159C"/>
    <w:rsid w:val="307E1341"/>
    <w:rsid w:val="308868A7"/>
    <w:rsid w:val="308D4A59"/>
    <w:rsid w:val="308D7893"/>
    <w:rsid w:val="309541F4"/>
    <w:rsid w:val="3096200D"/>
    <w:rsid w:val="30A34C44"/>
    <w:rsid w:val="30A57388"/>
    <w:rsid w:val="30B325CC"/>
    <w:rsid w:val="30BB6C86"/>
    <w:rsid w:val="30C2410A"/>
    <w:rsid w:val="30D100BD"/>
    <w:rsid w:val="30D52128"/>
    <w:rsid w:val="30DA566C"/>
    <w:rsid w:val="30E24E63"/>
    <w:rsid w:val="30E36C10"/>
    <w:rsid w:val="30E40980"/>
    <w:rsid w:val="30E944F6"/>
    <w:rsid w:val="30ED5881"/>
    <w:rsid w:val="30F61E80"/>
    <w:rsid w:val="30FD1B66"/>
    <w:rsid w:val="31062CD8"/>
    <w:rsid w:val="31142198"/>
    <w:rsid w:val="313660FB"/>
    <w:rsid w:val="31462D4D"/>
    <w:rsid w:val="31474241"/>
    <w:rsid w:val="314B08BB"/>
    <w:rsid w:val="31725A9A"/>
    <w:rsid w:val="31726B21"/>
    <w:rsid w:val="31737FDB"/>
    <w:rsid w:val="31745DCB"/>
    <w:rsid w:val="317C03D6"/>
    <w:rsid w:val="317E47F8"/>
    <w:rsid w:val="31810F1A"/>
    <w:rsid w:val="318734BD"/>
    <w:rsid w:val="318B5A90"/>
    <w:rsid w:val="31926074"/>
    <w:rsid w:val="31932368"/>
    <w:rsid w:val="3196765A"/>
    <w:rsid w:val="319D55D4"/>
    <w:rsid w:val="31B57213"/>
    <w:rsid w:val="31CE6707"/>
    <w:rsid w:val="31D632E6"/>
    <w:rsid w:val="31DA190D"/>
    <w:rsid w:val="31E562E7"/>
    <w:rsid w:val="31EC7860"/>
    <w:rsid w:val="31F30A07"/>
    <w:rsid w:val="31F53EE9"/>
    <w:rsid w:val="32073F36"/>
    <w:rsid w:val="320A7994"/>
    <w:rsid w:val="320D6D48"/>
    <w:rsid w:val="32117DD2"/>
    <w:rsid w:val="32141A1D"/>
    <w:rsid w:val="32190D14"/>
    <w:rsid w:val="321936BC"/>
    <w:rsid w:val="322357FD"/>
    <w:rsid w:val="322442C5"/>
    <w:rsid w:val="3225278A"/>
    <w:rsid w:val="32262C4E"/>
    <w:rsid w:val="322A0B95"/>
    <w:rsid w:val="322A67D1"/>
    <w:rsid w:val="322E23FB"/>
    <w:rsid w:val="32346B96"/>
    <w:rsid w:val="32375CB4"/>
    <w:rsid w:val="323943D6"/>
    <w:rsid w:val="323A669D"/>
    <w:rsid w:val="323A7E37"/>
    <w:rsid w:val="323C6B17"/>
    <w:rsid w:val="32436D48"/>
    <w:rsid w:val="3253308A"/>
    <w:rsid w:val="32617E4C"/>
    <w:rsid w:val="32647892"/>
    <w:rsid w:val="32650447"/>
    <w:rsid w:val="326E5A3D"/>
    <w:rsid w:val="326E5DCB"/>
    <w:rsid w:val="326E744E"/>
    <w:rsid w:val="32727707"/>
    <w:rsid w:val="3277713B"/>
    <w:rsid w:val="327A4A40"/>
    <w:rsid w:val="328430AD"/>
    <w:rsid w:val="328775D7"/>
    <w:rsid w:val="328B4838"/>
    <w:rsid w:val="3291580A"/>
    <w:rsid w:val="329C216C"/>
    <w:rsid w:val="329C2670"/>
    <w:rsid w:val="329C451B"/>
    <w:rsid w:val="329C6AC8"/>
    <w:rsid w:val="32A93E7B"/>
    <w:rsid w:val="32C63180"/>
    <w:rsid w:val="32D214D2"/>
    <w:rsid w:val="32D228CC"/>
    <w:rsid w:val="32D46C58"/>
    <w:rsid w:val="32DA16DE"/>
    <w:rsid w:val="32E01DAE"/>
    <w:rsid w:val="32E56373"/>
    <w:rsid w:val="32E92651"/>
    <w:rsid w:val="32EB084D"/>
    <w:rsid w:val="32EE076F"/>
    <w:rsid w:val="32F56364"/>
    <w:rsid w:val="3302161D"/>
    <w:rsid w:val="33065A84"/>
    <w:rsid w:val="330D4CDA"/>
    <w:rsid w:val="331022F7"/>
    <w:rsid w:val="3311498A"/>
    <w:rsid w:val="33200D83"/>
    <w:rsid w:val="33215F5F"/>
    <w:rsid w:val="332B6E01"/>
    <w:rsid w:val="33476776"/>
    <w:rsid w:val="334933ED"/>
    <w:rsid w:val="334B1124"/>
    <w:rsid w:val="334C564D"/>
    <w:rsid w:val="3350148E"/>
    <w:rsid w:val="335B234F"/>
    <w:rsid w:val="336932CE"/>
    <w:rsid w:val="336B1F1D"/>
    <w:rsid w:val="336E205F"/>
    <w:rsid w:val="33781E7D"/>
    <w:rsid w:val="337A7CF9"/>
    <w:rsid w:val="337C27DF"/>
    <w:rsid w:val="338367B8"/>
    <w:rsid w:val="338522AB"/>
    <w:rsid w:val="338C276A"/>
    <w:rsid w:val="338C6186"/>
    <w:rsid w:val="338F682D"/>
    <w:rsid w:val="33902DC8"/>
    <w:rsid w:val="339040CF"/>
    <w:rsid w:val="339A6519"/>
    <w:rsid w:val="33A07B1F"/>
    <w:rsid w:val="33A5061B"/>
    <w:rsid w:val="33AD529A"/>
    <w:rsid w:val="33B7438D"/>
    <w:rsid w:val="33C130CA"/>
    <w:rsid w:val="33C40046"/>
    <w:rsid w:val="33C760EC"/>
    <w:rsid w:val="33D12891"/>
    <w:rsid w:val="33D17EAB"/>
    <w:rsid w:val="33D92511"/>
    <w:rsid w:val="33DA41B3"/>
    <w:rsid w:val="33DC1398"/>
    <w:rsid w:val="33E0206F"/>
    <w:rsid w:val="33E8173C"/>
    <w:rsid w:val="33E82887"/>
    <w:rsid w:val="33EB30C5"/>
    <w:rsid w:val="33F34B60"/>
    <w:rsid w:val="33F42855"/>
    <w:rsid w:val="33F96969"/>
    <w:rsid w:val="33FC5E61"/>
    <w:rsid w:val="3401173A"/>
    <w:rsid w:val="34125AC6"/>
    <w:rsid w:val="341318B8"/>
    <w:rsid w:val="341F03E7"/>
    <w:rsid w:val="3420760C"/>
    <w:rsid w:val="34212424"/>
    <w:rsid w:val="342922DB"/>
    <w:rsid w:val="34294D21"/>
    <w:rsid w:val="342B2C34"/>
    <w:rsid w:val="3434756E"/>
    <w:rsid w:val="34371A18"/>
    <w:rsid w:val="343848A5"/>
    <w:rsid w:val="343B21A8"/>
    <w:rsid w:val="343C1BFD"/>
    <w:rsid w:val="34496FA3"/>
    <w:rsid w:val="344D2E3E"/>
    <w:rsid w:val="34525195"/>
    <w:rsid w:val="34621775"/>
    <w:rsid w:val="347662BF"/>
    <w:rsid w:val="34940216"/>
    <w:rsid w:val="349D597D"/>
    <w:rsid w:val="34A03BEA"/>
    <w:rsid w:val="34A369EF"/>
    <w:rsid w:val="34A50D03"/>
    <w:rsid w:val="34A949D4"/>
    <w:rsid w:val="34AD2454"/>
    <w:rsid w:val="34C463B7"/>
    <w:rsid w:val="34DF0648"/>
    <w:rsid w:val="34E566AF"/>
    <w:rsid w:val="34E65023"/>
    <w:rsid w:val="35010FC5"/>
    <w:rsid w:val="351035CC"/>
    <w:rsid w:val="3511226A"/>
    <w:rsid w:val="351946E9"/>
    <w:rsid w:val="3534119B"/>
    <w:rsid w:val="35347833"/>
    <w:rsid w:val="35391C56"/>
    <w:rsid w:val="35393EFE"/>
    <w:rsid w:val="353B5509"/>
    <w:rsid w:val="354572D5"/>
    <w:rsid w:val="354923FE"/>
    <w:rsid w:val="35584855"/>
    <w:rsid w:val="355D5F19"/>
    <w:rsid w:val="3562260D"/>
    <w:rsid w:val="356564A0"/>
    <w:rsid w:val="357B2352"/>
    <w:rsid w:val="358176A5"/>
    <w:rsid w:val="3587022D"/>
    <w:rsid w:val="358B1E93"/>
    <w:rsid w:val="358E3B92"/>
    <w:rsid w:val="3594498F"/>
    <w:rsid w:val="35952CED"/>
    <w:rsid w:val="359D1263"/>
    <w:rsid w:val="35AB060F"/>
    <w:rsid w:val="35AD296A"/>
    <w:rsid w:val="35C13CC3"/>
    <w:rsid w:val="35C96B2F"/>
    <w:rsid w:val="35D7523C"/>
    <w:rsid w:val="35D85E8E"/>
    <w:rsid w:val="35DD4043"/>
    <w:rsid w:val="35E3577E"/>
    <w:rsid w:val="35E528D8"/>
    <w:rsid w:val="35EB5F9F"/>
    <w:rsid w:val="35F27075"/>
    <w:rsid w:val="35F46A12"/>
    <w:rsid w:val="35FE3B50"/>
    <w:rsid w:val="35FE3EC9"/>
    <w:rsid w:val="360E18B7"/>
    <w:rsid w:val="36180054"/>
    <w:rsid w:val="361E62DC"/>
    <w:rsid w:val="36214BC9"/>
    <w:rsid w:val="362551F2"/>
    <w:rsid w:val="363035A5"/>
    <w:rsid w:val="3636265F"/>
    <w:rsid w:val="363B2729"/>
    <w:rsid w:val="365D33AE"/>
    <w:rsid w:val="366A21B1"/>
    <w:rsid w:val="366C4841"/>
    <w:rsid w:val="36787022"/>
    <w:rsid w:val="3679431E"/>
    <w:rsid w:val="36795D1B"/>
    <w:rsid w:val="36797E29"/>
    <w:rsid w:val="367B255A"/>
    <w:rsid w:val="367C714C"/>
    <w:rsid w:val="368910F0"/>
    <w:rsid w:val="368C7F80"/>
    <w:rsid w:val="369C3BED"/>
    <w:rsid w:val="369D3AA9"/>
    <w:rsid w:val="36A332F2"/>
    <w:rsid w:val="36A87A67"/>
    <w:rsid w:val="36AB08AC"/>
    <w:rsid w:val="36AE2EAA"/>
    <w:rsid w:val="36B01D8F"/>
    <w:rsid w:val="36C164D6"/>
    <w:rsid w:val="36C400DA"/>
    <w:rsid w:val="36C57A44"/>
    <w:rsid w:val="36C84255"/>
    <w:rsid w:val="36CB6743"/>
    <w:rsid w:val="36E524EF"/>
    <w:rsid w:val="36F11ADB"/>
    <w:rsid w:val="36F70C4E"/>
    <w:rsid w:val="37052FCC"/>
    <w:rsid w:val="371152F1"/>
    <w:rsid w:val="371228BE"/>
    <w:rsid w:val="37153D17"/>
    <w:rsid w:val="372600A7"/>
    <w:rsid w:val="3747315D"/>
    <w:rsid w:val="374A2952"/>
    <w:rsid w:val="375D4B62"/>
    <w:rsid w:val="375F4F37"/>
    <w:rsid w:val="37697BDC"/>
    <w:rsid w:val="3776023F"/>
    <w:rsid w:val="377B279F"/>
    <w:rsid w:val="378635CE"/>
    <w:rsid w:val="3789415F"/>
    <w:rsid w:val="37933858"/>
    <w:rsid w:val="37984634"/>
    <w:rsid w:val="37993CD6"/>
    <w:rsid w:val="379A56A3"/>
    <w:rsid w:val="379C3D4F"/>
    <w:rsid w:val="37A53E2F"/>
    <w:rsid w:val="37AD1ECE"/>
    <w:rsid w:val="37B94280"/>
    <w:rsid w:val="37C163B4"/>
    <w:rsid w:val="37C2350A"/>
    <w:rsid w:val="37C97FF9"/>
    <w:rsid w:val="37D27696"/>
    <w:rsid w:val="37ED7092"/>
    <w:rsid w:val="37F147CE"/>
    <w:rsid w:val="37F7777D"/>
    <w:rsid w:val="37FE684E"/>
    <w:rsid w:val="38087A5E"/>
    <w:rsid w:val="380958AD"/>
    <w:rsid w:val="380D00FE"/>
    <w:rsid w:val="380F3E7E"/>
    <w:rsid w:val="3814563D"/>
    <w:rsid w:val="381717CA"/>
    <w:rsid w:val="38204845"/>
    <w:rsid w:val="383F7D0B"/>
    <w:rsid w:val="3849416F"/>
    <w:rsid w:val="384B35F8"/>
    <w:rsid w:val="38507C21"/>
    <w:rsid w:val="385E02F5"/>
    <w:rsid w:val="38670C09"/>
    <w:rsid w:val="386C19A9"/>
    <w:rsid w:val="3871326F"/>
    <w:rsid w:val="38764FD6"/>
    <w:rsid w:val="38815F1B"/>
    <w:rsid w:val="38854560"/>
    <w:rsid w:val="38876779"/>
    <w:rsid w:val="38891DDC"/>
    <w:rsid w:val="38894C41"/>
    <w:rsid w:val="38995451"/>
    <w:rsid w:val="389C6171"/>
    <w:rsid w:val="38A52457"/>
    <w:rsid w:val="38A56733"/>
    <w:rsid w:val="38AB1829"/>
    <w:rsid w:val="38AD4A09"/>
    <w:rsid w:val="38AE375F"/>
    <w:rsid w:val="38AE3E85"/>
    <w:rsid w:val="38AE79D3"/>
    <w:rsid w:val="38AF298D"/>
    <w:rsid w:val="38C52323"/>
    <w:rsid w:val="38C539C5"/>
    <w:rsid w:val="38C62F2A"/>
    <w:rsid w:val="38CF59C6"/>
    <w:rsid w:val="38D01061"/>
    <w:rsid w:val="38D26151"/>
    <w:rsid w:val="38D66479"/>
    <w:rsid w:val="38D71F4D"/>
    <w:rsid w:val="38DA6141"/>
    <w:rsid w:val="38DC00F0"/>
    <w:rsid w:val="38EE26C9"/>
    <w:rsid w:val="38F25CB6"/>
    <w:rsid w:val="38F55D24"/>
    <w:rsid w:val="38F63641"/>
    <w:rsid w:val="38FC43DE"/>
    <w:rsid w:val="38FD0064"/>
    <w:rsid w:val="38FE12CA"/>
    <w:rsid w:val="390E2C58"/>
    <w:rsid w:val="390F1047"/>
    <w:rsid w:val="391766EF"/>
    <w:rsid w:val="391A7BAB"/>
    <w:rsid w:val="39221E4F"/>
    <w:rsid w:val="393336D9"/>
    <w:rsid w:val="39335A35"/>
    <w:rsid w:val="393B1112"/>
    <w:rsid w:val="39445CF9"/>
    <w:rsid w:val="395363FC"/>
    <w:rsid w:val="395C3F7C"/>
    <w:rsid w:val="395F6D00"/>
    <w:rsid w:val="39667982"/>
    <w:rsid w:val="396950E6"/>
    <w:rsid w:val="396A4292"/>
    <w:rsid w:val="396C5A2C"/>
    <w:rsid w:val="39777FEC"/>
    <w:rsid w:val="397A77A5"/>
    <w:rsid w:val="398A4CA9"/>
    <w:rsid w:val="39916B3D"/>
    <w:rsid w:val="39A004FC"/>
    <w:rsid w:val="39A047CE"/>
    <w:rsid w:val="39A45D32"/>
    <w:rsid w:val="39A52A6C"/>
    <w:rsid w:val="39A64C0C"/>
    <w:rsid w:val="39BA5667"/>
    <w:rsid w:val="39BE4216"/>
    <w:rsid w:val="39C358E9"/>
    <w:rsid w:val="39C572F6"/>
    <w:rsid w:val="39C80D6F"/>
    <w:rsid w:val="39D74416"/>
    <w:rsid w:val="39DC75A2"/>
    <w:rsid w:val="3A0A0620"/>
    <w:rsid w:val="3A142208"/>
    <w:rsid w:val="3A1E514C"/>
    <w:rsid w:val="3A2065A5"/>
    <w:rsid w:val="3A2B09A8"/>
    <w:rsid w:val="3A412614"/>
    <w:rsid w:val="3A4137B5"/>
    <w:rsid w:val="3A585005"/>
    <w:rsid w:val="3A5A551A"/>
    <w:rsid w:val="3A5F0364"/>
    <w:rsid w:val="3A5F4A57"/>
    <w:rsid w:val="3A626844"/>
    <w:rsid w:val="3A672006"/>
    <w:rsid w:val="3A6E563E"/>
    <w:rsid w:val="3A6F6656"/>
    <w:rsid w:val="3A7216FA"/>
    <w:rsid w:val="3A760A7E"/>
    <w:rsid w:val="3A81607D"/>
    <w:rsid w:val="3A850EC7"/>
    <w:rsid w:val="3A8F5A17"/>
    <w:rsid w:val="3A937B40"/>
    <w:rsid w:val="3A9E1018"/>
    <w:rsid w:val="3AA741B8"/>
    <w:rsid w:val="3AB4415E"/>
    <w:rsid w:val="3AB856AB"/>
    <w:rsid w:val="3AC1368B"/>
    <w:rsid w:val="3AC77D40"/>
    <w:rsid w:val="3AD12D60"/>
    <w:rsid w:val="3AD4370B"/>
    <w:rsid w:val="3AD55864"/>
    <w:rsid w:val="3AE452A0"/>
    <w:rsid w:val="3AE62226"/>
    <w:rsid w:val="3AF411D4"/>
    <w:rsid w:val="3AFF2473"/>
    <w:rsid w:val="3B073169"/>
    <w:rsid w:val="3B0B5891"/>
    <w:rsid w:val="3B125DD3"/>
    <w:rsid w:val="3B196A66"/>
    <w:rsid w:val="3B1C7ABA"/>
    <w:rsid w:val="3B2170B0"/>
    <w:rsid w:val="3B262626"/>
    <w:rsid w:val="3B2F5646"/>
    <w:rsid w:val="3B335A56"/>
    <w:rsid w:val="3B351197"/>
    <w:rsid w:val="3B37253B"/>
    <w:rsid w:val="3B38410B"/>
    <w:rsid w:val="3B387158"/>
    <w:rsid w:val="3B3C7648"/>
    <w:rsid w:val="3B51716E"/>
    <w:rsid w:val="3B530220"/>
    <w:rsid w:val="3B647DC5"/>
    <w:rsid w:val="3B655E78"/>
    <w:rsid w:val="3B6B2335"/>
    <w:rsid w:val="3B6D3E78"/>
    <w:rsid w:val="3B6F06AC"/>
    <w:rsid w:val="3B720C23"/>
    <w:rsid w:val="3B7622DC"/>
    <w:rsid w:val="3B9178B9"/>
    <w:rsid w:val="3B924BF0"/>
    <w:rsid w:val="3B952740"/>
    <w:rsid w:val="3BA40E06"/>
    <w:rsid w:val="3BB12FFA"/>
    <w:rsid w:val="3BB473F7"/>
    <w:rsid w:val="3BB549D7"/>
    <w:rsid w:val="3BB63C62"/>
    <w:rsid w:val="3BB66E20"/>
    <w:rsid w:val="3BCF310A"/>
    <w:rsid w:val="3BD7081B"/>
    <w:rsid w:val="3BE04236"/>
    <w:rsid w:val="3BE36904"/>
    <w:rsid w:val="3BE56DA2"/>
    <w:rsid w:val="3BEB38F3"/>
    <w:rsid w:val="3BED109F"/>
    <w:rsid w:val="3BF844AD"/>
    <w:rsid w:val="3BFF758F"/>
    <w:rsid w:val="3C05689A"/>
    <w:rsid w:val="3C070728"/>
    <w:rsid w:val="3C12435D"/>
    <w:rsid w:val="3C1507FD"/>
    <w:rsid w:val="3C1D4A27"/>
    <w:rsid w:val="3C2336EB"/>
    <w:rsid w:val="3C2601A9"/>
    <w:rsid w:val="3C2C0504"/>
    <w:rsid w:val="3C301549"/>
    <w:rsid w:val="3C322F73"/>
    <w:rsid w:val="3C467147"/>
    <w:rsid w:val="3C4A7453"/>
    <w:rsid w:val="3C505FFF"/>
    <w:rsid w:val="3C542CBC"/>
    <w:rsid w:val="3C57358A"/>
    <w:rsid w:val="3C5C7A73"/>
    <w:rsid w:val="3C5F5083"/>
    <w:rsid w:val="3C5F7C87"/>
    <w:rsid w:val="3C601C1A"/>
    <w:rsid w:val="3C6A027C"/>
    <w:rsid w:val="3C6E7A56"/>
    <w:rsid w:val="3C74399D"/>
    <w:rsid w:val="3C7C0720"/>
    <w:rsid w:val="3C7C54EB"/>
    <w:rsid w:val="3C86135F"/>
    <w:rsid w:val="3C867B19"/>
    <w:rsid w:val="3C8B22AA"/>
    <w:rsid w:val="3C9102ED"/>
    <w:rsid w:val="3C953429"/>
    <w:rsid w:val="3C9C2689"/>
    <w:rsid w:val="3C9E5A4A"/>
    <w:rsid w:val="3CA151F3"/>
    <w:rsid w:val="3CA76B68"/>
    <w:rsid w:val="3CAD0513"/>
    <w:rsid w:val="3CAD503B"/>
    <w:rsid w:val="3CB57A4E"/>
    <w:rsid w:val="3CBB6F58"/>
    <w:rsid w:val="3CC15A51"/>
    <w:rsid w:val="3CC76058"/>
    <w:rsid w:val="3CC94920"/>
    <w:rsid w:val="3CCE38F3"/>
    <w:rsid w:val="3CCF2854"/>
    <w:rsid w:val="3CCF4634"/>
    <w:rsid w:val="3CD24A9A"/>
    <w:rsid w:val="3CD52CA6"/>
    <w:rsid w:val="3CE45128"/>
    <w:rsid w:val="3CEB5755"/>
    <w:rsid w:val="3CFB6491"/>
    <w:rsid w:val="3D123467"/>
    <w:rsid w:val="3D140AAE"/>
    <w:rsid w:val="3D1515C8"/>
    <w:rsid w:val="3D194B0E"/>
    <w:rsid w:val="3D1D4F1D"/>
    <w:rsid w:val="3D1F7038"/>
    <w:rsid w:val="3D244F44"/>
    <w:rsid w:val="3D287909"/>
    <w:rsid w:val="3D2E0BBD"/>
    <w:rsid w:val="3D4E1D83"/>
    <w:rsid w:val="3D515D95"/>
    <w:rsid w:val="3D57024E"/>
    <w:rsid w:val="3D622E9D"/>
    <w:rsid w:val="3D6876C7"/>
    <w:rsid w:val="3D6F3FE0"/>
    <w:rsid w:val="3D7779A1"/>
    <w:rsid w:val="3D786B63"/>
    <w:rsid w:val="3D836DD1"/>
    <w:rsid w:val="3D9A01D9"/>
    <w:rsid w:val="3D9C75E4"/>
    <w:rsid w:val="3D9E4295"/>
    <w:rsid w:val="3DA15405"/>
    <w:rsid w:val="3DB01A22"/>
    <w:rsid w:val="3DBA21B2"/>
    <w:rsid w:val="3DBB6DDA"/>
    <w:rsid w:val="3DC00DD7"/>
    <w:rsid w:val="3DC44A40"/>
    <w:rsid w:val="3DC515D8"/>
    <w:rsid w:val="3DCD3A41"/>
    <w:rsid w:val="3DCF31B1"/>
    <w:rsid w:val="3DD07B3E"/>
    <w:rsid w:val="3DD647DE"/>
    <w:rsid w:val="3DD70663"/>
    <w:rsid w:val="3DDC1F86"/>
    <w:rsid w:val="3DE90771"/>
    <w:rsid w:val="3DFD49D0"/>
    <w:rsid w:val="3DFE04F8"/>
    <w:rsid w:val="3E075B70"/>
    <w:rsid w:val="3E082012"/>
    <w:rsid w:val="3E147BD1"/>
    <w:rsid w:val="3E32224E"/>
    <w:rsid w:val="3E324DE8"/>
    <w:rsid w:val="3E354519"/>
    <w:rsid w:val="3E3C4098"/>
    <w:rsid w:val="3E3F06D9"/>
    <w:rsid w:val="3E484AF5"/>
    <w:rsid w:val="3E5023E3"/>
    <w:rsid w:val="3E58563A"/>
    <w:rsid w:val="3E5D4F77"/>
    <w:rsid w:val="3E632FA1"/>
    <w:rsid w:val="3E661F87"/>
    <w:rsid w:val="3E803409"/>
    <w:rsid w:val="3E80712B"/>
    <w:rsid w:val="3E844945"/>
    <w:rsid w:val="3E862F33"/>
    <w:rsid w:val="3E89179B"/>
    <w:rsid w:val="3E94371E"/>
    <w:rsid w:val="3E943720"/>
    <w:rsid w:val="3E972F66"/>
    <w:rsid w:val="3E97522A"/>
    <w:rsid w:val="3E9A348E"/>
    <w:rsid w:val="3E9A5575"/>
    <w:rsid w:val="3E9E1760"/>
    <w:rsid w:val="3E9F1FC7"/>
    <w:rsid w:val="3E9F5301"/>
    <w:rsid w:val="3EB931B3"/>
    <w:rsid w:val="3EC62CEB"/>
    <w:rsid w:val="3ED07587"/>
    <w:rsid w:val="3ED60BAE"/>
    <w:rsid w:val="3ED97411"/>
    <w:rsid w:val="3EDF3B6B"/>
    <w:rsid w:val="3EE3588C"/>
    <w:rsid w:val="3EEA4878"/>
    <w:rsid w:val="3EEC446B"/>
    <w:rsid w:val="3EF02B50"/>
    <w:rsid w:val="3EF5734D"/>
    <w:rsid w:val="3EF8686A"/>
    <w:rsid w:val="3EF91394"/>
    <w:rsid w:val="3EFC5931"/>
    <w:rsid w:val="3EFE50D4"/>
    <w:rsid w:val="3EFF706F"/>
    <w:rsid w:val="3F007CBC"/>
    <w:rsid w:val="3F041977"/>
    <w:rsid w:val="3F0D2637"/>
    <w:rsid w:val="3F182804"/>
    <w:rsid w:val="3F20454F"/>
    <w:rsid w:val="3F2F56C3"/>
    <w:rsid w:val="3F342835"/>
    <w:rsid w:val="3F3D1A35"/>
    <w:rsid w:val="3F426DC3"/>
    <w:rsid w:val="3F4365D3"/>
    <w:rsid w:val="3F4D405B"/>
    <w:rsid w:val="3F5310F0"/>
    <w:rsid w:val="3F591DF1"/>
    <w:rsid w:val="3F5A15DC"/>
    <w:rsid w:val="3F6214D6"/>
    <w:rsid w:val="3F681BAB"/>
    <w:rsid w:val="3F6B39B8"/>
    <w:rsid w:val="3F753376"/>
    <w:rsid w:val="3F82437F"/>
    <w:rsid w:val="3F831449"/>
    <w:rsid w:val="3F841D5E"/>
    <w:rsid w:val="3F8466D5"/>
    <w:rsid w:val="3F86118F"/>
    <w:rsid w:val="3F8806C8"/>
    <w:rsid w:val="3F8C6829"/>
    <w:rsid w:val="3F964C10"/>
    <w:rsid w:val="3F9A1E23"/>
    <w:rsid w:val="3F9C3EB8"/>
    <w:rsid w:val="3F9F7A0B"/>
    <w:rsid w:val="3FA65862"/>
    <w:rsid w:val="3FA86104"/>
    <w:rsid w:val="3FAA6525"/>
    <w:rsid w:val="3FBE1335"/>
    <w:rsid w:val="3FBE3018"/>
    <w:rsid w:val="3FCF6B15"/>
    <w:rsid w:val="3FE53DC8"/>
    <w:rsid w:val="3FEB0807"/>
    <w:rsid w:val="3FF06F47"/>
    <w:rsid w:val="400261E1"/>
    <w:rsid w:val="400A35B9"/>
    <w:rsid w:val="400C15DA"/>
    <w:rsid w:val="40114832"/>
    <w:rsid w:val="4011582A"/>
    <w:rsid w:val="4018714D"/>
    <w:rsid w:val="40255C03"/>
    <w:rsid w:val="40291C0C"/>
    <w:rsid w:val="402A254D"/>
    <w:rsid w:val="402B35C4"/>
    <w:rsid w:val="402E4337"/>
    <w:rsid w:val="40374CC6"/>
    <w:rsid w:val="40515ABA"/>
    <w:rsid w:val="405624EA"/>
    <w:rsid w:val="405C1621"/>
    <w:rsid w:val="40605228"/>
    <w:rsid w:val="406C2533"/>
    <w:rsid w:val="40720AF1"/>
    <w:rsid w:val="40731FF1"/>
    <w:rsid w:val="40740BDB"/>
    <w:rsid w:val="40801951"/>
    <w:rsid w:val="408031EC"/>
    <w:rsid w:val="40810483"/>
    <w:rsid w:val="408C4596"/>
    <w:rsid w:val="408F6F42"/>
    <w:rsid w:val="40937359"/>
    <w:rsid w:val="40964F7C"/>
    <w:rsid w:val="409E26EF"/>
    <w:rsid w:val="40AB2A5D"/>
    <w:rsid w:val="40AF2651"/>
    <w:rsid w:val="40B876EF"/>
    <w:rsid w:val="40C0102C"/>
    <w:rsid w:val="40C32313"/>
    <w:rsid w:val="40C372BC"/>
    <w:rsid w:val="40C44C47"/>
    <w:rsid w:val="40C52A4F"/>
    <w:rsid w:val="40D255FB"/>
    <w:rsid w:val="40E12B4C"/>
    <w:rsid w:val="40FA3602"/>
    <w:rsid w:val="410215CF"/>
    <w:rsid w:val="4109222E"/>
    <w:rsid w:val="41116C39"/>
    <w:rsid w:val="41146B5F"/>
    <w:rsid w:val="412004FF"/>
    <w:rsid w:val="412C385E"/>
    <w:rsid w:val="413B6EAA"/>
    <w:rsid w:val="4140117D"/>
    <w:rsid w:val="414B5707"/>
    <w:rsid w:val="414E4F55"/>
    <w:rsid w:val="41502B1D"/>
    <w:rsid w:val="4158526E"/>
    <w:rsid w:val="415C532F"/>
    <w:rsid w:val="415C59F5"/>
    <w:rsid w:val="41696C85"/>
    <w:rsid w:val="417869CB"/>
    <w:rsid w:val="417E67D8"/>
    <w:rsid w:val="41880C83"/>
    <w:rsid w:val="41A23805"/>
    <w:rsid w:val="41A353C5"/>
    <w:rsid w:val="41A3567C"/>
    <w:rsid w:val="41C174AB"/>
    <w:rsid w:val="41CE5193"/>
    <w:rsid w:val="41D2581B"/>
    <w:rsid w:val="41D402E9"/>
    <w:rsid w:val="41DD0F43"/>
    <w:rsid w:val="41E778C1"/>
    <w:rsid w:val="41EE2637"/>
    <w:rsid w:val="41EF259E"/>
    <w:rsid w:val="41F52096"/>
    <w:rsid w:val="41F82BE6"/>
    <w:rsid w:val="41F9059C"/>
    <w:rsid w:val="41FA3AE0"/>
    <w:rsid w:val="42017866"/>
    <w:rsid w:val="42063BD4"/>
    <w:rsid w:val="420A343C"/>
    <w:rsid w:val="42136639"/>
    <w:rsid w:val="4217235A"/>
    <w:rsid w:val="421C0548"/>
    <w:rsid w:val="421C68C0"/>
    <w:rsid w:val="4230466E"/>
    <w:rsid w:val="42345A0E"/>
    <w:rsid w:val="42383886"/>
    <w:rsid w:val="423B732C"/>
    <w:rsid w:val="423E5714"/>
    <w:rsid w:val="423F1CDD"/>
    <w:rsid w:val="42402815"/>
    <w:rsid w:val="42415F32"/>
    <w:rsid w:val="42450F62"/>
    <w:rsid w:val="424518B9"/>
    <w:rsid w:val="424D5271"/>
    <w:rsid w:val="425747A7"/>
    <w:rsid w:val="42584CC8"/>
    <w:rsid w:val="4259608D"/>
    <w:rsid w:val="425A5F4E"/>
    <w:rsid w:val="425E7118"/>
    <w:rsid w:val="426056E6"/>
    <w:rsid w:val="426D011E"/>
    <w:rsid w:val="427C3E56"/>
    <w:rsid w:val="42816977"/>
    <w:rsid w:val="42832C5C"/>
    <w:rsid w:val="428D25AD"/>
    <w:rsid w:val="4295176C"/>
    <w:rsid w:val="42982ABF"/>
    <w:rsid w:val="429E1C59"/>
    <w:rsid w:val="42B46B64"/>
    <w:rsid w:val="42B94490"/>
    <w:rsid w:val="42D52C05"/>
    <w:rsid w:val="42DF29F8"/>
    <w:rsid w:val="42E6035A"/>
    <w:rsid w:val="42EC2FA0"/>
    <w:rsid w:val="42EE343B"/>
    <w:rsid w:val="42F35633"/>
    <w:rsid w:val="42F500DF"/>
    <w:rsid w:val="42F55A77"/>
    <w:rsid w:val="4305145B"/>
    <w:rsid w:val="43102217"/>
    <w:rsid w:val="431063C1"/>
    <w:rsid w:val="431479C6"/>
    <w:rsid w:val="43173EB2"/>
    <w:rsid w:val="431903ED"/>
    <w:rsid w:val="43332192"/>
    <w:rsid w:val="43364548"/>
    <w:rsid w:val="43395087"/>
    <w:rsid w:val="4346049E"/>
    <w:rsid w:val="434E28FF"/>
    <w:rsid w:val="4353468B"/>
    <w:rsid w:val="435369AD"/>
    <w:rsid w:val="435E21A0"/>
    <w:rsid w:val="43615ED5"/>
    <w:rsid w:val="43695606"/>
    <w:rsid w:val="436B73BE"/>
    <w:rsid w:val="43763962"/>
    <w:rsid w:val="438A48F4"/>
    <w:rsid w:val="43905916"/>
    <w:rsid w:val="43987869"/>
    <w:rsid w:val="43A102F3"/>
    <w:rsid w:val="43AD5010"/>
    <w:rsid w:val="43AE37A1"/>
    <w:rsid w:val="43B32A1D"/>
    <w:rsid w:val="43B860A4"/>
    <w:rsid w:val="43BD5A98"/>
    <w:rsid w:val="43BE0702"/>
    <w:rsid w:val="43C95EB1"/>
    <w:rsid w:val="43D338AD"/>
    <w:rsid w:val="43D51A84"/>
    <w:rsid w:val="43D60067"/>
    <w:rsid w:val="43DA4D7A"/>
    <w:rsid w:val="43DB361C"/>
    <w:rsid w:val="43E01D53"/>
    <w:rsid w:val="43E64727"/>
    <w:rsid w:val="43F00D21"/>
    <w:rsid w:val="43F11822"/>
    <w:rsid w:val="4403619D"/>
    <w:rsid w:val="44117EA6"/>
    <w:rsid w:val="442B5EA6"/>
    <w:rsid w:val="442F5C30"/>
    <w:rsid w:val="44382F2E"/>
    <w:rsid w:val="443C0A80"/>
    <w:rsid w:val="443C3634"/>
    <w:rsid w:val="444637BC"/>
    <w:rsid w:val="444B7B80"/>
    <w:rsid w:val="44552E4C"/>
    <w:rsid w:val="44642217"/>
    <w:rsid w:val="446920AD"/>
    <w:rsid w:val="446B365E"/>
    <w:rsid w:val="446B763D"/>
    <w:rsid w:val="446E2871"/>
    <w:rsid w:val="44704DFC"/>
    <w:rsid w:val="44724EF5"/>
    <w:rsid w:val="44776A33"/>
    <w:rsid w:val="44846BD7"/>
    <w:rsid w:val="448914F2"/>
    <w:rsid w:val="448C6B75"/>
    <w:rsid w:val="448E0ADC"/>
    <w:rsid w:val="44990344"/>
    <w:rsid w:val="449E51DA"/>
    <w:rsid w:val="44A063C0"/>
    <w:rsid w:val="44A17F47"/>
    <w:rsid w:val="44A356C8"/>
    <w:rsid w:val="44A95BA1"/>
    <w:rsid w:val="44AA46B4"/>
    <w:rsid w:val="44BB2F80"/>
    <w:rsid w:val="44C046B2"/>
    <w:rsid w:val="44C95B2A"/>
    <w:rsid w:val="44CD1DFD"/>
    <w:rsid w:val="44D17196"/>
    <w:rsid w:val="44D83E0D"/>
    <w:rsid w:val="44DC728C"/>
    <w:rsid w:val="44E159E2"/>
    <w:rsid w:val="44E2586F"/>
    <w:rsid w:val="44E32F90"/>
    <w:rsid w:val="44ED6B85"/>
    <w:rsid w:val="45052A0E"/>
    <w:rsid w:val="450E3618"/>
    <w:rsid w:val="45245ED8"/>
    <w:rsid w:val="453039B4"/>
    <w:rsid w:val="45352CE0"/>
    <w:rsid w:val="45573855"/>
    <w:rsid w:val="456504C4"/>
    <w:rsid w:val="45653FDD"/>
    <w:rsid w:val="4568260F"/>
    <w:rsid w:val="45773B80"/>
    <w:rsid w:val="45774B97"/>
    <w:rsid w:val="457A6FD7"/>
    <w:rsid w:val="457E0D7F"/>
    <w:rsid w:val="45856D67"/>
    <w:rsid w:val="45860512"/>
    <w:rsid w:val="45862872"/>
    <w:rsid w:val="45864116"/>
    <w:rsid w:val="458732A6"/>
    <w:rsid w:val="45897044"/>
    <w:rsid w:val="458E416B"/>
    <w:rsid w:val="45997D91"/>
    <w:rsid w:val="459C7D24"/>
    <w:rsid w:val="45B673BC"/>
    <w:rsid w:val="45CB3D64"/>
    <w:rsid w:val="45D63CA5"/>
    <w:rsid w:val="45DC630E"/>
    <w:rsid w:val="45E160E9"/>
    <w:rsid w:val="45EB1B2D"/>
    <w:rsid w:val="45EB31A2"/>
    <w:rsid w:val="45ED4D1C"/>
    <w:rsid w:val="45EF5470"/>
    <w:rsid w:val="45F40010"/>
    <w:rsid w:val="45F51F73"/>
    <w:rsid w:val="460132D8"/>
    <w:rsid w:val="46043B8F"/>
    <w:rsid w:val="46047194"/>
    <w:rsid w:val="461C1CEA"/>
    <w:rsid w:val="461F0983"/>
    <w:rsid w:val="46217F3A"/>
    <w:rsid w:val="462367D7"/>
    <w:rsid w:val="463D6FAF"/>
    <w:rsid w:val="46452CB8"/>
    <w:rsid w:val="465352B4"/>
    <w:rsid w:val="466011A4"/>
    <w:rsid w:val="46657623"/>
    <w:rsid w:val="467D1415"/>
    <w:rsid w:val="467D3661"/>
    <w:rsid w:val="467E0993"/>
    <w:rsid w:val="468608F3"/>
    <w:rsid w:val="46940860"/>
    <w:rsid w:val="46950959"/>
    <w:rsid w:val="46A603F2"/>
    <w:rsid w:val="46AE1C52"/>
    <w:rsid w:val="46B804C2"/>
    <w:rsid w:val="46C55FE3"/>
    <w:rsid w:val="46CF7EA2"/>
    <w:rsid w:val="46DF1EFB"/>
    <w:rsid w:val="46F3477C"/>
    <w:rsid w:val="46F75336"/>
    <w:rsid w:val="46FA600A"/>
    <w:rsid w:val="4700276C"/>
    <w:rsid w:val="470332F2"/>
    <w:rsid w:val="47057F86"/>
    <w:rsid w:val="47063804"/>
    <w:rsid w:val="47094E31"/>
    <w:rsid w:val="47120116"/>
    <w:rsid w:val="471B2E2F"/>
    <w:rsid w:val="47223412"/>
    <w:rsid w:val="47226452"/>
    <w:rsid w:val="472320E8"/>
    <w:rsid w:val="47232EEF"/>
    <w:rsid w:val="4731346A"/>
    <w:rsid w:val="47395AEB"/>
    <w:rsid w:val="473D5C96"/>
    <w:rsid w:val="473E5F03"/>
    <w:rsid w:val="473F6951"/>
    <w:rsid w:val="474C369A"/>
    <w:rsid w:val="474F12F3"/>
    <w:rsid w:val="47577DA2"/>
    <w:rsid w:val="47593D49"/>
    <w:rsid w:val="475D5FF1"/>
    <w:rsid w:val="476420F4"/>
    <w:rsid w:val="4783023F"/>
    <w:rsid w:val="478A63FF"/>
    <w:rsid w:val="478B2990"/>
    <w:rsid w:val="478F4C6C"/>
    <w:rsid w:val="479A4D1D"/>
    <w:rsid w:val="479C694F"/>
    <w:rsid w:val="47A03DFB"/>
    <w:rsid w:val="47A55171"/>
    <w:rsid w:val="47B229A6"/>
    <w:rsid w:val="47B30C29"/>
    <w:rsid w:val="47BB08C7"/>
    <w:rsid w:val="47C00BCA"/>
    <w:rsid w:val="47CA39E2"/>
    <w:rsid w:val="47D55F96"/>
    <w:rsid w:val="47D71C68"/>
    <w:rsid w:val="47DC368C"/>
    <w:rsid w:val="47DC73AA"/>
    <w:rsid w:val="47DD784C"/>
    <w:rsid w:val="47EB34E8"/>
    <w:rsid w:val="47F97B91"/>
    <w:rsid w:val="480E7848"/>
    <w:rsid w:val="481642BE"/>
    <w:rsid w:val="48230021"/>
    <w:rsid w:val="483374CA"/>
    <w:rsid w:val="48425A9F"/>
    <w:rsid w:val="4855644A"/>
    <w:rsid w:val="48577020"/>
    <w:rsid w:val="485815EA"/>
    <w:rsid w:val="48676B7E"/>
    <w:rsid w:val="486F6DF6"/>
    <w:rsid w:val="48866814"/>
    <w:rsid w:val="48871317"/>
    <w:rsid w:val="488745E2"/>
    <w:rsid w:val="488F1E8C"/>
    <w:rsid w:val="48940F47"/>
    <w:rsid w:val="48971899"/>
    <w:rsid w:val="48A05721"/>
    <w:rsid w:val="48A14DD2"/>
    <w:rsid w:val="48AF5904"/>
    <w:rsid w:val="48C34F52"/>
    <w:rsid w:val="48DC7235"/>
    <w:rsid w:val="48E612BC"/>
    <w:rsid w:val="48EA1F2C"/>
    <w:rsid w:val="48EE53EA"/>
    <w:rsid w:val="49204792"/>
    <w:rsid w:val="49221EB7"/>
    <w:rsid w:val="49243635"/>
    <w:rsid w:val="492508A9"/>
    <w:rsid w:val="4926770D"/>
    <w:rsid w:val="492A5442"/>
    <w:rsid w:val="493416BE"/>
    <w:rsid w:val="493806D1"/>
    <w:rsid w:val="493859BF"/>
    <w:rsid w:val="493F7BDA"/>
    <w:rsid w:val="494060F7"/>
    <w:rsid w:val="494E1DB0"/>
    <w:rsid w:val="49502612"/>
    <w:rsid w:val="49564609"/>
    <w:rsid w:val="495E380B"/>
    <w:rsid w:val="49722611"/>
    <w:rsid w:val="497D1254"/>
    <w:rsid w:val="498278DF"/>
    <w:rsid w:val="4983528F"/>
    <w:rsid w:val="498A11F0"/>
    <w:rsid w:val="498D308C"/>
    <w:rsid w:val="49925977"/>
    <w:rsid w:val="49963E18"/>
    <w:rsid w:val="49A23516"/>
    <w:rsid w:val="49A73251"/>
    <w:rsid w:val="49A802DE"/>
    <w:rsid w:val="49A93D1A"/>
    <w:rsid w:val="49AC5D90"/>
    <w:rsid w:val="49AE76AF"/>
    <w:rsid w:val="49B65950"/>
    <w:rsid w:val="49BB5E40"/>
    <w:rsid w:val="49D15333"/>
    <w:rsid w:val="49D43A79"/>
    <w:rsid w:val="49D505C6"/>
    <w:rsid w:val="49DA6BF4"/>
    <w:rsid w:val="49E2506A"/>
    <w:rsid w:val="49E3017F"/>
    <w:rsid w:val="49E67DFD"/>
    <w:rsid w:val="49E75789"/>
    <w:rsid w:val="49E86119"/>
    <w:rsid w:val="49EA7E99"/>
    <w:rsid w:val="49F15216"/>
    <w:rsid w:val="49F93747"/>
    <w:rsid w:val="49FB4F1D"/>
    <w:rsid w:val="49FF19D2"/>
    <w:rsid w:val="4A0D705B"/>
    <w:rsid w:val="4A120F49"/>
    <w:rsid w:val="4A157DEA"/>
    <w:rsid w:val="4A164CE8"/>
    <w:rsid w:val="4A166975"/>
    <w:rsid w:val="4A1D50FC"/>
    <w:rsid w:val="4A2378D1"/>
    <w:rsid w:val="4A241438"/>
    <w:rsid w:val="4A247565"/>
    <w:rsid w:val="4A247608"/>
    <w:rsid w:val="4A2F0FA4"/>
    <w:rsid w:val="4A3376D3"/>
    <w:rsid w:val="4A42245B"/>
    <w:rsid w:val="4A4332E8"/>
    <w:rsid w:val="4A4746EE"/>
    <w:rsid w:val="4A5E51A0"/>
    <w:rsid w:val="4A6511D0"/>
    <w:rsid w:val="4A6648B9"/>
    <w:rsid w:val="4A666CD0"/>
    <w:rsid w:val="4A6E7F41"/>
    <w:rsid w:val="4A701705"/>
    <w:rsid w:val="4A7377C1"/>
    <w:rsid w:val="4A741092"/>
    <w:rsid w:val="4A790305"/>
    <w:rsid w:val="4A816E5D"/>
    <w:rsid w:val="4A8C1FAC"/>
    <w:rsid w:val="4A8C4426"/>
    <w:rsid w:val="4A8D3B24"/>
    <w:rsid w:val="4A8D5BDC"/>
    <w:rsid w:val="4A9B602A"/>
    <w:rsid w:val="4A9E01BE"/>
    <w:rsid w:val="4AA30189"/>
    <w:rsid w:val="4AAB41D3"/>
    <w:rsid w:val="4AAC1F97"/>
    <w:rsid w:val="4AAE3B3C"/>
    <w:rsid w:val="4ABF4D7F"/>
    <w:rsid w:val="4AC15395"/>
    <w:rsid w:val="4AC542F5"/>
    <w:rsid w:val="4AC6185C"/>
    <w:rsid w:val="4AC62202"/>
    <w:rsid w:val="4AC871B6"/>
    <w:rsid w:val="4ACE1816"/>
    <w:rsid w:val="4ACF43B1"/>
    <w:rsid w:val="4AD05B2E"/>
    <w:rsid w:val="4AD21838"/>
    <w:rsid w:val="4AD425A3"/>
    <w:rsid w:val="4AD8469D"/>
    <w:rsid w:val="4AE33EFF"/>
    <w:rsid w:val="4AE631EE"/>
    <w:rsid w:val="4AE662B3"/>
    <w:rsid w:val="4AE86583"/>
    <w:rsid w:val="4AEA18D0"/>
    <w:rsid w:val="4AEA2378"/>
    <w:rsid w:val="4AEF3B60"/>
    <w:rsid w:val="4AF3011B"/>
    <w:rsid w:val="4AF51391"/>
    <w:rsid w:val="4AFB24BD"/>
    <w:rsid w:val="4AFD150F"/>
    <w:rsid w:val="4AFE5AC8"/>
    <w:rsid w:val="4AFF1033"/>
    <w:rsid w:val="4B022681"/>
    <w:rsid w:val="4B0514D8"/>
    <w:rsid w:val="4B0D4819"/>
    <w:rsid w:val="4B187BD7"/>
    <w:rsid w:val="4B1C0448"/>
    <w:rsid w:val="4B280D0D"/>
    <w:rsid w:val="4B30572A"/>
    <w:rsid w:val="4B333BD9"/>
    <w:rsid w:val="4B3E04B4"/>
    <w:rsid w:val="4B3E164B"/>
    <w:rsid w:val="4B411CA4"/>
    <w:rsid w:val="4B494E20"/>
    <w:rsid w:val="4B4A15A8"/>
    <w:rsid w:val="4B512BFA"/>
    <w:rsid w:val="4B526A2C"/>
    <w:rsid w:val="4B593465"/>
    <w:rsid w:val="4B6E107A"/>
    <w:rsid w:val="4B7C0090"/>
    <w:rsid w:val="4B7C4CA5"/>
    <w:rsid w:val="4B7D1DC5"/>
    <w:rsid w:val="4B837E30"/>
    <w:rsid w:val="4B8C1077"/>
    <w:rsid w:val="4B9B6141"/>
    <w:rsid w:val="4BA21370"/>
    <w:rsid w:val="4BA65D83"/>
    <w:rsid w:val="4BCE6A60"/>
    <w:rsid w:val="4BEA6C5A"/>
    <w:rsid w:val="4BF474D0"/>
    <w:rsid w:val="4C026775"/>
    <w:rsid w:val="4C05036E"/>
    <w:rsid w:val="4C0F38E6"/>
    <w:rsid w:val="4C1622CF"/>
    <w:rsid w:val="4C1714F8"/>
    <w:rsid w:val="4C1946F6"/>
    <w:rsid w:val="4C321362"/>
    <w:rsid w:val="4C40395E"/>
    <w:rsid w:val="4C476759"/>
    <w:rsid w:val="4C537F25"/>
    <w:rsid w:val="4C5C554C"/>
    <w:rsid w:val="4C6128BB"/>
    <w:rsid w:val="4C630746"/>
    <w:rsid w:val="4C64102E"/>
    <w:rsid w:val="4C6613CF"/>
    <w:rsid w:val="4C673ED4"/>
    <w:rsid w:val="4C6B09D6"/>
    <w:rsid w:val="4C6B30E3"/>
    <w:rsid w:val="4C6B425C"/>
    <w:rsid w:val="4C6D2FA0"/>
    <w:rsid w:val="4C6D30AC"/>
    <w:rsid w:val="4C77487A"/>
    <w:rsid w:val="4C7F0F12"/>
    <w:rsid w:val="4C8674E6"/>
    <w:rsid w:val="4C890662"/>
    <w:rsid w:val="4C8D023B"/>
    <w:rsid w:val="4C903DDE"/>
    <w:rsid w:val="4C944004"/>
    <w:rsid w:val="4C9A7AA9"/>
    <w:rsid w:val="4CA36226"/>
    <w:rsid w:val="4CAD5D25"/>
    <w:rsid w:val="4CC071CA"/>
    <w:rsid w:val="4CC36427"/>
    <w:rsid w:val="4CC4144B"/>
    <w:rsid w:val="4CD038F3"/>
    <w:rsid w:val="4CD40EFF"/>
    <w:rsid w:val="4CE66A43"/>
    <w:rsid w:val="4CF8661F"/>
    <w:rsid w:val="4CF96440"/>
    <w:rsid w:val="4D0F131F"/>
    <w:rsid w:val="4D1342F0"/>
    <w:rsid w:val="4D1C26A9"/>
    <w:rsid w:val="4D1C5AE5"/>
    <w:rsid w:val="4D2C051F"/>
    <w:rsid w:val="4D2F3E88"/>
    <w:rsid w:val="4D306BCF"/>
    <w:rsid w:val="4D372073"/>
    <w:rsid w:val="4D3F6678"/>
    <w:rsid w:val="4D4149FD"/>
    <w:rsid w:val="4D46160E"/>
    <w:rsid w:val="4D4A4D4A"/>
    <w:rsid w:val="4D4D0B5F"/>
    <w:rsid w:val="4D4F44DA"/>
    <w:rsid w:val="4D602562"/>
    <w:rsid w:val="4D614491"/>
    <w:rsid w:val="4D674088"/>
    <w:rsid w:val="4D702EF7"/>
    <w:rsid w:val="4D746B0D"/>
    <w:rsid w:val="4D7704E0"/>
    <w:rsid w:val="4D775BAD"/>
    <w:rsid w:val="4D7E57B4"/>
    <w:rsid w:val="4D7F10D8"/>
    <w:rsid w:val="4D8552A4"/>
    <w:rsid w:val="4D913721"/>
    <w:rsid w:val="4D992436"/>
    <w:rsid w:val="4D9949DF"/>
    <w:rsid w:val="4D9A54F0"/>
    <w:rsid w:val="4DA41BAF"/>
    <w:rsid w:val="4DA60E88"/>
    <w:rsid w:val="4DAC4F2D"/>
    <w:rsid w:val="4DB771B3"/>
    <w:rsid w:val="4DC73662"/>
    <w:rsid w:val="4DC90CB9"/>
    <w:rsid w:val="4DD073D9"/>
    <w:rsid w:val="4DD134B8"/>
    <w:rsid w:val="4DEF44E8"/>
    <w:rsid w:val="4DF24962"/>
    <w:rsid w:val="4DF932DB"/>
    <w:rsid w:val="4E054522"/>
    <w:rsid w:val="4E0B6BE8"/>
    <w:rsid w:val="4E0E4A2D"/>
    <w:rsid w:val="4E1B35A3"/>
    <w:rsid w:val="4E2165DF"/>
    <w:rsid w:val="4E2B1B94"/>
    <w:rsid w:val="4E39245D"/>
    <w:rsid w:val="4E3B4A1F"/>
    <w:rsid w:val="4E3B62EA"/>
    <w:rsid w:val="4E470E7D"/>
    <w:rsid w:val="4E51453F"/>
    <w:rsid w:val="4E5879C4"/>
    <w:rsid w:val="4E590FE3"/>
    <w:rsid w:val="4E6738AC"/>
    <w:rsid w:val="4E6869E9"/>
    <w:rsid w:val="4E6E3027"/>
    <w:rsid w:val="4E716423"/>
    <w:rsid w:val="4E7B4A4A"/>
    <w:rsid w:val="4E8508EC"/>
    <w:rsid w:val="4E85667B"/>
    <w:rsid w:val="4E860CDD"/>
    <w:rsid w:val="4E8A0707"/>
    <w:rsid w:val="4E911029"/>
    <w:rsid w:val="4E9268E6"/>
    <w:rsid w:val="4E92774F"/>
    <w:rsid w:val="4E96157E"/>
    <w:rsid w:val="4E9D3740"/>
    <w:rsid w:val="4E9E7391"/>
    <w:rsid w:val="4EA45778"/>
    <w:rsid w:val="4EA80E44"/>
    <w:rsid w:val="4EB04EBE"/>
    <w:rsid w:val="4EB70BFE"/>
    <w:rsid w:val="4EB73159"/>
    <w:rsid w:val="4EBA4A75"/>
    <w:rsid w:val="4EBB2AE5"/>
    <w:rsid w:val="4EC240E0"/>
    <w:rsid w:val="4EC5468D"/>
    <w:rsid w:val="4EC5523A"/>
    <w:rsid w:val="4ECC2135"/>
    <w:rsid w:val="4ED35BF7"/>
    <w:rsid w:val="4ED841AA"/>
    <w:rsid w:val="4EDC47E2"/>
    <w:rsid w:val="4EEE545E"/>
    <w:rsid w:val="4EF3058C"/>
    <w:rsid w:val="4EF966A6"/>
    <w:rsid w:val="4F0B104D"/>
    <w:rsid w:val="4F0C618B"/>
    <w:rsid w:val="4F1653BF"/>
    <w:rsid w:val="4F1C5456"/>
    <w:rsid w:val="4F1E4112"/>
    <w:rsid w:val="4F21558F"/>
    <w:rsid w:val="4F220E3D"/>
    <w:rsid w:val="4F233B59"/>
    <w:rsid w:val="4F314810"/>
    <w:rsid w:val="4F3817DF"/>
    <w:rsid w:val="4F3A6FAB"/>
    <w:rsid w:val="4F3E5AA8"/>
    <w:rsid w:val="4F5254C5"/>
    <w:rsid w:val="4F59320E"/>
    <w:rsid w:val="4F5D7D2C"/>
    <w:rsid w:val="4F617C8D"/>
    <w:rsid w:val="4F6A2979"/>
    <w:rsid w:val="4F700FC4"/>
    <w:rsid w:val="4F7441EB"/>
    <w:rsid w:val="4F7D6EB2"/>
    <w:rsid w:val="4F816ABE"/>
    <w:rsid w:val="4F871B8C"/>
    <w:rsid w:val="4F8950BF"/>
    <w:rsid w:val="4F8E4608"/>
    <w:rsid w:val="4F96419C"/>
    <w:rsid w:val="4F985D98"/>
    <w:rsid w:val="4FA04A27"/>
    <w:rsid w:val="4FA25440"/>
    <w:rsid w:val="4FA3486A"/>
    <w:rsid w:val="4FAF69AE"/>
    <w:rsid w:val="4FB123D7"/>
    <w:rsid w:val="4FB26B09"/>
    <w:rsid w:val="4FB838AD"/>
    <w:rsid w:val="4FB947D5"/>
    <w:rsid w:val="4FC135F0"/>
    <w:rsid w:val="4FCE47C0"/>
    <w:rsid w:val="4FCF4362"/>
    <w:rsid w:val="4FE625A4"/>
    <w:rsid w:val="4FEA0A9D"/>
    <w:rsid w:val="4FF62EF5"/>
    <w:rsid w:val="4FF70452"/>
    <w:rsid w:val="4FFA0307"/>
    <w:rsid w:val="4FFE0AEF"/>
    <w:rsid w:val="500A5603"/>
    <w:rsid w:val="50213726"/>
    <w:rsid w:val="5024665A"/>
    <w:rsid w:val="5029567D"/>
    <w:rsid w:val="502F40C0"/>
    <w:rsid w:val="503D7156"/>
    <w:rsid w:val="504C1EC1"/>
    <w:rsid w:val="504C28F0"/>
    <w:rsid w:val="50581BA3"/>
    <w:rsid w:val="505B334A"/>
    <w:rsid w:val="506B6411"/>
    <w:rsid w:val="50737694"/>
    <w:rsid w:val="50805716"/>
    <w:rsid w:val="50893800"/>
    <w:rsid w:val="509077CC"/>
    <w:rsid w:val="509167C7"/>
    <w:rsid w:val="5094139A"/>
    <w:rsid w:val="50A15908"/>
    <w:rsid w:val="50A23519"/>
    <w:rsid w:val="50A908BE"/>
    <w:rsid w:val="50BB0067"/>
    <w:rsid w:val="50C81E54"/>
    <w:rsid w:val="50CC0D90"/>
    <w:rsid w:val="50D44935"/>
    <w:rsid w:val="50D77B36"/>
    <w:rsid w:val="50DC0519"/>
    <w:rsid w:val="50DE33B2"/>
    <w:rsid w:val="50E41136"/>
    <w:rsid w:val="50E95E16"/>
    <w:rsid w:val="50F00968"/>
    <w:rsid w:val="511029E2"/>
    <w:rsid w:val="51112138"/>
    <w:rsid w:val="511724E5"/>
    <w:rsid w:val="512D4832"/>
    <w:rsid w:val="512E2D31"/>
    <w:rsid w:val="513D294C"/>
    <w:rsid w:val="514222E9"/>
    <w:rsid w:val="51445257"/>
    <w:rsid w:val="51452F2F"/>
    <w:rsid w:val="5149382D"/>
    <w:rsid w:val="51530DC8"/>
    <w:rsid w:val="515677F6"/>
    <w:rsid w:val="515C08A7"/>
    <w:rsid w:val="51626BB7"/>
    <w:rsid w:val="51641D64"/>
    <w:rsid w:val="51660250"/>
    <w:rsid w:val="51AF1E03"/>
    <w:rsid w:val="51B24875"/>
    <w:rsid w:val="51B97880"/>
    <w:rsid w:val="51C205EE"/>
    <w:rsid w:val="51C26775"/>
    <w:rsid w:val="51CA291A"/>
    <w:rsid w:val="51CE3365"/>
    <w:rsid w:val="51CE5B48"/>
    <w:rsid w:val="51DF2064"/>
    <w:rsid w:val="51E269F7"/>
    <w:rsid w:val="51E639BC"/>
    <w:rsid w:val="51E84A35"/>
    <w:rsid w:val="51EC13D8"/>
    <w:rsid w:val="51EC5FDF"/>
    <w:rsid w:val="51FC6C22"/>
    <w:rsid w:val="51FD54C5"/>
    <w:rsid w:val="51FD5CA2"/>
    <w:rsid w:val="52075B3D"/>
    <w:rsid w:val="520936AC"/>
    <w:rsid w:val="520D068E"/>
    <w:rsid w:val="521118C5"/>
    <w:rsid w:val="52166688"/>
    <w:rsid w:val="52170343"/>
    <w:rsid w:val="5217125B"/>
    <w:rsid w:val="52185CBC"/>
    <w:rsid w:val="52204ADB"/>
    <w:rsid w:val="522820E3"/>
    <w:rsid w:val="523C226D"/>
    <w:rsid w:val="52420F10"/>
    <w:rsid w:val="524475FD"/>
    <w:rsid w:val="524618E0"/>
    <w:rsid w:val="524A1088"/>
    <w:rsid w:val="52535710"/>
    <w:rsid w:val="525D57B7"/>
    <w:rsid w:val="5264016E"/>
    <w:rsid w:val="5266428F"/>
    <w:rsid w:val="526647F1"/>
    <w:rsid w:val="52712025"/>
    <w:rsid w:val="5280046C"/>
    <w:rsid w:val="52817688"/>
    <w:rsid w:val="529F4F4A"/>
    <w:rsid w:val="529F54C4"/>
    <w:rsid w:val="52A72C5C"/>
    <w:rsid w:val="52B247F2"/>
    <w:rsid w:val="52B60F35"/>
    <w:rsid w:val="52BE537A"/>
    <w:rsid w:val="52BE548C"/>
    <w:rsid w:val="52C85C31"/>
    <w:rsid w:val="52C912B1"/>
    <w:rsid w:val="52CA397B"/>
    <w:rsid w:val="52CA57F2"/>
    <w:rsid w:val="52CC7A21"/>
    <w:rsid w:val="52D4744D"/>
    <w:rsid w:val="52F51E94"/>
    <w:rsid w:val="52F61A9E"/>
    <w:rsid w:val="52F76868"/>
    <w:rsid w:val="52FA7CF7"/>
    <w:rsid w:val="530222AF"/>
    <w:rsid w:val="53217701"/>
    <w:rsid w:val="53273C55"/>
    <w:rsid w:val="53275316"/>
    <w:rsid w:val="532C6A1C"/>
    <w:rsid w:val="53424997"/>
    <w:rsid w:val="53425C66"/>
    <w:rsid w:val="534A0B30"/>
    <w:rsid w:val="534A691E"/>
    <w:rsid w:val="535965A3"/>
    <w:rsid w:val="53675C86"/>
    <w:rsid w:val="53745E85"/>
    <w:rsid w:val="537A60AB"/>
    <w:rsid w:val="537C27EF"/>
    <w:rsid w:val="537C4E74"/>
    <w:rsid w:val="538115C8"/>
    <w:rsid w:val="53821E5E"/>
    <w:rsid w:val="538B5A9F"/>
    <w:rsid w:val="53BE48F2"/>
    <w:rsid w:val="53C5778E"/>
    <w:rsid w:val="53C94F4A"/>
    <w:rsid w:val="53CA7E80"/>
    <w:rsid w:val="53D14E2E"/>
    <w:rsid w:val="53D97A32"/>
    <w:rsid w:val="53E31091"/>
    <w:rsid w:val="53E67D6A"/>
    <w:rsid w:val="53ED77BD"/>
    <w:rsid w:val="53FD533C"/>
    <w:rsid w:val="54063394"/>
    <w:rsid w:val="540E2071"/>
    <w:rsid w:val="5412427C"/>
    <w:rsid w:val="54150A07"/>
    <w:rsid w:val="541723F1"/>
    <w:rsid w:val="54175F4E"/>
    <w:rsid w:val="5418474D"/>
    <w:rsid w:val="54276A5E"/>
    <w:rsid w:val="542A4E14"/>
    <w:rsid w:val="542F1A22"/>
    <w:rsid w:val="54327775"/>
    <w:rsid w:val="543C511E"/>
    <w:rsid w:val="544762B9"/>
    <w:rsid w:val="544D5200"/>
    <w:rsid w:val="544E1CDD"/>
    <w:rsid w:val="545A6B6B"/>
    <w:rsid w:val="545F3210"/>
    <w:rsid w:val="546A2671"/>
    <w:rsid w:val="546B0CCA"/>
    <w:rsid w:val="547C0787"/>
    <w:rsid w:val="547E6935"/>
    <w:rsid w:val="54823691"/>
    <w:rsid w:val="549C3A06"/>
    <w:rsid w:val="54A96601"/>
    <w:rsid w:val="54AD2A25"/>
    <w:rsid w:val="54B1696D"/>
    <w:rsid w:val="54B16A3E"/>
    <w:rsid w:val="54B93B17"/>
    <w:rsid w:val="54BE3A60"/>
    <w:rsid w:val="54C167A8"/>
    <w:rsid w:val="54C927C7"/>
    <w:rsid w:val="54C92963"/>
    <w:rsid w:val="54CB05E9"/>
    <w:rsid w:val="54CC4E8F"/>
    <w:rsid w:val="54DC0B4A"/>
    <w:rsid w:val="54E77EE2"/>
    <w:rsid w:val="54E868A6"/>
    <w:rsid w:val="54EF0061"/>
    <w:rsid w:val="54F77EE7"/>
    <w:rsid w:val="54FC56ED"/>
    <w:rsid w:val="54FE6060"/>
    <w:rsid w:val="54FF277B"/>
    <w:rsid w:val="54FF50A0"/>
    <w:rsid w:val="550100B6"/>
    <w:rsid w:val="550934C0"/>
    <w:rsid w:val="55161516"/>
    <w:rsid w:val="55197A9E"/>
    <w:rsid w:val="551C5322"/>
    <w:rsid w:val="551C5A39"/>
    <w:rsid w:val="551E08A1"/>
    <w:rsid w:val="5527580D"/>
    <w:rsid w:val="552C1A65"/>
    <w:rsid w:val="552C476C"/>
    <w:rsid w:val="55311C92"/>
    <w:rsid w:val="55396EDB"/>
    <w:rsid w:val="553A5C46"/>
    <w:rsid w:val="553B2613"/>
    <w:rsid w:val="553E508F"/>
    <w:rsid w:val="55400A9C"/>
    <w:rsid w:val="5547613D"/>
    <w:rsid w:val="55531C87"/>
    <w:rsid w:val="5554053D"/>
    <w:rsid w:val="55553441"/>
    <w:rsid w:val="5559387D"/>
    <w:rsid w:val="5561156A"/>
    <w:rsid w:val="556563A1"/>
    <w:rsid w:val="556953E7"/>
    <w:rsid w:val="556A6EB6"/>
    <w:rsid w:val="556D23B4"/>
    <w:rsid w:val="55755D7F"/>
    <w:rsid w:val="55775835"/>
    <w:rsid w:val="557920D9"/>
    <w:rsid w:val="55794E0B"/>
    <w:rsid w:val="557E5E85"/>
    <w:rsid w:val="5583792D"/>
    <w:rsid w:val="559A2251"/>
    <w:rsid w:val="559F07DA"/>
    <w:rsid w:val="55A56356"/>
    <w:rsid w:val="55A66C14"/>
    <w:rsid w:val="55AD029B"/>
    <w:rsid w:val="55B433A4"/>
    <w:rsid w:val="55B46625"/>
    <w:rsid w:val="55B86F21"/>
    <w:rsid w:val="55BE2A18"/>
    <w:rsid w:val="55CA3289"/>
    <w:rsid w:val="55CB09DC"/>
    <w:rsid w:val="55CF6ED1"/>
    <w:rsid w:val="55DE79DE"/>
    <w:rsid w:val="5602099A"/>
    <w:rsid w:val="560C1B72"/>
    <w:rsid w:val="561375B0"/>
    <w:rsid w:val="562F1551"/>
    <w:rsid w:val="562F1AFC"/>
    <w:rsid w:val="56357A0E"/>
    <w:rsid w:val="564316BF"/>
    <w:rsid w:val="5656047D"/>
    <w:rsid w:val="565F65DB"/>
    <w:rsid w:val="56627F8F"/>
    <w:rsid w:val="566A3483"/>
    <w:rsid w:val="56705ED5"/>
    <w:rsid w:val="56730596"/>
    <w:rsid w:val="567C4E12"/>
    <w:rsid w:val="56823374"/>
    <w:rsid w:val="56836F3D"/>
    <w:rsid w:val="568430B7"/>
    <w:rsid w:val="568454FD"/>
    <w:rsid w:val="56960413"/>
    <w:rsid w:val="56965A34"/>
    <w:rsid w:val="569C2B06"/>
    <w:rsid w:val="56AE2686"/>
    <w:rsid w:val="56B129E7"/>
    <w:rsid w:val="56B35677"/>
    <w:rsid w:val="56B4160B"/>
    <w:rsid w:val="56B5338E"/>
    <w:rsid w:val="56B602CD"/>
    <w:rsid w:val="56BA0236"/>
    <w:rsid w:val="56BB7210"/>
    <w:rsid w:val="56C4199E"/>
    <w:rsid w:val="56C65D48"/>
    <w:rsid w:val="56CC1785"/>
    <w:rsid w:val="56D12232"/>
    <w:rsid w:val="56D6015C"/>
    <w:rsid w:val="56D62B09"/>
    <w:rsid w:val="56D74806"/>
    <w:rsid w:val="56DC24D4"/>
    <w:rsid w:val="56F12A49"/>
    <w:rsid w:val="56F56CD6"/>
    <w:rsid w:val="56F94B67"/>
    <w:rsid w:val="56FB46EF"/>
    <w:rsid w:val="57017F39"/>
    <w:rsid w:val="571E5383"/>
    <w:rsid w:val="57296E47"/>
    <w:rsid w:val="572F4BDB"/>
    <w:rsid w:val="57310EAE"/>
    <w:rsid w:val="57312A8A"/>
    <w:rsid w:val="573A7D2C"/>
    <w:rsid w:val="57401CDD"/>
    <w:rsid w:val="57417829"/>
    <w:rsid w:val="57485E27"/>
    <w:rsid w:val="575654D1"/>
    <w:rsid w:val="57586763"/>
    <w:rsid w:val="576E0706"/>
    <w:rsid w:val="577159B9"/>
    <w:rsid w:val="57802388"/>
    <w:rsid w:val="578F628D"/>
    <w:rsid w:val="57995494"/>
    <w:rsid w:val="57B161A7"/>
    <w:rsid w:val="57B2145D"/>
    <w:rsid w:val="57BA0394"/>
    <w:rsid w:val="57BE1140"/>
    <w:rsid w:val="57CD470E"/>
    <w:rsid w:val="57DC209D"/>
    <w:rsid w:val="57DC277F"/>
    <w:rsid w:val="57E16869"/>
    <w:rsid w:val="580022F2"/>
    <w:rsid w:val="58061E3B"/>
    <w:rsid w:val="58084D37"/>
    <w:rsid w:val="580920A5"/>
    <w:rsid w:val="580A20D3"/>
    <w:rsid w:val="580C7F4B"/>
    <w:rsid w:val="58142BCF"/>
    <w:rsid w:val="58162CF5"/>
    <w:rsid w:val="582A5A8E"/>
    <w:rsid w:val="582B6424"/>
    <w:rsid w:val="582C04A8"/>
    <w:rsid w:val="582F6CA3"/>
    <w:rsid w:val="583137F3"/>
    <w:rsid w:val="58315752"/>
    <w:rsid w:val="583372FE"/>
    <w:rsid w:val="58375E48"/>
    <w:rsid w:val="58394B50"/>
    <w:rsid w:val="583D7069"/>
    <w:rsid w:val="58430B2E"/>
    <w:rsid w:val="58484F1D"/>
    <w:rsid w:val="5849468C"/>
    <w:rsid w:val="58583F36"/>
    <w:rsid w:val="58593B5B"/>
    <w:rsid w:val="5859511E"/>
    <w:rsid w:val="585A223D"/>
    <w:rsid w:val="585B5C04"/>
    <w:rsid w:val="588D2566"/>
    <w:rsid w:val="589109A0"/>
    <w:rsid w:val="58930E5D"/>
    <w:rsid w:val="58964DF1"/>
    <w:rsid w:val="58977667"/>
    <w:rsid w:val="589A1D50"/>
    <w:rsid w:val="58A66580"/>
    <w:rsid w:val="58A81B4B"/>
    <w:rsid w:val="58AE2D85"/>
    <w:rsid w:val="58B71BAE"/>
    <w:rsid w:val="58C726FF"/>
    <w:rsid w:val="58CD2336"/>
    <w:rsid w:val="58CE1AE0"/>
    <w:rsid w:val="58CF28A0"/>
    <w:rsid w:val="58CF7395"/>
    <w:rsid w:val="58D173FB"/>
    <w:rsid w:val="58DC11C7"/>
    <w:rsid w:val="58E564D1"/>
    <w:rsid w:val="58E56DF3"/>
    <w:rsid w:val="58F35E9C"/>
    <w:rsid w:val="58F418D3"/>
    <w:rsid w:val="58FC30C0"/>
    <w:rsid w:val="5927478A"/>
    <w:rsid w:val="592908AB"/>
    <w:rsid w:val="592D263E"/>
    <w:rsid w:val="5935544C"/>
    <w:rsid w:val="593576AC"/>
    <w:rsid w:val="59387B3B"/>
    <w:rsid w:val="5940278A"/>
    <w:rsid w:val="59442B4E"/>
    <w:rsid w:val="594470B9"/>
    <w:rsid w:val="5951471E"/>
    <w:rsid w:val="59522D39"/>
    <w:rsid w:val="595A7D23"/>
    <w:rsid w:val="59785AC9"/>
    <w:rsid w:val="597F79AA"/>
    <w:rsid w:val="598129B7"/>
    <w:rsid w:val="598364EC"/>
    <w:rsid w:val="598B66AD"/>
    <w:rsid w:val="598F52A8"/>
    <w:rsid w:val="599454BD"/>
    <w:rsid w:val="59A4572B"/>
    <w:rsid w:val="59AB40DE"/>
    <w:rsid w:val="59B75CFE"/>
    <w:rsid w:val="59B86E02"/>
    <w:rsid w:val="59BC0C97"/>
    <w:rsid w:val="59BD7CC1"/>
    <w:rsid w:val="59C43C9F"/>
    <w:rsid w:val="59C65D5A"/>
    <w:rsid w:val="59D17704"/>
    <w:rsid w:val="59D21D93"/>
    <w:rsid w:val="59D700C7"/>
    <w:rsid w:val="59E03069"/>
    <w:rsid w:val="59EF28AE"/>
    <w:rsid w:val="59FE7EAA"/>
    <w:rsid w:val="5A020174"/>
    <w:rsid w:val="5A045944"/>
    <w:rsid w:val="5A097523"/>
    <w:rsid w:val="5A1439E5"/>
    <w:rsid w:val="5A174B28"/>
    <w:rsid w:val="5A1B1074"/>
    <w:rsid w:val="5A1D10C6"/>
    <w:rsid w:val="5A2545C7"/>
    <w:rsid w:val="5A33493B"/>
    <w:rsid w:val="5A3B2226"/>
    <w:rsid w:val="5A564F7F"/>
    <w:rsid w:val="5A5955F9"/>
    <w:rsid w:val="5A5F5853"/>
    <w:rsid w:val="5A6A4F96"/>
    <w:rsid w:val="5A8E7CD5"/>
    <w:rsid w:val="5A91120B"/>
    <w:rsid w:val="5A965270"/>
    <w:rsid w:val="5A9657DC"/>
    <w:rsid w:val="5AAA6865"/>
    <w:rsid w:val="5AB03A82"/>
    <w:rsid w:val="5AB0413C"/>
    <w:rsid w:val="5AB36BC6"/>
    <w:rsid w:val="5AB41954"/>
    <w:rsid w:val="5AB4618D"/>
    <w:rsid w:val="5AB80DD8"/>
    <w:rsid w:val="5AD278DE"/>
    <w:rsid w:val="5AE04279"/>
    <w:rsid w:val="5AE509C1"/>
    <w:rsid w:val="5AE57F47"/>
    <w:rsid w:val="5AEB0935"/>
    <w:rsid w:val="5AED226A"/>
    <w:rsid w:val="5AEE1328"/>
    <w:rsid w:val="5AEF1012"/>
    <w:rsid w:val="5AF03B32"/>
    <w:rsid w:val="5AF65366"/>
    <w:rsid w:val="5AF85B39"/>
    <w:rsid w:val="5AFD04DF"/>
    <w:rsid w:val="5B035D38"/>
    <w:rsid w:val="5B121474"/>
    <w:rsid w:val="5B1550E8"/>
    <w:rsid w:val="5B1B0137"/>
    <w:rsid w:val="5B207B77"/>
    <w:rsid w:val="5B23451A"/>
    <w:rsid w:val="5B2B586F"/>
    <w:rsid w:val="5B344B22"/>
    <w:rsid w:val="5B352640"/>
    <w:rsid w:val="5B4D7633"/>
    <w:rsid w:val="5B532C89"/>
    <w:rsid w:val="5B58481E"/>
    <w:rsid w:val="5B653DB8"/>
    <w:rsid w:val="5B6914BC"/>
    <w:rsid w:val="5B6E6902"/>
    <w:rsid w:val="5B705A87"/>
    <w:rsid w:val="5B747C6E"/>
    <w:rsid w:val="5B801D36"/>
    <w:rsid w:val="5B8D5366"/>
    <w:rsid w:val="5B8E647D"/>
    <w:rsid w:val="5B9207EB"/>
    <w:rsid w:val="5B952436"/>
    <w:rsid w:val="5B977D8D"/>
    <w:rsid w:val="5BA15789"/>
    <w:rsid w:val="5BAD21AA"/>
    <w:rsid w:val="5BB20B4D"/>
    <w:rsid w:val="5BB26AC1"/>
    <w:rsid w:val="5BB7748D"/>
    <w:rsid w:val="5BBA49FD"/>
    <w:rsid w:val="5BBF75EA"/>
    <w:rsid w:val="5BC30108"/>
    <w:rsid w:val="5BC3253F"/>
    <w:rsid w:val="5BC84FB7"/>
    <w:rsid w:val="5BC90382"/>
    <w:rsid w:val="5BCC0952"/>
    <w:rsid w:val="5BCC7C76"/>
    <w:rsid w:val="5BD1126E"/>
    <w:rsid w:val="5BD20247"/>
    <w:rsid w:val="5BE25B0E"/>
    <w:rsid w:val="5BEA0CE4"/>
    <w:rsid w:val="5BEE71CA"/>
    <w:rsid w:val="5BF17E81"/>
    <w:rsid w:val="5BF524BB"/>
    <w:rsid w:val="5C00541F"/>
    <w:rsid w:val="5C09660E"/>
    <w:rsid w:val="5C10038D"/>
    <w:rsid w:val="5C141CCA"/>
    <w:rsid w:val="5C16001F"/>
    <w:rsid w:val="5C181489"/>
    <w:rsid w:val="5C1A59EA"/>
    <w:rsid w:val="5C382A25"/>
    <w:rsid w:val="5C3C685A"/>
    <w:rsid w:val="5C43207E"/>
    <w:rsid w:val="5C4F7D9B"/>
    <w:rsid w:val="5C5644D4"/>
    <w:rsid w:val="5C767ABA"/>
    <w:rsid w:val="5C845B96"/>
    <w:rsid w:val="5C873770"/>
    <w:rsid w:val="5C8E2E78"/>
    <w:rsid w:val="5C925EDD"/>
    <w:rsid w:val="5C982D7A"/>
    <w:rsid w:val="5C9E297B"/>
    <w:rsid w:val="5CA3770C"/>
    <w:rsid w:val="5CB80B07"/>
    <w:rsid w:val="5CC11545"/>
    <w:rsid w:val="5CC57B35"/>
    <w:rsid w:val="5CDC7534"/>
    <w:rsid w:val="5CDF6012"/>
    <w:rsid w:val="5CEB023F"/>
    <w:rsid w:val="5CEC62E3"/>
    <w:rsid w:val="5CF231B5"/>
    <w:rsid w:val="5D06567D"/>
    <w:rsid w:val="5D186B0A"/>
    <w:rsid w:val="5D1C3553"/>
    <w:rsid w:val="5D1D2019"/>
    <w:rsid w:val="5D245C6D"/>
    <w:rsid w:val="5D44671B"/>
    <w:rsid w:val="5D496389"/>
    <w:rsid w:val="5D557F97"/>
    <w:rsid w:val="5D571203"/>
    <w:rsid w:val="5D630B1E"/>
    <w:rsid w:val="5D6440F3"/>
    <w:rsid w:val="5D6870E1"/>
    <w:rsid w:val="5D6A2932"/>
    <w:rsid w:val="5D795E25"/>
    <w:rsid w:val="5D8668C4"/>
    <w:rsid w:val="5D882BB5"/>
    <w:rsid w:val="5D924CDA"/>
    <w:rsid w:val="5DA05A67"/>
    <w:rsid w:val="5DC26002"/>
    <w:rsid w:val="5DC40B7C"/>
    <w:rsid w:val="5DCC3E2B"/>
    <w:rsid w:val="5DD614CB"/>
    <w:rsid w:val="5DE10DD0"/>
    <w:rsid w:val="5DEC5BC5"/>
    <w:rsid w:val="5DF02C22"/>
    <w:rsid w:val="5DF8298A"/>
    <w:rsid w:val="5DFC2DC9"/>
    <w:rsid w:val="5DFD2C82"/>
    <w:rsid w:val="5E011227"/>
    <w:rsid w:val="5E05428B"/>
    <w:rsid w:val="5E096019"/>
    <w:rsid w:val="5E0A3265"/>
    <w:rsid w:val="5E0B6B45"/>
    <w:rsid w:val="5E124BEA"/>
    <w:rsid w:val="5E1B531B"/>
    <w:rsid w:val="5E2020A4"/>
    <w:rsid w:val="5E21089B"/>
    <w:rsid w:val="5E256F29"/>
    <w:rsid w:val="5E2B7B83"/>
    <w:rsid w:val="5E2C2FB5"/>
    <w:rsid w:val="5E2D55B0"/>
    <w:rsid w:val="5E357E0F"/>
    <w:rsid w:val="5E393438"/>
    <w:rsid w:val="5E427033"/>
    <w:rsid w:val="5E4E3207"/>
    <w:rsid w:val="5E4F1B94"/>
    <w:rsid w:val="5E5A7AC6"/>
    <w:rsid w:val="5E5E7A53"/>
    <w:rsid w:val="5E646A3D"/>
    <w:rsid w:val="5E685A8E"/>
    <w:rsid w:val="5E6B232A"/>
    <w:rsid w:val="5E6C50D6"/>
    <w:rsid w:val="5E6E3FBF"/>
    <w:rsid w:val="5E7149C5"/>
    <w:rsid w:val="5E81490B"/>
    <w:rsid w:val="5E83140B"/>
    <w:rsid w:val="5E880197"/>
    <w:rsid w:val="5E8A12C9"/>
    <w:rsid w:val="5E943215"/>
    <w:rsid w:val="5E997AC8"/>
    <w:rsid w:val="5EAE1995"/>
    <w:rsid w:val="5EAF46AE"/>
    <w:rsid w:val="5EB070F2"/>
    <w:rsid w:val="5EB34C3D"/>
    <w:rsid w:val="5EB855ED"/>
    <w:rsid w:val="5EBD62ED"/>
    <w:rsid w:val="5EC33844"/>
    <w:rsid w:val="5EC96783"/>
    <w:rsid w:val="5ED12341"/>
    <w:rsid w:val="5EDC7D53"/>
    <w:rsid w:val="5EE95FD7"/>
    <w:rsid w:val="5EED7751"/>
    <w:rsid w:val="5F0A220D"/>
    <w:rsid w:val="5F1541BA"/>
    <w:rsid w:val="5F16768E"/>
    <w:rsid w:val="5F2664D3"/>
    <w:rsid w:val="5F2D6E4D"/>
    <w:rsid w:val="5F356818"/>
    <w:rsid w:val="5F3B51A6"/>
    <w:rsid w:val="5F3E5EF2"/>
    <w:rsid w:val="5F494F8C"/>
    <w:rsid w:val="5F4C5428"/>
    <w:rsid w:val="5F527FE3"/>
    <w:rsid w:val="5F536C35"/>
    <w:rsid w:val="5F5A481E"/>
    <w:rsid w:val="5F5E46AF"/>
    <w:rsid w:val="5F613693"/>
    <w:rsid w:val="5F62619F"/>
    <w:rsid w:val="5F710024"/>
    <w:rsid w:val="5F7650F8"/>
    <w:rsid w:val="5F7A38F2"/>
    <w:rsid w:val="5F7B1275"/>
    <w:rsid w:val="5F7E7CED"/>
    <w:rsid w:val="5F883D72"/>
    <w:rsid w:val="5F8B1772"/>
    <w:rsid w:val="5F9C15BC"/>
    <w:rsid w:val="5F9D443D"/>
    <w:rsid w:val="5FA568A3"/>
    <w:rsid w:val="5FA646AB"/>
    <w:rsid w:val="5FA73C87"/>
    <w:rsid w:val="5FC30212"/>
    <w:rsid w:val="5FC678F4"/>
    <w:rsid w:val="5FD141D8"/>
    <w:rsid w:val="5FD8331C"/>
    <w:rsid w:val="5FD92071"/>
    <w:rsid w:val="5FE72456"/>
    <w:rsid w:val="5FEF23D0"/>
    <w:rsid w:val="5FF82B62"/>
    <w:rsid w:val="5FFB3A51"/>
    <w:rsid w:val="5FFD4F42"/>
    <w:rsid w:val="60224E43"/>
    <w:rsid w:val="602E4BB2"/>
    <w:rsid w:val="60301563"/>
    <w:rsid w:val="60366373"/>
    <w:rsid w:val="604456D1"/>
    <w:rsid w:val="604A36DC"/>
    <w:rsid w:val="604B7745"/>
    <w:rsid w:val="60517B7E"/>
    <w:rsid w:val="60565EE3"/>
    <w:rsid w:val="60573C9D"/>
    <w:rsid w:val="60575F3E"/>
    <w:rsid w:val="6058186C"/>
    <w:rsid w:val="605C65B3"/>
    <w:rsid w:val="60693025"/>
    <w:rsid w:val="606A65DF"/>
    <w:rsid w:val="60756240"/>
    <w:rsid w:val="607E128C"/>
    <w:rsid w:val="60887F29"/>
    <w:rsid w:val="60960957"/>
    <w:rsid w:val="609F53EE"/>
    <w:rsid w:val="60AE60C6"/>
    <w:rsid w:val="60B1434E"/>
    <w:rsid w:val="60B34F20"/>
    <w:rsid w:val="60B4087F"/>
    <w:rsid w:val="60B8421A"/>
    <w:rsid w:val="60BC6AD0"/>
    <w:rsid w:val="60CB64DD"/>
    <w:rsid w:val="60CF086C"/>
    <w:rsid w:val="60D37DC6"/>
    <w:rsid w:val="60DE7587"/>
    <w:rsid w:val="60E33B12"/>
    <w:rsid w:val="60ED123A"/>
    <w:rsid w:val="60F61222"/>
    <w:rsid w:val="60F93150"/>
    <w:rsid w:val="610555E9"/>
    <w:rsid w:val="61062827"/>
    <w:rsid w:val="6107776B"/>
    <w:rsid w:val="61094ED6"/>
    <w:rsid w:val="610A6D51"/>
    <w:rsid w:val="610D4A96"/>
    <w:rsid w:val="61110180"/>
    <w:rsid w:val="6127040B"/>
    <w:rsid w:val="612E7463"/>
    <w:rsid w:val="61351962"/>
    <w:rsid w:val="61443BDE"/>
    <w:rsid w:val="61526823"/>
    <w:rsid w:val="615B7729"/>
    <w:rsid w:val="615F54F2"/>
    <w:rsid w:val="616B6A13"/>
    <w:rsid w:val="616C74E9"/>
    <w:rsid w:val="61703C77"/>
    <w:rsid w:val="61793CA9"/>
    <w:rsid w:val="617C04E0"/>
    <w:rsid w:val="618366A6"/>
    <w:rsid w:val="61972D15"/>
    <w:rsid w:val="619A6536"/>
    <w:rsid w:val="619B0FDB"/>
    <w:rsid w:val="61BD24E2"/>
    <w:rsid w:val="61C15ED6"/>
    <w:rsid w:val="61D34D93"/>
    <w:rsid w:val="61D4030E"/>
    <w:rsid w:val="61D86C3B"/>
    <w:rsid w:val="61E02677"/>
    <w:rsid w:val="61E2254F"/>
    <w:rsid w:val="61F10A11"/>
    <w:rsid w:val="61F663B8"/>
    <w:rsid w:val="61FC095A"/>
    <w:rsid w:val="61FE4F01"/>
    <w:rsid w:val="62022AD1"/>
    <w:rsid w:val="620A7B4F"/>
    <w:rsid w:val="620C057C"/>
    <w:rsid w:val="620D60C6"/>
    <w:rsid w:val="620E37CE"/>
    <w:rsid w:val="620F18D1"/>
    <w:rsid w:val="6211703B"/>
    <w:rsid w:val="62140A50"/>
    <w:rsid w:val="621A6E1A"/>
    <w:rsid w:val="62237947"/>
    <w:rsid w:val="6228191B"/>
    <w:rsid w:val="622C5171"/>
    <w:rsid w:val="622F4CB5"/>
    <w:rsid w:val="62325788"/>
    <w:rsid w:val="623F52EB"/>
    <w:rsid w:val="625149DD"/>
    <w:rsid w:val="62572AC3"/>
    <w:rsid w:val="625A0E0B"/>
    <w:rsid w:val="626A3C1C"/>
    <w:rsid w:val="626C3200"/>
    <w:rsid w:val="62721400"/>
    <w:rsid w:val="627267D7"/>
    <w:rsid w:val="627350A0"/>
    <w:rsid w:val="62751ECF"/>
    <w:rsid w:val="628567AD"/>
    <w:rsid w:val="6297557F"/>
    <w:rsid w:val="62987E5F"/>
    <w:rsid w:val="629F624D"/>
    <w:rsid w:val="62A46947"/>
    <w:rsid w:val="62A72535"/>
    <w:rsid w:val="62AB28FE"/>
    <w:rsid w:val="62B97C5C"/>
    <w:rsid w:val="62C83075"/>
    <w:rsid w:val="62D11DA6"/>
    <w:rsid w:val="62DB5AFC"/>
    <w:rsid w:val="62FB0C3B"/>
    <w:rsid w:val="63036094"/>
    <w:rsid w:val="63082D9A"/>
    <w:rsid w:val="63195381"/>
    <w:rsid w:val="63345ECF"/>
    <w:rsid w:val="63364D7C"/>
    <w:rsid w:val="6338311A"/>
    <w:rsid w:val="633F4E4B"/>
    <w:rsid w:val="6351437C"/>
    <w:rsid w:val="63524D9E"/>
    <w:rsid w:val="63531996"/>
    <w:rsid w:val="635D4CBB"/>
    <w:rsid w:val="635F6A64"/>
    <w:rsid w:val="63610179"/>
    <w:rsid w:val="63620C3C"/>
    <w:rsid w:val="63661292"/>
    <w:rsid w:val="6383684D"/>
    <w:rsid w:val="639856F6"/>
    <w:rsid w:val="63A73DF5"/>
    <w:rsid w:val="63B40E29"/>
    <w:rsid w:val="63D96E25"/>
    <w:rsid w:val="63DB5066"/>
    <w:rsid w:val="63E02CD4"/>
    <w:rsid w:val="63E63B00"/>
    <w:rsid w:val="63E66C99"/>
    <w:rsid w:val="63F02920"/>
    <w:rsid w:val="63F056D2"/>
    <w:rsid w:val="63F200CA"/>
    <w:rsid w:val="63F93EE6"/>
    <w:rsid w:val="63FB296B"/>
    <w:rsid w:val="63FC5708"/>
    <w:rsid w:val="63FD1468"/>
    <w:rsid w:val="63FE5B0F"/>
    <w:rsid w:val="63FE74B9"/>
    <w:rsid w:val="6400644F"/>
    <w:rsid w:val="64126DC0"/>
    <w:rsid w:val="64145E4D"/>
    <w:rsid w:val="6419441F"/>
    <w:rsid w:val="641A5552"/>
    <w:rsid w:val="641F064D"/>
    <w:rsid w:val="64217F94"/>
    <w:rsid w:val="6422678B"/>
    <w:rsid w:val="642F7446"/>
    <w:rsid w:val="643165A3"/>
    <w:rsid w:val="64351E8B"/>
    <w:rsid w:val="643E067A"/>
    <w:rsid w:val="643E4A7C"/>
    <w:rsid w:val="64407577"/>
    <w:rsid w:val="6444467E"/>
    <w:rsid w:val="644B0BAF"/>
    <w:rsid w:val="644D08D6"/>
    <w:rsid w:val="645118C2"/>
    <w:rsid w:val="645D684C"/>
    <w:rsid w:val="645E6790"/>
    <w:rsid w:val="647276E8"/>
    <w:rsid w:val="648235F6"/>
    <w:rsid w:val="64913E58"/>
    <w:rsid w:val="64917125"/>
    <w:rsid w:val="649223F7"/>
    <w:rsid w:val="64AC5899"/>
    <w:rsid w:val="64B5258B"/>
    <w:rsid w:val="64B70418"/>
    <w:rsid w:val="64C7661E"/>
    <w:rsid w:val="64CB0F1B"/>
    <w:rsid w:val="64DD3A60"/>
    <w:rsid w:val="64DE78C8"/>
    <w:rsid w:val="64F7771D"/>
    <w:rsid w:val="65056394"/>
    <w:rsid w:val="650A0AA2"/>
    <w:rsid w:val="650B5BAB"/>
    <w:rsid w:val="650E2EC7"/>
    <w:rsid w:val="650E4D66"/>
    <w:rsid w:val="65103DB3"/>
    <w:rsid w:val="651821E6"/>
    <w:rsid w:val="651E6273"/>
    <w:rsid w:val="651F2747"/>
    <w:rsid w:val="65203B47"/>
    <w:rsid w:val="652A355A"/>
    <w:rsid w:val="652F7AEB"/>
    <w:rsid w:val="65344F38"/>
    <w:rsid w:val="653608F2"/>
    <w:rsid w:val="653A2206"/>
    <w:rsid w:val="654251F4"/>
    <w:rsid w:val="65531B76"/>
    <w:rsid w:val="65602D8C"/>
    <w:rsid w:val="657D3A9B"/>
    <w:rsid w:val="658045A2"/>
    <w:rsid w:val="65851C6F"/>
    <w:rsid w:val="658A33DE"/>
    <w:rsid w:val="658B3D45"/>
    <w:rsid w:val="658D65CB"/>
    <w:rsid w:val="65906860"/>
    <w:rsid w:val="65954D8F"/>
    <w:rsid w:val="65971DA8"/>
    <w:rsid w:val="659B1B97"/>
    <w:rsid w:val="65A90407"/>
    <w:rsid w:val="65AC728B"/>
    <w:rsid w:val="65AE155D"/>
    <w:rsid w:val="65B05FCA"/>
    <w:rsid w:val="65B3158A"/>
    <w:rsid w:val="65CC6426"/>
    <w:rsid w:val="65CE609C"/>
    <w:rsid w:val="65D74131"/>
    <w:rsid w:val="65E01718"/>
    <w:rsid w:val="65E07DE1"/>
    <w:rsid w:val="65E27675"/>
    <w:rsid w:val="65E3638B"/>
    <w:rsid w:val="65EC391D"/>
    <w:rsid w:val="65F43281"/>
    <w:rsid w:val="66013792"/>
    <w:rsid w:val="66044F2F"/>
    <w:rsid w:val="660476F8"/>
    <w:rsid w:val="66103684"/>
    <w:rsid w:val="6611270A"/>
    <w:rsid w:val="662453E0"/>
    <w:rsid w:val="662528C5"/>
    <w:rsid w:val="66322F65"/>
    <w:rsid w:val="66362B1F"/>
    <w:rsid w:val="664104F1"/>
    <w:rsid w:val="6645231D"/>
    <w:rsid w:val="664E6E63"/>
    <w:rsid w:val="665401BE"/>
    <w:rsid w:val="666E307D"/>
    <w:rsid w:val="6683055A"/>
    <w:rsid w:val="668C4A5D"/>
    <w:rsid w:val="66A665E3"/>
    <w:rsid w:val="66B7633D"/>
    <w:rsid w:val="66C72BE8"/>
    <w:rsid w:val="66C80296"/>
    <w:rsid w:val="66CA11E9"/>
    <w:rsid w:val="66CF0A7E"/>
    <w:rsid w:val="66D9738F"/>
    <w:rsid w:val="66DA3451"/>
    <w:rsid w:val="66DB6EA1"/>
    <w:rsid w:val="66E90BD0"/>
    <w:rsid w:val="66EB417F"/>
    <w:rsid w:val="66F00D11"/>
    <w:rsid w:val="66F15A8D"/>
    <w:rsid w:val="66F42432"/>
    <w:rsid w:val="66FC5AE9"/>
    <w:rsid w:val="67061D81"/>
    <w:rsid w:val="67297A55"/>
    <w:rsid w:val="672C3F8E"/>
    <w:rsid w:val="6740600D"/>
    <w:rsid w:val="6749621A"/>
    <w:rsid w:val="675627E3"/>
    <w:rsid w:val="675B080A"/>
    <w:rsid w:val="6762654A"/>
    <w:rsid w:val="67705FC5"/>
    <w:rsid w:val="677630CB"/>
    <w:rsid w:val="677B33CB"/>
    <w:rsid w:val="67817365"/>
    <w:rsid w:val="6787651A"/>
    <w:rsid w:val="678A45CC"/>
    <w:rsid w:val="679119C3"/>
    <w:rsid w:val="67964114"/>
    <w:rsid w:val="679A4A74"/>
    <w:rsid w:val="679D3ADE"/>
    <w:rsid w:val="67A003DD"/>
    <w:rsid w:val="67A53032"/>
    <w:rsid w:val="67BA6347"/>
    <w:rsid w:val="67BB217A"/>
    <w:rsid w:val="67CD7190"/>
    <w:rsid w:val="67D764FF"/>
    <w:rsid w:val="67D83FE3"/>
    <w:rsid w:val="67DD40C6"/>
    <w:rsid w:val="67E66D86"/>
    <w:rsid w:val="67E94866"/>
    <w:rsid w:val="67F81C3F"/>
    <w:rsid w:val="67FC19C4"/>
    <w:rsid w:val="67FC5567"/>
    <w:rsid w:val="6800321B"/>
    <w:rsid w:val="680055F5"/>
    <w:rsid w:val="680A2DF6"/>
    <w:rsid w:val="680E67EB"/>
    <w:rsid w:val="68241264"/>
    <w:rsid w:val="68331963"/>
    <w:rsid w:val="68341FC6"/>
    <w:rsid w:val="68424DC3"/>
    <w:rsid w:val="68480B55"/>
    <w:rsid w:val="684C2B8A"/>
    <w:rsid w:val="684F74A3"/>
    <w:rsid w:val="68523B72"/>
    <w:rsid w:val="68526EC0"/>
    <w:rsid w:val="68546C78"/>
    <w:rsid w:val="686777CA"/>
    <w:rsid w:val="6868702C"/>
    <w:rsid w:val="68693414"/>
    <w:rsid w:val="686A4AB6"/>
    <w:rsid w:val="686D61A1"/>
    <w:rsid w:val="68810833"/>
    <w:rsid w:val="688217FB"/>
    <w:rsid w:val="68843C2E"/>
    <w:rsid w:val="688A73DE"/>
    <w:rsid w:val="68907BC4"/>
    <w:rsid w:val="68933763"/>
    <w:rsid w:val="68AA31A1"/>
    <w:rsid w:val="68BA61C2"/>
    <w:rsid w:val="68C353E0"/>
    <w:rsid w:val="68C43253"/>
    <w:rsid w:val="68C82A8D"/>
    <w:rsid w:val="68CF7191"/>
    <w:rsid w:val="68E20F16"/>
    <w:rsid w:val="68F66056"/>
    <w:rsid w:val="68F70D5F"/>
    <w:rsid w:val="68F76C00"/>
    <w:rsid w:val="68FE7DD4"/>
    <w:rsid w:val="69065A54"/>
    <w:rsid w:val="69083044"/>
    <w:rsid w:val="690E0860"/>
    <w:rsid w:val="69105B56"/>
    <w:rsid w:val="6916333B"/>
    <w:rsid w:val="69164E32"/>
    <w:rsid w:val="691D2EA2"/>
    <w:rsid w:val="691E08E5"/>
    <w:rsid w:val="69265375"/>
    <w:rsid w:val="692744CE"/>
    <w:rsid w:val="692D360B"/>
    <w:rsid w:val="692F691D"/>
    <w:rsid w:val="69333D0A"/>
    <w:rsid w:val="69383D48"/>
    <w:rsid w:val="693A0F88"/>
    <w:rsid w:val="693A55E9"/>
    <w:rsid w:val="693D44F5"/>
    <w:rsid w:val="693E7EC1"/>
    <w:rsid w:val="693F3461"/>
    <w:rsid w:val="6942177C"/>
    <w:rsid w:val="69466883"/>
    <w:rsid w:val="694F201B"/>
    <w:rsid w:val="69501548"/>
    <w:rsid w:val="695F3EF2"/>
    <w:rsid w:val="69680C57"/>
    <w:rsid w:val="69701C99"/>
    <w:rsid w:val="697230C1"/>
    <w:rsid w:val="6975550B"/>
    <w:rsid w:val="697C160C"/>
    <w:rsid w:val="6984349B"/>
    <w:rsid w:val="698520C8"/>
    <w:rsid w:val="69873E6B"/>
    <w:rsid w:val="69A073E1"/>
    <w:rsid w:val="69AC27D1"/>
    <w:rsid w:val="69B64239"/>
    <w:rsid w:val="69BF09C5"/>
    <w:rsid w:val="69C80659"/>
    <w:rsid w:val="69CE4095"/>
    <w:rsid w:val="69DC548E"/>
    <w:rsid w:val="69E00693"/>
    <w:rsid w:val="69F604CB"/>
    <w:rsid w:val="69FB7D91"/>
    <w:rsid w:val="6A0F5870"/>
    <w:rsid w:val="6A18737F"/>
    <w:rsid w:val="6A1E2DEA"/>
    <w:rsid w:val="6A1F5F03"/>
    <w:rsid w:val="6A255E57"/>
    <w:rsid w:val="6A2B50A1"/>
    <w:rsid w:val="6A353B78"/>
    <w:rsid w:val="6A354609"/>
    <w:rsid w:val="6A3D5AD2"/>
    <w:rsid w:val="6A3F4EBA"/>
    <w:rsid w:val="6A4E5DAE"/>
    <w:rsid w:val="6A5119DB"/>
    <w:rsid w:val="6A572182"/>
    <w:rsid w:val="6A577F67"/>
    <w:rsid w:val="6A580B2E"/>
    <w:rsid w:val="6A596403"/>
    <w:rsid w:val="6A60511E"/>
    <w:rsid w:val="6A617055"/>
    <w:rsid w:val="6A65126D"/>
    <w:rsid w:val="6A6F4C4B"/>
    <w:rsid w:val="6A7B5953"/>
    <w:rsid w:val="6A8974CF"/>
    <w:rsid w:val="6A906BEB"/>
    <w:rsid w:val="6A96438A"/>
    <w:rsid w:val="6A991591"/>
    <w:rsid w:val="6A9E6884"/>
    <w:rsid w:val="6A9F1D42"/>
    <w:rsid w:val="6AA01B8A"/>
    <w:rsid w:val="6AA40853"/>
    <w:rsid w:val="6AA460BE"/>
    <w:rsid w:val="6AA46233"/>
    <w:rsid w:val="6AA9240C"/>
    <w:rsid w:val="6AB276BA"/>
    <w:rsid w:val="6ABB5F32"/>
    <w:rsid w:val="6ACF0BEB"/>
    <w:rsid w:val="6AD06ACC"/>
    <w:rsid w:val="6ADE4EB5"/>
    <w:rsid w:val="6AE555AA"/>
    <w:rsid w:val="6AEE6E77"/>
    <w:rsid w:val="6AF41E64"/>
    <w:rsid w:val="6AF52E7A"/>
    <w:rsid w:val="6AF82DDD"/>
    <w:rsid w:val="6AFF4671"/>
    <w:rsid w:val="6B004560"/>
    <w:rsid w:val="6B14628E"/>
    <w:rsid w:val="6B1D3CF7"/>
    <w:rsid w:val="6B357861"/>
    <w:rsid w:val="6B5D1389"/>
    <w:rsid w:val="6B5D5D0B"/>
    <w:rsid w:val="6B6114B5"/>
    <w:rsid w:val="6B657406"/>
    <w:rsid w:val="6B7977C6"/>
    <w:rsid w:val="6B7E4553"/>
    <w:rsid w:val="6B8454C1"/>
    <w:rsid w:val="6B862ACB"/>
    <w:rsid w:val="6B871C75"/>
    <w:rsid w:val="6B8837AA"/>
    <w:rsid w:val="6B9351C1"/>
    <w:rsid w:val="6B9C05BF"/>
    <w:rsid w:val="6B9C0A23"/>
    <w:rsid w:val="6BA32D03"/>
    <w:rsid w:val="6BA50B71"/>
    <w:rsid w:val="6BAF5E94"/>
    <w:rsid w:val="6BB55763"/>
    <w:rsid w:val="6BBA2227"/>
    <w:rsid w:val="6BC134C1"/>
    <w:rsid w:val="6BC24308"/>
    <w:rsid w:val="6BC74F0F"/>
    <w:rsid w:val="6BD101BA"/>
    <w:rsid w:val="6BE549B9"/>
    <w:rsid w:val="6BE960FB"/>
    <w:rsid w:val="6BEF1C6D"/>
    <w:rsid w:val="6BFC16EE"/>
    <w:rsid w:val="6C0174A7"/>
    <w:rsid w:val="6C0D24BB"/>
    <w:rsid w:val="6C1F7C1E"/>
    <w:rsid w:val="6C2A5FD7"/>
    <w:rsid w:val="6C2E625B"/>
    <w:rsid w:val="6C332019"/>
    <w:rsid w:val="6C355191"/>
    <w:rsid w:val="6C3D1216"/>
    <w:rsid w:val="6C4113B2"/>
    <w:rsid w:val="6C4842B7"/>
    <w:rsid w:val="6C4C6F59"/>
    <w:rsid w:val="6C4F50A6"/>
    <w:rsid w:val="6C506E93"/>
    <w:rsid w:val="6C5079CF"/>
    <w:rsid w:val="6C583C12"/>
    <w:rsid w:val="6C6D7299"/>
    <w:rsid w:val="6C76171A"/>
    <w:rsid w:val="6C807554"/>
    <w:rsid w:val="6C8F7B51"/>
    <w:rsid w:val="6C901C6F"/>
    <w:rsid w:val="6C980806"/>
    <w:rsid w:val="6C987836"/>
    <w:rsid w:val="6C9A328A"/>
    <w:rsid w:val="6CAA79C8"/>
    <w:rsid w:val="6CAB65C4"/>
    <w:rsid w:val="6CB40D11"/>
    <w:rsid w:val="6CB93D61"/>
    <w:rsid w:val="6CBE7368"/>
    <w:rsid w:val="6CC3271D"/>
    <w:rsid w:val="6CCA1485"/>
    <w:rsid w:val="6CD4307A"/>
    <w:rsid w:val="6CD531E3"/>
    <w:rsid w:val="6CD7602C"/>
    <w:rsid w:val="6CD9641B"/>
    <w:rsid w:val="6CF00996"/>
    <w:rsid w:val="6CF8304A"/>
    <w:rsid w:val="6D204DEF"/>
    <w:rsid w:val="6D232161"/>
    <w:rsid w:val="6D257373"/>
    <w:rsid w:val="6D280674"/>
    <w:rsid w:val="6D2A38A8"/>
    <w:rsid w:val="6D2C4E9E"/>
    <w:rsid w:val="6D2E5861"/>
    <w:rsid w:val="6D2F06EE"/>
    <w:rsid w:val="6D372895"/>
    <w:rsid w:val="6D3A4FF5"/>
    <w:rsid w:val="6D3C5A4B"/>
    <w:rsid w:val="6D48674F"/>
    <w:rsid w:val="6D521C84"/>
    <w:rsid w:val="6D625E3E"/>
    <w:rsid w:val="6D7F4A91"/>
    <w:rsid w:val="6D916D58"/>
    <w:rsid w:val="6D942995"/>
    <w:rsid w:val="6D96015A"/>
    <w:rsid w:val="6D9E600E"/>
    <w:rsid w:val="6DA118C2"/>
    <w:rsid w:val="6DA248AC"/>
    <w:rsid w:val="6DA417B0"/>
    <w:rsid w:val="6DA713ED"/>
    <w:rsid w:val="6DAB2B11"/>
    <w:rsid w:val="6DB37247"/>
    <w:rsid w:val="6DB57E15"/>
    <w:rsid w:val="6DB70917"/>
    <w:rsid w:val="6DB952F5"/>
    <w:rsid w:val="6DC52887"/>
    <w:rsid w:val="6DCF7348"/>
    <w:rsid w:val="6DD23351"/>
    <w:rsid w:val="6DD7436D"/>
    <w:rsid w:val="6DE05ACB"/>
    <w:rsid w:val="6DE10359"/>
    <w:rsid w:val="6DE4044D"/>
    <w:rsid w:val="6DEF7C6D"/>
    <w:rsid w:val="6DF019AC"/>
    <w:rsid w:val="6DF21255"/>
    <w:rsid w:val="6DF3638E"/>
    <w:rsid w:val="6DF67ECC"/>
    <w:rsid w:val="6DF73811"/>
    <w:rsid w:val="6DFB2888"/>
    <w:rsid w:val="6DFE79D9"/>
    <w:rsid w:val="6E16099F"/>
    <w:rsid w:val="6E1F15B5"/>
    <w:rsid w:val="6E1F2BD4"/>
    <w:rsid w:val="6E1F74B2"/>
    <w:rsid w:val="6E245646"/>
    <w:rsid w:val="6E280A44"/>
    <w:rsid w:val="6E2961BD"/>
    <w:rsid w:val="6E3219A3"/>
    <w:rsid w:val="6E4928B3"/>
    <w:rsid w:val="6E5222BB"/>
    <w:rsid w:val="6E5C7C84"/>
    <w:rsid w:val="6E656116"/>
    <w:rsid w:val="6E6873DD"/>
    <w:rsid w:val="6E697DBB"/>
    <w:rsid w:val="6E723391"/>
    <w:rsid w:val="6E736F2F"/>
    <w:rsid w:val="6E810B20"/>
    <w:rsid w:val="6E8161DB"/>
    <w:rsid w:val="6E8D2F01"/>
    <w:rsid w:val="6E8D632F"/>
    <w:rsid w:val="6E9570B3"/>
    <w:rsid w:val="6E9607C8"/>
    <w:rsid w:val="6E98639C"/>
    <w:rsid w:val="6E99498A"/>
    <w:rsid w:val="6E9B1B78"/>
    <w:rsid w:val="6EA0555F"/>
    <w:rsid w:val="6EB404BA"/>
    <w:rsid w:val="6EB53F7C"/>
    <w:rsid w:val="6EB55D5E"/>
    <w:rsid w:val="6EC06D9B"/>
    <w:rsid w:val="6EC4017B"/>
    <w:rsid w:val="6EC52D36"/>
    <w:rsid w:val="6EC67783"/>
    <w:rsid w:val="6ED142D5"/>
    <w:rsid w:val="6EE1620B"/>
    <w:rsid w:val="6EE738D6"/>
    <w:rsid w:val="6F0357D3"/>
    <w:rsid w:val="6F037C27"/>
    <w:rsid w:val="6F057EFF"/>
    <w:rsid w:val="6F095D58"/>
    <w:rsid w:val="6F0D0B1E"/>
    <w:rsid w:val="6F14204E"/>
    <w:rsid w:val="6F292166"/>
    <w:rsid w:val="6F2C7793"/>
    <w:rsid w:val="6F2D32F4"/>
    <w:rsid w:val="6F2D4561"/>
    <w:rsid w:val="6F2F501D"/>
    <w:rsid w:val="6F311C59"/>
    <w:rsid w:val="6F314530"/>
    <w:rsid w:val="6F3434F9"/>
    <w:rsid w:val="6F37783B"/>
    <w:rsid w:val="6F3A2E52"/>
    <w:rsid w:val="6F3B2F9A"/>
    <w:rsid w:val="6F3E177D"/>
    <w:rsid w:val="6F421604"/>
    <w:rsid w:val="6F423F9E"/>
    <w:rsid w:val="6F4405B7"/>
    <w:rsid w:val="6F443E67"/>
    <w:rsid w:val="6F531A47"/>
    <w:rsid w:val="6F5619A9"/>
    <w:rsid w:val="6F5D07F9"/>
    <w:rsid w:val="6F5E2A9D"/>
    <w:rsid w:val="6F63548B"/>
    <w:rsid w:val="6F6B6C80"/>
    <w:rsid w:val="6F6D2030"/>
    <w:rsid w:val="6F72650D"/>
    <w:rsid w:val="6F7B5F61"/>
    <w:rsid w:val="6F8020A9"/>
    <w:rsid w:val="6F8841D9"/>
    <w:rsid w:val="6F8E6E51"/>
    <w:rsid w:val="6F926966"/>
    <w:rsid w:val="6F931AC6"/>
    <w:rsid w:val="6F9C7EEE"/>
    <w:rsid w:val="6FA626FB"/>
    <w:rsid w:val="6FA70BEA"/>
    <w:rsid w:val="6FC23CB9"/>
    <w:rsid w:val="6FC479E1"/>
    <w:rsid w:val="6FC9138B"/>
    <w:rsid w:val="6FCE0D8D"/>
    <w:rsid w:val="6FCF7E07"/>
    <w:rsid w:val="6FE03B93"/>
    <w:rsid w:val="6FE17034"/>
    <w:rsid w:val="6FEC5097"/>
    <w:rsid w:val="6FED7560"/>
    <w:rsid w:val="6FF052C1"/>
    <w:rsid w:val="6FF12DD6"/>
    <w:rsid w:val="6FF12E41"/>
    <w:rsid w:val="6FF60D80"/>
    <w:rsid w:val="6FFB4997"/>
    <w:rsid w:val="6FFF024B"/>
    <w:rsid w:val="70190CC1"/>
    <w:rsid w:val="70212E66"/>
    <w:rsid w:val="702231E0"/>
    <w:rsid w:val="7028393C"/>
    <w:rsid w:val="702D44DF"/>
    <w:rsid w:val="7030095E"/>
    <w:rsid w:val="703460FB"/>
    <w:rsid w:val="703B5DB5"/>
    <w:rsid w:val="703C790D"/>
    <w:rsid w:val="703F6279"/>
    <w:rsid w:val="704A6A64"/>
    <w:rsid w:val="704B0BAD"/>
    <w:rsid w:val="70586E02"/>
    <w:rsid w:val="705879A3"/>
    <w:rsid w:val="705F0E54"/>
    <w:rsid w:val="705F5DF1"/>
    <w:rsid w:val="706432F7"/>
    <w:rsid w:val="706E4746"/>
    <w:rsid w:val="70741FCB"/>
    <w:rsid w:val="70790410"/>
    <w:rsid w:val="70871EB5"/>
    <w:rsid w:val="708F5AB5"/>
    <w:rsid w:val="708F5EBF"/>
    <w:rsid w:val="70922BD7"/>
    <w:rsid w:val="709E4562"/>
    <w:rsid w:val="70A60206"/>
    <w:rsid w:val="70B14F04"/>
    <w:rsid w:val="70D1648B"/>
    <w:rsid w:val="70D9578B"/>
    <w:rsid w:val="70DB4317"/>
    <w:rsid w:val="70DC187B"/>
    <w:rsid w:val="70E12014"/>
    <w:rsid w:val="70E910DF"/>
    <w:rsid w:val="71042F7F"/>
    <w:rsid w:val="710854BB"/>
    <w:rsid w:val="71092366"/>
    <w:rsid w:val="711D0C25"/>
    <w:rsid w:val="7120424B"/>
    <w:rsid w:val="712053E3"/>
    <w:rsid w:val="7121578A"/>
    <w:rsid w:val="71264A92"/>
    <w:rsid w:val="712933A3"/>
    <w:rsid w:val="712A05F8"/>
    <w:rsid w:val="713025B2"/>
    <w:rsid w:val="71391ACE"/>
    <w:rsid w:val="71406F57"/>
    <w:rsid w:val="7143164F"/>
    <w:rsid w:val="714849F2"/>
    <w:rsid w:val="71512006"/>
    <w:rsid w:val="717543B9"/>
    <w:rsid w:val="717709A4"/>
    <w:rsid w:val="717862CC"/>
    <w:rsid w:val="71821012"/>
    <w:rsid w:val="71855D02"/>
    <w:rsid w:val="7185646F"/>
    <w:rsid w:val="71870807"/>
    <w:rsid w:val="7188284E"/>
    <w:rsid w:val="718B1BD6"/>
    <w:rsid w:val="718B239C"/>
    <w:rsid w:val="718D0D49"/>
    <w:rsid w:val="71912928"/>
    <w:rsid w:val="71A83557"/>
    <w:rsid w:val="71A97E1A"/>
    <w:rsid w:val="71AC31CB"/>
    <w:rsid w:val="71C2747E"/>
    <w:rsid w:val="71C641FD"/>
    <w:rsid w:val="71C64D99"/>
    <w:rsid w:val="71C67DF1"/>
    <w:rsid w:val="71E50D15"/>
    <w:rsid w:val="71E606A7"/>
    <w:rsid w:val="71E60FAD"/>
    <w:rsid w:val="71F42C21"/>
    <w:rsid w:val="720F09B2"/>
    <w:rsid w:val="72107CDA"/>
    <w:rsid w:val="72217502"/>
    <w:rsid w:val="7225206E"/>
    <w:rsid w:val="722748C4"/>
    <w:rsid w:val="72322C3D"/>
    <w:rsid w:val="72422C07"/>
    <w:rsid w:val="72444ECA"/>
    <w:rsid w:val="72464858"/>
    <w:rsid w:val="72511B5D"/>
    <w:rsid w:val="726174B5"/>
    <w:rsid w:val="72622B72"/>
    <w:rsid w:val="72664169"/>
    <w:rsid w:val="72673BD4"/>
    <w:rsid w:val="72702BAE"/>
    <w:rsid w:val="727400B8"/>
    <w:rsid w:val="7276506E"/>
    <w:rsid w:val="727A76F5"/>
    <w:rsid w:val="72857CC0"/>
    <w:rsid w:val="7288283B"/>
    <w:rsid w:val="728C5FB0"/>
    <w:rsid w:val="72901B0B"/>
    <w:rsid w:val="72922093"/>
    <w:rsid w:val="729360CE"/>
    <w:rsid w:val="72963004"/>
    <w:rsid w:val="72A07647"/>
    <w:rsid w:val="72AF4E04"/>
    <w:rsid w:val="72B32288"/>
    <w:rsid w:val="72BC04E4"/>
    <w:rsid w:val="72BC1A32"/>
    <w:rsid w:val="72BE52C0"/>
    <w:rsid w:val="72D92F1C"/>
    <w:rsid w:val="72E04997"/>
    <w:rsid w:val="72E2280F"/>
    <w:rsid w:val="72F91E5B"/>
    <w:rsid w:val="72FC3B4E"/>
    <w:rsid w:val="73076852"/>
    <w:rsid w:val="730B125D"/>
    <w:rsid w:val="730B5BE3"/>
    <w:rsid w:val="730C5394"/>
    <w:rsid w:val="730F17A2"/>
    <w:rsid w:val="73174CF0"/>
    <w:rsid w:val="731E61C3"/>
    <w:rsid w:val="73227ECA"/>
    <w:rsid w:val="732816C8"/>
    <w:rsid w:val="73314144"/>
    <w:rsid w:val="73314A03"/>
    <w:rsid w:val="73325F51"/>
    <w:rsid w:val="73337761"/>
    <w:rsid w:val="73427B43"/>
    <w:rsid w:val="73442024"/>
    <w:rsid w:val="73442E10"/>
    <w:rsid w:val="734451AE"/>
    <w:rsid w:val="7351368E"/>
    <w:rsid w:val="73593E21"/>
    <w:rsid w:val="73662929"/>
    <w:rsid w:val="736654AB"/>
    <w:rsid w:val="73782B0A"/>
    <w:rsid w:val="737F683D"/>
    <w:rsid w:val="738D5BBF"/>
    <w:rsid w:val="73AB4618"/>
    <w:rsid w:val="73CB1FD2"/>
    <w:rsid w:val="73D57E90"/>
    <w:rsid w:val="73DB527F"/>
    <w:rsid w:val="73E7580B"/>
    <w:rsid w:val="73E77898"/>
    <w:rsid w:val="73F20558"/>
    <w:rsid w:val="73F80634"/>
    <w:rsid w:val="73FD6050"/>
    <w:rsid w:val="74004D86"/>
    <w:rsid w:val="740642E2"/>
    <w:rsid w:val="742E255A"/>
    <w:rsid w:val="74366CE4"/>
    <w:rsid w:val="7439386B"/>
    <w:rsid w:val="743B5AD1"/>
    <w:rsid w:val="743B7343"/>
    <w:rsid w:val="744272C3"/>
    <w:rsid w:val="744973E1"/>
    <w:rsid w:val="74521A39"/>
    <w:rsid w:val="74564E1C"/>
    <w:rsid w:val="745D74B3"/>
    <w:rsid w:val="745E2D3F"/>
    <w:rsid w:val="7460187C"/>
    <w:rsid w:val="74601EEF"/>
    <w:rsid w:val="7466373E"/>
    <w:rsid w:val="746B0554"/>
    <w:rsid w:val="746F5583"/>
    <w:rsid w:val="747A069E"/>
    <w:rsid w:val="747B7A2A"/>
    <w:rsid w:val="748152F3"/>
    <w:rsid w:val="74864095"/>
    <w:rsid w:val="748C0681"/>
    <w:rsid w:val="74976844"/>
    <w:rsid w:val="749D4E5E"/>
    <w:rsid w:val="74AD3742"/>
    <w:rsid w:val="74AE2F46"/>
    <w:rsid w:val="74B4051A"/>
    <w:rsid w:val="74C9464C"/>
    <w:rsid w:val="74CA459D"/>
    <w:rsid w:val="74D13D14"/>
    <w:rsid w:val="74D65C48"/>
    <w:rsid w:val="74D90528"/>
    <w:rsid w:val="74D967E2"/>
    <w:rsid w:val="74DC21DB"/>
    <w:rsid w:val="74E40154"/>
    <w:rsid w:val="74E63EE0"/>
    <w:rsid w:val="74EB6FF5"/>
    <w:rsid w:val="74EE1BD0"/>
    <w:rsid w:val="74F55277"/>
    <w:rsid w:val="74F87F79"/>
    <w:rsid w:val="7505070F"/>
    <w:rsid w:val="75090DF9"/>
    <w:rsid w:val="750A5B4E"/>
    <w:rsid w:val="751067CB"/>
    <w:rsid w:val="751278F2"/>
    <w:rsid w:val="7513472C"/>
    <w:rsid w:val="75146883"/>
    <w:rsid w:val="751A47F9"/>
    <w:rsid w:val="752C4ACA"/>
    <w:rsid w:val="753A3B82"/>
    <w:rsid w:val="75453116"/>
    <w:rsid w:val="754763C5"/>
    <w:rsid w:val="75480F09"/>
    <w:rsid w:val="75520470"/>
    <w:rsid w:val="7558285E"/>
    <w:rsid w:val="755B32F8"/>
    <w:rsid w:val="755E209D"/>
    <w:rsid w:val="756008C7"/>
    <w:rsid w:val="756B5851"/>
    <w:rsid w:val="75715E5D"/>
    <w:rsid w:val="75736787"/>
    <w:rsid w:val="757D33AE"/>
    <w:rsid w:val="75842848"/>
    <w:rsid w:val="75880DDF"/>
    <w:rsid w:val="758C61DC"/>
    <w:rsid w:val="75A070D2"/>
    <w:rsid w:val="75A5797C"/>
    <w:rsid w:val="75A91BC1"/>
    <w:rsid w:val="75B47EFC"/>
    <w:rsid w:val="75C4757C"/>
    <w:rsid w:val="75D22080"/>
    <w:rsid w:val="75D376A8"/>
    <w:rsid w:val="75D629A2"/>
    <w:rsid w:val="75E12075"/>
    <w:rsid w:val="75E24B9F"/>
    <w:rsid w:val="75E33980"/>
    <w:rsid w:val="75E94A94"/>
    <w:rsid w:val="75EB1215"/>
    <w:rsid w:val="75EF275F"/>
    <w:rsid w:val="75F247B9"/>
    <w:rsid w:val="75F407F3"/>
    <w:rsid w:val="75F8610F"/>
    <w:rsid w:val="75FC2D3B"/>
    <w:rsid w:val="75FD35C9"/>
    <w:rsid w:val="760508B2"/>
    <w:rsid w:val="760E6CD2"/>
    <w:rsid w:val="762D3C28"/>
    <w:rsid w:val="763A291F"/>
    <w:rsid w:val="764B2498"/>
    <w:rsid w:val="765B0DE9"/>
    <w:rsid w:val="765F5224"/>
    <w:rsid w:val="76663E9A"/>
    <w:rsid w:val="7667156A"/>
    <w:rsid w:val="76685502"/>
    <w:rsid w:val="766B017F"/>
    <w:rsid w:val="766E102C"/>
    <w:rsid w:val="7674738D"/>
    <w:rsid w:val="767D16B3"/>
    <w:rsid w:val="768D283B"/>
    <w:rsid w:val="768F0188"/>
    <w:rsid w:val="76910070"/>
    <w:rsid w:val="769E1863"/>
    <w:rsid w:val="769E2AC0"/>
    <w:rsid w:val="76A40FD5"/>
    <w:rsid w:val="76BC1687"/>
    <w:rsid w:val="76C15473"/>
    <w:rsid w:val="76C916FB"/>
    <w:rsid w:val="76CC2419"/>
    <w:rsid w:val="76E2262F"/>
    <w:rsid w:val="76E935B9"/>
    <w:rsid w:val="76F25754"/>
    <w:rsid w:val="770233A9"/>
    <w:rsid w:val="7704121F"/>
    <w:rsid w:val="770B3E57"/>
    <w:rsid w:val="771F1FB4"/>
    <w:rsid w:val="77200CEA"/>
    <w:rsid w:val="772C41B2"/>
    <w:rsid w:val="77381883"/>
    <w:rsid w:val="773C1386"/>
    <w:rsid w:val="77412645"/>
    <w:rsid w:val="7745106F"/>
    <w:rsid w:val="77520081"/>
    <w:rsid w:val="775330E8"/>
    <w:rsid w:val="77555855"/>
    <w:rsid w:val="77565B13"/>
    <w:rsid w:val="77566279"/>
    <w:rsid w:val="775D7AF3"/>
    <w:rsid w:val="776231F5"/>
    <w:rsid w:val="7769548D"/>
    <w:rsid w:val="77715A73"/>
    <w:rsid w:val="777F5ADA"/>
    <w:rsid w:val="77802060"/>
    <w:rsid w:val="778C5D39"/>
    <w:rsid w:val="779575C5"/>
    <w:rsid w:val="77A94C4A"/>
    <w:rsid w:val="77AB24A4"/>
    <w:rsid w:val="77AF5E71"/>
    <w:rsid w:val="77B24E1F"/>
    <w:rsid w:val="77C6291B"/>
    <w:rsid w:val="77C75378"/>
    <w:rsid w:val="77CC55A5"/>
    <w:rsid w:val="77DE288F"/>
    <w:rsid w:val="77E06AEF"/>
    <w:rsid w:val="77E666AE"/>
    <w:rsid w:val="77F856AF"/>
    <w:rsid w:val="780762F1"/>
    <w:rsid w:val="78080A73"/>
    <w:rsid w:val="78171B16"/>
    <w:rsid w:val="7818732C"/>
    <w:rsid w:val="78280D01"/>
    <w:rsid w:val="782B4566"/>
    <w:rsid w:val="783119C0"/>
    <w:rsid w:val="78361226"/>
    <w:rsid w:val="783634B7"/>
    <w:rsid w:val="784A3C3E"/>
    <w:rsid w:val="784F135E"/>
    <w:rsid w:val="78551DB0"/>
    <w:rsid w:val="78571FC3"/>
    <w:rsid w:val="786310B4"/>
    <w:rsid w:val="78690BE7"/>
    <w:rsid w:val="786B5176"/>
    <w:rsid w:val="786D295E"/>
    <w:rsid w:val="786F5E3C"/>
    <w:rsid w:val="787B6F2A"/>
    <w:rsid w:val="788D5505"/>
    <w:rsid w:val="789631B7"/>
    <w:rsid w:val="789645D7"/>
    <w:rsid w:val="789D7D7A"/>
    <w:rsid w:val="78A454B6"/>
    <w:rsid w:val="78A61523"/>
    <w:rsid w:val="78A87343"/>
    <w:rsid w:val="78B67FFE"/>
    <w:rsid w:val="78BA660B"/>
    <w:rsid w:val="78C042AD"/>
    <w:rsid w:val="78C14214"/>
    <w:rsid w:val="78C80E8F"/>
    <w:rsid w:val="78D4131C"/>
    <w:rsid w:val="78DB30F6"/>
    <w:rsid w:val="78DD7918"/>
    <w:rsid w:val="78EF5B22"/>
    <w:rsid w:val="78F5723F"/>
    <w:rsid w:val="78F744F5"/>
    <w:rsid w:val="78FF06E0"/>
    <w:rsid w:val="78FF2458"/>
    <w:rsid w:val="79007476"/>
    <w:rsid w:val="79011DF0"/>
    <w:rsid w:val="7902189F"/>
    <w:rsid w:val="79041697"/>
    <w:rsid w:val="79051934"/>
    <w:rsid w:val="790747B9"/>
    <w:rsid w:val="790A1B47"/>
    <w:rsid w:val="790E706B"/>
    <w:rsid w:val="79124145"/>
    <w:rsid w:val="79197DE4"/>
    <w:rsid w:val="79200EB5"/>
    <w:rsid w:val="792A436C"/>
    <w:rsid w:val="794E032C"/>
    <w:rsid w:val="79591AA4"/>
    <w:rsid w:val="796F3064"/>
    <w:rsid w:val="7971372D"/>
    <w:rsid w:val="79811EE4"/>
    <w:rsid w:val="798C3CB4"/>
    <w:rsid w:val="798D2FE9"/>
    <w:rsid w:val="799D1605"/>
    <w:rsid w:val="799F228B"/>
    <w:rsid w:val="79A72307"/>
    <w:rsid w:val="79B030D1"/>
    <w:rsid w:val="79B318E0"/>
    <w:rsid w:val="79D25461"/>
    <w:rsid w:val="79DC73EC"/>
    <w:rsid w:val="79EE36C4"/>
    <w:rsid w:val="79F405F3"/>
    <w:rsid w:val="79F74522"/>
    <w:rsid w:val="79FA4E11"/>
    <w:rsid w:val="79FD4879"/>
    <w:rsid w:val="7A0128B9"/>
    <w:rsid w:val="7A014CF4"/>
    <w:rsid w:val="7A023991"/>
    <w:rsid w:val="7A043364"/>
    <w:rsid w:val="7A05511A"/>
    <w:rsid w:val="7A101E9D"/>
    <w:rsid w:val="7A2232BD"/>
    <w:rsid w:val="7A293D9F"/>
    <w:rsid w:val="7A2F6ED8"/>
    <w:rsid w:val="7A3A0E53"/>
    <w:rsid w:val="7A4B23CD"/>
    <w:rsid w:val="7A520B22"/>
    <w:rsid w:val="7A5447CB"/>
    <w:rsid w:val="7A544990"/>
    <w:rsid w:val="7A574A55"/>
    <w:rsid w:val="7A581821"/>
    <w:rsid w:val="7A607887"/>
    <w:rsid w:val="7A6D7B67"/>
    <w:rsid w:val="7A852026"/>
    <w:rsid w:val="7A8E0488"/>
    <w:rsid w:val="7A9D3A42"/>
    <w:rsid w:val="7AA12F34"/>
    <w:rsid w:val="7AAA7E7C"/>
    <w:rsid w:val="7AB71F16"/>
    <w:rsid w:val="7AC2685F"/>
    <w:rsid w:val="7AC3186C"/>
    <w:rsid w:val="7AC40C70"/>
    <w:rsid w:val="7AC7075B"/>
    <w:rsid w:val="7AC92C21"/>
    <w:rsid w:val="7ACB4A20"/>
    <w:rsid w:val="7ACC21A0"/>
    <w:rsid w:val="7ACD368A"/>
    <w:rsid w:val="7ACE7279"/>
    <w:rsid w:val="7AD110F9"/>
    <w:rsid w:val="7AD519C8"/>
    <w:rsid w:val="7ADC5624"/>
    <w:rsid w:val="7AE620E6"/>
    <w:rsid w:val="7AE74C1C"/>
    <w:rsid w:val="7AE843B5"/>
    <w:rsid w:val="7AEE1EBB"/>
    <w:rsid w:val="7AFA54D0"/>
    <w:rsid w:val="7AFE7F4E"/>
    <w:rsid w:val="7B031A2E"/>
    <w:rsid w:val="7B0C6345"/>
    <w:rsid w:val="7B1A464C"/>
    <w:rsid w:val="7B1D12D7"/>
    <w:rsid w:val="7B206132"/>
    <w:rsid w:val="7B211E78"/>
    <w:rsid w:val="7B2916D6"/>
    <w:rsid w:val="7B2D175E"/>
    <w:rsid w:val="7B2D56F3"/>
    <w:rsid w:val="7B337A75"/>
    <w:rsid w:val="7B3D6545"/>
    <w:rsid w:val="7B425820"/>
    <w:rsid w:val="7B440556"/>
    <w:rsid w:val="7B466DA7"/>
    <w:rsid w:val="7B497734"/>
    <w:rsid w:val="7B4A3691"/>
    <w:rsid w:val="7B4B5733"/>
    <w:rsid w:val="7B4F112E"/>
    <w:rsid w:val="7B5B6515"/>
    <w:rsid w:val="7B5D628D"/>
    <w:rsid w:val="7B5D68DA"/>
    <w:rsid w:val="7B60656F"/>
    <w:rsid w:val="7B612804"/>
    <w:rsid w:val="7B6E2628"/>
    <w:rsid w:val="7B6F434B"/>
    <w:rsid w:val="7B7838EF"/>
    <w:rsid w:val="7B7909DF"/>
    <w:rsid w:val="7B7A6AA4"/>
    <w:rsid w:val="7B7D21E9"/>
    <w:rsid w:val="7B7F1A3F"/>
    <w:rsid w:val="7B81166C"/>
    <w:rsid w:val="7B820D4C"/>
    <w:rsid w:val="7B837282"/>
    <w:rsid w:val="7B860BEA"/>
    <w:rsid w:val="7B8C3F56"/>
    <w:rsid w:val="7B9A34AC"/>
    <w:rsid w:val="7BA93A02"/>
    <w:rsid w:val="7BB61E1D"/>
    <w:rsid w:val="7BBB531D"/>
    <w:rsid w:val="7BBD575A"/>
    <w:rsid w:val="7BC715E2"/>
    <w:rsid w:val="7BD134BA"/>
    <w:rsid w:val="7BE570CD"/>
    <w:rsid w:val="7BE73DB6"/>
    <w:rsid w:val="7BEA2555"/>
    <w:rsid w:val="7BEF35D1"/>
    <w:rsid w:val="7BF05951"/>
    <w:rsid w:val="7BFD4AF0"/>
    <w:rsid w:val="7BFE370C"/>
    <w:rsid w:val="7C012DB1"/>
    <w:rsid w:val="7C02450C"/>
    <w:rsid w:val="7C0573B1"/>
    <w:rsid w:val="7C0D668C"/>
    <w:rsid w:val="7C1342E4"/>
    <w:rsid w:val="7C1471E8"/>
    <w:rsid w:val="7C162D03"/>
    <w:rsid w:val="7C2424A8"/>
    <w:rsid w:val="7C271F22"/>
    <w:rsid w:val="7C29514F"/>
    <w:rsid w:val="7C33271D"/>
    <w:rsid w:val="7C411999"/>
    <w:rsid w:val="7C4176A9"/>
    <w:rsid w:val="7C564728"/>
    <w:rsid w:val="7C58027C"/>
    <w:rsid w:val="7C6265A4"/>
    <w:rsid w:val="7C696307"/>
    <w:rsid w:val="7C6B18AE"/>
    <w:rsid w:val="7C715830"/>
    <w:rsid w:val="7C740B00"/>
    <w:rsid w:val="7C773756"/>
    <w:rsid w:val="7C98544D"/>
    <w:rsid w:val="7C9E315C"/>
    <w:rsid w:val="7CA365FE"/>
    <w:rsid w:val="7CB5518D"/>
    <w:rsid w:val="7CB608D7"/>
    <w:rsid w:val="7CB957EA"/>
    <w:rsid w:val="7CBF016E"/>
    <w:rsid w:val="7CD81839"/>
    <w:rsid w:val="7CDD2883"/>
    <w:rsid w:val="7CE23E90"/>
    <w:rsid w:val="7CE34F08"/>
    <w:rsid w:val="7CE45777"/>
    <w:rsid w:val="7CEE7936"/>
    <w:rsid w:val="7CF229A8"/>
    <w:rsid w:val="7CF87373"/>
    <w:rsid w:val="7D014EEF"/>
    <w:rsid w:val="7D067C86"/>
    <w:rsid w:val="7D0752E1"/>
    <w:rsid w:val="7D0E728E"/>
    <w:rsid w:val="7D123597"/>
    <w:rsid w:val="7D1A57E9"/>
    <w:rsid w:val="7D1B780D"/>
    <w:rsid w:val="7D42190C"/>
    <w:rsid w:val="7D422FF6"/>
    <w:rsid w:val="7D467245"/>
    <w:rsid w:val="7D5C18B8"/>
    <w:rsid w:val="7D5F1B8F"/>
    <w:rsid w:val="7D602CCA"/>
    <w:rsid w:val="7D627AB0"/>
    <w:rsid w:val="7D637CE7"/>
    <w:rsid w:val="7D6E13FC"/>
    <w:rsid w:val="7D751DDA"/>
    <w:rsid w:val="7D787328"/>
    <w:rsid w:val="7D79256C"/>
    <w:rsid w:val="7D7C1E94"/>
    <w:rsid w:val="7D7C6B39"/>
    <w:rsid w:val="7D7F1198"/>
    <w:rsid w:val="7D7F2C35"/>
    <w:rsid w:val="7D951C8A"/>
    <w:rsid w:val="7D9A3792"/>
    <w:rsid w:val="7D9C4CCE"/>
    <w:rsid w:val="7DA036C6"/>
    <w:rsid w:val="7DA06D7F"/>
    <w:rsid w:val="7DA25A1C"/>
    <w:rsid w:val="7DA322DD"/>
    <w:rsid w:val="7DAE34C6"/>
    <w:rsid w:val="7DC12933"/>
    <w:rsid w:val="7DC27780"/>
    <w:rsid w:val="7DC65522"/>
    <w:rsid w:val="7DD13D56"/>
    <w:rsid w:val="7DD62162"/>
    <w:rsid w:val="7DDE7A74"/>
    <w:rsid w:val="7DE52D2C"/>
    <w:rsid w:val="7DEA0D3A"/>
    <w:rsid w:val="7DF311D2"/>
    <w:rsid w:val="7DF87907"/>
    <w:rsid w:val="7DFB30CF"/>
    <w:rsid w:val="7E015081"/>
    <w:rsid w:val="7E0A6227"/>
    <w:rsid w:val="7E12402C"/>
    <w:rsid w:val="7E191425"/>
    <w:rsid w:val="7E20126C"/>
    <w:rsid w:val="7E2122F6"/>
    <w:rsid w:val="7E2F5189"/>
    <w:rsid w:val="7E37290C"/>
    <w:rsid w:val="7E3D45D6"/>
    <w:rsid w:val="7E4A5DE2"/>
    <w:rsid w:val="7E4C25EB"/>
    <w:rsid w:val="7E4E67A7"/>
    <w:rsid w:val="7E537C9F"/>
    <w:rsid w:val="7E5B7134"/>
    <w:rsid w:val="7E643D0E"/>
    <w:rsid w:val="7E6B0E78"/>
    <w:rsid w:val="7E7A2460"/>
    <w:rsid w:val="7E7A3CC6"/>
    <w:rsid w:val="7E7E33C7"/>
    <w:rsid w:val="7E846CD5"/>
    <w:rsid w:val="7E87131C"/>
    <w:rsid w:val="7E8A58C4"/>
    <w:rsid w:val="7E8D449B"/>
    <w:rsid w:val="7EA343FC"/>
    <w:rsid w:val="7EB04C55"/>
    <w:rsid w:val="7EB87E03"/>
    <w:rsid w:val="7EBA7BEC"/>
    <w:rsid w:val="7EBD5546"/>
    <w:rsid w:val="7ECE3578"/>
    <w:rsid w:val="7ED77890"/>
    <w:rsid w:val="7ED87F42"/>
    <w:rsid w:val="7EE84941"/>
    <w:rsid w:val="7EF73875"/>
    <w:rsid w:val="7F061B28"/>
    <w:rsid w:val="7F0A2AF0"/>
    <w:rsid w:val="7F0A32AF"/>
    <w:rsid w:val="7F0F3270"/>
    <w:rsid w:val="7F1A5681"/>
    <w:rsid w:val="7F2262C4"/>
    <w:rsid w:val="7F3157C3"/>
    <w:rsid w:val="7F3B131E"/>
    <w:rsid w:val="7F3F0111"/>
    <w:rsid w:val="7F407037"/>
    <w:rsid w:val="7F444C90"/>
    <w:rsid w:val="7F5172C9"/>
    <w:rsid w:val="7F552707"/>
    <w:rsid w:val="7F556EE4"/>
    <w:rsid w:val="7F585835"/>
    <w:rsid w:val="7F58706B"/>
    <w:rsid w:val="7F6E7343"/>
    <w:rsid w:val="7F743D6C"/>
    <w:rsid w:val="7F757FFD"/>
    <w:rsid w:val="7F7867CC"/>
    <w:rsid w:val="7F797BDF"/>
    <w:rsid w:val="7F7F0D77"/>
    <w:rsid w:val="7F847645"/>
    <w:rsid w:val="7F923310"/>
    <w:rsid w:val="7F935907"/>
    <w:rsid w:val="7F9553EE"/>
    <w:rsid w:val="7F965B6B"/>
    <w:rsid w:val="7F9B4632"/>
    <w:rsid w:val="7FA04A59"/>
    <w:rsid w:val="7FAB38A1"/>
    <w:rsid w:val="7FB30534"/>
    <w:rsid w:val="7FB758AA"/>
    <w:rsid w:val="7FBC5AB9"/>
    <w:rsid w:val="7FBC63A1"/>
    <w:rsid w:val="7FBE6E55"/>
    <w:rsid w:val="7FC3062B"/>
    <w:rsid w:val="7FD258FC"/>
    <w:rsid w:val="7FEE79CD"/>
    <w:rsid w:val="7FF07F79"/>
    <w:rsid w:val="7FF611AA"/>
    <w:rsid w:val="7FF73E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firstLine="200" w:firstLineChars="200"/>
      <w:jc w:val="both"/>
    </w:pPr>
    <w:rPr>
      <w:rFonts w:ascii="Times New Roman" w:hAnsi="Times New Roman" w:eastAsia="宋体" w:cstheme="minorBidi"/>
      <w:kern w:val="2"/>
      <w:sz w:val="24"/>
      <w:szCs w:val="24"/>
      <w:lang w:val="en-US" w:eastAsia="zh-CN" w:bidi="ar-SA"/>
    </w:rPr>
  </w:style>
  <w:style w:type="paragraph" w:styleId="3">
    <w:name w:val="heading 1"/>
    <w:basedOn w:val="1"/>
    <w:next w:val="1"/>
    <w:link w:val="53"/>
    <w:qFormat/>
    <w:uiPriority w:val="0"/>
    <w:pPr>
      <w:keepNext/>
      <w:keepLines/>
      <w:spacing w:before="50" w:beforeLines="50" w:after="50" w:afterLines="50"/>
      <w:ind w:firstLine="0" w:firstLineChars="0"/>
      <w:jc w:val="center"/>
      <w:outlineLvl w:val="0"/>
    </w:pPr>
    <w:rPr>
      <w:b/>
      <w:spacing w:val="23"/>
      <w:kern w:val="44"/>
      <w:sz w:val="32"/>
    </w:rPr>
  </w:style>
  <w:style w:type="paragraph" w:styleId="4">
    <w:name w:val="heading 2"/>
    <w:basedOn w:val="1"/>
    <w:next w:val="1"/>
    <w:link w:val="45"/>
    <w:unhideWhenUsed/>
    <w:qFormat/>
    <w:uiPriority w:val="0"/>
    <w:pPr>
      <w:keepNext/>
      <w:keepLines/>
      <w:spacing w:before="40" w:beforeLines="40"/>
      <w:ind w:firstLine="0" w:firstLineChars="0"/>
      <w:outlineLvl w:val="1"/>
    </w:pPr>
    <w:rPr>
      <w:b/>
      <w:sz w:val="28"/>
      <w:szCs w:val="28"/>
    </w:rPr>
  </w:style>
  <w:style w:type="paragraph" w:styleId="5">
    <w:name w:val="heading 3"/>
    <w:basedOn w:val="1"/>
    <w:next w:val="1"/>
    <w:link w:val="56"/>
    <w:unhideWhenUsed/>
    <w:qFormat/>
    <w:uiPriority w:val="0"/>
    <w:pPr>
      <w:keepNext/>
      <w:keepLines/>
      <w:spacing w:before="20" w:beforeLines="20"/>
      <w:outlineLvl w:val="2"/>
    </w:pPr>
    <w:rPr>
      <w:b/>
    </w:rPr>
  </w:style>
  <w:style w:type="paragraph" w:styleId="6">
    <w:name w:val="heading 4"/>
    <w:basedOn w:val="1"/>
    <w:next w:val="1"/>
    <w:link w:val="46"/>
    <w:unhideWhenUsed/>
    <w:qFormat/>
    <w:uiPriority w:val="0"/>
    <w:pPr>
      <w:tabs>
        <w:tab w:val="left" w:pos="864"/>
      </w:tabs>
      <w:outlineLvl w:val="3"/>
    </w:pPr>
    <w:rPr>
      <w:b/>
    </w:rPr>
  </w:style>
  <w:style w:type="paragraph" w:styleId="7">
    <w:name w:val="heading 5"/>
    <w:basedOn w:val="1"/>
    <w:next w:val="2"/>
    <w:unhideWhenUsed/>
    <w:qFormat/>
    <w:uiPriority w:val="0"/>
    <w:pPr>
      <w:keepNext/>
      <w:keepLines/>
      <w:spacing w:before="280" w:after="290" w:line="372" w:lineRule="auto"/>
      <w:outlineLvl w:val="4"/>
    </w:pPr>
    <w:rPr>
      <w:b/>
      <w:sz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pPr>
  </w:style>
  <w:style w:type="paragraph" w:styleId="8">
    <w:name w:val="caption"/>
    <w:basedOn w:val="1"/>
    <w:next w:val="1"/>
    <w:link w:val="129"/>
    <w:qFormat/>
    <w:uiPriority w:val="0"/>
    <w:pPr>
      <w:adjustRightInd w:val="0"/>
      <w:snapToGrid w:val="0"/>
      <w:jc w:val="center"/>
    </w:pPr>
    <w:rPr>
      <w:b/>
    </w:rPr>
  </w:style>
  <w:style w:type="paragraph" w:styleId="9">
    <w:name w:val="annotation text"/>
    <w:basedOn w:val="1"/>
    <w:qFormat/>
    <w:uiPriority w:val="0"/>
  </w:style>
  <w:style w:type="paragraph" w:styleId="10">
    <w:name w:val="Body Text"/>
    <w:basedOn w:val="1"/>
    <w:link w:val="50"/>
    <w:qFormat/>
    <w:uiPriority w:val="0"/>
    <w:pPr>
      <w:spacing w:after="120"/>
    </w:pPr>
  </w:style>
  <w:style w:type="paragraph" w:styleId="11">
    <w:name w:val="Body Text Indent"/>
    <w:basedOn w:val="1"/>
    <w:next w:val="12"/>
    <w:qFormat/>
    <w:uiPriority w:val="0"/>
    <w:pPr>
      <w:adjustRightInd w:val="0"/>
      <w:snapToGrid w:val="0"/>
      <w:spacing w:before="78" w:beforeLines="25" w:after="78" w:afterLines="25"/>
      <w:ind w:firstLine="540" w:firstLineChars="225"/>
    </w:pPr>
    <w:rPr>
      <w:rFonts w:ascii="Bookman Old Style" w:hAnsi="Bookman Old Style"/>
      <w:szCs w:val="20"/>
    </w:rPr>
  </w:style>
  <w:style w:type="paragraph" w:styleId="12">
    <w:name w:val="Body Text Indent 2"/>
    <w:basedOn w:val="1"/>
    <w:qFormat/>
    <w:uiPriority w:val="0"/>
    <w:pPr>
      <w:spacing w:after="120" w:line="480" w:lineRule="auto"/>
      <w:ind w:left="420" w:leftChars="200"/>
    </w:pPr>
    <w:rPr>
      <w:rFonts w:ascii="Times New Roman" w:hAnsi="Times New Roman"/>
      <w:sz w:val="21"/>
      <w:szCs w:val="24"/>
    </w:rPr>
  </w:style>
  <w:style w:type="paragraph" w:styleId="13">
    <w:name w:val="Plain Text"/>
    <w:basedOn w:val="1"/>
    <w:qFormat/>
    <w:uiPriority w:val="0"/>
    <w:rPr>
      <w:rFonts w:ascii="宋体" w:hAnsi="Courier New" w:cs="Times New Roman"/>
      <w:szCs w:val="20"/>
    </w:rPr>
  </w:style>
  <w:style w:type="paragraph" w:styleId="14">
    <w:name w:val="Balloon Text"/>
    <w:basedOn w:val="1"/>
    <w:link w:val="100"/>
    <w:qFormat/>
    <w:uiPriority w:val="0"/>
    <w:pPr>
      <w:spacing w:line="240" w:lineRule="auto"/>
    </w:pPr>
    <w:rPr>
      <w:sz w:val="18"/>
      <w:szCs w:val="18"/>
    </w:rPr>
  </w:style>
  <w:style w:type="paragraph" w:styleId="15">
    <w:name w:val="footer"/>
    <w:basedOn w:val="1"/>
    <w:link w:val="49"/>
    <w:qFormat/>
    <w:uiPriority w:val="0"/>
    <w:pPr>
      <w:tabs>
        <w:tab w:val="center" w:pos="4153"/>
        <w:tab w:val="right" w:pos="8306"/>
      </w:tabs>
      <w:snapToGrid w:val="0"/>
    </w:pPr>
    <w:rPr>
      <w:sz w:val="18"/>
    </w:rPr>
  </w:style>
  <w:style w:type="paragraph" w:styleId="16">
    <w:name w:val="header"/>
    <w:basedOn w:val="1"/>
    <w:link w:val="4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7">
    <w:name w:val="toc 1"/>
    <w:basedOn w:val="1"/>
    <w:next w:val="1"/>
    <w:qFormat/>
    <w:uiPriority w:val="39"/>
    <w:pPr>
      <w:ind w:firstLine="0" w:firstLineChars="0"/>
    </w:pPr>
    <w:rPr>
      <w:b/>
    </w:rPr>
  </w:style>
  <w:style w:type="paragraph" w:styleId="18">
    <w:name w:val="Body Text Indent 3"/>
    <w:basedOn w:val="1"/>
    <w:qFormat/>
    <w:uiPriority w:val="0"/>
    <w:pPr>
      <w:ind w:firstLine="555"/>
    </w:pPr>
  </w:style>
  <w:style w:type="paragraph" w:styleId="19">
    <w:name w:val="toc 2"/>
    <w:basedOn w:val="1"/>
    <w:next w:val="1"/>
    <w:qFormat/>
    <w:uiPriority w:val="39"/>
  </w:style>
  <w:style w:type="paragraph" w:styleId="20">
    <w:name w:val="Normal (Web)"/>
    <w:basedOn w:val="1"/>
    <w:qFormat/>
    <w:uiPriority w:val="0"/>
    <w:pPr>
      <w:spacing w:beforeAutospacing="1" w:afterAutospacing="1"/>
    </w:pPr>
    <w:rPr>
      <w:rFonts w:cs="Times New Roman"/>
      <w:kern w:val="0"/>
    </w:rPr>
  </w:style>
  <w:style w:type="paragraph" w:styleId="21">
    <w:name w:val="annotation subject"/>
    <w:basedOn w:val="9"/>
    <w:next w:val="9"/>
    <w:qFormat/>
    <w:uiPriority w:val="0"/>
    <w:pPr>
      <w:spacing w:line="240" w:lineRule="auto"/>
      <w:ind w:firstLine="0" w:firstLineChars="0"/>
      <w:jc w:val="center"/>
    </w:pPr>
    <w:rPr>
      <w:b/>
      <w:bCs/>
      <w:sz w:val="21"/>
    </w:rPr>
  </w:style>
  <w:style w:type="paragraph" w:styleId="22">
    <w:name w:val="Body Text First Indent"/>
    <w:basedOn w:val="10"/>
    <w:qFormat/>
    <w:uiPriority w:val="0"/>
    <w:pPr>
      <w:ind w:firstLine="420" w:firstLineChars="100"/>
    </w:pPr>
    <w:rPr>
      <w:sz w:val="21"/>
    </w:rPr>
  </w:style>
  <w:style w:type="paragraph" w:styleId="23">
    <w:name w:val="Body Text First Indent 2"/>
    <w:basedOn w:val="1"/>
    <w:next w:val="1"/>
    <w:semiHidden/>
    <w:unhideWhenUsed/>
    <w:qFormat/>
    <w:uiPriority w:val="0"/>
    <w:pPr>
      <w:ind w:firstLine="420" w:firstLineChars="200"/>
    </w:pPr>
  </w:style>
  <w:style w:type="table" w:styleId="25">
    <w:name w:val="Table Grid"/>
    <w:basedOn w:val="24"/>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qFormat/>
    <w:uiPriority w:val="0"/>
    <w:rPr>
      <w:b/>
      <w:bCs/>
    </w:rPr>
  </w:style>
  <w:style w:type="character" w:styleId="28">
    <w:name w:val="page number"/>
    <w:basedOn w:val="26"/>
    <w:qFormat/>
    <w:uiPriority w:val="0"/>
  </w:style>
  <w:style w:type="character" w:styleId="29">
    <w:name w:val="FollowedHyperlink"/>
    <w:basedOn w:val="26"/>
    <w:qFormat/>
    <w:uiPriority w:val="0"/>
    <w:rPr>
      <w:color w:val="000000"/>
      <w:u w:val="none"/>
    </w:rPr>
  </w:style>
  <w:style w:type="character" w:styleId="30">
    <w:name w:val="Emphasis"/>
    <w:basedOn w:val="26"/>
    <w:qFormat/>
    <w:uiPriority w:val="0"/>
  </w:style>
  <w:style w:type="character" w:styleId="31">
    <w:name w:val="HTML Definition"/>
    <w:basedOn w:val="26"/>
    <w:qFormat/>
    <w:uiPriority w:val="0"/>
  </w:style>
  <w:style w:type="character" w:styleId="32">
    <w:name w:val="HTML Variable"/>
    <w:basedOn w:val="26"/>
    <w:qFormat/>
    <w:uiPriority w:val="0"/>
  </w:style>
  <w:style w:type="character" w:styleId="33">
    <w:name w:val="Hyperlink"/>
    <w:basedOn w:val="26"/>
    <w:qFormat/>
    <w:uiPriority w:val="99"/>
    <w:rPr>
      <w:color w:val="0000FF"/>
      <w:u w:val="single"/>
    </w:rPr>
  </w:style>
  <w:style w:type="character" w:styleId="34">
    <w:name w:val="HTML Code"/>
    <w:basedOn w:val="26"/>
    <w:qFormat/>
    <w:uiPriority w:val="0"/>
    <w:rPr>
      <w:rFonts w:ascii="Courier New" w:hAnsi="Courier New"/>
      <w:sz w:val="20"/>
    </w:rPr>
  </w:style>
  <w:style w:type="character" w:styleId="35">
    <w:name w:val="annotation reference"/>
    <w:basedOn w:val="26"/>
    <w:qFormat/>
    <w:uiPriority w:val="0"/>
    <w:rPr>
      <w:sz w:val="21"/>
      <w:szCs w:val="21"/>
    </w:rPr>
  </w:style>
  <w:style w:type="character" w:styleId="36">
    <w:name w:val="HTML Cite"/>
    <w:basedOn w:val="26"/>
    <w:qFormat/>
    <w:uiPriority w:val="0"/>
  </w:style>
  <w:style w:type="paragraph" w:customStyle="1" w:styleId="37">
    <w:name w:val="Default"/>
    <w:unhideWhenUsed/>
    <w:qFormat/>
    <w:uiPriority w:val="99"/>
    <w:pPr>
      <w:widowControl w:val="0"/>
      <w:autoSpaceDE w:val="0"/>
      <w:autoSpaceDN w:val="0"/>
      <w:adjustRightInd w:val="0"/>
      <w:spacing w:line="360" w:lineRule="auto"/>
      <w:ind w:firstLine="200" w:firstLineChars="200"/>
      <w:jc w:val="both"/>
    </w:pPr>
    <w:rPr>
      <w:rFonts w:hint="eastAsia" w:ascii="宋体" w:hAnsi="宋体" w:eastAsia="宋体" w:cs="Times New Roman"/>
      <w:color w:val="000000"/>
      <w:sz w:val="24"/>
      <w:lang w:val="en-US" w:eastAsia="zh-CN" w:bidi="ar-SA"/>
    </w:rPr>
  </w:style>
  <w:style w:type="paragraph" w:customStyle="1" w:styleId="38">
    <w:name w:val="主标题"/>
    <w:basedOn w:val="1"/>
    <w:qFormat/>
    <w:uiPriority w:val="0"/>
    <w:pPr>
      <w:ind w:firstLine="0" w:firstLineChars="0"/>
      <w:jc w:val="center"/>
    </w:pPr>
    <w:rPr>
      <w:rFonts w:ascii="宋体" w:hAnsi="宋体"/>
      <w:sz w:val="44"/>
      <w:szCs w:val="44"/>
    </w:rPr>
  </w:style>
  <w:style w:type="paragraph" w:customStyle="1" w:styleId="39">
    <w:name w:val="目录标题"/>
    <w:basedOn w:val="1"/>
    <w:qFormat/>
    <w:uiPriority w:val="0"/>
    <w:pPr>
      <w:spacing w:line="480" w:lineRule="auto"/>
      <w:jc w:val="center"/>
    </w:pPr>
    <w:rPr>
      <w:b/>
      <w:sz w:val="28"/>
    </w:rPr>
  </w:style>
  <w:style w:type="paragraph" w:customStyle="1" w:styleId="40">
    <w:name w:val="表格标题"/>
    <w:basedOn w:val="1"/>
    <w:link w:val="43"/>
    <w:qFormat/>
    <w:uiPriority w:val="0"/>
    <w:pPr>
      <w:spacing w:line="240" w:lineRule="auto"/>
      <w:ind w:firstLine="0" w:firstLineChars="0"/>
      <w:jc w:val="center"/>
    </w:pPr>
    <w:rPr>
      <w:b/>
      <w:sz w:val="21"/>
    </w:rPr>
  </w:style>
  <w:style w:type="paragraph" w:customStyle="1" w:styleId="41">
    <w:name w:val="概述中的格式"/>
    <w:basedOn w:val="1"/>
    <w:qFormat/>
    <w:uiPriority w:val="0"/>
    <w:pPr>
      <w:ind w:firstLine="0" w:firstLineChars="0"/>
    </w:pPr>
    <w:rPr>
      <w:b/>
    </w:rPr>
  </w:style>
  <w:style w:type="paragraph" w:customStyle="1" w:styleId="42">
    <w:name w:val="表格内容居中"/>
    <w:qFormat/>
    <w:uiPriority w:val="0"/>
    <w:pPr>
      <w:adjustRightInd w:val="0"/>
      <w:snapToGrid w:val="0"/>
      <w:spacing w:line="360" w:lineRule="auto"/>
      <w:ind w:firstLine="200" w:firstLineChars="200"/>
      <w:jc w:val="center"/>
    </w:pPr>
    <w:rPr>
      <w:rFonts w:ascii="Times New Roman" w:hAnsi="Times New Roman" w:eastAsia="宋体" w:cs="Times New Roman"/>
      <w:snapToGrid w:val="0"/>
      <w:sz w:val="21"/>
      <w:szCs w:val="21"/>
      <w:lang w:val="en-US" w:eastAsia="zh-CN" w:bidi="ar-SA"/>
    </w:rPr>
  </w:style>
  <w:style w:type="character" w:customStyle="1" w:styleId="43">
    <w:name w:val="表格标题 Char"/>
    <w:link w:val="40"/>
    <w:qFormat/>
    <w:uiPriority w:val="0"/>
    <w:rPr>
      <w:b/>
      <w:sz w:val="21"/>
    </w:rPr>
  </w:style>
  <w:style w:type="paragraph" w:customStyle="1" w:styleId="44">
    <w:name w:val="表格样式"/>
    <w:basedOn w:val="1"/>
    <w:qFormat/>
    <w:uiPriority w:val="0"/>
    <w:pPr>
      <w:spacing w:line="240" w:lineRule="auto"/>
      <w:ind w:firstLine="0" w:firstLineChars="0"/>
      <w:jc w:val="center"/>
    </w:pPr>
    <w:rPr>
      <w:sz w:val="21"/>
    </w:rPr>
  </w:style>
  <w:style w:type="character" w:customStyle="1" w:styleId="45">
    <w:name w:val="标题 2 Char"/>
    <w:link w:val="4"/>
    <w:qFormat/>
    <w:uiPriority w:val="0"/>
    <w:rPr>
      <w:rFonts w:ascii="Times New Roman" w:hAnsi="Times New Roman" w:eastAsia="宋体"/>
      <w:b/>
      <w:sz w:val="28"/>
      <w:szCs w:val="28"/>
    </w:rPr>
  </w:style>
  <w:style w:type="character" w:customStyle="1" w:styleId="46">
    <w:name w:val="标题 4 Char"/>
    <w:link w:val="6"/>
    <w:qFormat/>
    <w:uiPriority w:val="0"/>
    <w:rPr>
      <w:b/>
      <w:szCs w:val="24"/>
    </w:rPr>
  </w:style>
  <w:style w:type="character" w:customStyle="1" w:styleId="47">
    <w:name w:val="标题 1 字符"/>
    <w:basedOn w:val="26"/>
    <w:qFormat/>
    <w:uiPriority w:val="0"/>
    <w:rPr>
      <w:rFonts w:hint="eastAsia" w:ascii="Times New Roman" w:hAnsi="Times New Roman" w:eastAsia="宋体" w:cs="宋体"/>
      <w:b/>
      <w:spacing w:val="23"/>
      <w:kern w:val="44"/>
      <w:sz w:val="44"/>
      <w:szCs w:val="44"/>
    </w:rPr>
  </w:style>
  <w:style w:type="character" w:customStyle="1" w:styleId="48">
    <w:name w:val="页眉 Char"/>
    <w:basedOn w:val="26"/>
    <w:link w:val="16"/>
    <w:qFormat/>
    <w:uiPriority w:val="0"/>
  </w:style>
  <w:style w:type="character" w:customStyle="1" w:styleId="49">
    <w:name w:val="页脚 Char"/>
    <w:basedOn w:val="26"/>
    <w:link w:val="15"/>
    <w:qFormat/>
    <w:uiPriority w:val="0"/>
  </w:style>
  <w:style w:type="character" w:customStyle="1" w:styleId="50">
    <w:name w:val="正文文本 Char"/>
    <w:basedOn w:val="26"/>
    <w:link w:val="10"/>
    <w:qFormat/>
    <w:uiPriority w:val="0"/>
    <w:rPr>
      <w:rFonts w:hint="eastAsia" w:ascii="宋体" w:hAnsi="宋体" w:eastAsia="宋体" w:cs="宋体"/>
      <w:sz w:val="22"/>
      <w:szCs w:val="22"/>
    </w:rPr>
  </w:style>
  <w:style w:type="paragraph" w:customStyle="1" w:styleId="51">
    <w:name w:val="Table Paragraph"/>
    <w:basedOn w:val="1"/>
    <w:hidden/>
    <w:qFormat/>
    <w:uiPriority w:val="0"/>
    <w:rPr>
      <w:rFonts w:ascii="Calibri" w:hAnsi="Calibri" w:cs="Times New Roman"/>
      <w:kern w:val="0"/>
      <w:sz w:val="22"/>
      <w:szCs w:val="22"/>
    </w:rPr>
  </w:style>
  <w:style w:type="paragraph" w:styleId="52">
    <w:name w:val="List Paragraph"/>
    <w:basedOn w:val="1"/>
    <w:qFormat/>
    <w:uiPriority w:val="0"/>
    <w:pPr>
      <w:ind w:firstLine="420"/>
    </w:pPr>
  </w:style>
  <w:style w:type="character" w:customStyle="1" w:styleId="53">
    <w:name w:val="标题 1 Char"/>
    <w:link w:val="3"/>
    <w:qFormat/>
    <w:uiPriority w:val="0"/>
    <w:rPr>
      <w:rFonts w:ascii="Times New Roman" w:hAnsi="Times New Roman" w:eastAsia="宋体"/>
      <w:b/>
      <w:kern w:val="44"/>
      <w:szCs w:val="21"/>
    </w:rPr>
  </w:style>
  <w:style w:type="paragraph" w:customStyle="1" w:styleId="54">
    <w:name w:val="鑫裕段落(G)"/>
    <w:basedOn w:val="1"/>
    <w:qFormat/>
    <w:uiPriority w:val="0"/>
    <w:pPr>
      <w:tabs>
        <w:tab w:val="left" w:pos="1021"/>
        <w:tab w:val="left" w:pos="1320"/>
      </w:tabs>
      <w:ind w:firstLine="480"/>
    </w:pPr>
    <w:rPr>
      <w:color w:val="000000"/>
      <w:kern w:val="24"/>
      <w:lang w:val="zh-CN"/>
    </w:rPr>
  </w:style>
  <w:style w:type="paragraph" w:customStyle="1" w:styleId="55">
    <w:name w:val="正文2"/>
    <w:qFormat/>
    <w:uiPriority w:val="0"/>
    <w:pPr>
      <w:spacing w:line="360" w:lineRule="auto"/>
      <w:ind w:firstLine="200" w:firstLineChars="200"/>
      <w:jc w:val="both"/>
    </w:pPr>
    <w:rPr>
      <w:rFonts w:ascii="Times New Roman" w:hAnsi="Times New Roman" w:eastAsia="宋体" w:cs="Times New Roman"/>
      <w:kern w:val="2"/>
      <w:sz w:val="21"/>
      <w:szCs w:val="21"/>
      <w:lang w:val="en-US" w:eastAsia="zh-CN" w:bidi="ar-SA"/>
    </w:rPr>
  </w:style>
  <w:style w:type="character" w:customStyle="1" w:styleId="56">
    <w:name w:val="标题 3 Char"/>
    <w:link w:val="5"/>
    <w:qFormat/>
    <w:uiPriority w:val="0"/>
    <w:rPr>
      <w:rFonts w:ascii="Times New Roman" w:hAnsi="Times New Roman" w:eastAsia="宋体"/>
      <w:b/>
    </w:rPr>
  </w:style>
  <w:style w:type="character" w:customStyle="1" w:styleId="57">
    <w:name w:val="tabg"/>
    <w:basedOn w:val="26"/>
    <w:qFormat/>
    <w:uiPriority w:val="0"/>
    <w:rPr>
      <w:color w:val="FFFFFF"/>
      <w:sz w:val="27"/>
      <w:szCs w:val="27"/>
    </w:rPr>
  </w:style>
  <w:style w:type="character" w:customStyle="1" w:styleId="58">
    <w:name w:val="m01"/>
    <w:basedOn w:val="26"/>
    <w:qFormat/>
    <w:uiPriority w:val="0"/>
  </w:style>
  <w:style w:type="character" w:customStyle="1" w:styleId="59">
    <w:name w:val="m011"/>
    <w:basedOn w:val="26"/>
    <w:qFormat/>
    <w:uiPriority w:val="0"/>
  </w:style>
  <w:style w:type="character" w:customStyle="1" w:styleId="60">
    <w:name w:val="name"/>
    <w:basedOn w:val="26"/>
    <w:qFormat/>
    <w:uiPriority w:val="0"/>
    <w:rPr>
      <w:color w:val="6A6A6A"/>
      <w:u w:val="single"/>
    </w:rPr>
  </w:style>
  <w:style w:type="character" w:customStyle="1" w:styleId="61">
    <w:name w:val="dates"/>
    <w:basedOn w:val="26"/>
    <w:qFormat/>
    <w:uiPriority w:val="0"/>
  </w:style>
  <w:style w:type="character" w:customStyle="1" w:styleId="62">
    <w:name w:val="bg01"/>
    <w:basedOn w:val="26"/>
    <w:qFormat/>
    <w:uiPriority w:val="0"/>
  </w:style>
  <w:style w:type="character" w:customStyle="1" w:styleId="63">
    <w:name w:val="font"/>
    <w:basedOn w:val="26"/>
    <w:qFormat/>
    <w:uiPriority w:val="0"/>
  </w:style>
  <w:style w:type="character" w:customStyle="1" w:styleId="64">
    <w:name w:val="font1"/>
    <w:basedOn w:val="26"/>
    <w:qFormat/>
    <w:uiPriority w:val="0"/>
  </w:style>
  <w:style w:type="character" w:customStyle="1" w:styleId="65">
    <w:name w:val="more4"/>
    <w:basedOn w:val="26"/>
    <w:qFormat/>
    <w:uiPriority w:val="0"/>
    <w:rPr>
      <w:color w:val="666666"/>
      <w:sz w:val="18"/>
      <w:szCs w:val="18"/>
    </w:rPr>
  </w:style>
  <w:style w:type="character" w:customStyle="1" w:styleId="66">
    <w:name w:val="bg02"/>
    <w:basedOn w:val="26"/>
    <w:qFormat/>
    <w:uiPriority w:val="0"/>
  </w:style>
  <w:style w:type="character" w:customStyle="1" w:styleId="67">
    <w:name w:val="laypage_curr"/>
    <w:basedOn w:val="26"/>
    <w:qFormat/>
    <w:uiPriority w:val="0"/>
    <w:rPr>
      <w:color w:val="FFFDF4"/>
      <w:shd w:val="clear" w:color="auto" w:fill="0B67A6"/>
    </w:rPr>
  </w:style>
  <w:style w:type="character" w:customStyle="1" w:styleId="68">
    <w:name w:val="gwds_nopic"/>
    <w:basedOn w:val="26"/>
    <w:qFormat/>
    <w:uiPriority w:val="0"/>
  </w:style>
  <w:style w:type="character" w:customStyle="1" w:styleId="69">
    <w:name w:val="gwds_nopic1"/>
    <w:basedOn w:val="26"/>
    <w:qFormat/>
    <w:uiPriority w:val="0"/>
  </w:style>
  <w:style w:type="character" w:customStyle="1" w:styleId="70">
    <w:name w:val="gwds_nopic2"/>
    <w:basedOn w:val="26"/>
    <w:qFormat/>
    <w:uiPriority w:val="0"/>
  </w:style>
  <w:style w:type="character" w:customStyle="1" w:styleId="71">
    <w:name w:val="hover109"/>
    <w:basedOn w:val="26"/>
    <w:qFormat/>
    <w:uiPriority w:val="0"/>
    <w:rPr>
      <w:shd w:val="clear" w:color="auto" w:fill="00A4BE"/>
    </w:rPr>
  </w:style>
  <w:style w:type="character" w:customStyle="1" w:styleId="72">
    <w:name w:val="hover110"/>
    <w:basedOn w:val="26"/>
    <w:qFormat/>
    <w:uiPriority w:val="0"/>
    <w:rPr>
      <w:color w:val="FFFFFF"/>
      <w:shd w:val="clear" w:color="auto" w:fill="00889E"/>
    </w:rPr>
  </w:style>
  <w:style w:type="character" w:customStyle="1" w:styleId="73">
    <w:name w:val="hover111"/>
    <w:basedOn w:val="26"/>
    <w:qFormat/>
    <w:uiPriority w:val="0"/>
    <w:rPr>
      <w:color w:val="FFFFFF"/>
      <w:shd w:val="clear" w:color="auto" w:fill="00889E"/>
    </w:rPr>
  </w:style>
  <w:style w:type="character" w:customStyle="1" w:styleId="74">
    <w:name w:val="hover112"/>
    <w:basedOn w:val="26"/>
    <w:qFormat/>
    <w:uiPriority w:val="0"/>
    <w:rPr>
      <w:shd w:val="clear" w:color="auto" w:fill="F0F0F0"/>
    </w:rPr>
  </w:style>
  <w:style w:type="character" w:customStyle="1" w:styleId="75">
    <w:name w:val="hover113"/>
    <w:basedOn w:val="26"/>
    <w:qFormat/>
    <w:uiPriority w:val="0"/>
    <w:rPr>
      <w:color w:val="FFFFFF"/>
      <w:shd w:val="clear" w:color="auto" w:fill="00889E"/>
    </w:rPr>
  </w:style>
  <w:style w:type="character" w:customStyle="1" w:styleId="76">
    <w:name w:val="hover114"/>
    <w:basedOn w:val="26"/>
    <w:qFormat/>
    <w:uiPriority w:val="0"/>
    <w:rPr>
      <w:shd w:val="clear" w:color="auto" w:fill="805ED9"/>
    </w:rPr>
  </w:style>
  <w:style w:type="character" w:customStyle="1" w:styleId="77">
    <w:name w:val="hover115"/>
    <w:basedOn w:val="26"/>
    <w:qFormat/>
    <w:uiPriority w:val="0"/>
    <w:rPr>
      <w:shd w:val="clear" w:color="auto" w:fill="DA2E00"/>
    </w:rPr>
  </w:style>
  <w:style w:type="character" w:customStyle="1" w:styleId="78">
    <w:name w:val="hover116"/>
    <w:basedOn w:val="26"/>
    <w:qFormat/>
    <w:uiPriority w:val="0"/>
    <w:rPr>
      <w:shd w:val="clear" w:color="auto" w:fill="46D612"/>
    </w:rPr>
  </w:style>
  <w:style w:type="character" w:customStyle="1" w:styleId="79">
    <w:name w:val="hover117"/>
    <w:basedOn w:val="26"/>
    <w:qFormat/>
    <w:uiPriority w:val="0"/>
    <w:rPr>
      <w:shd w:val="clear" w:color="auto" w:fill="F0A100"/>
    </w:rPr>
  </w:style>
  <w:style w:type="character" w:customStyle="1" w:styleId="80">
    <w:name w:val="hover118"/>
    <w:basedOn w:val="26"/>
    <w:qFormat/>
    <w:uiPriority w:val="0"/>
    <w:rPr>
      <w:shd w:val="clear" w:color="auto" w:fill="006CED"/>
    </w:rPr>
  </w:style>
  <w:style w:type="character" w:customStyle="1" w:styleId="81">
    <w:name w:val="hover119"/>
    <w:basedOn w:val="26"/>
    <w:qFormat/>
    <w:uiPriority w:val="0"/>
    <w:rPr>
      <w:shd w:val="clear" w:color="auto" w:fill="E51B7E"/>
    </w:rPr>
  </w:style>
  <w:style w:type="character" w:customStyle="1" w:styleId="82">
    <w:name w:val="hover120"/>
    <w:basedOn w:val="26"/>
    <w:qFormat/>
    <w:uiPriority w:val="0"/>
    <w:rPr>
      <w:color w:val="FFFFFF"/>
      <w:shd w:val="clear" w:color="auto" w:fill="00889E"/>
    </w:rPr>
  </w:style>
  <w:style w:type="character" w:customStyle="1" w:styleId="83">
    <w:name w:val="hover121"/>
    <w:basedOn w:val="26"/>
    <w:qFormat/>
    <w:uiPriority w:val="0"/>
    <w:rPr>
      <w:color w:val="FFFFFF"/>
      <w:shd w:val="clear" w:color="auto" w:fill="00889E"/>
    </w:rPr>
  </w:style>
  <w:style w:type="character" w:customStyle="1" w:styleId="84">
    <w:name w:val="hover122"/>
    <w:basedOn w:val="26"/>
    <w:qFormat/>
    <w:uiPriority w:val="0"/>
    <w:rPr>
      <w:color w:val="FFFFFF"/>
      <w:shd w:val="clear" w:color="auto" w:fill="00889E"/>
    </w:rPr>
  </w:style>
  <w:style w:type="character" w:customStyle="1" w:styleId="85">
    <w:name w:val="hover123"/>
    <w:basedOn w:val="26"/>
    <w:qFormat/>
    <w:uiPriority w:val="0"/>
    <w:rPr>
      <w:shd w:val="clear" w:color="auto" w:fill="00A4BE"/>
    </w:rPr>
  </w:style>
  <w:style w:type="character" w:customStyle="1" w:styleId="86">
    <w:name w:val="hover124"/>
    <w:basedOn w:val="26"/>
    <w:qFormat/>
    <w:uiPriority w:val="0"/>
    <w:rPr>
      <w:color w:val="00889E"/>
      <w:sz w:val="21"/>
      <w:szCs w:val="21"/>
      <w:shd w:val="clear" w:color="auto" w:fill="E9F3F9"/>
    </w:rPr>
  </w:style>
  <w:style w:type="character" w:customStyle="1" w:styleId="87">
    <w:name w:val="hover125"/>
    <w:basedOn w:val="26"/>
    <w:qFormat/>
    <w:uiPriority w:val="0"/>
    <w:rPr>
      <w:shd w:val="clear" w:color="auto" w:fill="00A4BE"/>
    </w:rPr>
  </w:style>
  <w:style w:type="character" w:customStyle="1" w:styleId="88">
    <w:name w:val="hover126"/>
    <w:basedOn w:val="26"/>
    <w:qFormat/>
    <w:uiPriority w:val="0"/>
    <w:rPr>
      <w:color w:val="FFFFFF"/>
      <w:sz w:val="21"/>
      <w:szCs w:val="21"/>
      <w:shd w:val="clear" w:color="auto" w:fill="00A4BE"/>
    </w:rPr>
  </w:style>
  <w:style w:type="character" w:customStyle="1" w:styleId="89">
    <w:name w:val="hover127"/>
    <w:basedOn w:val="26"/>
    <w:qFormat/>
    <w:uiPriority w:val="0"/>
    <w:rPr>
      <w:color w:val="00889E"/>
      <w:sz w:val="21"/>
      <w:szCs w:val="21"/>
      <w:shd w:val="clear" w:color="auto" w:fill="E9F3F9"/>
    </w:rPr>
  </w:style>
  <w:style w:type="character" w:customStyle="1" w:styleId="90">
    <w:name w:val="hover128"/>
    <w:basedOn w:val="26"/>
    <w:qFormat/>
    <w:uiPriority w:val="0"/>
    <w:rPr>
      <w:color w:val="FFFFFF"/>
      <w:sz w:val="21"/>
      <w:szCs w:val="21"/>
      <w:shd w:val="clear" w:color="auto" w:fill="00A4BE"/>
    </w:rPr>
  </w:style>
  <w:style w:type="character" w:customStyle="1" w:styleId="91">
    <w:name w:val="hover129"/>
    <w:basedOn w:val="26"/>
    <w:qFormat/>
    <w:uiPriority w:val="0"/>
    <w:rPr>
      <w:color w:val="666666"/>
      <w:sz w:val="27"/>
      <w:szCs w:val="27"/>
      <w:shd w:val="clear" w:color="auto" w:fill="F1F1F1"/>
    </w:rPr>
  </w:style>
  <w:style w:type="character" w:customStyle="1" w:styleId="92">
    <w:name w:val="hover130"/>
    <w:basedOn w:val="26"/>
    <w:qFormat/>
    <w:uiPriority w:val="0"/>
    <w:rPr>
      <w:color w:val="FFFFFF"/>
      <w:sz w:val="21"/>
      <w:szCs w:val="21"/>
      <w:shd w:val="clear" w:color="auto" w:fill="00A4BE"/>
    </w:rPr>
  </w:style>
  <w:style w:type="character" w:customStyle="1" w:styleId="93">
    <w:name w:val="hover131"/>
    <w:basedOn w:val="26"/>
    <w:qFormat/>
    <w:uiPriority w:val="0"/>
    <w:rPr>
      <w:color w:val="00889E"/>
      <w:sz w:val="21"/>
      <w:szCs w:val="21"/>
      <w:shd w:val="clear" w:color="auto" w:fill="E9F3F9"/>
    </w:rPr>
  </w:style>
  <w:style w:type="character" w:customStyle="1" w:styleId="94">
    <w:name w:val="hover132"/>
    <w:basedOn w:val="26"/>
    <w:qFormat/>
    <w:uiPriority w:val="0"/>
    <w:rPr>
      <w:shd w:val="clear" w:color="auto" w:fill="E9F3F9"/>
    </w:rPr>
  </w:style>
  <w:style w:type="character" w:customStyle="1" w:styleId="95">
    <w:name w:val="hover133"/>
    <w:basedOn w:val="26"/>
    <w:qFormat/>
    <w:uiPriority w:val="0"/>
    <w:rPr>
      <w:shd w:val="clear" w:color="auto" w:fill="00A4BE"/>
    </w:rPr>
  </w:style>
  <w:style w:type="character" w:customStyle="1" w:styleId="96">
    <w:name w:val="wx-easyread-speakerprocesser-position-action-icon"/>
    <w:basedOn w:val="26"/>
    <w:qFormat/>
    <w:uiPriority w:val="0"/>
  </w:style>
  <w:style w:type="character" w:customStyle="1" w:styleId="97">
    <w:name w:val="font01"/>
    <w:basedOn w:val="26"/>
    <w:qFormat/>
    <w:uiPriority w:val="0"/>
    <w:rPr>
      <w:rFonts w:hint="eastAsia" w:ascii="宋体" w:hAnsi="宋体" w:eastAsia="宋体" w:cs="宋体"/>
      <w:color w:val="000000"/>
      <w:sz w:val="21"/>
      <w:szCs w:val="21"/>
      <w:u w:val="none"/>
    </w:rPr>
  </w:style>
  <w:style w:type="character" w:customStyle="1" w:styleId="98">
    <w:name w:val="font11"/>
    <w:basedOn w:val="26"/>
    <w:qFormat/>
    <w:uiPriority w:val="0"/>
    <w:rPr>
      <w:rFonts w:hint="default" w:ascii="Times New Roman" w:hAnsi="Times New Roman" w:cs="Times New Roman"/>
      <w:color w:val="000000"/>
      <w:sz w:val="21"/>
      <w:szCs w:val="21"/>
      <w:u w:val="none"/>
    </w:rPr>
  </w:style>
  <w:style w:type="character" w:customStyle="1" w:styleId="99">
    <w:name w:val="font21"/>
    <w:basedOn w:val="26"/>
    <w:qFormat/>
    <w:uiPriority w:val="0"/>
    <w:rPr>
      <w:rFonts w:hint="default" w:ascii="Times New Roman" w:hAnsi="Times New Roman" w:cs="Times New Roman"/>
      <w:color w:val="000000"/>
      <w:sz w:val="22"/>
      <w:szCs w:val="22"/>
      <w:u w:val="none"/>
    </w:rPr>
  </w:style>
  <w:style w:type="character" w:customStyle="1" w:styleId="100">
    <w:name w:val="批注框文本 Char"/>
    <w:basedOn w:val="26"/>
    <w:link w:val="14"/>
    <w:qFormat/>
    <w:uiPriority w:val="0"/>
    <w:rPr>
      <w:rFonts w:cstheme="minorBidi"/>
      <w:kern w:val="2"/>
      <w:sz w:val="18"/>
      <w:szCs w:val="18"/>
    </w:rPr>
  </w:style>
  <w:style w:type="paragraph" w:customStyle="1" w:styleId="101">
    <w:name w:val="Char Char Char Char Char Char"/>
    <w:basedOn w:val="1"/>
    <w:qFormat/>
    <w:uiPriority w:val="0"/>
  </w:style>
  <w:style w:type="paragraph" w:customStyle="1" w:styleId="102">
    <w:name w:val="小四表文左齐"/>
    <w:basedOn w:val="1"/>
    <w:qFormat/>
    <w:uiPriority w:val="0"/>
    <w:pPr>
      <w:snapToGrid w:val="0"/>
      <w:spacing w:line="300" w:lineRule="auto"/>
      <w:jc w:val="center"/>
    </w:pPr>
    <w:rPr>
      <w:rFonts w:ascii="宋体" w:hAnsi="宋体"/>
      <w:szCs w:val="21"/>
    </w:rPr>
  </w:style>
  <w:style w:type="paragraph" w:customStyle="1" w:styleId="103">
    <w:name w:val="表格中文字"/>
    <w:basedOn w:val="1"/>
    <w:qFormat/>
    <w:uiPriority w:val="0"/>
    <w:pPr>
      <w:adjustRightInd w:val="0"/>
      <w:snapToGrid w:val="0"/>
      <w:jc w:val="center"/>
    </w:pPr>
    <w:rPr>
      <w:kern w:val="18"/>
      <w:szCs w:val="21"/>
    </w:rPr>
  </w:style>
  <w:style w:type="character" w:customStyle="1" w:styleId="104">
    <w:name w:val="卓龙正文 Char"/>
    <w:link w:val="105"/>
    <w:qFormat/>
    <w:uiPriority w:val="0"/>
    <w:rPr>
      <w:kern w:val="2"/>
      <w:sz w:val="24"/>
      <w:szCs w:val="24"/>
    </w:rPr>
  </w:style>
  <w:style w:type="paragraph" w:customStyle="1" w:styleId="105">
    <w:name w:val="卓龙正文"/>
    <w:basedOn w:val="1"/>
    <w:link w:val="104"/>
    <w:qFormat/>
    <w:uiPriority w:val="0"/>
    <w:rPr>
      <w:rFonts w:cs="Times New Roman"/>
    </w:rPr>
  </w:style>
  <w:style w:type="character" w:customStyle="1" w:styleId="106">
    <w:name w:val="表格题注 Char"/>
    <w:link w:val="107"/>
    <w:qFormat/>
    <w:uiPriority w:val="0"/>
    <w:rPr>
      <w:b/>
      <w:kern w:val="2"/>
      <w:sz w:val="24"/>
      <w:szCs w:val="24"/>
    </w:rPr>
  </w:style>
  <w:style w:type="paragraph" w:customStyle="1" w:styleId="107">
    <w:name w:val="表格题注"/>
    <w:basedOn w:val="1"/>
    <w:link w:val="106"/>
    <w:qFormat/>
    <w:uiPriority w:val="0"/>
    <w:pPr>
      <w:adjustRightInd w:val="0"/>
      <w:snapToGrid w:val="0"/>
      <w:spacing w:line="240" w:lineRule="auto"/>
      <w:ind w:firstLine="0" w:firstLineChars="0"/>
      <w:jc w:val="center"/>
    </w:pPr>
    <w:rPr>
      <w:rFonts w:cs="Times New Roman"/>
      <w:b/>
    </w:rPr>
  </w:style>
  <w:style w:type="paragraph" w:customStyle="1" w:styleId="108">
    <w:name w:val="正文01"/>
    <w:basedOn w:val="1"/>
    <w:link w:val="109"/>
    <w:qFormat/>
    <w:uiPriority w:val="0"/>
    <w:pPr>
      <w:spacing w:before="60" w:line="460" w:lineRule="exact"/>
      <w:textAlignment w:val="baseline"/>
    </w:pPr>
    <w:rPr>
      <w:rFonts w:cs="Times New Roman"/>
      <w:color w:val="000000"/>
      <w:kern w:val="0"/>
      <w:szCs w:val="20"/>
      <w:u w:color="000000"/>
      <w:lang w:val="zh-CN"/>
    </w:rPr>
  </w:style>
  <w:style w:type="character" w:customStyle="1" w:styleId="109">
    <w:name w:val="正文01 Char Char"/>
    <w:link w:val="108"/>
    <w:qFormat/>
    <w:uiPriority w:val="0"/>
    <w:rPr>
      <w:color w:val="000000"/>
      <w:sz w:val="24"/>
      <w:u w:color="000000"/>
      <w:lang w:val="zh-CN" w:eastAsia="zh-CN"/>
    </w:rPr>
  </w:style>
  <w:style w:type="character" w:customStyle="1" w:styleId="110">
    <w:name w:val="样式 正文01 + Times New Roman Char Char"/>
    <w:link w:val="111"/>
    <w:qFormat/>
    <w:uiPriority w:val="0"/>
  </w:style>
  <w:style w:type="paragraph" w:customStyle="1" w:styleId="111">
    <w:name w:val="样式 正文01 + Times New Roman"/>
    <w:basedOn w:val="108"/>
    <w:link w:val="110"/>
    <w:qFormat/>
    <w:uiPriority w:val="0"/>
    <w:pPr>
      <w:widowControl w:val="0"/>
      <w:adjustRightInd w:val="0"/>
      <w:spacing w:before="0" w:line="520" w:lineRule="exact"/>
      <w:ind w:firstLine="514" w:firstLineChars="214"/>
    </w:pPr>
    <w:rPr>
      <w:color w:val="auto"/>
      <w:sz w:val="20"/>
      <w:lang w:val="en-US"/>
    </w:rPr>
  </w:style>
  <w:style w:type="paragraph" w:customStyle="1" w:styleId="112">
    <w:name w:val="aa正文"/>
    <w:basedOn w:val="1"/>
    <w:qFormat/>
    <w:uiPriority w:val="0"/>
    <w:rPr>
      <w:kern w:val="0"/>
    </w:rPr>
  </w:style>
  <w:style w:type="paragraph" w:styleId="113">
    <w:name w:val="No Spacing"/>
    <w:qFormat/>
    <w:uiPriority w:val="1"/>
    <w:pPr>
      <w:widowControl w:val="0"/>
      <w:adjustRightInd w:val="0"/>
      <w:snapToGrid w:val="0"/>
      <w:spacing w:line="360" w:lineRule="auto"/>
      <w:ind w:firstLine="200" w:firstLineChars="200"/>
      <w:jc w:val="center"/>
    </w:pPr>
    <w:rPr>
      <w:rFonts w:ascii="Times New Roman" w:hAnsi="Times New Roman" w:eastAsia="宋体" w:cs="Times New Roman"/>
      <w:b/>
      <w:kern w:val="2"/>
      <w:sz w:val="24"/>
      <w:szCs w:val="22"/>
      <w:lang w:val="en-US" w:eastAsia="zh-CN" w:bidi="ar-SA"/>
    </w:rPr>
  </w:style>
  <w:style w:type="paragraph" w:customStyle="1" w:styleId="114">
    <w:name w:val="表格内文字"/>
    <w:basedOn w:val="1"/>
    <w:qFormat/>
    <w:uiPriority w:val="0"/>
    <w:pPr>
      <w:tabs>
        <w:tab w:val="left" w:pos="0"/>
      </w:tabs>
      <w:adjustRightInd w:val="0"/>
      <w:snapToGrid w:val="0"/>
      <w:jc w:val="center"/>
    </w:pPr>
    <w:rPr>
      <w:rFonts w:eastAsia="仿宋_GB2312"/>
    </w:rPr>
  </w:style>
  <w:style w:type="paragraph" w:customStyle="1" w:styleId="115">
    <w:name w:val="文本"/>
    <w:basedOn w:val="2"/>
    <w:qFormat/>
    <w:uiPriority w:val="0"/>
    <w:pPr>
      <w:spacing w:line="480" w:lineRule="exact"/>
      <w:ind w:firstLine="480"/>
      <w:jc w:val="left"/>
    </w:pPr>
    <w:rPr>
      <w:rFonts w:cs="宋体"/>
      <w:kern w:val="0"/>
    </w:rPr>
  </w:style>
  <w:style w:type="paragraph" w:customStyle="1" w:styleId="116">
    <w:name w:val="表格"/>
    <w:basedOn w:val="3"/>
    <w:qFormat/>
    <w:uiPriority w:val="0"/>
    <w:pPr>
      <w:keepNext w:val="0"/>
      <w:keepLines w:val="0"/>
      <w:overflowPunct w:val="0"/>
      <w:adjustRightInd w:val="0"/>
      <w:snapToGrid w:val="0"/>
      <w:spacing w:before="0" w:after="0" w:line="240" w:lineRule="auto"/>
      <w:textAlignment w:val="baseline"/>
      <w:outlineLvl w:val="9"/>
    </w:pPr>
    <w:rPr>
      <w:rFonts w:ascii="仿宋_GB2312" w:hAnsi="Alaska" w:eastAsia="仿宋_GB2312"/>
      <w:b w:val="0"/>
      <w:kern w:val="0"/>
      <w:sz w:val="21"/>
      <w:szCs w:val="20"/>
    </w:rPr>
  </w:style>
  <w:style w:type="paragraph" w:customStyle="1" w:styleId="117">
    <w:name w:val="1表格"/>
    <w:basedOn w:val="1"/>
    <w:qFormat/>
    <w:uiPriority w:val="0"/>
    <w:pPr>
      <w:adjustRightInd w:val="0"/>
      <w:snapToGrid w:val="0"/>
      <w:jc w:val="center"/>
      <w:textAlignment w:val="baseline"/>
    </w:pPr>
    <w:rPr>
      <w:spacing w:val="4"/>
    </w:rPr>
  </w:style>
  <w:style w:type="paragraph" w:customStyle="1" w:styleId="118">
    <w:name w:val="_Style 1"/>
    <w:basedOn w:val="1"/>
    <w:next w:val="2"/>
    <w:qFormat/>
    <w:uiPriority w:val="0"/>
    <w:pPr>
      <w:adjustRightInd w:val="0"/>
      <w:spacing w:line="288" w:lineRule="auto"/>
      <w:ind w:firstLine="480"/>
      <w:textAlignment w:val="baseline"/>
    </w:pPr>
    <w:rPr>
      <w:rFonts w:ascii="宋体" w:hAnsi="宋体" w:cs="宋体"/>
    </w:rPr>
  </w:style>
  <w:style w:type="paragraph" w:customStyle="1" w:styleId="119">
    <w:name w:val="正本文字"/>
    <w:basedOn w:val="1"/>
    <w:qFormat/>
    <w:uiPriority w:val="0"/>
    <w:pPr>
      <w:adjustRightInd w:val="0"/>
      <w:snapToGrid w:val="0"/>
      <w:ind w:firstLine="480"/>
      <w:jc w:val="left"/>
    </w:pPr>
    <w:rPr>
      <w:rFonts w:cs="宋体"/>
      <w:kern w:val="18"/>
      <w:szCs w:val="20"/>
    </w:rPr>
  </w:style>
  <w:style w:type="paragraph" w:customStyle="1" w:styleId="120">
    <w:name w:val="表格标题标题"/>
    <w:basedOn w:val="119"/>
    <w:qFormat/>
    <w:uiPriority w:val="0"/>
    <w:pPr>
      <w:adjustRightInd/>
      <w:snapToGrid/>
      <w:spacing w:line="276" w:lineRule="auto"/>
      <w:ind w:left="-2" w:leftChars="-1" w:firstLine="0" w:firstLineChars="0"/>
      <w:jc w:val="center"/>
    </w:pPr>
    <w:rPr>
      <w:rFonts w:cs="Times New Roman"/>
      <w:b/>
      <w:szCs w:val="24"/>
    </w:rPr>
  </w:style>
  <w:style w:type="paragraph" w:customStyle="1" w:styleId="121">
    <w:name w:val="h"/>
    <w:basedOn w:val="1"/>
    <w:qFormat/>
    <w:uiPriority w:val="0"/>
    <w:pPr>
      <w:spacing w:before="60"/>
      <w:ind w:firstLine="482"/>
    </w:pPr>
    <w:rPr>
      <w:rFonts w:ascii="Arial" w:hAnsi="Arial" w:eastAsia="仿宋_GB2312"/>
      <w:kern w:val="0"/>
      <w:szCs w:val="20"/>
    </w:rPr>
  </w:style>
  <w:style w:type="character" w:customStyle="1" w:styleId="122">
    <w:name w:val="卓龙正文加粗标题 Char"/>
    <w:link w:val="123"/>
    <w:qFormat/>
    <w:uiPriority w:val="0"/>
    <w:rPr>
      <w:b/>
      <w:sz w:val="24"/>
      <w:szCs w:val="24"/>
    </w:rPr>
  </w:style>
  <w:style w:type="paragraph" w:customStyle="1" w:styleId="123">
    <w:name w:val="卓龙正文加粗标题"/>
    <w:basedOn w:val="1"/>
    <w:link w:val="122"/>
    <w:qFormat/>
    <w:uiPriority w:val="0"/>
    <w:rPr>
      <w:b/>
    </w:rPr>
  </w:style>
  <w:style w:type="paragraph" w:customStyle="1" w:styleId="124">
    <w:name w:val="卓龙表头"/>
    <w:basedOn w:val="8"/>
    <w:qFormat/>
    <w:uiPriority w:val="0"/>
  </w:style>
  <w:style w:type="paragraph" w:customStyle="1" w:styleId="125">
    <w:name w:val="表文字"/>
    <w:basedOn w:val="1"/>
    <w:qFormat/>
    <w:uiPriority w:val="0"/>
    <w:pPr>
      <w:tabs>
        <w:tab w:val="left" w:pos="945"/>
        <w:tab w:val="right" w:leader="dot" w:pos="1155"/>
        <w:tab w:val="left" w:pos="8715"/>
      </w:tabs>
      <w:adjustRightInd w:val="0"/>
      <w:snapToGrid w:val="0"/>
      <w:spacing w:before="46" w:beforeLines="15" w:after="46" w:afterLines="15"/>
      <w:jc w:val="center"/>
      <w:textAlignment w:val="baseline"/>
    </w:pPr>
    <w:rPr>
      <w:rFonts w:ascii="宋体" w:hAnsi="宋体"/>
      <w:snapToGrid w:val="0"/>
      <w:color w:val="000000"/>
      <w:kern w:val="0"/>
      <w:szCs w:val="9"/>
    </w:rPr>
  </w:style>
  <w:style w:type="paragraph" w:customStyle="1" w:styleId="126">
    <w:name w:val="卓龙表格正文"/>
    <w:basedOn w:val="127"/>
    <w:qFormat/>
    <w:uiPriority w:val="0"/>
    <w:pPr>
      <w:adjustRightInd w:val="0"/>
      <w:snapToGrid w:val="0"/>
    </w:pPr>
    <w:rPr>
      <w:rFonts w:ascii="Times New Roman" w:hAnsi="Times New Roman" w:cs="Times New Roman"/>
      <w:sz w:val="21"/>
    </w:rPr>
  </w:style>
  <w:style w:type="paragraph" w:customStyle="1" w:styleId="127">
    <w:name w:val="表格文字"/>
    <w:basedOn w:val="1"/>
    <w:qFormat/>
    <w:uiPriority w:val="0"/>
    <w:pPr>
      <w:jc w:val="center"/>
    </w:pPr>
    <w:rPr>
      <w:rFonts w:ascii="宋体" w:hAnsi="宋体" w:cs="宋体"/>
      <w:color w:val="000000"/>
      <w:kern w:val="0"/>
      <w:szCs w:val="21"/>
    </w:rPr>
  </w:style>
  <w:style w:type="paragraph" w:customStyle="1" w:styleId="128">
    <w:name w:val="表文"/>
    <w:basedOn w:val="10"/>
    <w:next w:val="2"/>
    <w:qFormat/>
    <w:uiPriority w:val="0"/>
    <w:pPr>
      <w:spacing w:after="0"/>
      <w:jc w:val="center"/>
    </w:pPr>
  </w:style>
  <w:style w:type="character" w:customStyle="1" w:styleId="129">
    <w:name w:val="题注 Char"/>
    <w:link w:val="8"/>
    <w:qFormat/>
    <w:uiPriority w:val="0"/>
    <w:rPr>
      <w:rFonts w:cstheme="minorBidi"/>
      <w:b/>
      <w:kern w:val="2"/>
      <w:sz w:val="24"/>
      <w:szCs w:val="24"/>
    </w:rPr>
  </w:style>
  <w:style w:type="character" w:customStyle="1" w:styleId="130">
    <w:name w:val="表格正文 Char"/>
    <w:link w:val="131"/>
    <w:qFormat/>
    <w:uiPriority w:val="0"/>
    <w:rPr>
      <w:kern w:val="2"/>
      <w:sz w:val="21"/>
      <w:szCs w:val="24"/>
    </w:rPr>
  </w:style>
  <w:style w:type="paragraph" w:customStyle="1" w:styleId="131">
    <w:name w:val="表格正文"/>
    <w:basedOn w:val="1"/>
    <w:next w:val="1"/>
    <w:link w:val="130"/>
    <w:qFormat/>
    <w:uiPriority w:val="0"/>
    <w:pPr>
      <w:widowControl w:val="0"/>
      <w:adjustRightInd w:val="0"/>
      <w:snapToGrid w:val="0"/>
      <w:spacing w:line="240" w:lineRule="auto"/>
      <w:ind w:firstLine="0" w:firstLineChars="0"/>
      <w:jc w:val="center"/>
    </w:pPr>
    <w:rPr>
      <w:rFonts w:cs="Times New Roman"/>
      <w:sz w:val="21"/>
    </w:rPr>
  </w:style>
  <w:style w:type="character" w:customStyle="1" w:styleId="132">
    <w:name w:val="1正文 Char"/>
    <w:link w:val="133"/>
    <w:qFormat/>
    <w:uiPriority w:val="0"/>
    <w:rPr>
      <w:kern w:val="2"/>
      <w:sz w:val="24"/>
      <w:szCs w:val="24"/>
    </w:rPr>
  </w:style>
  <w:style w:type="paragraph" w:customStyle="1" w:styleId="133">
    <w:name w:val="1正文"/>
    <w:link w:val="132"/>
    <w:qFormat/>
    <w:uiPriority w:val="0"/>
    <w:pPr>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34">
    <w:name w:val="报告书正文"/>
    <w:next w:val="1"/>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35">
    <w:name w:val="表格内容"/>
    <w:basedOn w:val="40"/>
    <w:next w:val="1"/>
    <w:qFormat/>
    <w:uiPriority w:val="0"/>
    <w:pPr>
      <w:spacing w:beforeLines="0" w:line="240" w:lineRule="atLeast"/>
    </w:pPr>
    <w:rPr>
      <w:rFonts w:eastAsia="宋体"/>
      <w:b w:val="0"/>
      <w:snapToGrid/>
      <w:spacing w:val="-2"/>
      <w:sz w:val="21"/>
      <w:szCs w:val="20"/>
    </w:rPr>
  </w:style>
  <w:style w:type="paragraph" w:customStyle="1" w:styleId="136">
    <w:name w:val="正文1"/>
    <w:basedOn w:val="1"/>
    <w:qFormat/>
    <w:uiPriority w:val="0"/>
    <w:pPr>
      <w:adjustRightInd w:val="0"/>
      <w:snapToGrid w:val="0"/>
      <w:spacing w:line="500" w:lineRule="atLeast"/>
      <w:ind w:firstLine="567"/>
    </w:pPr>
    <w:rPr>
      <w:rFonts w:ascii="Times New Roman" w:hAnsi="Times New Roman"/>
      <w:szCs w:val="20"/>
    </w:rPr>
  </w:style>
  <w:style w:type="paragraph" w:customStyle="1" w:styleId="137">
    <w:name w:val="表格字体"/>
    <w:basedOn w:val="1"/>
    <w:qFormat/>
    <w:uiPriority w:val="0"/>
    <w:pPr>
      <w:widowControl w:val="0"/>
      <w:adjustRightInd w:val="0"/>
      <w:spacing w:line="300" w:lineRule="exact"/>
      <w:jc w:val="center"/>
    </w:pPr>
    <w:rPr>
      <w:rFonts w:ascii="宋体"/>
      <w:kern w:val="2"/>
      <w:sz w:val="21"/>
      <w:szCs w:val="24"/>
    </w:rPr>
  </w:style>
  <w:style w:type="character" w:customStyle="1" w:styleId="138">
    <w:name w:val="fontstyle21"/>
    <w:basedOn w:val="26"/>
    <w:qFormat/>
    <w:uiPriority w:val="0"/>
    <w:rPr>
      <w:rFonts w:hint="default" w:ascii="Times New Roman" w:hAnsi="Times New Roman" w:cs="Times New Roman"/>
      <w:color w:val="000000"/>
      <w:sz w:val="22"/>
      <w:szCs w:val="22"/>
    </w:rPr>
  </w:style>
  <w:style w:type="character" w:customStyle="1" w:styleId="139">
    <w:name w:val="fontstyle01"/>
    <w:basedOn w:val="26"/>
    <w:qFormat/>
    <w:uiPriority w:val="0"/>
    <w:rPr>
      <w:rFonts w:hint="eastAsia" w:ascii="宋体" w:hAnsi="宋体" w:eastAsia="宋体" w:cs="宋体"/>
      <w:color w:val="000000"/>
      <w:sz w:val="24"/>
      <w:szCs w:val="24"/>
    </w:rPr>
  </w:style>
  <w:style w:type="character" w:customStyle="1" w:styleId="140">
    <w:name w:val="font41"/>
    <w:basedOn w:val="26"/>
    <w:qFormat/>
    <w:uiPriority w:val="0"/>
    <w:rPr>
      <w:rFonts w:hint="default" w:ascii="Times New Roman" w:hAnsi="Times New Roman" w:cs="Times New Roman"/>
      <w:color w:val="000000"/>
      <w:sz w:val="14"/>
      <w:szCs w:val="14"/>
      <w:u w:val="none"/>
    </w:rPr>
  </w:style>
  <w:style w:type="character" w:customStyle="1" w:styleId="141">
    <w:name w:val="fontstyle11"/>
    <w:basedOn w:val="26"/>
    <w:qFormat/>
    <w:uiPriority w:val="0"/>
    <w:rPr>
      <w:rFonts w:hint="default" w:ascii="Times New Roman" w:hAnsi="Times New Roman" w:cs="Times New Roman"/>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3.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wmf"/><Relationship Id="rId45" Type="http://schemas.openxmlformats.org/officeDocument/2006/relationships/oleObject" Target="embeddings/oleObject12.bin"/><Relationship Id="rId44" Type="http://schemas.openxmlformats.org/officeDocument/2006/relationships/image" Target="media/image21.png"/><Relationship Id="rId43" Type="http://schemas.openxmlformats.org/officeDocument/2006/relationships/image" Target="media/image20.wmf"/><Relationship Id="rId42" Type="http://schemas.openxmlformats.org/officeDocument/2006/relationships/oleObject" Target="embeddings/oleObject11.bin"/><Relationship Id="rId41" Type="http://schemas.openxmlformats.org/officeDocument/2006/relationships/oleObject" Target="embeddings/oleObject10.bin"/><Relationship Id="rId40" Type="http://schemas.openxmlformats.org/officeDocument/2006/relationships/oleObject" Target="embeddings/oleObject9.bin"/><Relationship Id="rId4" Type="http://schemas.openxmlformats.org/officeDocument/2006/relationships/header" Target="header2.xml"/><Relationship Id="rId39" Type="http://schemas.openxmlformats.org/officeDocument/2006/relationships/oleObject" Target="embeddings/oleObject8.bin"/><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wmf"/><Relationship Id="rId34" Type="http://schemas.openxmlformats.org/officeDocument/2006/relationships/oleObject" Target="embeddings/oleObject7.bin"/><Relationship Id="rId33" Type="http://schemas.openxmlformats.org/officeDocument/2006/relationships/image" Target="media/image15.wmf"/><Relationship Id="rId32" Type="http://schemas.openxmlformats.org/officeDocument/2006/relationships/oleObject" Target="embeddings/oleObject6.bin"/><Relationship Id="rId31" Type="http://schemas.openxmlformats.org/officeDocument/2006/relationships/image" Target="media/image14.wmf"/><Relationship Id="rId30" Type="http://schemas.openxmlformats.org/officeDocument/2006/relationships/oleObject" Target="embeddings/oleObject5.bin"/><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3.wmf"/><Relationship Id="rId17" Type="http://schemas.openxmlformats.org/officeDocument/2006/relationships/oleObject" Target="embeddings/oleObject3.bin"/><Relationship Id="rId16" Type="http://schemas.openxmlformats.org/officeDocument/2006/relationships/image" Target="media/image2.wmf"/><Relationship Id="rId15" Type="http://schemas.openxmlformats.org/officeDocument/2006/relationships/oleObject" Target="embeddings/oleObject2.bin"/><Relationship Id="rId14" Type="http://schemas.openxmlformats.org/officeDocument/2006/relationships/image" Target="media/image1.w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0" textRotate="1"/>
    <customShpInfo spid="_x0000_s2051"/>
    <customShpInfo spid="_x0000_s2052"/>
    <customShpInfo spid="_x0000_s2053"/>
    <customShpInfo spid="_x0000_s2054" textRotate="1"/>
    <customShpInfo spid="_x0000_s2055"/>
    <customShpInfo spid="_x0000_s2056"/>
    <customShpInfo spid="_x0000_s205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23F57F-9388-4091-966E-DBAA9552281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243</Pages>
  <Words>129434</Words>
  <Characters>158609</Characters>
  <Lines>797</Lines>
  <Paragraphs>224</Paragraphs>
  <TotalTime>21</TotalTime>
  <ScaleCrop>false</ScaleCrop>
  <LinksUpToDate>false</LinksUpToDate>
  <CharactersWithSpaces>160017</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2017-09-25T07:35:00Z</dcterms:created>
  <dc:creator>Administrator</dc:creator>
  <cp:lastModifiedBy>Administrator</cp:lastModifiedBy>
  <cp:lastPrinted>2020-05-21T03:13:00Z</cp:lastPrinted>
  <dcterms:modified xsi:type="dcterms:W3CDTF">2020-09-30T01:23:07Z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