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r>
        <w:rPr>
          <w:rFonts w:hint="eastAsia" w:ascii="仿宋_GB2312" w:eastAsia="仿宋_GB2312"/>
          <w:sz w:val="32"/>
          <w:szCs w:val="32"/>
        </w:rPr>
        <w:t>驻环审〔20</w:t>
      </w:r>
      <w:r>
        <w:rPr>
          <w:rFonts w:hint="eastAsia" w:ascii="仿宋_GB2312" w:eastAsia="仿宋_GB2312"/>
          <w:sz w:val="32"/>
          <w:szCs w:val="32"/>
          <w:lang w:val="en-US" w:eastAsia="zh-CN"/>
        </w:rPr>
        <w:t>20</w:t>
      </w:r>
      <w:r>
        <w:rPr>
          <w:rFonts w:hint="eastAsia" w:ascii="仿宋_GB2312" w:eastAsia="仿宋_GB2312"/>
          <w:sz w:val="32"/>
          <w:szCs w:val="32"/>
        </w:rPr>
        <w:t>〕</w:t>
      </w:r>
      <w:r>
        <w:rPr>
          <w:rFonts w:hint="eastAsia" w:ascii="仿宋_GB2312" w:eastAsia="仿宋_GB2312"/>
          <w:sz w:val="32"/>
          <w:szCs w:val="32"/>
          <w:lang w:val="en-US" w:eastAsia="zh-CN"/>
        </w:rPr>
        <w:t>89</w:t>
      </w:r>
      <w:r>
        <w:rPr>
          <w:rFonts w:hint="eastAsia" w:ascii="仿宋_GB2312" w:eastAsia="仿宋_GB2312"/>
          <w:sz w:val="32"/>
          <w:szCs w:val="32"/>
        </w:rPr>
        <w:t>号</w:t>
      </w:r>
    </w:p>
    <w:p>
      <w:pPr>
        <w:jc w:val="center"/>
        <w:rPr>
          <w:rFonts w:hint="eastAsia"/>
          <w:sz w:val="32"/>
          <w:szCs w:val="32"/>
        </w:rPr>
      </w:pPr>
    </w:p>
    <w:p>
      <w:pPr>
        <w:jc w:val="center"/>
        <w:rPr>
          <w:rFonts w:hint="eastAsia"/>
          <w:b/>
          <w:bCs/>
          <w:sz w:val="44"/>
          <w:szCs w:val="44"/>
          <w:lang w:val="en-US" w:eastAsia="zh-CN"/>
        </w:rPr>
      </w:pPr>
      <w:r>
        <w:rPr>
          <w:rFonts w:hint="eastAsia" w:ascii="宋体" w:hAnsi="宋体"/>
          <w:b/>
          <w:sz w:val="44"/>
          <w:szCs w:val="44"/>
        </w:rPr>
        <w:t>关于《</w:t>
      </w:r>
      <w:r>
        <w:rPr>
          <w:rFonts w:hint="eastAsia"/>
          <w:b/>
          <w:bCs/>
          <w:sz w:val="44"/>
          <w:szCs w:val="44"/>
          <w:lang w:val="en-US" w:eastAsia="zh-CN"/>
        </w:rPr>
        <w:t>河南华兴纸业有限公司</w:t>
      </w:r>
    </w:p>
    <w:p>
      <w:pPr>
        <w:jc w:val="center"/>
        <w:rPr>
          <w:rFonts w:hint="eastAsia" w:ascii="宋体" w:hAnsi="宋体"/>
          <w:b/>
          <w:sz w:val="44"/>
          <w:szCs w:val="44"/>
        </w:rPr>
      </w:pPr>
      <w:r>
        <w:rPr>
          <w:rFonts w:hint="eastAsia"/>
          <w:b/>
          <w:bCs/>
          <w:sz w:val="44"/>
          <w:szCs w:val="44"/>
          <w:lang w:val="en-US" w:eastAsia="zh-CN"/>
        </w:rPr>
        <w:t>年产8.5万吨造纸生产线技改项目</w:t>
      </w:r>
      <w:r>
        <w:rPr>
          <w:rFonts w:hint="eastAsia" w:ascii="宋体" w:hAnsi="宋体"/>
          <w:b/>
          <w:sz w:val="44"/>
          <w:szCs w:val="44"/>
        </w:rPr>
        <w:t>环境影响报告书》的批复</w:t>
      </w:r>
    </w:p>
    <w:p>
      <w:pPr>
        <w:rPr>
          <w:rFonts w:hint="eastAsia" w:ascii="宋体" w:hAnsi="宋体"/>
          <w:b/>
          <w:sz w:val="44"/>
          <w:szCs w:val="44"/>
        </w:rPr>
      </w:pPr>
    </w:p>
    <w:p>
      <w:pPr>
        <w:rPr>
          <w:rFonts w:hint="eastAsia" w:ascii="仿宋_GB2312" w:hAnsi="宋体" w:eastAsia="仿宋_GB2312"/>
          <w:sz w:val="32"/>
          <w:szCs w:val="32"/>
        </w:rPr>
      </w:pPr>
      <w:r>
        <w:rPr>
          <w:rFonts w:hint="eastAsia" w:ascii="仿宋_GB2312" w:hAnsi="宋体" w:eastAsia="仿宋_GB2312"/>
          <w:sz w:val="32"/>
          <w:szCs w:val="32"/>
          <w:lang w:eastAsia="zh-CN"/>
        </w:rPr>
        <w:t>河南华兴纸业有限公司</w:t>
      </w:r>
      <w:r>
        <w:rPr>
          <w:rFonts w:hint="eastAsia" w:ascii="仿宋_GB2312" w:hAnsi="宋体" w:eastAsia="仿宋_GB2312"/>
          <w:sz w:val="32"/>
          <w:szCs w:val="32"/>
        </w:rPr>
        <w:t>：</w:t>
      </w:r>
    </w:p>
    <w:p>
      <w:pPr>
        <w:spacing w:line="360" w:lineRule="auto"/>
        <w:ind w:firstLine="640" w:firstLineChars="200"/>
        <w:rPr>
          <w:rFonts w:hint="eastAsia" w:ascii="仿宋_GB2312" w:eastAsia="仿宋_GB2312"/>
          <w:sz w:val="32"/>
          <w:szCs w:val="32"/>
        </w:rPr>
      </w:pPr>
      <w:r>
        <w:rPr>
          <w:rFonts w:hint="eastAsia" w:ascii="仿宋_GB2312" w:hAnsi="宋体" w:eastAsia="仿宋_GB2312"/>
          <w:sz w:val="32"/>
          <w:szCs w:val="32"/>
        </w:rPr>
        <w:t>你公司</w:t>
      </w:r>
      <w:r>
        <w:rPr>
          <w:rFonts w:hint="eastAsia" w:ascii="仿宋_GB2312" w:hAnsi="宋体" w:eastAsia="仿宋_GB2312"/>
          <w:sz w:val="32"/>
          <w:szCs w:val="32"/>
          <w:lang w:eastAsia="zh-CN"/>
        </w:rPr>
        <w:t>委托</w:t>
      </w:r>
      <w:r>
        <w:rPr>
          <w:rFonts w:hint="eastAsia" w:ascii="仿宋_GB2312" w:hAnsi="宋体" w:eastAsia="仿宋_GB2312"/>
          <w:sz w:val="32"/>
          <w:szCs w:val="32"/>
        </w:rPr>
        <w:t>河南科瑞达环保科技有限公司编制的《河南华兴纸业有限公司年产8.5万吨造纸生产线技改项目环境影响报告书（报批版）》（以下简称《报告书》）收悉，该项目审批事项在我局网站公示期满。</w:t>
      </w:r>
      <w:r>
        <w:rPr>
          <w:rFonts w:hint="eastAsia" w:ascii="仿宋_GB2312" w:eastAsia="仿宋_GB2312"/>
          <w:sz w:val="32"/>
          <w:szCs w:val="32"/>
        </w:rPr>
        <w:t>根据《中华人民共和国环境保护法》、《中华人民共和国行政许可法》、《中华人民共和国环境影响评价法》、《建设项目环境保护管理条例》等法律法规规定，</w:t>
      </w:r>
      <w:r>
        <w:rPr>
          <w:rFonts w:hint="eastAsia" w:ascii="仿宋_GB2312" w:eastAsia="仿宋_GB2312"/>
          <w:sz w:val="32"/>
          <w:szCs w:val="32"/>
          <w:lang w:eastAsia="zh-CN"/>
        </w:rPr>
        <w:t>现</w:t>
      </w:r>
      <w:r>
        <w:rPr>
          <w:rFonts w:hint="eastAsia" w:ascii="仿宋_GB2312" w:eastAsia="仿宋_GB2312"/>
          <w:sz w:val="32"/>
          <w:szCs w:val="32"/>
        </w:rPr>
        <w:t>批复如下：</w:t>
      </w:r>
    </w:p>
    <w:p>
      <w:pPr>
        <w:jc w:val="left"/>
        <w:rPr>
          <w:rFonts w:hint="eastAsia" w:ascii="仿宋_GB2312" w:hAnsi="仿宋_GB2312" w:eastAsia="仿宋_GB2312" w:cs="仿宋_GB2312"/>
          <w:sz w:val="32"/>
          <w:szCs w:val="32"/>
        </w:rPr>
      </w:pPr>
      <w:r>
        <w:rPr>
          <w:rFonts w:hint="eastAsia" w:ascii="仿宋_GB2312" w:hAnsi="宋体" w:eastAsia="仿宋_GB2312"/>
          <w:sz w:val="32"/>
          <w:szCs w:val="32"/>
        </w:rPr>
        <w:t xml:space="preserve">    一、</w:t>
      </w:r>
      <w:r>
        <w:rPr>
          <w:rFonts w:hint="eastAsia" w:ascii="仿宋_GB2312" w:hAnsi="宋体" w:eastAsia="仿宋_GB2312"/>
          <w:sz w:val="32"/>
          <w:szCs w:val="32"/>
          <w:lang w:eastAsia="zh-CN"/>
        </w:rPr>
        <w:t>河南华兴纸业有限公司厂</w:t>
      </w:r>
      <w:r>
        <w:rPr>
          <w:rFonts w:hint="eastAsia" w:ascii="仿宋_GB2312" w:hAnsi="宋体" w:eastAsia="仿宋_GB2312"/>
          <w:sz w:val="32"/>
          <w:szCs w:val="32"/>
        </w:rPr>
        <w:t>址位于西平县环城乡芳庄，现有工程《西平县兴华综合纸业有限公司实施产品结构调整及扩大商品浆/废纸造纸生产规模项目》由原河南省环境保护局于2003</w:t>
      </w:r>
      <w:r>
        <w:rPr>
          <w:rFonts w:hint="eastAsia" w:ascii="仿宋_GB2312" w:hAnsi="宋体" w:eastAsia="仿宋_GB2312"/>
          <w:sz w:val="32"/>
          <w:szCs w:val="32"/>
          <w:lang w:eastAsia="zh-CN"/>
        </w:rPr>
        <w:t>年</w:t>
      </w:r>
      <w:r>
        <w:rPr>
          <w:rFonts w:hint="eastAsia" w:ascii="仿宋_GB2312" w:hAnsi="宋体" w:eastAsia="仿宋_GB2312"/>
          <w:sz w:val="32"/>
          <w:szCs w:val="32"/>
          <w:lang w:val="en-US" w:eastAsia="zh-CN"/>
        </w:rPr>
        <w:t>7</w:t>
      </w:r>
      <w:bookmarkStart w:id="0" w:name="_GoBack"/>
      <w:bookmarkEnd w:id="0"/>
      <w:r>
        <w:rPr>
          <w:rFonts w:hint="eastAsia" w:ascii="仿宋_GB2312" w:hAnsi="宋体" w:eastAsia="仿宋_GB2312"/>
          <w:sz w:val="32"/>
          <w:szCs w:val="32"/>
        </w:rPr>
        <w:t>月</w:t>
      </w:r>
      <w:r>
        <w:rPr>
          <w:rFonts w:hint="eastAsia" w:ascii="仿宋_GB2312" w:hAnsi="宋体" w:eastAsia="仿宋_GB2312"/>
          <w:sz w:val="32"/>
          <w:szCs w:val="32"/>
          <w:lang w:eastAsia="zh-CN"/>
        </w:rPr>
        <w:t>批复</w:t>
      </w:r>
      <w:r>
        <w:rPr>
          <w:rFonts w:hint="eastAsia" w:ascii="仿宋_GB2312" w:hAnsi="宋体" w:eastAsia="仿宋_GB2312"/>
          <w:sz w:val="32"/>
          <w:szCs w:val="32"/>
        </w:rPr>
        <w:t>（豫环监[2003]74号），于2004年12月更名为《河南省西平县华兴综合纸业有限公司关于实施产品结构调整及扩大商品浆废纸造纸项目》（豫环监函[2004]120号）</w:t>
      </w:r>
      <w:r>
        <w:rPr>
          <w:rFonts w:hint="eastAsia" w:ascii="仿宋_GB2312" w:hAnsi="宋体" w:eastAsia="仿宋_GB2312"/>
          <w:sz w:val="32"/>
          <w:szCs w:val="32"/>
          <w:lang w:eastAsia="zh-CN"/>
        </w:rPr>
        <w:t>，批复规模为</w:t>
      </w:r>
      <w:r>
        <w:rPr>
          <w:rFonts w:hint="eastAsia" w:ascii="仿宋_GB2312" w:hAnsi="宋体" w:eastAsia="仿宋_GB2312"/>
          <w:sz w:val="32"/>
          <w:szCs w:val="32"/>
        </w:rPr>
        <w:t>8.5万吨/年</w:t>
      </w:r>
      <w:r>
        <w:rPr>
          <w:rFonts w:hint="eastAsia" w:ascii="仿宋_GB2312" w:hAnsi="宋体" w:eastAsia="仿宋_GB2312"/>
          <w:sz w:val="32"/>
          <w:szCs w:val="32"/>
          <w:lang w:eastAsia="zh-CN"/>
        </w:rPr>
        <w:t>板纸、生活用纸等。本期</w:t>
      </w:r>
      <w:r>
        <w:rPr>
          <w:rFonts w:hint="eastAsia" w:ascii="仿宋_GB2312" w:hAnsi="宋体" w:eastAsia="仿宋_GB2312"/>
          <w:sz w:val="32"/>
          <w:szCs w:val="32"/>
        </w:rPr>
        <w:t>技改</w:t>
      </w:r>
      <w:r>
        <w:rPr>
          <w:rFonts w:hint="eastAsia" w:ascii="仿宋_GB2312" w:hAnsi="宋体" w:eastAsia="仿宋_GB2312"/>
          <w:sz w:val="32"/>
          <w:szCs w:val="32"/>
          <w:lang w:eastAsia="zh-CN"/>
        </w:rPr>
        <w:t>项目</w:t>
      </w:r>
      <w:r>
        <w:rPr>
          <w:rFonts w:hint="eastAsia" w:ascii="仿宋_GB2312" w:hAnsi="宋体" w:eastAsia="仿宋_GB2312"/>
          <w:sz w:val="32"/>
          <w:szCs w:val="32"/>
        </w:rPr>
        <w:t>，不新增</w:t>
      </w:r>
      <w:r>
        <w:rPr>
          <w:rFonts w:hint="eastAsia" w:ascii="仿宋_GB2312" w:hAnsi="宋体" w:eastAsia="仿宋_GB2312"/>
          <w:sz w:val="32"/>
          <w:szCs w:val="32"/>
          <w:lang w:eastAsia="zh-CN"/>
        </w:rPr>
        <w:t>用</w:t>
      </w:r>
      <w:r>
        <w:rPr>
          <w:rFonts w:hint="eastAsia" w:ascii="仿宋_GB2312" w:hAnsi="宋体" w:eastAsia="仿宋_GB2312"/>
          <w:sz w:val="32"/>
          <w:szCs w:val="32"/>
        </w:rPr>
        <w:t>地，不增加</w:t>
      </w:r>
      <w:r>
        <w:rPr>
          <w:rFonts w:hint="eastAsia" w:ascii="仿宋_GB2312" w:hAnsi="宋体" w:eastAsia="仿宋_GB2312"/>
          <w:sz w:val="32"/>
          <w:szCs w:val="32"/>
          <w:lang w:eastAsia="zh-CN"/>
        </w:rPr>
        <w:t>产能，不增加污染物排放总量，将现有板纸生产线改造为生活用纸生产线，现有废纸制浆全部改造为商品浆造纸，</w:t>
      </w:r>
      <w:r>
        <w:rPr>
          <w:rFonts w:hint="eastAsia" w:ascii="仿宋_GB2312" w:hAnsi="宋体" w:eastAsia="仿宋_GB2312"/>
          <w:sz w:val="32"/>
          <w:szCs w:val="32"/>
        </w:rPr>
        <w:t>技改后为6条2850型生活用纸生产线</w:t>
      </w:r>
      <w:r>
        <w:rPr>
          <w:rFonts w:hint="eastAsia" w:ascii="仿宋_GB2312" w:hAnsi="宋体" w:eastAsia="仿宋_GB2312"/>
          <w:sz w:val="32"/>
          <w:szCs w:val="32"/>
          <w:lang w:eastAsia="zh-CN"/>
        </w:rPr>
        <w:t>，生产规模为</w:t>
      </w:r>
      <w:r>
        <w:rPr>
          <w:rFonts w:hint="eastAsia" w:ascii="仿宋_GB2312" w:hAnsi="宋体" w:eastAsia="仿宋_GB2312"/>
          <w:sz w:val="32"/>
          <w:szCs w:val="32"/>
        </w:rPr>
        <w:t>8.5万吨/年</w:t>
      </w:r>
      <w:r>
        <w:rPr>
          <w:rFonts w:hint="eastAsia" w:ascii="仿宋_GB2312" w:hAnsi="宋体" w:eastAsia="仿宋_GB2312"/>
          <w:sz w:val="32"/>
          <w:szCs w:val="32"/>
          <w:lang w:eastAsia="zh-CN"/>
        </w:rPr>
        <w:t>生活用纸</w:t>
      </w:r>
      <w:r>
        <w:rPr>
          <w:rFonts w:hint="eastAsia" w:ascii="仿宋_GB2312" w:hAnsi="宋体" w:eastAsia="仿宋_GB2312"/>
          <w:sz w:val="32"/>
          <w:szCs w:val="32"/>
        </w:rPr>
        <w:t>。</w:t>
      </w:r>
      <w:r>
        <w:rPr>
          <w:rFonts w:hint="eastAsia" w:ascii="仿宋_GB2312" w:hAnsi="宋体" w:eastAsia="仿宋_GB2312"/>
          <w:sz w:val="32"/>
          <w:szCs w:val="32"/>
          <w:lang w:eastAsia="zh-CN"/>
        </w:rPr>
        <w:t>供水、供汽、废水处理等公用工程及环保工程</w:t>
      </w:r>
      <w:r>
        <w:rPr>
          <w:rFonts w:hint="eastAsia" w:ascii="仿宋_GB2312" w:hAnsi="宋体" w:eastAsia="仿宋_GB2312"/>
          <w:sz w:val="32"/>
          <w:szCs w:val="32"/>
        </w:rPr>
        <w:t>利用现有</w:t>
      </w:r>
      <w:r>
        <w:rPr>
          <w:rFonts w:hint="eastAsia" w:ascii="仿宋_GB2312" w:hAnsi="宋体" w:eastAsia="仿宋_GB2312"/>
          <w:sz w:val="32"/>
          <w:szCs w:val="32"/>
          <w:lang w:eastAsia="zh-CN"/>
        </w:rPr>
        <w:t>工程</w:t>
      </w:r>
      <w:r>
        <w:rPr>
          <w:rFonts w:hint="eastAsia" w:ascii="仿宋_GB2312" w:hAnsi="宋体" w:eastAsia="仿宋_GB2312"/>
          <w:sz w:val="32"/>
          <w:szCs w:val="32"/>
        </w:rPr>
        <w:t>配套设施及环保治理设施</w:t>
      </w:r>
      <w:r>
        <w:rPr>
          <w:rFonts w:hint="eastAsia" w:ascii="仿宋_GB2312" w:hAnsi="宋体" w:eastAsia="仿宋_GB2312"/>
          <w:sz w:val="32"/>
          <w:szCs w:val="32"/>
          <w:lang w:eastAsia="zh-CN"/>
        </w:rPr>
        <w:t>。</w:t>
      </w:r>
      <w:r>
        <w:rPr>
          <w:rFonts w:hint="eastAsia" w:ascii="仿宋_GB2312" w:hAnsi="宋体" w:eastAsia="仿宋_GB2312"/>
          <w:sz w:val="32"/>
          <w:szCs w:val="32"/>
        </w:rPr>
        <w:t>该《报告书》内容符合国家政策法律法规要求和建设项目环境管理规定</w:t>
      </w:r>
      <w:r>
        <w:rPr>
          <w:rFonts w:hint="eastAsia" w:ascii="仿宋_GB2312" w:hAnsi="宋体" w:eastAsia="仿宋_GB2312"/>
          <w:sz w:val="32"/>
          <w:szCs w:val="32"/>
          <w:lang w:eastAsia="zh-CN"/>
        </w:rPr>
        <w:t>，</w:t>
      </w:r>
      <w:r>
        <w:rPr>
          <w:rFonts w:hint="eastAsia" w:ascii="仿宋_GB2312" w:hAnsi="宋体" w:eastAsia="仿宋_GB2312"/>
          <w:sz w:val="32"/>
          <w:szCs w:val="32"/>
        </w:rPr>
        <w:t>原则同意你公司按照《报告书》所列项目的性质、规模、地点、采用的生产工艺和环境保护对策措施进行项目建设。</w:t>
      </w:r>
    </w:p>
    <w:p>
      <w:pPr>
        <w:ind w:firstLine="660"/>
        <w:rPr>
          <w:rFonts w:hint="eastAsia" w:ascii="仿宋_GB2312" w:hAnsi="宋体" w:eastAsia="仿宋_GB2312"/>
          <w:sz w:val="32"/>
          <w:szCs w:val="32"/>
        </w:rPr>
      </w:pPr>
      <w:r>
        <w:rPr>
          <w:rFonts w:hint="eastAsia" w:ascii="仿宋_GB2312" w:hAnsi="宋体" w:eastAsia="仿宋_GB2312"/>
          <w:sz w:val="32"/>
          <w:szCs w:val="32"/>
        </w:rPr>
        <w:t>二、你公司应主动向社会公众公开《报告书》</w:t>
      </w:r>
      <w:r>
        <w:rPr>
          <w:rFonts w:hint="eastAsia" w:ascii="仿宋_GB2312" w:hAnsi="宋体" w:eastAsia="仿宋_GB2312"/>
          <w:sz w:val="32"/>
          <w:szCs w:val="32"/>
          <w:lang w:eastAsia="zh-CN"/>
        </w:rPr>
        <w:t>内容</w:t>
      </w:r>
      <w:r>
        <w:rPr>
          <w:rFonts w:hint="eastAsia" w:ascii="仿宋_GB2312" w:hAnsi="宋体" w:eastAsia="仿宋_GB2312"/>
          <w:sz w:val="32"/>
          <w:szCs w:val="32"/>
        </w:rPr>
        <w:t>，并接受相关方的垂询。</w:t>
      </w:r>
    </w:p>
    <w:p>
      <w:pPr>
        <w:ind w:firstLine="660"/>
        <w:rPr>
          <w:rFonts w:hint="eastAsia" w:ascii="仿宋_GB2312" w:hAnsi="宋体" w:eastAsia="仿宋_GB2312"/>
          <w:sz w:val="32"/>
          <w:szCs w:val="32"/>
        </w:rPr>
      </w:pPr>
      <w:r>
        <w:rPr>
          <w:rFonts w:hint="eastAsia" w:ascii="仿宋_GB2312" w:hAnsi="宋体" w:eastAsia="仿宋_GB2312"/>
          <w:sz w:val="32"/>
          <w:szCs w:val="32"/>
        </w:rPr>
        <w:t>三、你公司应全面落实《报告书》提出的各项环境保护措施，确保各项污染物达标排放。</w:t>
      </w:r>
    </w:p>
    <w:p>
      <w:pPr>
        <w:ind w:firstLine="480" w:firstLineChars="150"/>
        <w:rPr>
          <w:rFonts w:hint="eastAsia" w:ascii="仿宋_GB2312" w:hAnsi="宋体" w:eastAsia="仿宋_GB2312"/>
          <w:sz w:val="32"/>
          <w:szCs w:val="32"/>
        </w:rPr>
      </w:pPr>
      <w:r>
        <w:rPr>
          <w:rFonts w:hint="eastAsia" w:ascii="仿宋_GB2312" w:hAnsi="宋体" w:eastAsia="仿宋_GB2312"/>
          <w:sz w:val="32"/>
          <w:szCs w:val="32"/>
        </w:rPr>
        <w:t>（一）依据《报告书》和本批复文件，对项目建设过程中产生的废水、废气、固体废物、噪声、振动等污染，以及因施工对自然、生态环境造成的破坏，采取相应的防治措施。</w:t>
      </w:r>
    </w:p>
    <w:p>
      <w:pPr>
        <w:ind w:firstLine="480" w:firstLineChars="150"/>
        <w:rPr>
          <w:rFonts w:hint="eastAsia" w:ascii="仿宋_GB2312" w:hAnsi="宋体" w:eastAsia="仿宋_GB2312"/>
          <w:sz w:val="32"/>
          <w:szCs w:val="32"/>
        </w:rPr>
      </w:pPr>
      <w:r>
        <w:rPr>
          <w:rFonts w:hint="eastAsia" w:ascii="仿宋_GB2312" w:hAnsi="宋体" w:eastAsia="仿宋_GB2312"/>
          <w:sz w:val="32"/>
          <w:szCs w:val="32"/>
        </w:rPr>
        <w:t>（二）项目</w:t>
      </w:r>
      <w:r>
        <w:rPr>
          <w:rFonts w:hint="eastAsia" w:ascii="仿宋_GB2312" w:hAnsi="宋体" w:eastAsia="仿宋_GB2312"/>
          <w:sz w:val="32"/>
          <w:szCs w:val="32"/>
          <w:lang w:eastAsia="zh-CN"/>
        </w:rPr>
        <w:t>建成投产</w:t>
      </w:r>
      <w:r>
        <w:rPr>
          <w:rFonts w:hint="eastAsia" w:ascii="仿宋_GB2312" w:hAnsi="宋体" w:eastAsia="仿宋_GB2312"/>
          <w:sz w:val="32"/>
          <w:szCs w:val="32"/>
        </w:rPr>
        <w:t>时，外排污染物应满足以下要求：</w:t>
      </w:r>
    </w:p>
    <w:p>
      <w:pPr>
        <w:spacing w:line="360" w:lineRule="auto"/>
        <w:ind w:firstLine="643" w:firstLineChars="200"/>
        <w:rPr>
          <w:rFonts w:hint="eastAsia" w:ascii="仿宋_GB2312" w:hAnsi="宋体" w:eastAsia="仿宋_GB2312"/>
          <w:b w:val="0"/>
          <w:bCs/>
          <w:sz w:val="32"/>
          <w:szCs w:val="32"/>
        </w:rPr>
      </w:pPr>
      <w:r>
        <w:rPr>
          <w:rFonts w:hint="eastAsia" w:ascii="仿宋_GB2312" w:hAnsi="宋体" w:eastAsia="仿宋_GB2312"/>
          <w:b/>
          <w:sz w:val="32"/>
          <w:szCs w:val="32"/>
        </w:rPr>
        <w:t>1、废气</w:t>
      </w:r>
      <w:r>
        <w:rPr>
          <w:rFonts w:hint="eastAsia" w:ascii="仿宋_GB2312" w:hAnsi="宋体" w:eastAsia="仿宋_GB2312"/>
          <w:b w:val="0"/>
          <w:bCs/>
          <w:sz w:val="32"/>
          <w:szCs w:val="32"/>
        </w:rPr>
        <w:t>：造纸干燥和切割废气采用“水膜除尘+厂房抑尘”处理后，满足《大气污染物综合排放标准》（GB16297-1996）表 2 中颗粒物无组织排放限值要求；生物质锅废气经“炉内脱硝+旋风除尘+袋式除尘”处理后，由45米高的排气筒排放</w:t>
      </w:r>
      <w:r>
        <w:rPr>
          <w:rFonts w:hint="eastAsia" w:ascii="仿宋_GB2312" w:hAnsi="宋体" w:eastAsia="仿宋_GB2312"/>
          <w:b w:val="0"/>
          <w:bCs/>
          <w:sz w:val="32"/>
          <w:szCs w:val="32"/>
          <w:lang w:eastAsia="zh-CN"/>
        </w:rPr>
        <w:t>；</w:t>
      </w:r>
      <w:r>
        <w:rPr>
          <w:rFonts w:hint="eastAsia" w:ascii="仿宋_GB2312" w:hAnsi="宋体" w:eastAsia="仿宋_GB2312"/>
          <w:b w:val="0"/>
          <w:bCs/>
          <w:sz w:val="32"/>
          <w:szCs w:val="32"/>
        </w:rPr>
        <w:t>天然气锅炉废气采用“低氮改造”后，由15米高的排气筒排放，满足《锅炉大气污染物排放标准》（GB13271-2014）表3及《关于印发河南省2020年大气、水、土壤污染防治攻坚战实施方案的通知》（豫环攻坚办〔2020〕7号）</w:t>
      </w:r>
      <w:r>
        <w:rPr>
          <w:rFonts w:hint="eastAsia" w:ascii="仿宋_GB2312" w:hAnsi="宋体" w:eastAsia="仿宋_GB2312"/>
          <w:b w:val="0"/>
          <w:bCs/>
          <w:sz w:val="32"/>
          <w:szCs w:val="32"/>
          <w:lang w:eastAsia="zh-CN"/>
        </w:rPr>
        <w:t>相关要求</w:t>
      </w:r>
      <w:r>
        <w:rPr>
          <w:rFonts w:hint="eastAsia" w:ascii="仿宋_GB2312" w:hAnsi="宋体" w:eastAsia="仿宋_GB2312"/>
          <w:b w:val="0"/>
          <w:bCs/>
          <w:sz w:val="32"/>
          <w:szCs w:val="32"/>
        </w:rPr>
        <w:t>；食堂油烟采用油烟净化装置处理后由餐厅楼顶排放，满足《餐饮业油烟污染物排放标准》（DB41/1604—2018）</w:t>
      </w:r>
      <w:r>
        <w:rPr>
          <w:rFonts w:hint="eastAsia" w:ascii="仿宋_GB2312" w:hAnsi="宋体" w:eastAsia="仿宋_GB2312"/>
          <w:b w:val="0"/>
          <w:bCs/>
          <w:sz w:val="32"/>
          <w:szCs w:val="32"/>
          <w:lang w:eastAsia="zh-CN"/>
        </w:rPr>
        <w:t>。</w:t>
      </w:r>
    </w:p>
    <w:p>
      <w:pPr>
        <w:numPr>
          <w:ilvl w:val="0"/>
          <w:numId w:val="1"/>
        </w:numPr>
        <w:ind w:firstLine="643" w:firstLineChars="200"/>
        <w:rPr>
          <w:rFonts w:hint="default" w:ascii="仿宋_GB2312" w:hAnsi="仿宋_GB2312" w:eastAsia="仿宋_GB2312" w:cs="仿宋_GB2312"/>
          <w:sz w:val="32"/>
          <w:szCs w:val="32"/>
          <w:lang w:val="en-US" w:eastAsia="zh-CN"/>
        </w:rPr>
      </w:pPr>
      <w:r>
        <w:rPr>
          <w:rFonts w:hint="eastAsia" w:ascii="仿宋_GB2312" w:hAnsi="宋体" w:eastAsia="仿宋_GB2312" w:cs="宋体"/>
          <w:b/>
          <w:bCs/>
          <w:sz w:val="32"/>
          <w:szCs w:val="32"/>
        </w:rPr>
        <w:t>废水：</w:t>
      </w:r>
      <w:r>
        <w:rPr>
          <w:rFonts w:hint="eastAsia" w:ascii="仿宋_GB2312" w:hAnsi="宋体" w:eastAsia="仿宋_GB2312" w:cs="宋体"/>
          <w:b w:val="0"/>
          <w:bCs w:val="0"/>
          <w:sz w:val="32"/>
          <w:szCs w:val="32"/>
          <w:lang w:eastAsia="zh-CN"/>
        </w:rPr>
        <w:t>项目实行“清污分流”原则。生产废水经白水池收集后，50%白水直接回用于碎浆、调浆、配浆工序，剩余50%白水经生产车间内气浮或多圆盘过滤进行预处理，预处理后的浊白水回用于碎浆、调浆、配浆工序，清白水部分回用于毛布清洗，剩余清白水与经化粪池处理后的生活污水经厂内污水处理站采用“气浮+A/O”处理工艺，处理后进入厂区总排口，经市政污水管网进入西平县污水处理厂，满足《制浆造纸工业水污染物排放标准》（GB3544-2008）和西平县污水处理厂进水水质要求。</w:t>
      </w:r>
    </w:p>
    <w:p>
      <w:pPr>
        <w:ind w:firstLine="643" w:firstLineChars="200"/>
        <w:rPr>
          <w:rFonts w:hint="eastAsia" w:ascii="仿宋_GB2312" w:hAnsi="宋体" w:eastAsia="仿宋_GB2312" w:cs="宋体"/>
          <w:b w:val="0"/>
          <w:bCs w:val="0"/>
          <w:sz w:val="32"/>
          <w:szCs w:val="32"/>
        </w:rPr>
      </w:pPr>
      <w:r>
        <w:rPr>
          <w:rFonts w:hint="eastAsia" w:ascii="仿宋_GB2312" w:hAnsi="宋体" w:eastAsia="仿宋_GB2312" w:cs="宋体"/>
          <w:b/>
          <w:bCs/>
          <w:sz w:val="32"/>
          <w:szCs w:val="32"/>
        </w:rPr>
        <w:t>3、固体废物：</w:t>
      </w:r>
      <w:r>
        <w:rPr>
          <w:rFonts w:hint="eastAsia" w:ascii="仿宋_GB2312" w:hAnsi="宋体" w:eastAsia="仿宋_GB2312" w:cs="宋体"/>
          <w:b w:val="0"/>
          <w:bCs w:val="0"/>
          <w:sz w:val="32"/>
          <w:szCs w:val="32"/>
        </w:rPr>
        <w:t>废铁丝铁屑集中收集外售；废边角料、浮渣综合利用；废毛布厂家回收；废活性炭、废离子交换树脂等交由有资质的单位进行处置；生活垃圾送西平县城市垃圾处理场进行处置。</w:t>
      </w:r>
    </w:p>
    <w:p>
      <w:pPr>
        <w:ind w:firstLine="640"/>
        <w:rPr>
          <w:rFonts w:hint="eastAsia" w:ascii="仿宋_GB2312" w:hAnsi="仿宋_GB2312" w:eastAsia="仿宋_GB2312" w:cs="仿宋_GB2312"/>
          <w:sz w:val="32"/>
          <w:szCs w:val="32"/>
        </w:rPr>
      </w:pPr>
      <w:r>
        <w:rPr>
          <w:rFonts w:hint="eastAsia" w:ascii="仿宋_GB2312" w:hAnsi="宋体" w:eastAsia="仿宋_GB2312" w:cs="宋体"/>
          <w:b/>
          <w:bCs/>
          <w:sz w:val="32"/>
          <w:szCs w:val="32"/>
        </w:rPr>
        <w:t>4、噪声：</w:t>
      </w:r>
      <w:r>
        <w:rPr>
          <w:rFonts w:hint="eastAsia" w:ascii="仿宋_GB2312" w:hAnsi="宋体" w:eastAsia="仿宋_GB2312" w:cs="宋体"/>
          <w:b w:val="0"/>
          <w:bCs w:val="0"/>
          <w:sz w:val="32"/>
          <w:szCs w:val="32"/>
          <w:lang w:eastAsia="zh-CN"/>
        </w:rPr>
        <w:t>破碎机、搅拌机、造粒机等高噪声设备，采用基础减振、厂房隔音等措施，使厂界噪声满足《工业企业厂界环境噪声排放标准》（GB12348—2008）中2类标准</w:t>
      </w:r>
      <w:r>
        <w:rPr>
          <w:rFonts w:hint="eastAsia" w:ascii="仿宋_GB2312" w:hAnsi="仿宋_GB2312" w:eastAsia="仿宋_GB2312" w:cs="仿宋_GB2312"/>
          <w:sz w:val="32"/>
          <w:szCs w:val="32"/>
        </w:rPr>
        <w:t>。</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）落实《报告书》环境风险防范措施，制定环境风险应急预案，严防环境污染事故发生。</w:t>
      </w:r>
    </w:p>
    <w:p>
      <w:pPr>
        <w:ind w:firstLine="640"/>
        <w:rPr>
          <w:rFonts w:hint="eastAsia" w:ascii="仿宋_GB2312" w:hAnsi="宋体" w:eastAsia="仿宋_GB2312" w:cs="宋体"/>
          <w:sz w:val="32"/>
          <w:szCs w:val="32"/>
          <w:lang w:eastAsia="zh-CN"/>
        </w:rPr>
      </w:pPr>
      <w:r>
        <w:rPr>
          <w:rFonts w:hint="eastAsia" w:ascii="仿宋_GB2312" w:hAnsi="宋体" w:eastAsia="仿宋_GB2312" w:cs="宋体"/>
          <w:sz w:val="32"/>
          <w:szCs w:val="32"/>
        </w:rPr>
        <w:t>（</w:t>
      </w:r>
      <w:r>
        <w:rPr>
          <w:rFonts w:hint="eastAsia" w:ascii="仿宋_GB2312" w:hAnsi="宋体" w:eastAsia="仿宋_GB2312" w:cs="宋体"/>
          <w:sz w:val="32"/>
          <w:szCs w:val="32"/>
          <w:lang w:eastAsia="zh-CN"/>
        </w:rPr>
        <w:t>四</w:t>
      </w:r>
      <w:r>
        <w:rPr>
          <w:rFonts w:hint="eastAsia" w:ascii="仿宋_GB2312" w:hAnsi="宋体" w:eastAsia="仿宋_GB2312" w:cs="宋体"/>
          <w:sz w:val="32"/>
          <w:szCs w:val="32"/>
        </w:rPr>
        <w:t>）</w:t>
      </w:r>
      <w:r>
        <w:rPr>
          <w:rFonts w:hint="eastAsia" w:ascii="仿宋_GB2312" w:hAnsi="宋体" w:eastAsia="仿宋_GB2312" w:cs="宋体"/>
          <w:sz w:val="32"/>
          <w:szCs w:val="32"/>
          <w:lang w:eastAsia="zh-CN"/>
        </w:rPr>
        <w:t>主要污染物排放总量：本项目技改后不新增总量。</w:t>
      </w:r>
    </w:p>
    <w:p>
      <w:pPr>
        <w:ind w:firstLine="640"/>
        <w:rPr>
          <w:rFonts w:hint="eastAsia" w:ascii="仿宋_GB2312" w:hAnsi="宋体" w:eastAsia="仿宋_GB2312" w:cs="宋体"/>
          <w:sz w:val="32"/>
          <w:szCs w:val="32"/>
        </w:rPr>
      </w:pPr>
      <w:r>
        <w:rPr>
          <w:rFonts w:hint="eastAsia" w:ascii="仿宋_GB2312" w:hAnsi="宋体" w:eastAsia="仿宋_GB2312" w:cs="宋体"/>
          <w:sz w:val="32"/>
          <w:szCs w:val="32"/>
          <w:lang w:eastAsia="zh-CN"/>
        </w:rPr>
        <w:t>（五）</w:t>
      </w:r>
      <w:r>
        <w:rPr>
          <w:rFonts w:hint="eastAsia" w:ascii="仿宋_GB2312" w:hAnsi="宋体" w:eastAsia="仿宋_GB2312" w:cs="宋体"/>
          <w:sz w:val="32"/>
          <w:szCs w:val="32"/>
        </w:rPr>
        <w:t>如果今后国家或我省颁布严于本批复污染物排放限值的新标准，届时你单位应按新的排放标准执行。</w:t>
      </w:r>
    </w:p>
    <w:p>
      <w:pPr>
        <w:ind w:firstLine="640"/>
        <w:rPr>
          <w:rFonts w:hint="eastAsia" w:ascii="仿宋_GB2312" w:hAnsi="宋体" w:eastAsia="仿宋_GB2312" w:cs="宋体"/>
          <w:sz w:val="32"/>
          <w:szCs w:val="32"/>
          <w:lang w:eastAsia="zh-CN"/>
        </w:rPr>
      </w:pPr>
      <w:r>
        <w:rPr>
          <w:rFonts w:hint="eastAsia" w:ascii="仿宋_GB2312" w:hAnsi="宋体" w:eastAsia="仿宋_GB2312" w:cs="宋体"/>
          <w:sz w:val="32"/>
          <w:szCs w:val="32"/>
        </w:rPr>
        <w:t>四、</w:t>
      </w:r>
      <w:r>
        <w:rPr>
          <w:rFonts w:hint="eastAsia" w:ascii="仿宋_GB2312" w:hAnsi="宋体" w:eastAsia="仿宋_GB2312" w:cs="宋体"/>
          <w:sz w:val="32"/>
          <w:szCs w:val="32"/>
          <w:lang w:eastAsia="zh-CN"/>
        </w:rPr>
        <w:t>项目施工期扬尘控制严格按《报告书》规定执行。严格落实施工期大气污染管控措施，并按规定接受各级环境保护主管部门日常监督检查。</w:t>
      </w:r>
    </w:p>
    <w:p>
      <w:pPr>
        <w:ind w:firstLine="640"/>
        <w:rPr>
          <w:rFonts w:hint="eastAsia" w:ascii="仿宋_GB2312" w:hAnsi="宋体" w:eastAsia="仿宋_GB2312" w:cs="宋体"/>
          <w:sz w:val="32"/>
          <w:szCs w:val="32"/>
        </w:rPr>
      </w:pPr>
      <w:r>
        <w:rPr>
          <w:rFonts w:hint="eastAsia" w:ascii="仿宋_GB2312" w:hAnsi="宋体" w:eastAsia="仿宋_GB2312" w:cs="宋体"/>
          <w:sz w:val="32"/>
          <w:szCs w:val="32"/>
          <w:lang w:eastAsia="zh-CN"/>
        </w:rPr>
        <w:t>五、</w:t>
      </w:r>
      <w:r>
        <w:rPr>
          <w:rFonts w:hint="eastAsia" w:ascii="仿宋_GB2312" w:hAnsi="宋体" w:eastAsia="仿宋_GB2312" w:cs="宋体"/>
          <w:sz w:val="32"/>
          <w:szCs w:val="32"/>
        </w:rPr>
        <w:t>本批复有效期为5年。如该项目逾期未开工建设，环境影响报告书应报我局重新审核。</w:t>
      </w:r>
    </w:p>
    <w:p>
      <w:pPr>
        <w:ind w:firstLine="5120" w:firstLineChars="1600"/>
        <w:jc w:val="both"/>
        <w:rPr>
          <w:rFonts w:hint="eastAsia" w:ascii="仿宋_GB2312" w:hAnsi="宋体" w:eastAsia="仿宋_GB2312" w:cs="宋体"/>
          <w:sz w:val="32"/>
          <w:szCs w:val="32"/>
        </w:rPr>
      </w:pPr>
    </w:p>
    <w:tbl>
      <w:tblPr>
        <w:tblStyle w:val="6"/>
        <w:tblpPr w:leftFromText="180" w:rightFromText="180" w:vertAnchor="text" w:horzAnchor="page" w:tblpX="1322" w:tblpY="3805"/>
        <w:tblOverlap w:val="never"/>
        <w:tblW w:w="93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377" w:type="dxa"/>
            <w:tcBorders>
              <w:left w:val="nil"/>
              <w:right w:val="nil"/>
            </w:tcBorders>
            <w:vAlign w:val="top"/>
          </w:tcPr>
          <w:p>
            <w:pPr>
              <w:spacing w:line="520" w:lineRule="exact"/>
              <w:ind w:left="960" w:hanging="960" w:hangingChars="300"/>
              <w:rPr>
                <w:rFonts w:hint="eastAsia" w:ascii="仿宋_GB2312" w:eastAsia="仿宋_GB2312"/>
                <w:sz w:val="32"/>
                <w:szCs w:val="32"/>
              </w:rPr>
            </w:pPr>
            <w:r>
              <w:rPr>
                <w:rFonts w:hint="eastAsia" w:ascii="仿宋_GB2312" w:eastAsia="仿宋_GB2312"/>
                <w:sz w:val="32"/>
                <w:szCs w:val="32"/>
              </w:rPr>
              <w:t>抄送：市生态环境综合行政执法支队、</w:t>
            </w:r>
            <w:r>
              <w:rPr>
                <w:rFonts w:hint="eastAsia" w:ascii="仿宋_GB2312" w:eastAsia="仿宋_GB2312"/>
                <w:sz w:val="32"/>
                <w:szCs w:val="32"/>
                <w:lang w:eastAsia="zh-CN"/>
              </w:rPr>
              <w:t>西平县环保局、</w:t>
            </w:r>
            <w:r>
              <w:rPr>
                <w:rFonts w:hint="eastAsia" w:ascii="仿宋_GB2312" w:hAnsi="宋体" w:eastAsia="仿宋_GB2312"/>
                <w:sz w:val="32"/>
                <w:szCs w:val="32"/>
              </w:rPr>
              <w:t>河南科瑞达环保科技有限公司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377" w:type="dxa"/>
            <w:tcBorders>
              <w:left w:val="nil"/>
              <w:right w:val="nil"/>
            </w:tcBorders>
            <w:vAlign w:val="top"/>
          </w:tcPr>
          <w:p>
            <w:pPr>
              <w:rPr>
                <w:rFonts w:hint="eastAsia" w:ascii="仿宋_GB2312" w:eastAsia="仿宋_GB2312"/>
                <w:sz w:val="32"/>
                <w:szCs w:val="32"/>
              </w:rPr>
            </w:pPr>
            <w:r>
              <w:rPr>
                <w:rFonts w:hint="eastAsia" w:ascii="仿宋_GB2312" w:eastAsia="仿宋_GB2312"/>
                <w:sz w:val="32"/>
                <w:szCs w:val="32"/>
              </w:rPr>
              <w:t>驻马店市</w:t>
            </w:r>
            <w:r>
              <w:rPr>
                <w:rFonts w:hint="eastAsia" w:ascii="仿宋_GB2312" w:eastAsia="仿宋_GB2312"/>
                <w:sz w:val="32"/>
                <w:szCs w:val="32"/>
                <w:lang w:eastAsia="zh-CN"/>
              </w:rPr>
              <w:t>生态</w:t>
            </w:r>
            <w:r>
              <w:rPr>
                <w:rFonts w:hint="eastAsia" w:ascii="仿宋_GB2312" w:eastAsia="仿宋_GB2312"/>
                <w:sz w:val="32"/>
                <w:szCs w:val="32"/>
              </w:rPr>
              <w:t>环境局</w:t>
            </w:r>
            <w:r>
              <w:rPr>
                <w:rFonts w:hint="eastAsia" w:ascii="仿宋_GB2312" w:eastAsia="仿宋_GB2312"/>
                <w:sz w:val="32"/>
                <w:szCs w:val="32"/>
                <w:lang w:eastAsia="zh-CN"/>
              </w:rPr>
              <w:t>办公室</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w:t>
            </w:r>
            <w:r>
              <w:rPr>
                <w:rFonts w:hint="eastAsia" w:ascii="仿宋_GB2312" w:eastAsia="仿宋_GB2312"/>
                <w:sz w:val="32"/>
                <w:szCs w:val="32"/>
                <w:lang w:val="en-US" w:eastAsia="zh-CN"/>
              </w:rPr>
              <w:t>10</w:t>
            </w:r>
            <w:r>
              <w:rPr>
                <w:rFonts w:hint="eastAsia" w:ascii="仿宋_GB2312" w:eastAsia="仿宋_GB2312"/>
                <w:sz w:val="32"/>
                <w:szCs w:val="32"/>
              </w:rPr>
              <w:t>月</w:t>
            </w:r>
            <w:r>
              <w:rPr>
                <w:rFonts w:hint="eastAsia" w:ascii="仿宋_GB2312" w:eastAsia="仿宋_GB2312"/>
                <w:sz w:val="32"/>
                <w:szCs w:val="32"/>
                <w:lang w:val="en-US" w:eastAsia="zh-CN"/>
              </w:rPr>
              <w:t>19</w:t>
            </w:r>
            <w:r>
              <w:rPr>
                <w:rFonts w:hint="eastAsia" w:ascii="仿宋_GB2312" w:eastAsia="仿宋_GB2312"/>
                <w:sz w:val="32"/>
                <w:szCs w:val="32"/>
              </w:rPr>
              <w:t>日印发</w:t>
            </w:r>
          </w:p>
        </w:tc>
      </w:tr>
    </w:tbl>
    <w:p>
      <w:pPr>
        <w:ind w:firstLine="5120" w:firstLineChars="1600"/>
        <w:jc w:val="both"/>
        <w:rPr>
          <w:rFonts w:hint="eastAsia" w:ascii="仿宋_GB2312" w:hAnsi="宋体" w:eastAsia="仿宋_GB2312" w:cs="宋体"/>
          <w:sz w:val="32"/>
          <w:szCs w:val="32"/>
        </w:rPr>
      </w:pPr>
    </w:p>
    <w:p>
      <w:pPr>
        <w:ind w:firstLine="5120" w:firstLineChars="1600"/>
        <w:jc w:val="both"/>
        <w:rPr>
          <w:rFonts w:hint="eastAsia" w:ascii="仿宋_GB2312" w:hAnsi="宋体" w:eastAsia="仿宋_GB2312" w:cs="宋体"/>
          <w:sz w:val="32"/>
          <w:szCs w:val="32"/>
        </w:rPr>
      </w:pPr>
      <w:r>
        <w:rPr>
          <w:rFonts w:hint="eastAsia" w:ascii="仿宋_GB2312" w:hAnsi="宋体" w:eastAsia="仿宋_GB2312" w:cs="宋体"/>
          <w:sz w:val="32"/>
          <w:szCs w:val="32"/>
        </w:rPr>
        <w:t>20</w:t>
      </w:r>
      <w:r>
        <w:rPr>
          <w:rFonts w:hint="eastAsia" w:ascii="仿宋_GB2312" w:hAnsi="宋体" w:eastAsia="仿宋_GB2312" w:cs="宋体"/>
          <w:sz w:val="32"/>
          <w:szCs w:val="32"/>
          <w:lang w:val="en-US" w:eastAsia="zh-CN"/>
        </w:rPr>
        <w:t>20</w:t>
      </w:r>
      <w:r>
        <w:rPr>
          <w:rFonts w:hint="eastAsia" w:ascii="仿宋_GB2312" w:hAnsi="宋体" w:eastAsia="仿宋_GB2312" w:cs="宋体"/>
          <w:sz w:val="32"/>
          <w:szCs w:val="32"/>
        </w:rPr>
        <w:t>年</w:t>
      </w:r>
      <w:r>
        <w:rPr>
          <w:rFonts w:hint="eastAsia" w:ascii="仿宋_GB2312" w:hAnsi="宋体" w:eastAsia="仿宋_GB2312" w:cs="宋体"/>
          <w:sz w:val="32"/>
          <w:szCs w:val="32"/>
          <w:lang w:val="en-US" w:eastAsia="zh-CN"/>
        </w:rPr>
        <w:t>10</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19</w:t>
      </w:r>
      <w:r>
        <w:rPr>
          <w:rFonts w:hint="eastAsia" w:ascii="仿宋_GB2312" w:hAnsi="宋体" w:eastAsia="仿宋_GB2312" w:cs="宋体"/>
          <w:sz w:val="32"/>
          <w:szCs w:val="32"/>
        </w:rPr>
        <w:t>日</w:t>
      </w:r>
    </w:p>
    <w:p>
      <w:pPr>
        <w:rPr>
          <w:rFonts w:hint="eastAsia"/>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531" w:bottom="136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modern"/>
    <w:pitch w:val="default"/>
    <w:sig w:usb0="E1002EFF" w:usb1="C000605B" w:usb2="00000029" w:usb3="00000000" w:csb0="200101FF" w:csb1="20280000"/>
  </w:font>
  <w:font w:name="仿宋_GB2312">
    <w:panose1 w:val="02010609030101010101"/>
    <w:charset w:val="86"/>
    <w:family w:val="roma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3</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1</w:t>
    </w:r>
    <w: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4615B"/>
    <w:multiLevelType w:val="singleLevel"/>
    <w:tmpl w:val="5604615B"/>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A8D"/>
    <w:rsid w:val="00012BD6"/>
    <w:rsid w:val="00030DA3"/>
    <w:rsid w:val="00053837"/>
    <w:rsid w:val="00070860"/>
    <w:rsid w:val="00073BD0"/>
    <w:rsid w:val="0008579E"/>
    <w:rsid w:val="00092D45"/>
    <w:rsid w:val="000A268D"/>
    <w:rsid w:val="000A34EC"/>
    <w:rsid w:val="000A43CD"/>
    <w:rsid w:val="000B3F9E"/>
    <w:rsid w:val="000C2853"/>
    <w:rsid w:val="000C543D"/>
    <w:rsid w:val="000D59E3"/>
    <w:rsid w:val="000E77B3"/>
    <w:rsid w:val="000F2011"/>
    <w:rsid w:val="000F77CF"/>
    <w:rsid w:val="00106632"/>
    <w:rsid w:val="00136967"/>
    <w:rsid w:val="00146495"/>
    <w:rsid w:val="00161725"/>
    <w:rsid w:val="001641FD"/>
    <w:rsid w:val="001959E4"/>
    <w:rsid w:val="001A186E"/>
    <w:rsid w:val="001E1C12"/>
    <w:rsid w:val="002479F4"/>
    <w:rsid w:val="00266754"/>
    <w:rsid w:val="0028337E"/>
    <w:rsid w:val="002E0233"/>
    <w:rsid w:val="002E7D30"/>
    <w:rsid w:val="003225FC"/>
    <w:rsid w:val="00332915"/>
    <w:rsid w:val="00337E39"/>
    <w:rsid w:val="00341480"/>
    <w:rsid w:val="003614C6"/>
    <w:rsid w:val="003621E7"/>
    <w:rsid w:val="0036745A"/>
    <w:rsid w:val="0037271B"/>
    <w:rsid w:val="003B15FA"/>
    <w:rsid w:val="004115BB"/>
    <w:rsid w:val="00447936"/>
    <w:rsid w:val="004909F2"/>
    <w:rsid w:val="0049319C"/>
    <w:rsid w:val="004B6EBF"/>
    <w:rsid w:val="004C378F"/>
    <w:rsid w:val="004E3885"/>
    <w:rsid w:val="004E4E12"/>
    <w:rsid w:val="00525049"/>
    <w:rsid w:val="005436AC"/>
    <w:rsid w:val="00553A33"/>
    <w:rsid w:val="00553FAD"/>
    <w:rsid w:val="005703EA"/>
    <w:rsid w:val="0058463F"/>
    <w:rsid w:val="00591A6F"/>
    <w:rsid w:val="005A5351"/>
    <w:rsid w:val="005B3C8C"/>
    <w:rsid w:val="005B46F7"/>
    <w:rsid w:val="005B5187"/>
    <w:rsid w:val="005B6B08"/>
    <w:rsid w:val="005C4C15"/>
    <w:rsid w:val="005D05DE"/>
    <w:rsid w:val="005D1F97"/>
    <w:rsid w:val="005F4A82"/>
    <w:rsid w:val="00603A98"/>
    <w:rsid w:val="006336F7"/>
    <w:rsid w:val="006362DE"/>
    <w:rsid w:val="00653608"/>
    <w:rsid w:val="006536E6"/>
    <w:rsid w:val="00663095"/>
    <w:rsid w:val="006873F8"/>
    <w:rsid w:val="006A7722"/>
    <w:rsid w:val="006B5786"/>
    <w:rsid w:val="006B6EB4"/>
    <w:rsid w:val="006B6F55"/>
    <w:rsid w:val="006C302C"/>
    <w:rsid w:val="006C3650"/>
    <w:rsid w:val="006F10D7"/>
    <w:rsid w:val="006F389A"/>
    <w:rsid w:val="006F5100"/>
    <w:rsid w:val="0070068E"/>
    <w:rsid w:val="00717F98"/>
    <w:rsid w:val="00721031"/>
    <w:rsid w:val="007316F1"/>
    <w:rsid w:val="00780B0D"/>
    <w:rsid w:val="00792771"/>
    <w:rsid w:val="00792975"/>
    <w:rsid w:val="00796ED4"/>
    <w:rsid w:val="007A2FFD"/>
    <w:rsid w:val="007A4865"/>
    <w:rsid w:val="007B4315"/>
    <w:rsid w:val="007C5105"/>
    <w:rsid w:val="007E1FA5"/>
    <w:rsid w:val="007F6D34"/>
    <w:rsid w:val="007F766B"/>
    <w:rsid w:val="008012D6"/>
    <w:rsid w:val="00811654"/>
    <w:rsid w:val="008139EC"/>
    <w:rsid w:val="00831D8C"/>
    <w:rsid w:val="00832725"/>
    <w:rsid w:val="00832BA2"/>
    <w:rsid w:val="00862872"/>
    <w:rsid w:val="00877D2D"/>
    <w:rsid w:val="008836CD"/>
    <w:rsid w:val="008A51A2"/>
    <w:rsid w:val="008B239D"/>
    <w:rsid w:val="008C4A67"/>
    <w:rsid w:val="008D03CE"/>
    <w:rsid w:val="008F4228"/>
    <w:rsid w:val="008F7DBB"/>
    <w:rsid w:val="00946145"/>
    <w:rsid w:val="00967140"/>
    <w:rsid w:val="00974EB8"/>
    <w:rsid w:val="009A4634"/>
    <w:rsid w:val="009B4BDC"/>
    <w:rsid w:val="009C6054"/>
    <w:rsid w:val="009D3892"/>
    <w:rsid w:val="009E01F5"/>
    <w:rsid w:val="00A00DBC"/>
    <w:rsid w:val="00A051D7"/>
    <w:rsid w:val="00A11B5E"/>
    <w:rsid w:val="00A16602"/>
    <w:rsid w:val="00A3420C"/>
    <w:rsid w:val="00A34275"/>
    <w:rsid w:val="00A504D5"/>
    <w:rsid w:val="00A52675"/>
    <w:rsid w:val="00A83C53"/>
    <w:rsid w:val="00A94063"/>
    <w:rsid w:val="00A95227"/>
    <w:rsid w:val="00AA404B"/>
    <w:rsid w:val="00AA6994"/>
    <w:rsid w:val="00AC559B"/>
    <w:rsid w:val="00AD08AC"/>
    <w:rsid w:val="00AF0876"/>
    <w:rsid w:val="00B052E1"/>
    <w:rsid w:val="00B06872"/>
    <w:rsid w:val="00B11D87"/>
    <w:rsid w:val="00B16A52"/>
    <w:rsid w:val="00B22FB2"/>
    <w:rsid w:val="00B40427"/>
    <w:rsid w:val="00B54562"/>
    <w:rsid w:val="00B56474"/>
    <w:rsid w:val="00B81854"/>
    <w:rsid w:val="00BA5BB7"/>
    <w:rsid w:val="00BB6BA3"/>
    <w:rsid w:val="00BC5E61"/>
    <w:rsid w:val="00C03D43"/>
    <w:rsid w:val="00C1532E"/>
    <w:rsid w:val="00C26E3C"/>
    <w:rsid w:val="00C52D4B"/>
    <w:rsid w:val="00C72BE2"/>
    <w:rsid w:val="00C732D5"/>
    <w:rsid w:val="00C91305"/>
    <w:rsid w:val="00C96A6E"/>
    <w:rsid w:val="00CA1F62"/>
    <w:rsid w:val="00CA3361"/>
    <w:rsid w:val="00CA58A3"/>
    <w:rsid w:val="00CB27CD"/>
    <w:rsid w:val="00CC441E"/>
    <w:rsid w:val="00CC4C50"/>
    <w:rsid w:val="00CC52A2"/>
    <w:rsid w:val="00CD511B"/>
    <w:rsid w:val="00CE0427"/>
    <w:rsid w:val="00CE7BBF"/>
    <w:rsid w:val="00CF22B7"/>
    <w:rsid w:val="00D01E3C"/>
    <w:rsid w:val="00D12AAD"/>
    <w:rsid w:val="00D3080E"/>
    <w:rsid w:val="00D80F54"/>
    <w:rsid w:val="00D855AD"/>
    <w:rsid w:val="00DB2F20"/>
    <w:rsid w:val="00DB6EC5"/>
    <w:rsid w:val="00DB7242"/>
    <w:rsid w:val="00DD7564"/>
    <w:rsid w:val="00DE2263"/>
    <w:rsid w:val="00DF0174"/>
    <w:rsid w:val="00DF6FA9"/>
    <w:rsid w:val="00E021A7"/>
    <w:rsid w:val="00E222EA"/>
    <w:rsid w:val="00E328A9"/>
    <w:rsid w:val="00EA1561"/>
    <w:rsid w:val="00ED1B9D"/>
    <w:rsid w:val="00ED296C"/>
    <w:rsid w:val="00F00964"/>
    <w:rsid w:val="00F05B66"/>
    <w:rsid w:val="00F14690"/>
    <w:rsid w:val="00F20EAF"/>
    <w:rsid w:val="00F4330B"/>
    <w:rsid w:val="00F47468"/>
    <w:rsid w:val="00F619DA"/>
    <w:rsid w:val="00F70ABC"/>
    <w:rsid w:val="00F92885"/>
    <w:rsid w:val="00FF00EF"/>
    <w:rsid w:val="020C63D6"/>
    <w:rsid w:val="02311D69"/>
    <w:rsid w:val="02531C3E"/>
    <w:rsid w:val="02C562AE"/>
    <w:rsid w:val="031F6DF4"/>
    <w:rsid w:val="03BA3C8B"/>
    <w:rsid w:val="03E02E97"/>
    <w:rsid w:val="04BC57E6"/>
    <w:rsid w:val="056A310A"/>
    <w:rsid w:val="05791B39"/>
    <w:rsid w:val="0659076A"/>
    <w:rsid w:val="07526A43"/>
    <w:rsid w:val="075A30E9"/>
    <w:rsid w:val="07EA75CE"/>
    <w:rsid w:val="087736A8"/>
    <w:rsid w:val="08D46816"/>
    <w:rsid w:val="0A8D4795"/>
    <w:rsid w:val="0AAB78C3"/>
    <w:rsid w:val="0C8A012E"/>
    <w:rsid w:val="0C8E0B2C"/>
    <w:rsid w:val="0D3923C6"/>
    <w:rsid w:val="0D3A604C"/>
    <w:rsid w:val="0D7F514F"/>
    <w:rsid w:val="0DFE1DD7"/>
    <w:rsid w:val="0E1D4C30"/>
    <w:rsid w:val="0F4E5500"/>
    <w:rsid w:val="0F6D2BF1"/>
    <w:rsid w:val="0FB8072A"/>
    <w:rsid w:val="0FDB2586"/>
    <w:rsid w:val="0FEF54F2"/>
    <w:rsid w:val="11A87882"/>
    <w:rsid w:val="11BC533A"/>
    <w:rsid w:val="11D84527"/>
    <w:rsid w:val="12691A01"/>
    <w:rsid w:val="13235C2C"/>
    <w:rsid w:val="13786AF6"/>
    <w:rsid w:val="13C1429B"/>
    <w:rsid w:val="147856BF"/>
    <w:rsid w:val="14C44FCE"/>
    <w:rsid w:val="15072076"/>
    <w:rsid w:val="1570446D"/>
    <w:rsid w:val="15982CE0"/>
    <w:rsid w:val="166528D8"/>
    <w:rsid w:val="168C5D59"/>
    <w:rsid w:val="16990485"/>
    <w:rsid w:val="169E6590"/>
    <w:rsid w:val="19A10525"/>
    <w:rsid w:val="19B91316"/>
    <w:rsid w:val="1A7A1712"/>
    <w:rsid w:val="1AA53E63"/>
    <w:rsid w:val="1B0314E2"/>
    <w:rsid w:val="1B46304A"/>
    <w:rsid w:val="1B6314F7"/>
    <w:rsid w:val="1B8F478A"/>
    <w:rsid w:val="1BAE08EA"/>
    <w:rsid w:val="1BC03D29"/>
    <w:rsid w:val="1C5C3C0C"/>
    <w:rsid w:val="1C6255A8"/>
    <w:rsid w:val="1DA855A1"/>
    <w:rsid w:val="1E1415E4"/>
    <w:rsid w:val="1E546B83"/>
    <w:rsid w:val="1F3500F4"/>
    <w:rsid w:val="1F7C00C0"/>
    <w:rsid w:val="20464A74"/>
    <w:rsid w:val="20F732E2"/>
    <w:rsid w:val="21790678"/>
    <w:rsid w:val="224E3807"/>
    <w:rsid w:val="22A82D43"/>
    <w:rsid w:val="22BB6DD0"/>
    <w:rsid w:val="22D45F2E"/>
    <w:rsid w:val="231A5E6F"/>
    <w:rsid w:val="23307E05"/>
    <w:rsid w:val="239324A9"/>
    <w:rsid w:val="256C230C"/>
    <w:rsid w:val="277669B6"/>
    <w:rsid w:val="27DA06D7"/>
    <w:rsid w:val="29246B6E"/>
    <w:rsid w:val="29B30355"/>
    <w:rsid w:val="29C73E27"/>
    <w:rsid w:val="2D2B09A1"/>
    <w:rsid w:val="2D2C511E"/>
    <w:rsid w:val="2E665F0B"/>
    <w:rsid w:val="2EBD29C2"/>
    <w:rsid w:val="2EC568BD"/>
    <w:rsid w:val="2F452DA6"/>
    <w:rsid w:val="2F6F5FF2"/>
    <w:rsid w:val="2FA818F0"/>
    <w:rsid w:val="2FC11B56"/>
    <w:rsid w:val="302D5B2B"/>
    <w:rsid w:val="303865F1"/>
    <w:rsid w:val="310C4364"/>
    <w:rsid w:val="312E724D"/>
    <w:rsid w:val="314040C5"/>
    <w:rsid w:val="325B0E24"/>
    <w:rsid w:val="332F7DEE"/>
    <w:rsid w:val="333E22F6"/>
    <w:rsid w:val="33687D77"/>
    <w:rsid w:val="34766CD7"/>
    <w:rsid w:val="34925D33"/>
    <w:rsid w:val="35601568"/>
    <w:rsid w:val="35F35120"/>
    <w:rsid w:val="35F60374"/>
    <w:rsid w:val="3650007A"/>
    <w:rsid w:val="36C41BA2"/>
    <w:rsid w:val="370B2673"/>
    <w:rsid w:val="375D1933"/>
    <w:rsid w:val="376954FB"/>
    <w:rsid w:val="38506E5C"/>
    <w:rsid w:val="38AC295A"/>
    <w:rsid w:val="39005348"/>
    <w:rsid w:val="3A5E56D8"/>
    <w:rsid w:val="3ACF6307"/>
    <w:rsid w:val="3B875568"/>
    <w:rsid w:val="3C0913B4"/>
    <w:rsid w:val="3D686964"/>
    <w:rsid w:val="3DB86E31"/>
    <w:rsid w:val="3DFB3E26"/>
    <w:rsid w:val="3E0064FA"/>
    <w:rsid w:val="3E160086"/>
    <w:rsid w:val="40305D16"/>
    <w:rsid w:val="40655C4B"/>
    <w:rsid w:val="41BF6B0A"/>
    <w:rsid w:val="42746B3F"/>
    <w:rsid w:val="42914492"/>
    <w:rsid w:val="42955FC0"/>
    <w:rsid w:val="42A3669A"/>
    <w:rsid w:val="431D3EE0"/>
    <w:rsid w:val="43325B3F"/>
    <w:rsid w:val="45396630"/>
    <w:rsid w:val="45622324"/>
    <w:rsid w:val="456B3E1F"/>
    <w:rsid w:val="457A1D57"/>
    <w:rsid w:val="471A67DD"/>
    <w:rsid w:val="47BD77BD"/>
    <w:rsid w:val="488A593E"/>
    <w:rsid w:val="48B10EC1"/>
    <w:rsid w:val="490E1CC5"/>
    <w:rsid w:val="4A0F6614"/>
    <w:rsid w:val="4A282E8B"/>
    <w:rsid w:val="4A911945"/>
    <w:rsid w:val="4C571033"/>
    <w:rsid w:val="4C614945"/>
    <w:rsid w:val="4C7D0FFE"/>
    <w:rsid w:val="4CD83772"/>
    <w:rsid w:val="4DCE6D4D"/>
    <w:rsid w:val="4E227A69"/>
    <w:rsid w:val="4E386D05"/>
    <w:rsid w:val="4E5C5F7B"/>
    <w:rsid w:val="4E977062"/>
    <w:rsid w:val="4F2B02F5"/>
    <w:rsid w:val="50431A09"/>
    <w:rsid w:val="50AE0375"/>
    <w:rsid w:val="519336B5"/>
    <w:rsid w:val="528F5E1D"/>
    <w:rsid w:val="53C73FF6"/>
    <w:rsid w:val="53CD00B0"/>
    <w:rsid w:val="53E174E0"/>
    <w:rsid w:val="55833ADE"/>
    <w:rsid w:val="5671606C"/>
    <w:rsid w:val="571E6652"/>
    <w:rsid w:val="57682216"/>
    <w:rsid w:val="57D170E7"/>
    <w:rsid w:val="5A0D0247"/>
    <w:rsid w:val="5C166E48"/>
    <w:rsid w:val="5C8237A1"/>
    <w:rsid w:val="5CFF2F7B"/>
    <w:rsid w:val="5DAA012A"/>
    <w:rsid w:val="5E3C36F1"/>
    <w:rsid w:val="5EB9493A"/>
    <w:rsid w:val="5EF54D8F"/>
    <w:rsid w:val="60B20888"/>
    <w:rsid w:val="60D309C9"/>
    <w:rsid w:val="61032022"/>
    <w:rsid w:val="614C1E09"/>
    <w:rsid w:val="616B158C"/>
    <w:rsid w:val="618F7629"/>
    <w:rsid w:val="61CC7230"/>
    <w:rsid w:val="62B42F10"/>
    <w:rsid w:val="62B5667A"/>
    <w:rsid w:val="63300AD6"/>
    <w:rsid w:val="63732E41"/>
    <w:rsid w:val="650411AA"/>
    <w:rsid w:val="650C137A"/>
    <w:rsid w:val="65F231A9"/>
    <w:rsid w:val="664B29B0"/>
    <w:rsid w:val="667932E7"/>
    <w:rsid w:val="667C7F51"/>
    <w:rsid w:val="66F76249"/>
    <w:rsid w:val="674C5F8A"/>
    <w:rsid w:val="689329A4"/>
    <w:rsid w:val="698A51EC"/>
    <w:rsid w:val="69D43B0E"/>
    <w:rsid w:val="69EC71D3"/>
    <w:rsid w:val="6AB64182"/>
    <w:rsid w:val="6B1C1B7A"/>
    <w:rsid w:val="6B9D33B5"/>
    <w:rsid w:val="6BD701FA"/>
    <w:rsid w:val="6D5A251A"/>
    <w:rsid w:val="6E0720A3"/>
    <w:rsid w:val="6E090F75"/>
    <w:rsid w:val="6E660741"/>
    <w:rsid w:val="6EA74F8A"/>
    <w:rsid w:val="6EBA60B5"/>
    <w:rsid w:val="6F161B81"/>
    <w:rsid w:val="6FAB1D51"/>
    <w:rsid w:val="70661357"/>
    <w:rsid w:val="713F1F99"/>
    <w:rsid w:val="71724640"/>
    <w:rsid w:val="7204386B"/>
    <w:rsid w:val="723E3BD3"/>
    <w:rsid w:val="733E75D7"/>
    <w:rsid w:val="749727B3"/>
    <w:rsid w:val="75342BD4"/>
    <w:rsid w:val="782F3F39"/>
    <w:rsid w:val="783E35D1"/>
    <w:rsid w:val="78433300"/>
    <w:rsid w:val="78E47BC8"/>
    <w:rsid w:val="7A036410"/>
    <w:rsid w:val="7A3C7F20"/>
    <w:rsid w:val="7A4C308D"/>
    <w:rsid w:val="7B3536EB"/>
    <w:rsid w:val="7B446265"/>
    <w:rsid w:val="7B826203"/>
    <w:rsid w:val="7CF14BAE"/>
    <w:rsid w:val="7D044B51"/>
    <w:rsid w:val="7D8D1BF6"/>
    <w:rsid w:val="7E1E1F96"/>
    <w:rsid w:val="7FE177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0"/>
  </w:style>
  <w:style w:type="character" w:styleId="9">
    <w:name w:val="FollowedHyperlink"/>
    <w:basedOn w:val="7"/>
    <w:qFormat/>
    <w:uiPriority w:val="0"/>
    <w:rPr>
      <w:color w:val="000000"/>
      <w:u w:val="none"/>
    </w:rPr>
  </w:style>
  <w:style w:type="character" w:customStyle="1" w:styleId="10">
    <w:name w:val="moduletitle_menuitemsel"/>
    <w:basedOn w:val="7"/>
    <w:qFormat/>
    <w:uiPriority w:val="0"/>
    <w:rPr>
      <w:rFonts w:ascii="Tahoma" w:hAnsi="Tahoma" w:eastAsia="Tahoma" w:cs="Tahoma"/>
      <w:b/>
      <w:color w:val="000000"/>
      <w:sz w:val="18"/>
      <w:szCs w:val="18"/>
    </w:rPr>
  </w:style>
  <w:style w:type="character" w:customStyle="1" w:styleId="11">
    <w:name w:val="language"/>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308</Words>
  <Characters>1757</Characters>
  <Lines>14</Lines>
  <Paragraphs>4</Paragraphs>
  <TotalTime>2</TotalTime>
  <ScaleCrop>false</ScaleCrop>
  <LinksUpToDate>false</LinksUpToDate>
  <CharactersWithSpaces>2061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2017-03-30T06:50:00Z</dcterms:created>
  <dc:creator>微软用户</dc:creator>
  <cp:lastModifiedBy>华钰</cp:lastModifiedBy>
  <cp:lastPrinted>2020-10-19T00:56:00Z</cp:lastPrinted>
  <dcterms:modified xsi:type="dcterms:W3CDTF">2020-10-21T03:38:24Z</dcterms:modified>
  <dc:title>驻环审〔2010〕6号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