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遂平县土壤污染风险管控与修复成效评估报告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遂平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遂平县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遂平县土壤污染风险管控与修复成效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5D46980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