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bookmarkStart w:id="0" w:name="_GoBack"/>
      <w:bookmarkEnd w:id="0"/>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15</w:t>
      </w:r>
      <w:r>
        <w:rPr>
          <w:rFonts w:hint="eastAsia" w:ascii="仿宋_GB2312" w:eastAsia="仿宋_GB2312"/>
          <w:sz w:val="32"/>
          <w:szCs w:val="32"/>
        </w:rPr>
        <w:t>号</w:t>
      </w:r>
    </w:p>
    <w:p>
      <w:pPr>
        <w:jc w:val="center"/>
        <w:rPr>
          <w:rFonts w:hint="eastAsia"/>
          <w:sz w:val="32"/>
          <w:szCs w:val="32"/>
        </w:rPr>
      </w:pPr>
    </w:p>
    <w:p>
      <w:pPr>
        <w:jc w:val="center"/>
        <w:rPr>
          <w:rFonts w:hint="eastAsia"/>
          <w:b/>
          <w:bCs/>
          <w:sz w:val="44"/>
          <w:szCs w:val="44"/>
          <w:lang w:val="en-US" w:eastAsia="zh-CN"/>
        </w:rPr>
      </w:pPr>
      <w:r>
        <w:rPr>
          <w:rFonts w:hint="eastAsia" w:ascii="宋体" w:hAnsi="宋体"/>
          <w:b/>
          <w:sz w:val="44"/>
          <w:szCs w:val="44"/>
        </w:rPr>
        <w:t>关于《</w:t>
      </w:r>
      <w:r>
        <w:rPr>
          <w:rFonts w:hint="eastAsia"/>
          <w:b/>
          <w:bCs/>
          <w:sz w:val="44"/>
          <w:szCs w:val="44"/>
          <w:lang w:val="en-US" w:eastAsia="zh-CN"/>
        </w:rPr>
        <w:t>驻马店大力天骏专用汽车制造有限公司年产3000台冷藏箱和3000台专用车辆项目</w:t>
      </w:r>
    </w:p>
    <w:p>
      <w:pPr>
        <w:jc w:val="center"/>
        <w:rPr>
          <w:rFonts w:hint="eastAsia" w:ascii="宋体" w:hAnsi="宋体"/>
          <w:b/>
          <w:sz w:val="44"/>
          <w:szCs w:val="44"/>
        </w:rPr>
      </w:pPr>
      <w:r>
        <w:rPr>
          <w:rFonts w:hint="eastAsia" w:ascii="宋体" w:hAnsi="宋体"/>
          <w:b/>
          <w:sz w:val="44"/>
          <w:szCs w:val="44"/>
        </w:rPr>
        <w:t>环境影响报告书》的批复</w:t>
      </w:r>
    </w:p>
    <w:p>
      <w:pPr>
        <w:rPr>
          <w:rFonts w:hint="eastAsia" w:ascii="宋体" w:hAnsi="宋体"/>
          <w:b/>
          <w:sz w:val="44"/>
          <w:szCs w:val="44"/>
        </w:rPr>
      </w:pPr>
    </w:p>
    <w:p>
      <w:pPr>
        <w:rPr>
          <w:rFonts w:hint="eastAsia" w:ascii="仿宋_GB2312" w:hAnsi="宋体" w:eastAsia="仿宋_GB2312"/>
          <w:sz w:val="32"/>
          <w:szCs w:val="32"/>
        </w:rPr>
      </w:pPr>
      <w:r>
        <w:rPr>
          <w:rFonts w:hint="eastAsia" w:ascii="仿宋_GB2312" w:hAnsi="宋体" w:eastAsia="仿宋_GB2312"/>
          <w:sz w:val="32"/>
          <w:szCs w:val="32"/>
        </w:rPr>
        <w:t>驻马店大力天骏专用汽车制造有限公司：</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你公司上报的由河南安环环保科技有限公司编制的《驻马店大力天骏专用汽车制造有限公司年产3000台冷藏箱和3000台专用车辆项目环境影响报告书（报批版）》（以下简称《报告书》）收悉，该项目审批事项在我局网站公示期满。</w:t>
      </w:r>
      <w:r>
        <w:rPr>
          <w:rFonts w:hint="eastAsia" w:ascii="仿宋_GB2312" w:eastAsia="仿宋_GB2312"/>
          <w:sz w:val="32"/>
          <w:szCs w:val="32"/>
        </w:rPr>
        <w:t>根据《中华人民共和国环境保护法》、《中华人民共和国行政许可法》、《中华人民共和国环境影响评价法》、《建设项目环境保护管理条例》等法律法规规定，</w:t>
      </w:r>
      <w:r>
        <w:rPr>
          <w:rFonts w:hint="eastAsia" w:ascii="仿宋_GB2312" w:eastAsia="仿宋_GB2312"/>
          <w:sz w:val="32"/>
          <w:szCs w:val="32"/>
          <w:lang w:eastAsia="zh-CN"/>
        </w:rPr>
        <w:t>现</w:t>
      </w:r>
      <w:r>
        <w:rPr>
          <w:rFonts w:hint="eastAsia" w:ascii="仿宋_GB2312" w:eastAsia="仿宋_GB2312"/>
          <w:sz w:val="32"/>
          <w:szCs w:val="32"/>
        </w:rPr>
        <w:t>批复如下：</w:t>
      </w:r>
    </w:p>
    <w:p>
      <w:pPr>
        <w:jc w:val="left"/>
        <w:rPr>
          <w:rFonts w:hint="eastAsia" w:ascii="仿宋_GB2312" w:hAnsi="仿宋_GB2312" w:eastAsia="仿宋_GB2312" w:cs="仿宋_GB2312"/>
          <w:sz w:val="32"/>
          <w:szCs w:val="32"/>
        </w:rPr>
      </w:pPr>
      <w:r>
        <w:rPr>
          <w:rFonts w:hint="eastAsia" w:ascii="仿宋_GB2312" w:hAnsi="宋体" w:eastAsia="仿宋_GB2312"/>
          <w:sz w:val="32"/>
          <w:szCs w:val="32"/>
        </w:rPr>
        <w:t xml:space="preserve">    一、该项目建设地点位于驻马店市驿城区兴业大道与北泉路交叉口东南角。该项目主要建设内容包括建设二号联合厂房、三号联合厂房、研发中心、办公楼等及其配套工程、公用工程、环保工程。本项目属扩建项目，项目建成后年产3000台冷藏箱和3000台专用车辆。该《报告书》内容符合国家政策法律法规要求和建设项目环境管理规定</w:t>
      </w:r>
      <w:r>
        <w:rPr>
          <w:rFonts w:hint="eastAsia" w:ascii="仿宋_GB2312" w:hAnsi="宋体" w:eastAsia="仿宋_GB2312"/>
          <w:sz w:val="32"/>
          <w:szCs w:val="32"/>
          <w:lang w:eastAsia="zh-CN"/>
        </w:rPr>
        <w:t>，</w:t>
      </w:r>
      <w:r>
        <w:rPr>
          <w:rFonts w:hint="eastAsia" w:ascii="仿宋_GB2312" w:hAnsi="宋体" w:eastAsia="仿宋_GB2312"/>
          <w:sz w:val="32"/>
          <w:szCs w:val="32"/>
        </w:rPr>
        <w:t>评价结论可信。我局批准该《报告书》，原则同意你公司按照《报告书》所列项目的性质、规模、地点、采用的生产工艺和环境保护对策措施进行项目建设。</w:t>
      </w:r>
    </w:p>
    <w:p>
      <w:pPr>
        <w:ind w:firstLine="660"/>
        <w:rPr>
          <w:rFonts w:hint="eastAsia" w:ascii="仿宋_GB2312" w:hAnsi="宋体" w:eastAsia="仿宋_GB2312"/>
          <w:sz w:val="32"/>
          <w:szCs w:val="32"/>
        </w:rPr>
      </w:pPr>
      <w:r>
        <w:rPr>
          <w:rFonts w:hint="eastAsia" w:ascii="仿宋_GB2312" w:hAnsi="宋体" w:eastAsia="仿宋_GB2312"/>
          <w:sz w:val="32"/>
          <w:szCs w:val="32"/>
        </w:rPr>
        <w:t>二、你公司应主动向社会公众公开《报告书》</w:t>
      </w:r>
      <w:r>
        <w:rPr>
          <w:rFonts w:hint="eastAsia" w:ascii="仿宋_GB2312" w:hAnsi="宋体" w:eastAsia="仿宋_GB2312"/>
          <w:sz w:val="32"/>
          <w:szCs w:val="32"/>
          <w:lang w:eastAsia="zh-CN"/>
        </w:rPr>
        <w:t>内容</w:t>
      </w:r>
      <w:r>
        <w:rPr>
          <w:rFonts w:hint="eastAsia" w:ascii="仿宋_GB2312" w:hAnsi="宋体" w:eastAsia="仿宋_GB2312"/>
          <w:sz w:val="32"/>
          <w:szCs w:val="32"/>
        </w:rPr>
        <w:t>，并接受相关方的垂询。</w:t>
      </w:r>
    </w:p>
    <w:p>
      <w:pPr>
        <w:ind w:firstLine="660"/>
        <w:rPr>
          <w:rFonts w:hint="eastAsia" w:ascii="仿宋_GB2312" w:hAnsi="宋体" w:eastAsia="仿宋_GB2312"/>
          <w:sz w:val="32"/>
          <w:szCs w:val="32"/>
        </w:rPr>
      </w:pPr>
      <w:r>
        <w:rPr>
          <w:rFonts w:hint="eastAsia" w:ascii="仿宋_GB2312" w:hAnsi="宋体" w:eastAsia="仿宋_GB2312"/>
          <w:sz w:val="32"/>
          <w:szCs w:val="32"/>
        </w:rPr>
        <w:t>三、你公司应全面落实《报告书》提出的各项环境保护措施，确保各项污染物达标排放。</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（一）依据《报告书》和本批复文件，对项目建设过程中产生的废水、废气、固体废物、噪声、振动等污染，以及因施工对自然、生态环境造成的破坏，采取相应的防治措施。</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（二）项目</w:t>
      </w:r>
      <w:r>
        <w:rPr>
          <w:rFonts w:hint="eastAsia" w:ascii="仿宋_GB2312" w:hAnsi="宋体" w:eastAsia="仿宋_GB2312"/>
          <w:sz w:val="32"/>
          <w:szCs w:val="32"/>
          <w:lang w:eastAsia="zh-CN"/>
        </w:rPr>
        <w:t>建成投产</w:t>
      </w:r>
      <w:r>
        <w:rPr>
          <w:rFonts w:hint="eastAsia" w:ascii="仿宋_GB2312" w:hAnsi="宋体" w:eastAsia="仿宋_GB2312"/>
          <w:sz w:val="32"/>
          <w:szCs w:val="32"/>
        </w:rPr>
        <w:t>时，外排污染物应满足以下要求：</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宋体" w:eastAsia="仿宋_GB2312"/>
          <w:b/>
          <w:sz w:val="32"/>
          <w:szCs w:val="32"/>
        </w:rPr>
        <w:t>1、废气</w:t>
      </w:r>
      <w:r>
        <w:rPr>
          <w:rFonts w:hint="eastAsia" w:ascii="仿宋_GB2312" w:hAnsi="宋体" w:eastAsia="仿宋_GB2312"/>
          <w:b w:val="0"/>
          <w:bCs/>
          <w:sz w:val="32"/>
          <w:szCs w:val="32"/>
        </w:rPr>
        <w:t>：</w:t>
      </w:r>
      <w:r>
        <w:rPr>
          <w:rFonts w:hint="eastAsia" w:ascii="仿宋_GB2312" w:hAnsi="宋体" w:eastAsia="仿宋_GB2312"/>
          <w:b w:val="0"/>
          <w:bCs/>
          <w:sz w:val="32"/>
          <w:szCs w:val="32"/>
          <w:lang w:val="en-US" w:eastAsia="zh-CN"/>
        </w:rPr>
        <w:t>焊接烟尘废气、酸雾废气、喷塑粉尘和喷锌废气经处理后，应满足《大气污染物综合排放标准》（GB16297-1996）标准要求；涂装车间喷漆废气、喷塑固化废气、发泡废气、喷漆烘干废气和电泳烘干经处理后，应满足《大气污染物综合排放标准》（GB16297-1996）二级标准、《关于全省开展工业企业挥发性有机物专项治理工作中排放建议值的通知》（豫环攻坚办[2017]162号）、《工业炉窑大气污染物排放标准》（DB41/1066-2015）表1标准限值要求</w:t>
      </w:r>
      <w:r>
        <w:rPr>
          <w:rFonts w:hint="eastAsia" w:ascii="仿宋_GB2312" w:hAnsi="宋体" w:eastAsia="仿宋_GB2312"/>
          <w:b w:val="0"/>
          <w:bCs/>
          <w:sz w:val="32"/>
          <w:szCs w:val="32"/>
        </w:rPr>
        <w:t>。</w:t>
      </w:r>
    </w:p>
    <w:p>
      <w:pPr>
        <w:ind w:firstLine="640"/>
        <w:rPr>
          <w:rFonts w:hint="eastAsia" w:ascii="仿宋_GB2312" w:hAnsi="宋体" w:eastAsia="仿宋_GB2312" w:cs="宋体"/>
          <w:b w:val="0"/>
          <w:bCs w:val="0"/>
          <w:sz w:val="32"/>
          <w:szCs w:val="32"/>
        </w:rPr>
      </w:pPr>
      <w:r>
        <w:rPr>
          <w:rFonts w:hint="eastAsia" w:ascii="仿宋_GB2312" w:hAnsi="宋体" w:eastAsia="仿宋_GB2312" w:cs="宋体"/>
          <w:b/>
          <w:bCs/>
          <w:sz w:val="32"/>
          <w:szCs w:val="32"/>
        </w:rPr>
        <w:t>2、废水：</w:t>
      </w:r>
      <w:r>
        <w:rPr>
          <w:rFonts w:hint="eastAsia" w:ascii="仿宋_GB2312" w:hAnsi="宋体" w:eastAsia="仿宋_GB2312" w:cs="宋体"/>
          <w:b w:val="0"/>
          <w:bCs w:val="0"/>
          <w:sz w:val="32"/>
          <w:szCs w:val="32"/>
        </w:rPr>
        <w:t>喷漆废水和各种倒槽废液进入预处理系统处理后与经化粪池处理后的生活污水一并进厂区综合污水站处理后，通过城市管网排入驻马店市第二污水处理厂，满足《污水综合排放标准》（GB8978-1996）三级标准和驻马店市第二污水处理厂进水水质要求。</w:t>
      </w:r>
    </w:p>
    <w:p>
      <w:pPr>
        <w:ind w:firstLine="640"/>
        <w:rPr>
          <w:rFonts w:hint="eastAsia" w:ascii="仿宋_GB2312" w:hAnsi="仿宋_GB2312" w:eastAsia="仿宋_GB2312" w:cs="仿宋_GB2312"/>
          <w:b w:val="0"/>
          <w:bCs w:val="0"/>
          <w:sz w:val="32"/>
          <w:szCs w:val="32"/>
        </w:rPr>
      </w:pPr>
      <w:r>
        <w:rPr>
          <w:rFonts w:hint="eastAsia" w:ascii="仿宋_GB2312" w:hAnsi="宋体" w:eastAsia="仿宋_GB2312" w:cs="宋体"/>
          <w:b/>
          <w:bCs/>
          <w:sz w:val="32"/>
          <w:szCs w:val="32"/>
        </w:rPr>
        <w:t>3、固体废物：</w:t>
      </w:r>
      <w:r>
        <w:rPr>
          <w:rFonts w:hint="eastAsia" w:ascii="仿宋_GB2312" w:hAnsi="宋体" w:eastAsia="仿宋_GB2312" w:cs="宋体"/>
          <w:b w:val="0"/>
          <w:bCs w:val="0"/>
          <w:sz w:val="32"/>
          <w:szCs w:val="32"/>
        </w:rPr>
        <w:t>钢材铝材废料、废锌丝、收尘器收集的锌尘厂家回收；废焊料及焊渣、废包装材料等集中收集后外售；脱脂槽渣、磷化渣、漆渣、废过滤棉、废活性炭、废溶剂桶、废机油、废切削液交由有资质的单位进行处置；生活垃圾送驻马店市城市垃圾处理场进行处置</w:t>
      </w:r>
      <w:r>
        <w:rPr>
          <w:rFonts w:hint="eastAsia" w:ascii="仿宋_GB2312" w:hAnsi="仿宋_GB2312" w:eastAsia="仿宋_GB2312" w:cs="仿宋_GB2312"/>
          <w:b w:val="0"/>
          <w:bCs w:val="0"/>
          <w:sz w:val="32"/>
          <w:szCs w:val="32"/>
          <w:lang w:val="en-US" w:eastAsia="zh-CN"/>
        </w:rPr>
        <w:t>。</w:t>
      </w:r>
    </w:p>
    <w:p>
      <w:pPr>
        <w:ind w:firstLine="640"/>
        <w:rPr>
          <w:rFonts w:hint="eastAsia" w:ascii="仿宋_GB2312" w:hAnsi="仿宋_GB2312" w:eastAsia="仿宋_GB2312" w:cs="仿宋_GB2312"/>
          <w:sz w:val="32"/>
          <w:szCs w:val="32"/>
        </w:rPr>
      </w:pPr>
      <w:r>
        <w:rPr>
          <w:rFonts w:hint="eastAsia" w:ascii="仿宋_GB2312" w:hAnsi="宋体" w:eastAsia="仿宋_GB2312" w:cs="宋体"/>
          <w:b/>
          <w:bCs/>
          <w:sz w:val="32"/>
          <w:szCs w:val="32"/>
        </w:rPr>
        <w:t>4、噪声：</w:t>
      </w:r>
      <w:r>
        <w:rPr>
          <w:rFonts w:hint="eastAsia" w:ascii="仿宋_GB2312" w:hAnsi="宋体" w:eastAsia="仿宋_GB2312" w:cs="宋体"/>
          <w:b w:val="0"/>
          <w:bCs w:val="0"/>
          <w:sz w:val="32"/>
          <w:szCs w:val="32"/>
          <w:lang w:eastAsia="zh-CN"/>
        </w:rPr>
        <w:t>风机、空压机、剪板机、折弯机、弯管机、各类泵等高噪声设备，采用基础减振、隔声、消声、厂房吸声等措施，使厂界噪声满足《工业企业厂界环境噪声排放标准》（GB12348—2008）中3类、4a类标准</w:t>
      </w:r>
      <w:r>
        <w:rPr>
          <w:rFonts w:hint="eastAsia" w:ascii="仿宋_GB2312" w:hAnsi="仿宋_GB2312" w:eastAsia="仿宋_GB2312" w:cs="仿宋_GB2312"/>
          <w:sz w:val="32"/>
          <w:szCs w:val="32"/>
        </w:rPr>
        <w:t>。</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三</w:t>
      </w:r>
      <w:r>
        <w:rPr>
          <w:rFonts w:hint="eastAsia" w:ascii="仿宋_GB2312" w:hAnsi="宋体" w:eastAsia="仿宋_GB2312" w:cs="宋体"/>
          <w:sz w:val="32"/>
          <w:szCs w:val="32"/>
        </w:rPr>
        <w:t>）落实《报告书》环境风险防范措施，制定环境风险应急预案，严防环境污染事故发生。</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本期扩建项目主要污染物新增排放总量：</w:t>
      </w:r>
      <w:r>
        <w:rPr>
          <w:rFonts w:hint="eastAsia" w:ascii="仿宋_GB2312" w:hAnsi="宋体" w:eastAsia="仿宋_GB2312" w:cs="宋体"/>
          <w:sz w:val="32"/>
          <w:szCs w:val="32"/>
          <w:lang w:val="en-US" w:eastAsia="zh-CN"/>
        </w:rPr>
        <w:t>COD1.24</w:t>
      </w:r>
      <w:r>
        <w:rPr>
          <w:rFonts w:hint="eastAsia" w:ascii="仿宋_GB2312" w:hAnsi="宋体" w:eastAsia="仿宋_GB2312" w:cs="宋体"/>
          <w:sz w:val="32"/>
          <w:szCs w:val="32"/>
          <w:lang w:eastAsia="zh-CN"/>
        </w:rPr>
        <w:t>t/a、氨氮</w:t>
      </w:r>
      <w:r>
        <w:rPr>
          <w:rFonts w:hint="eastAsia" w:ascii="仿宋_GB2312" w:hAnsi="宋体" w:eastAsia="仿宋_GB2312" w:cs="宋体"/>
          <w:sz w:val="32"/>
          <w:szCs w:val="32"/>
          <w:lang w:val="en-US" w:eastAsia="zh-CN"/>
        </w:rPr>
        <w:t>0.124</w:t>
      </w:r>
      <w:r>
        <w:rPr>
          <w:rFonts w:hint="eastAsia" w:ascii="仿宋_GB2312" w:hAnsi="宋体" w:eastAsia="仿宋_GB2312" w:cs="宋体"/>
          <w:sz w:val="32"/>
          <w:szCs w:val="32"/>
          <w:lang w:eastAsia="zh-CN"/>
        </w:rPr>
        <w:t>t/a、SO</w:t>
      </w:r>
      <w:r>
        <w:rPr>
          <w:rFonts w:hint="eastAsia" w:ascii="仿宋_GB2312" w:hAnsi="宋体" w:eastAsia="仿宋_GB2312" w:cs="宋体"/>
          <w:sz w:val="32"/>
          <w:szCs w:val="32"/>
          <w:vertAlign w:val="subscript"/>
          <w:lang w:eastAsia="zh-CN"/>
        </w:rPr>
        <w:t>2</w:t>
      </w:r>
      <w:r>
        <w:rPr>
          <w:rFonts w:hint="eastAsia" w:ascii="仿宋_GB2312" w:hAnsi="宋体" w:eastAsia="仿宋_GB2312" w:cs="宋体"/>
          <w:sz w:val="32"/>
          <w:szCs w:val="32"/>
          <w:lang w:eastAsia="zh-CN"/>
        </w:rPr>
        <w:t>0.</w:t>
      </w:r>
      <w:r>
        <w:rPr>
          <w:rFonts w:hint="eastAsia" w:ascii="仿宋_GB2312" w:hAnsi="宋体" w:eastAsia="仿宋_GB2312" w:cs="宋体"/>
          <w:sz w:val="32"/>
          <w:szCs w:val="32"/>
          <w:lang w:val="en-US" w:eastAsia="zh-CN"/>
        </w:rPr>
        <w:t>075</w:t>
      </w:r>
      <w:r>
        <w:rPr>
          <w:rFonts w:hint="eastAsia" w:ascii="仿宋_GB2312" w:hAnsi="宋体" w:eastAsia="仿宋_GB2312" w:cs="宋体"/>
          <w:sz w:val="32"/>
          <w:szCs w:val="32"/>
          <w:lang w:eastAsia="zh-CN"/>
        </w:rPr>
        <w:t>t/a、氮氧化物0.4</w:t>
      </w:r>
      <w:r>
        <w:rPr>
          <w:rFonts w:hint="eastAsia" w:ascii="仿宋_GB2312" w:hAnsi="宋体" w:eastAsia="仿宋_GB2312" w:cs="宋体"/>
          <w:sz w:val="32"/>
          <w:szCs w:val="32"/>
          <w:lang w:val="en-US" w:eastAsia="zh-CN"/>
        </w:rPr>
        <w:t>77</w:t>
      </w:r>
      <w:r>
        <w:rPr>
          <w:rFonts w:hint="eastAsia" w:ascii="仿宋_GB2312" w:hAnsi="宋体" w:eastAsia="仿宋_GB2312" w:cs="宋体"/>
          <w:sz w:val="32"/>
          <w:szCs w:val="32"/>
          <w:lang w:eastAsia="zh-CN"/>
        </w:rPr>
        <w:t>t/a、VOC</w:t>
      </w:r>
      <w:r>
        <w:rPr>
          <w:rFonts w:hint="eastAsia" w:ascii="仿宋_GB2312" w:hAnsi="宋体" w:eastAsia="仿宋_GB2312" w:cs="宋体"/>
          <w:sz w:val="32"/>
          <w:szCs w:val="32"/>
          <w:vertAlign w:val="subscript"/>
          <w:lang w:eastAsia="zh-CN"/>
        </w:rPr>
        <w:t>S</w:t>
      </w:r>
      <w:r>
        <w:rPr>
          <w:rFonts w:hint="eastAsia" w:ascii="仿宋_GB2312" w:hAnsi="宋体" w:eastAsia="仿宋_GB2312" w:cs="宋体"/>
          <w:sz w:val="32"/>
          <w:szCs w:val="32"/>
          <w:lang w:val="en-US" w:eastAsia="zh-CN"/>
        </w:rPr>
        <w:t>1.684</w:t>
      </w:r>
      <w:r>
        <w:rPr>
          <w:rFonts w:hint="eastAsia" w:ascii="仿宋_GB2312" w:hAnsi="宋体" w:eastAsia="仿宋_GB2312" w:cs="宋体"/>
          <w:sz w:val="32"/>
          <w:szCs w:val="32"/>
          <w:lang w:eastAsia="zh-CN"/>
        </w:rPr>
        <w:t>t/a。</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）如果今后国家或我省颁布严于本批复污染物排放限值的新标准，届时你单位应按新的排放标准执行。</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项目施工期扬尘控制严格按《报告书》规定执行。严格落实施工期、运营期大气污染管控措施，由驿城区环保部门负责监督管理，并按规定接受各级环境保护主管部门日常监督检查。</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五、你公司应安装无组织粉尘、挥发性有机物在线监控及视频装置。</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六、</w:t>
      </w:r>
      <w:r>
        <w:rPr>
          <w:rFonts w:hint="eastAsia" w:ascii="仿宋_GB2312" w:hAnsi="宋体" w:eastAsia="仿宋_GB2312" w:cs="宋体"/>
          <w:sz w:val="32"/>
          <w:szCs w:val="32"/>
        </w:rPr>
        <w:t>本批复有效期为5年。如该项目逾期未开工建设，环境影响报告书应报我局重新审核。</w:t>
      </w: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r>
        <w:rPr>
          <w:rFonts w:hint="eastAsia" w:ascii="仿宋_GB2312" w:hAnsi="宋体" w:eastAsia="仿宋_GB2312" w:cs="宋体"/>
          <w:sz w:val="32"/>
          <w:szCs w:val="32"/>
        </w:rPr>
        <w:t>201</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24</w:t>
      </w:r>
      <w:r>
        <w:rPr>
          <w:rFonts w:hint="eastAsia" w:ascii="仿宋_GB2312" w:hAnsi="宋体" w:eastAsia="仿宋_GB2312" w:cs="宋体"/>
          <w:sz w:val="32"/>
          <w:szCs w:val="32"/>
        </w:rPr>
        <w:t>日</w:t>
      </w: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p>
      <w:pPr>
        <w:jc w:val="both"/>
        <w:rPr>
          <w:rFonts w:hint="eastAsia" w:ascii="仿宋_GB2312" w:hAnsi="宋体" w:eastAsia="仿宋_GB2312" w:cs="宋体"/>
          <w:sz w:val="32"/>
          <w:szCs w:val="32"/>
        </w:rPr>
      </w:pPr>
    </w:p>
    <w:tbl>
      <w:tblPr>
        <w:tblStyle w:val="6"/>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spacing w:line="520" w:lineRule="exact"/>
              <w:ind w:left="960" w:hanging="960" w:hangingChars="300"/>
              <w:rPr>
                <w:rFonts w:hint="eastAsia" w:ascii="仿宋_GB2312" w:eastAsia="仿宋_GB2312"/>
                <w:sz w:val="32"/>
                <w:szCs w:val="32"/>
              </w:rPr>
            </w:pPr>
            <w:r>
              <w:rPr>
                <w:rFonts w:hint="eastAsia" w:ascii="仿宋_GB2312" w:eastAsia="仿宋_GB2312"/>
                <w:sz w:val="32"/>
                <w:szCs w:val="32"/>
              </w:rPr>
              <w:t>抄送：市环境监察支队、</w:t>
            </w:r>
            <w:r>
              <w:rPr>
                <w:rFonts w:hint="eastAsia" w:ascii="仿宋_GB2312" w:eastAsia="仿宋_GB2312"/>
                <w:sz w:val="32"/>
                <w:szCs w:val="32"/>
                <w:lang w:eastAsia="zh-CN"/>
              </w:rPr>
              <w:t>驿城区环保局、</w:t>
            </w:r>
            <w:r>
              <w:rPr>
                <w:rFonts w:hint="eastAsia" w:ascii="仿宋_GB2312" w:hAnsi="宋体" w:eastAsia="仿宋_GB2312"/>
                <w:sz w:val="32"/>
                <w:szCs w:val="32"/>
              </w:rPr>
              <w:t>河南安环环保科技有限公司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生态环境</w:t>
            </w:r>
            <w:r>
              <w:rPr>
                <w:rFonts w:hint="eastAsia" w:ascii="仿宋_GB2312" w:eastAsia="仿宋_GB2312"/>
                <w:sz w:val="32"/>
                <w:szCs w:val="32"/>
              </w:rPr>
              <w:t>局</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2019年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日印发</w:t>
            </w:r>
          </w:p>
        </w:tc>
      </w:tr>
    </w:tbl>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8D"/>
    <w:rsid w:val="00012BD6"/>
    <w:rsid w:val="00030DA3"/>
    <w:rsid w:val="00053837"/>
    <w:rsid w:val="00070860"/>
    <w:rsid w:val="00073BD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959E4"/>
    <w:rsid w:val="001A186E"/>
    <w:rsid w:val="001E1C12"/>
    <w:rsid w:val="002479F4"/>
    <w:rsid w:val="00266754"/>
    <w:rsid w:val="0028337E"/>
    <w:rsid w:val="002E0233"/>
    <w:rsid w:val="002E7D30"/>
    <w:rsid w:val="003225FC"/>
    <w:rsid w:val="00332915"/>
    <w:rsid w:val="00337E39"/>
    <w:rsid w:val="00341480"/>
    <w:rsid w:val="003614C6"/>
    <w:rsid w:val="003621E7"/>
    <w:rsid w:val="0036745A"/>
    <w:rsid w:val="0037271B"/>
    <w:rsid w:val="003B15FA"/>
    <w:rsid w:val="003C6671"/>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6B08"/>
    <w:rsid w:val="005C4C15"/>
    <w:rsid w:val="005D05DE"/>
    <w:rsid w:val="005D1F97"/>
    <w:rsid w:val="005F4A82"/>
    <w:rsid w:val="00603A98"/>
    <w:rsid w:val="006336F7"/>
    <w:rsid w:val="006362DE"/>
    <w:rsid w:val="00653608"/>
    <w:rsid w:val="006536E6"/>
    <w:rsid w:val="00663095"/>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6602"/>
    <w:rsid w:val="00A3420C"/>
    <w:rsid w:val="00A34275"/>
    <w:rsid w:val="00A504D5"/>
    <w:rsid w:val="00A52675"/>
    <w:rsid w:val="00A83C53"/>
    <w:rsid w:val="00A94063"/>
    <w:rsid w:val="00A95227"/>
    <w:rsid w:val="00AA404B"/>
    <w:rsid w:val="00AA6994"/>
    <w:rsid w:val="00AC559B"/>
    <w:rsid w:val="00AD08AC"/>
    <w:rsid w:val="00AF0876"/>
    <w:rsid w:val="00B052E1"/>
    <w:rsid w:val="00B06872"/>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A1561"/>
    <w:rsid w:val="00ED1B9D"/>
    <w:rsid w:val="00ED296C"/>
    <w:rsid w:val="00F00964"/>
    <w:rsid w:val="00F05B66"/>
    <w:rsid w:val="00F14690"/>
    <w:rsid w:val="00F20EAF"/>
    <w:rsid w:val="00F4330B"/>
    <w:rsid w:val="00F47468"/>
    <w:rsid w:val="00F619DA"/>
    <w:rsid w:val="00F70ABC"/>
    <w:rsid w:val="00F92885"/>
    <w:rsid w:val="00FF00EF"/>
    <w:rsid w:val="02311D69"/>
    <w:rsid w:val="02531C3E"/>
    <w:rsid w:val="02C562AE"/>
    <w:rsid w:val="078F4341"/>
    <w:rsid w:val="087736A8"/>
    <w:rsid w:val="0A8D4795"/>
    <w:rsid w:val="0AAB78C3"/>
    <w:rsid w:val="0C8E0B2C"/>
    <w:rsid w:val="0D3A604C"/>
    <w:rsid w:val="0D50454B"/>
    <w:rsid w:val="0D7F514F"/>
    <w:rsid w:val="0E1D4C30"/>
    <w:rsid w:val="0EFE3D04"/>
    <w:rsid w:val="0F4E5500"/>
    <w:rsid w:val="0F6D2BF1"/>
    <w:rsid w:val="0FB8072A"/>
    <w:rsid w:val="0FDB2586"/>
    <w:rsid w:val="0FEF54F2"/>
    <w:rsid w:val="11A87882"/>
    <w:rsid w:val="12691A01"/>
    <w:rsid w:val="13235C2C"/>
    <w:rsid w:val="14BD3A88"/>
    <w:rsid w:val="1570446D"/>
    <w:rsid w:val="15982CE0"/>
    <w:rsid w:val="168C5D59"/>
    <w:rsid w:val="169E6590"/>
    <w:rsid w:val="19A10525"/>
    <w:rsid w:val="1B0314E2"/>
    <w:rsid w:val="1B46304A"/>
    <w:rsid w:val="1B6314F7"/>
    <w:rsid w:val="1B8F478A"/>
    <w:rsid w:val="1BAE08EA"/>
    <w:rsid w:val="1F3500F4"/>
    <w:rsid w:val="21790678"/>
    <w:rsid w:val="22BB6DD0"/>
    <w:rsid w:val="277669B6"/>
    <w:rsid w:val="27DA06D7"/>
    <w:rsid w:val="29246B6E"/>
    <w:rsid w:val="29B30355"/>
    <w:rsid w:val="29C73E27"/>
    <w:rsid w:val="2D2C511E"/>
    <w:rsid w:val="2DFC402B"/>
    <w:rsid w:val="2E665F0B"/>
    <w:rsid w:val="2EBD29C2"/>
    <w:rsid w:val="2EC568BD"/>
    <w:rsid w:val="2F452DA6"/>
    <w:rsid w:val="2F6F5FF2"/>
    <w:rsid w:val="302D5B2B"/>
    <w:rsid w:val="303865F1"/>
    <w:rsid w:val="30B47B4E"/>
    <w:rsid w:val="310C4364"/>
    <w:rsid w:val="314040C5"/>
    <w:rsid w:val="332F7DEE"/>
    <w:rsid w:val="33687D77"/>
    <w:rsid w:val="34925D33"/>
    <w:rsid w:val="370B2673"/>
    <w:rsid w:val="38AC295A"/>
    <w:rsid w:val="3A5E56D8"/>
    <w:rsid w:val="3ACF6307"/>
    <w:rsid w:val="3B875568"/>
    <w:rsid w:val="3C0913B4"/>
    <w:rsid w:val="3DFB3E26"/>
    <w:rsid w:val="3E0064FA"/>
    <w:rsid w:val="40305D16"/>
    <w:rsid w:val="405C39AF"/>
    <w:rsid w:val="40655C4B"/>
    <w:rsid w:val="41BF6B0A"/>
    <w:rsid w:val="42914492"/>
    <w:rsid w:val="42955FC0"/>
    <w:rsid w:val="42A3669A"/>
    <w:rsid w:val="431D3EE0"/>
    <w:rsid w:val="43820FE4"/>
    <w:rsid w:val="456B3E1F"/>
    <w:rsid w:val="47BD77BD"/>
    <w:rsid w:val="48B10EC1"/>
    <w:rsid w:val="490E1CC5"/>
    <w:rsid w:val="4A0F6614"/>
    <w:rsid w:val="4A282E8B"/>
    <w:rsid w:val="4A911945"/>
    <w:rsid w:val="4E386D05"/>
    <w:rsid w:val="4E5C5F7B"/>
    <w:rsid w:val="4E977062"/>
    <w:rsid w:val="50431A09"/>
    <w:rsid w:val="50AE0375"/>
    <w:rsid w:val="519336B5"/>
    <w:rsid w:val="53CD00B0"/>
    <w:rsid w:val="53E174E0"/>
    <w:rsid w:val="55833ADE"/>
    <w:rsid w:val="5671606C"/>
    <w:rsid w:val="571E6652"/>
    <w:rsid w:val="57682216"/>
    <w:rsid w:val="5C166E48"/>
    <w:rsid w:val="5EF54D8F"/>
    <w:rsid w:val="614C1E09"/>
    <w:rsid w:val="618F7629"/>
    <w:rsid w:val="62B42F10"/>
    <w:rsid w:val="63300AD6"/>
    <w:rsid w:val="650411AA"/>
    <w:rsid w:val="664B29B0"/>
    <w:rsid w:val="667C7F51"/>
    <w:rsid w:val="674C5F8A"/>
    <w:rsid w:val="698A51EC"/>
    <w:rsid w:val="69D43B0E"/>
    <w:rsid w:val="6AB64182"/>
    <w:rsid w:val="6B1C1B7A"/>
    <w:rsid w:val="6B9D33B5"/>
    <w:rsid w:val="6E090F75"/>
    <w:rsid w:val="6E660741"/>
    <w:rsid w:val="6F161B81"/>
    <w:rsid w:val="6FAB1D51"/>
    <w:rsid w:val="71003AE7"/>
    <w:rsid w:val="713F1F99"/>
    <w:rsid w:val="7204386B"/>
    <w:rsid w:val="75342BD4"/>
    <w:rsid w:val="76D808EC"/>
    <w:rsid w:val="78E47BC8"/>
    <w:rsid w:val="7A3A41A6"/>
    <w:rsid w:val="7A3C7F20"/>
    <w:rsid w:val="7A4C308D"/>
    <w:rsid w:val="7B826203"/>
    <w:rsid w:val="7D044B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customStyle="1" w:styleId="10">
    <w:name w:val="moduletitle_menuitemsel"/>
    <w:basedOn w:val="7"/>
    <w:qFormat/>
    <w:uiPriority w:val="0"/>
    <w:rPr>
      <w:rFonts w:ascii="Tahoma" w:hAnsi="Tahoma" w:eastAsia="Tahoma" w:cs="Tahoma"/>
      <w:b/>
      <w:color w:val="000000"/>
      <w:sz w:val="18"/>
      <w:szCs w:val="18"/>
    </w:rPr>
  </w:style>
  <w:style w:type="character" w:customStyle="1" w:styleId="11">
    <w:name w:val="langua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1757</Characters>
  <Lines>14</Lines>
  <Paragraphs>4</Paragraphs>
  <TotalTime>6</TotalTime>
  <ScaleCrop>false</ScaleCrop>
  <LinksUpToDate>false</LinksUpToDate>
  <CharactersWithSpaces>2061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2017-03-30T06:50:00Z</dcterms:created>
  <dc:creator>微软用户</dc:creator>
  <cp:lastModifiedBy>华钰</cp:lastModifiedBy>
  <cp:lastPrinted>2019-05-24T02:46:00Z</cp:lastPrinted>
  <dcterms:modified xsi:type="dcterms:W3CDTF">2021-03-29T10:55:10Z</dcterms:modified>
  <dc:title>驻环审〔2010〕6号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F31BA8D9A94648E39B9FA1D2E609315C</vt:lpwstr>
  </property>
</Properties>
</file>